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819AD" w:rsidRPr="00C819AD" w:rsidTr="00911676">
        <w:tc>
          <w:tcPr>
            <w:tcW w:w="4513" w:type="dxa"/>
            <w:tcBorders>
              <w:bottom w:val="single" w:sz="4" w:space="0" w:color="auto"/>
            </w:tcBorders>
            <w:tcMar>
              <w:bottom w:w="170" w:type="dxa"/>
            </w:tcMar>
          </w:tcPr>
          <w:p w:rsidR="00AE6C72" w:rsidRPr="00C819AD" w:rsidRDefault="00AE6C72" w:rsidP="00CE4DF6">
            <w:pPr>
              <w:pStyle w:val="ONUME"/>
              <w:numPr>
                <w:ilvl w:val="0"/>
                <w:numId w:val="0"/>
              </w:numPr>
              <w:rPr>
                <w:lang w:val="fr-FR"/>
              </w:rPr>
            </w:pPr>
            <w:bookmarkStart w:id="0" w:name="_GoBack"/>
            <w:bookmarkEnd w:id="0"/>
          </w:p>
        </w:tc>
        <w:tc>
          <w:tcPr>
            <w:tcW w:w="4337" w:type="dxa"/>
            <w:tcBorders>
              <w:bottom w:val="single" w:sz="4" w:space="0" w:color="auto"/>
            </w:tcBorders>
            <w:tcMar>
              <w:left w:w="0" w:type="dxa"/>
              <w:right w:w="0" w:type="dxa"/>
            </w:tcMar>
          </w:tcPr>
          <w:p w:rsidR="00AE6C72" w:rsidRPr="00C819AD" w:rsidRDefault="00AE6C72" w:rsidP="00CE4DF6">
            <w:pPr>
              <w:rPr>
                <w:lang w:val="fr-FR"/>
              </w:rPr>
            </w:pPr>
            <w:r w:rsidRPr="00C819AD">
              <w:rPr>
                <w:noProof/>
                <w:lang w:val="en-US" w:eastAsia="en-US"/>
              </w:rPr>
              <w:drawing>
                <wp:inline distT="0" distB="0" distL="0" distR="0" wp14:anchorId="7802BD0B" wp14:editId="1C1B3E1E">
                  <wp:extent cx="1857375"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E6C72" w:rsidRPr="00C819AD" w:rsidRDefault="00AE6C72" w:rsidP="00CE4DF6">
            <w:pPr>
              <w:jc w:val="right"/>
              <w:rPr>
                <w:lang w:val="fr-FR"/>
              </w:rPr>
            </w:pPr>
            <w:r w:rsidRPr="00C819AD">
              <w:rPr>
                <w:b/>
                <w:sz w:val="40"/>
                <w:szCs w:val="40"/>
                <w:lang w:val="fr-FR"/>
              </w:rPr>
              <w:t>F</w:t>
            </w:r>
          </w:p>
        </w:tc>
      </w:tr>
      <w:tr w:rsidR="00C819AD" w:rsidRPr="00C819AD" w:rsidTr="00390E32">
        <w:trPr>
          <w:trHeight w:hRule="exact" w:val="340"/>
        </w:trPr>
        <w:tc>
          <w:tcPr>
            <w:tcW w:w="9356" w:type="dxa"/>
            <w:gridSpan w:val="3"/>
            <w:tcBorders>
              <w:top w:val="single" w:sz="4" w:space="0" w:color="auto"/>
            </w:tcBorders>
            <w:tcMar>
              <w:top w:w="170" w:type="dxa"/>
              <w:left w:w="0" w:type="dxa"/>
              <w:right w:w="0" w:type="dxa"/>
            </w:tcMar>
            <w:vAlign w:val="bottom"/>
          </w:tcPr>
          <w:p w:rsidR="00AE6C72" w:rsidRPr="00C819AD" w:rsidRDefault="00AE6C72" w:rsidP="002A7E54">
            <w:pPr>
              <w:jc w:val="right"/>
              <w:rPr>
                <w:rFonts w:ascii="Arial Black" w:hAnsi="Arial Black"/>
                <w:caps/>
                <w:sz w:val="15"/>
                <w:lang w:val="fr-FR"/>
              </w:rPr>
            </w:pPr>
            <w:r w:rsidRPr="00C819AD">
              <w:rPr>
                <w:rFonts w:ascii="Arial Black" w:hAnsi="Arial Black"/>
                <w:caps/>
                <w:sz w:val="15"/>
                <w:lang w:val="fr-FR"/>
              </w:rPr>
              <w:t>PCT/A/48/</w:t>
            </w:r>
            <w:bookmarkStart w:id="1" w:name="Code"/>
            <w:bookmarkEnd w:id="1"/>
            <w:r w:rsidRPr="00C819AD">
              <w:rPr>
                <w:rFonts w:ascii="Arial Black" w:hAnsi="Arial Black"/>
                <w:caps/>
                <w:sz w:val="15"/>
                <w:lang w:val="fr-FR"/>
              </w:rPr>
              <w:t xml:space="preserve">5 </w:t>
            </w:r>
          </w:p>
        </w:tc>
      </w:tr>
      <w:tr w:rsidR="00C819AD" w:rsidRPr="00C819AD" w:rsidTr="00390E32">
        <w:trPr>
          <w:trHeight w:hRule="exact" w:val="170"/>
        </w:trPr>
        <w:tc>
          <w:tcPr>
            <w:tcW w:w="9356" w:type="dxa"/>
            <w:gridSpan w:val="3"/>
            <w:noWrap/>
            <w:tcMar>
              <w:left w:w="0" w:type="dxa"/>
              <w:right w:w="0" w:type="dxa"/>
            </w:tcMar>
            <w:vAlign w:val="bottom"/>
          </w:tcPr>
          <w:p w:rsidR="00AE6C72" w:rsidRPr="00C819AD" w:rsidRDefault="00AE6C72" w:rsidP="00CE4DF6">
            <w:pPr>
              <w:jc w:val="right"/>
              <w:rPr>
                <w:rFonts w:ascii="Arial Black" w:hAnsi="Arial Black"/>
                <w:caps/>
                <w:sz w:val="15"/>
                <w:lang w:val="fr-FR"/>
              </w:rPr>
            </w:pPr>
            <w:r w:rsidRPr="00C819AD">
              <w:rPr>
                <w:rFonts w:ascii="Arial Black" w:hAnsi="Arial Black"/>
                <w:caps/>
                <w:sz w:val="15"/>
                <w:lang w:val="fr-FR"/>
              </w:rPr>
              <w:t>ORIGINAL</w:t>
            </w:r>
            <w:r w:rsidR="00ED481F" w:rsidRPr="00C819AD">
              <w:rPr>
                <w:rFonts w:ascii="Arial Black" w:hAnsi="Arial Black"/>
                <w:caps/>
                <w:sz w:val="15"/>
                <w:lang w:val="fr-FR"/>
              </w:rPr>
              <w:t> </w:t>
            </w:r>
            <w:r w:rsidRPr="00C819AD">
              <w:rPr>
                <w:rFonts w:ascii="Arial Black" w:hAnsi="Arial Black"/>
                <w:caps/>
                <w:sz w:val="15"/>
                <w:lang w:val="fr-FR"/>
              </w:rPr>
              <w:t xml:space="preserve">: </w:t>
            </w:r>
            <w:bookmarkStart w:id="2" w:name="Original"/>
            <w:bookmarkEnd w:id="2"/>
            <w:r w:rsidRPr="00C819AD">
              <w:rPr>
                <w:rFonts w:ascii="Arial Black" w:hAnsi="Arial Black"/>
                <w:caps/>
                <w:sz w:val="15"/>
                <w:lang w:val="fr-FR"/>
              </w:rPr>
              <w:t>anglais</w:t>
            </w:r>
          </w:p>
        </w:tc>
      </w:tr>
      <w:tr w:rsidR="00CE4DF6" w:rsidRPr="00C819AD" w:rsidTr="00390E32">
        <w:trPr>
          <w:trHeight w:hRule="exact" w:val="198"/>
        </w:trPr>
        <w:tc>
          <w:tcPr>
            <w:tcW w:w="9356" w:type="dxa"/>
            <w:gridSpan w:val="3"/>
            <w:tcMar>
              <w:left w:w="0" w:type="dxa"/>
              <w:right w:w="0" w:type="dxa"/>
            </w:tcMar>
            <w:vAlign w:val="bottom"/>
          </w:tcPr>
          <w:p w:rsidR="00AE6C72" w:rsidRPr="00C819AD" w:rsidRDefault="00AE6C72" w:rsidP="002A7E54">
            <w:pPr>
              <w:jc w:val="right"/>
              <w:rPr>
                <w:rFonts w:ascii="Arial Black" w:hAnsi="Arial Black"/>
                <w:caps/>
                <w:sz w:val="15"/>
                <w:lang w:val="fr-FR"/>
              </w:rPr>
            </w:pPr>
            <w:r w:rsidRPr="00C819AD">
              <w:rPr>
                <w:rFonts w:ascii="Arial Black" w:hAnsi="Arial Black"/>
                <w:caps/>
                <w:sz w:val="15"/>
                <w:lang w:val="fr-FR"/>
              </w:rPr>
              <w:t>DATE</w:t>
            </w:r>
            <w:r w:rsidR="00ED481F" w:rsidRPr="00C819AD">
              <w:rPr>
                <w:rFonts w:ascii="Arial Black" w:hAnsi="Arial Black"/>
                <w:caps/>
                <w:sz w:val="15"/>
                <w:lang w:val="fr-FR"/>
              </w:rPr>
              <w:t> </w:t>
            </w:r>
            <w:r w:rsidRPr="00C819AD">
              <w:rPr>
                <w:rFonts w:ascii="Arial Black" w:hAnsi="Arial Black"/>
                <w:caps/>
                <w:sz w:val="15"/>
                <w:lang w:val="fr-FR"/>
              </w:rPr>
              <w:t xml:space="preserve">: </w:t>
            </w:r>
            <w:bookmarkStart w:id="3" w:name="Date"/>
            <w:bookmarkEnd w:id="3"/>
            <w:r w:rsidR="008571E5" w:rsidRPr="00C819AD">
              <w:rPr>
                <w:rFonts w:ascii="Arial Black" w:hAnsi="Arial Black"/>
                <w:caps/>
                <w:sz w:val="15"/>
                <w:lang w:val="fr-FR"/>
              </w:rPr>
              <w:t>1</w:t>
            </w:r>
            <w:r w:rsidR="002A7E54">
              <w:rPr>
                <w:rFonts w:ascii="Arial Black" w:hAnsi="Arial Black"/>
                <w:caps/>
                <w:sz w:val="15"/>
                <w:lang w:val="fr-FR"/>
              </w:rPr>
              <w:t>6</w:t>
            </w:r>
            <w:r w:rsidR="008571E5" w:rsidRPr="00C819AD">
              <w:rPr>
                <w:rFonts w:ascii="Arial Black" w:hAnsi="Arial Black"/>
                <w:caps/>
                <w:sz w:val="15"/>
                <w:lang w:val="fr-FR"/>
              </w:rPr>
              <w:t> </w:t>
            </w:r>
            <w:r w:rsidR="002A7E54">
              <w:rPr>
                <w:rFonts w:ascii="Arial Black" w:hAnsi="Arial Black"/>
                <w:caps/>
                <w:sz w:val="15"/>
                <w:lang w:val="fr-FR"/>
              </w:rPr>
              <w:t>décembre</w:t>
            </w:r>
            <w:r w:rsidR="008571E5" w:rsidRPr="00C819AD">
              <w:rPr>
                <w:rFonts w:ascii="Arial Black" w:hAnsi="Arial Black"/>
                <w:caps/>
                <w:sz w:val="15"/>
                <w:lang w:val="fr-FR"/>
              </w:rPr>
              <w:t> 20</w:t>
            </w:r>
            <w:r w:rsidRPr="00C819AD">
              <w:rPr>
                <w:rFonts w:ascii="Arial Black" w:hAnsi="Arial Black"/>
                <w:caps/>
                <w:sz w:val="15"/>
                <w:lang w:val="fr-FR"/>
              </w:rPr>
              <w:t>16</w:t>
            </w:r>
          </w:p>
        </w:tc>
      </w:tr>
    </w:tbl>
    <w:p w:rsidR="00F331B5" w:rsidRPr="00C819AD" w:rsidRDefault="00F331B5" w:rsidP="00CE4DF6">
      <w:pPr>
        <w:rPr>
          <w:lang w:val="fr-FR"/>
        </w:rPr>
      </w:pPr>
    </w:p>
    <w:p w:rsidR="00F331B5" w:rsidRPr="00C819AD" w:rsidRDefault="00F331B5" w:rsidP="00CE4DF6">
      <w:pPr>
        <w:rPr>
          <w:lang w:val="fr-FR"/>
        </w:rPr>
      </w:pPr>
    </w:p>
    <w:p w:rsidR="00F331B5" w:rsidRPr="00C819AD" w:rsidRDefault="00F331B5" w:rsidP="00CE4DF6">
      <w:pPr>
        <w:rPr>
          <w:lang w:val="fr-FR"/>
        </w:rPr>
      </w:pPr>
    </w:p>
    <w:p w:rsidR="00F331B5" w:rsidRPr="00C819AD" w:rsidRDefault="00F331B5" w:rsidP="00CE4DF6">
      <w:pPr>
        <w:rPr>
          <w:lang w:val="fr-FR"/>
        </w:rPr>
      </w:pPr>
    </w:p>
    <w:p w:rsidR="00F331B5" w:rsidRPr="00C819AD" w:rsidRDefault="00F331B5" w:rsidP="00CE4DF6">
      <w:pPr>
        <w:rPr>
          <w:lang w:val="fr-FR"/>
        </w:rPr>
      </w:pPr>
    </w:p>
    <w:p w:rsidR="00F331B5" w:rsidRPr="00C819AD" w:rsidRDefault="00AE6C72" w:rsidP="00CE4DF6">
      <w:pPr>
        <w:rPr>
          <w:b/>
          <w:sz w:val="28"/>
          <w:szCs w:val="28"/>
          <w:lang w:val="fr-FR"/>
        </w:rPr>
      </w:pPr>
      <w:r w:rsidRPr="00C819AD">
        <w:rPr>
          <w:b/>
          <w:sz w:val="28"/>
          <w:szCs w:val="28"/>
          <w:lang w:val="fr-FR"/>
        </w:rPr>
        <w:t xml:space="preserve">Union internationale de coopération en matière de brevets </w:t>
      </w:r>
      <w:r w:rsidRPr="00C819AD">
        <w:rPr>
          <w:b/>
          <w:sz w:val="28"/>
          <w:szCs w:val="28"/>
          <w:lang w:val="fr-FR"/>
        </w:rPr>
        <w:br/>
        <w:t>(Union</w:t>
      </w:r>
      <w:r w:rsidR="008571E5" w:rsidRPr="00C819AD">
        <w:rPr>
          <w:b/>
          <w:sz w:val="28"/>
          <w:szCs w:val="28"/>
          <w:lang w:val="fr-FR"/>
        </w:rPr>
        <w:t xml:space="preserve"> du PCT</w:t>
      </w:r>
      <w:r w:rsidRPr="00C819AD">
        <w:rPr>
          <w:b/>
          <w:sz w:val="28"/>
          <w:szCs w:val="28"/>
          <w:lang w:val="fr-FR"/>
        </w:rPr>
        <w:t>)</w:t>
      </w:r>
    </w:p>
    <w:p w:rsidR="00F331B5" w:rsidRPr="00C819AD" w:rsidRDefault="00F331B5" w:rsidP="00CE4DF6">
      <w:pPr>
        <w:rPr>
          <w:lang w:val="fr-FR"/>
        </w:rPr>
      </w:pPr>
    </w:p>
    <w:p w:rsidR="00F331B5" w:rsidRPr="00C819AD" w:rsidRDefault="00F331B5" w:rsidP="00CE4DF6">
      <w:pPr>
        <w:rPr>
          <w:lang w:val="fr-FR"/>
        </w:rPr>
      </w:pPr>
    </w:p>
    <w:p w:rsidR="00F331B5" w:rsidRPr="00C819AD" w:rsidRDefault="00AE6C72" w:rsidP="00CE4DF6">
      <w:pPr>
        <w:rPr>
          <w:b/>
          <w:sz w:val="28"/>
          <w:szCs w:val="28"/>
          <w:lang w:val="fr-FR"/>
        </w:rPr>
      </w:pPr>
      <w:r w:rsidRPr="00C819AD">
        <w:rPr>
          <w:b/>
          <w:sz w:val="28"/>
          <w:szCs w:val="28"/>
          <w:lang w:val="fr-FR"/>
        </w:rPr>
        <w:t>Assemblée</w:t>
      </w:r>
    </w:p>
    <w:p w:rsidR="00F331B5" w:rsidRPr="00C819AD" w:rsidRDefault="00F331B5" w:rsidP="00CE4DF6">
      <w:pPr>
        <w:rPr>
          <w:lang w:val="fr-FR"/>
        </w:rPr>
      </w:pPr>
    </w:p>
    <w:p w:rsidR="00F331B5" w:rsidRPr="00C819AD" w:rsidRDefault="00F331B5" w:rsidP="00CE4DF6">
      <w:pPr>
        <w:rPr>
          <w:lang w:val="fr-FR"/>
        </w:rPr>
      </w:pPr>
    </w:p>
    <w:p w:rsidR="00F331B5" w:rsidRPr="00C819AD" w:rsidRDefault="00AE6C72" w:rsidP="00CE4DF6">
      <w:pPr>
        <w:rPr>
          <w:b/>
          <w:sz w:val="24"/>
          <w:szCs w:val="24"/>
          <w:lang w:val="fr-FR"/>
        </w:rPr>
      </w:pPr>
      <w:r w:rsidRPr="00C819AD">
        <w:rPr>
          <w:b/>
          <w:sz w:val="24"/>
          <w:szCs w:val="24"/>
          <w:lang w:val="fr-FR"/>
        </w:rPr>
        <w:t>Quarante</w:t>
      </w:r>
      <w:r w:rsidR="00E4676F">
        <w:rPr>
          <w:b/>
          <w:sz w:val="24"/>
          <w:szCs w:val="24"/>
          <w:lang w:val="fr-FR"/>
        </w:rPr>
        <w:t>-</w:t>
      </w:r>
      <w:r w:rsidRPr="00C819AD">
        <w:rPr>
          <w:b/>
          <w:sz w:val="24"/>
          <w:szCs w:val="24"/>
          <w:lang w:val="fr-FR"/>
        </w:rPr>
        <w:t>huitième</w:t>
      </w:r>
      <w:r w:rsidR="00ED481F" w:rsidRPr="00C819AD">
        <w:rPr>
          <w:b/>
          <w:sz w:val="24"/>
          <w:szCs w:val="24"/>
          <w:lang w:val="fr-FR"/>
        </w:rPr>
        <w:t> </w:t>
      </w:r>
      <w:r w:rsidRPr="00C819AD">
        <w:rPr>
          <w:b/>
          <w:sz w:val="24"/>
          <w:szCs w:val="24"/>
          <w:lang w:val="fr-FR"/>
        </w:rPr>
        <w:t>session (28</w:t>
      </w:r>
      <w:r w:rsidRPr="00C819AD">
        <w:rPr>
          <w:b/>
          <w:sz w:val="24"/>
          <w:szCs w:val="24"/>
          <w:vertAlign w:val="superscript"/>
          <w:lang w:val="fr-FR"/>
        </w:rPr>
        <w:t>e</w:t>
      </w:r>
      <w:r w:rsidR="00E4676F">
        <w:rPr>
          <w:b/>
          <w:sz w:val="24"/>
          <w:szCs w:val="24"/>
          <w:lang w:val="fr-FR"/>
        </w:rPr>
        <w:t> </w:t>
      </w:r>
      <w:r w:rsidRPr="00C819AD">
        <w:rPr>
          <w:b/>
          <w:sz w:val="24"/>
          <w:szCs w:val="24"/>
          <w:lang w:val="fr-FR"/>
        </w:rPr>
        <w:t>session extraordinaire)</w:t>
      </w:r>
    </w:p>
    <w:p w:rsidR="00F331B5" w:rsidRPr="00C819AD" w:rsidRDefault="00AE6C72" w:rsidP="00CE4DF6">
      <w:pPr>
        <w:rPr>
          <w:b/>
          <w:sz w:val="24"/>
          <w:szCs w:val="24"/>
          <w:lang w:val="fr-FR"/>
        </w:rPr>
      </w:pPr>
      <w:r w:rsidRPr="00C819AD">
        <w:rPr>
          <w:b/>
          <w:sz w:val="24"/>
          <w:szCs w:val="24"/>
          <w:lang w:val="fr-FR"/>
        </w:rPr>
        <w:t>Genève, 3</w:t>
      </w:r>
      <w:r w:rsidR="00E4676F">
        <w:rPr>
          <w:b/>
          <w:sz w:val="24"/>
          <w:szCs w:val="24"/>
          <w:lang w:val="fr-FR"/>
        </w:rPr>
        <w:t xml:space="preserve"> –</w:t>
      </w:r>
      <w:r w:rsidRPr="00C819AD">
        <w:rPr>
          <w:b/>
          <w:sz w:val="24"/>
          <w:szCs w:val="24"/>
          <w:lang w:val="fr-FR"/>
        </w:rPr>
        <w:t xml:space="preserve"> 1</w:t>
      </w:r>
      <w:r w:rsidR="008571E5" w:rsidRPr="00C819AD">
        <w:rPr>
          <w:b/>
          <w:sz w:val="24"/>
          <w:szCs w:val="24"/>
          <w:lang w:val="fr-FR"/>
        </w:rPr>
        <w:t>1 octobre 20</w:t>
      </w:r>
      <w:r w:rsidRPr="00C819AD">
        <w:rPr>
          <w:b/>
          <w:sz w:val="24"/>
          <w:szCs w:val="24"/>
          <w:lang w:val="fr-FR"/>
        </w:rPr>
        <w:t>16</w:t>
      </w:r>
    </w:p>
    <w:p w:rsidR="00F331B5" w:rsidRPr="00C819AD" w:rsidRDefault="00F331B5" w:rsidP="00CE4DF6">
      <w:pPr>
        <w:rPr>
          <w:lang w:val="fr-FR"/>
        </w:rPr>
      </w:pPr>
    </w:p>
    <w:p w:rsidR="00F331B5" w:rsidRPr="00C819AD" w:rsidRDefault="00F331B5" w:rsidP="00CE4DF6">
      <w:pPr>
        <w:rPr>
          <w:lang w:val="fr-FR"/>
        </w:rPr>
      </w:pPr>
    </w:p>
    <w:p w:rsidR="00F331B5" w:rsidRPr="00C819AD" w:rsidRDefault="00F331B5" w:rsidP="00CE4DF6">
      <w:pPr>
        <w:rPr>
          <w:lang w:val="fr-FR"/>
        </w:rPr>
      </w:pPr>
    </w:p>
    <w:p w:rsidR="00F331B5" w:rsidRPr="00C819AD" w:rsidRDefault="002A7E54" w:rsidP="00CE4DF6">
      <w:pPr>
        <w:rPr>
          <w:caps/>
          <w:sz w:val="24"/>
          <w:lang w:val="fr-FR"/>
        </w:rPr>
      </w:pPr>
      <w:bookmarkStart w:id="4" w:name="TitleOfDoc"/>
      <w:bookmarkEnd w:id="4"/>
      <w:r>
        <w:rPr>
          <w:caps/>
          <w:sz w:val="24"/>
          <w:lang w:val="fr-FR"/>
        </w:rPr>
        <w:t>R</w:t>
      </w:r>
      <w:r w:rsidR="00AE6C72" w:rsidRPr="00C819AD">
        <w:rPr>
          <w:caps/>
          <w:sz w:val="24"/>
          <w:lang w:val="fr-FR"/>
        </w:rPr>
        <w:t>apport</w:t>
      </w:r>
    </w:p>
    <w:p w:rsidR="00F331B5" w:rsidRPr="00C819AD" w:rsidRDefault="00F331B5" w:rsidP="00CE4DF6">
      <w:pPr>
        <w:rPr>
          <w:lang w:val="fr-FR"/>
        </w:rPr>
      </w:pPr>
    </w:p>
    <w:p w:rsidR="00F331B5" w:rsidRPr="00C819AD" w:rsidRDefault="002A7E54" w:rsidP="00CE4DF6">
      <w:pPr>
        <w:rPr>
          <w:i/>
          <w:lang w:val="fr-FR"/>
        </w:rPr>
      </w:pPr>
      <w:bookmarkStart w:id="5" w:name="Prepared"/>
      <w:bookmarkEnd w:id="5"/>
      <w:proofErr w:type="gramStart"/>
      <w:r>
        <w:rPr>
          <w:i/>
          <w:lang w:val="fr-FR"/>
        </w:rPr>
        <w:t>adopt</w:t>
      </w:r>
      <w:r w:rsidR="00AE6C72" w:rsidRPr="00C819AD">
        <w:rPr>
          <w:i/>
          <w:lang w:val="fr-FR"/>
        </w:rPr>
        <w:t>é</w:t>
      </w:r>
      <w:proofErr w:type="gramEnd"/>
      <w:r w:rsidR="00AE6C72" w:rsidRPr="00C819AD">
        <w:rPr>
          <w:i/>
          <w:lang w:val="fr-FR"/>
        </w:rPr>
        <w:t xml:space="preserve"> par l</w:t>
      </w:r>
      <w:r>
        <w:rPr>
          <w:i/>
          <w:lang w:val="fr-FR"/>
        </w:rPr>
        <w:t>’assemblée</w:t>
      </w:r>
    </w:p>
    <w:p w:rsidR="00F331B5" w:rsidRPr="00C819AD" w:rsidRDefault="00F331B5" w:rsidP="00CE4DF6">
      <w:pPr>
        <w:rPr>
          <w:lang w:val="fr-FR"/>
        </w:rPr>
      </w:pPr>
    </w:p>
    <w:p w:rsidR="00F331B5" w:rsidRPr="00C819AD" w:rsidRDefault="00F331B5" w:rsidP="00CE4DF6">
      <w:pPr>
        <w:rPr>
          <w:lang w:val="fr-FR"/>
        </w:rPr>
      </w:pPr>
    </w:p>
    <w:p w:rsidR="00F331B5" w:rsidRPr="00C819AD" w:rsidRDefault="00F331B5" w:rsidP="00CE4DF6">
      <w:pPr>
        <w:rPr>
          <w:lang w:val="fr-FR"/>
        </w:rPr>
      </w:pPr>
    </w:p>
    <w:p w:rsidR="00F331B5" w:rsidRPr="00C819AD" w:rsidRDefault="00F331B5" w:rsidP="00CE4DF6">
      <w:pPr>
        <w:rPr>
          <w:lang w:val="fr-FR"/>
        </w:rPr>
      </w:pPr>
    </w:p>
    <w:p w:rsidR="00F331B5" w:rsidRPr="00C819AD" w:rsidRDefault="00F331B5" w:rsidP="00CE4DF6">
      <w:pPr>
        <w:pStyle w:val="ONUMFS"/>
        <w:rPr>
          <w:lang w:val="fr-FR"/>
        </w:rPr>
      </w:pPr>
      <w:r w:rsidRPr="00C819AD">
        <w:rPr>
          <w:lang w:val="fr-FR"/>
        </w:rPr>
        <w:t>L</w:t>
      </w:r>
      <w:r w:rsidR="00D76C92">
        <w:rPr>
          <w:lang w:val="fr-FR"/>
        </w:rPr>
        <w:t>’</w:t>
      </w:r>
      <w:r w:rsidRPr="00C819AD">
        <w:rPr>
          <w:lang w:val="fr-FR"/>
        </w:rPr>
        <w:t>assemblée avait à examiner les points suivants de l</w:t>
      </w:r>
      <w:r w:rsidR="00D76C92">
        <w:rPr>
          <w:lang w:val="fr-FR"/>
        </w:rPr>
        <w:t>’</w:t>
      </w:r>
      <w:r w:rsidR="00097292">
        <w:rPr>
          <w:lang w:val="fr-FR"/>
        </w:rPr>
        <w:t>ordre du jour unifié (document </w:t>
      </w:r>
      <w:r w:rsidRPr="00C819AD">
        <w:rPr>
          <w:lang w:val="fr-FR"/>
        </w:rPr>
        <w:t>A/56/1)</w:t>
      </w:r>
      <w:r w:rsidR="00ED481F" w:rsidRPr="00C819AD">
        <w:rPr>
          <w:lang w:val="fr-FR"/>
        </w:rPr>
        <w:t> </w:t>
      </w:r>
      <w:r w:rsidR="00E4676F">
        <w:rPr>
          <w:lang w:val="fr-FR"/>
        </w:rPr>
        <w:t>: 1, 3 à 6, 9, 10, 19, 30 et </w:t>
      </w:r>
      <w:r w:rsidRPr="00C819AD">
        <w:rPr>
          <w:lang w:val="fr-FR"/>
        </w:rPr>
        <w:t>31.</w:t>
      </w:r>
    </w:p>
    <w:p w:rsidR="00F331B5" w:rsidRPr="00C819AD" w:rsidRDefault="00F331B5" w:rsidP="00CE4DF6">
      <w:pPr>
        <w:pStyle w:val="ONUMFS"/>
        <w:rPr>
          <w:lang w:val="fr-FR"/>
        </w:rPr>
      </w:pPr>
      <w:r w:rsidRPr="00C819AD">
        <w:rPr>
          <w:lang w:val="fr-FR"/>
        </w:rPr>
        <w:t>Le rapport sur ces points, à l</w:t>
      </w:r>
      <w:r w:rsidR="00D76C92">
        <w:rPr>
          <w:lang w:val="fr-FR"/>
        </w:rPr>
        <w:t>’</w:t>
      </w:r>
      <w:r w:rsidRPr="00C819AD">
        <w:rPr>
          <w:lang w:val="fr-FR"/>
        </w:rPr>
        <w:t>exception du point 19, figure dans le rapport général (document A/56/17).</w:t>
      </w:r>
    </w:p>
    <w:p w:rsidR="00F331B5" w:rsidRPr="00C819AD" w:rsidRDefault="00F331B5" w:rsidP="00CE4DF6">
      <w:pPr>
        <w:pStyle w:val="ONUMFS"/>
        <w:rPr>
          <w:lang w:val="fr-FR"/>
        </w:rPr>
      </w:pPr>
      <w:r w:rsidRPr="00C819AD">
        <w:rPr>
          <w:lang w:val="fr-FR"/>
        </w:rPr>
        <w:t xml:space="preserve">Le rapport sur </w:t>
      </w:r>
      <w:proofErr w:type="gramStart"/>
      <w:r w:rsidRPr="00C819AD">
        <w:rPr>
          <w:lang w:val="fr-FR"/>
        </w:rPr>
        <w:t>le point</w:t>
      </w:r>
      <w:r w:rsidR="00ED481F" w:rsidRPr="00C819AD">
        <w:rPr>
          <w:lang w:val="fr-FR"/>
        </w:rPr>
        <w:t> </w:t>
      </w:r>
      <w:r w:rsidRPr="00C819AD">
        <w:rPr>
          <w:lang w:val="fr-FR"/>
        </w:rPr>
        <w:t>19 figure</w:t>
      </w:r>
      <w:proofErr w:type="gramEnd"/>
      <w:r w:rsidRPr="00C819AD">
        <w:rPr>
          <w:lang w:val="fr-FR"/>
        </w:rPr>
        <w:t xml:space="preserve"> dans le présent document.</w:t>
      </w:r>
    </w:p>
    <w:p w:rsidR="00F331B5" w:rsidRDefault="005E221F" w:rsidP="00CE4DF6">
      <w:pPr>
        <w:pStyle w:val="ONUMFS"/>
        <w:rPr>
          <w:lang w:val="fr-FR"/>
        </w:rPr>
      </w:pPr>
      <w:r w:rsidRPr="00C819AD">
        <w:rPr>
          <w:lang w:val="fr-FR"/>
        </w:rPr>
        <w:t>En l</w:t>
      </w:r>
      <w:r w:rsidR="00D76C92">
        <w:rPr>
          <w:lang w:val="fr-FR"/>
        </w:rPr>
        <w:t>’</w:t>
      </w:r>
      <w:r w:rsidRPr="00C819AD">
        <w:rPr>
          <w:lang w:val="fr-FR"/>
        </w:rPr>
        <w:t>absence de la présidente de l</w:t>
      </w:r>
      <w:r w:rsidR="00D76C92">
        <w:rPr>
          <w:lang w:val="fr-FR"/>
        </w:rPr>
        <w:t>’</w:t>
      </w:r>
      <w:r w:rsidRPr="00C819AD">
        <w:rPr>
          <w:lang w:val="fr-FR"/>
        </w:rPr>
        <w:t>Assemblée de l</w:t>
      </w:r>
      <w:r w:rsidR="00D76C92">
        <w:rPr>
          <w:lang w:val="fr-FR"/>
        </w:rPr>
        <w:t>’</w:t>
      </w:r>
      <w:r w:rsidRPr="00C819AD">
        <w:rPr>
          <w:lang w:val="fr-FR"/>
        </w:rPr>
        <w:t>Union du PCT</w:t>
      </w:r>
      <w:r w:rsidR="00C139FF" w:rsidRPr="00C819AD">
        <w:rPr>
          <w:lang w:val="fr-FR"/>
        </w:rPr>
        <w:t>, M</w:t>
      </w:r>
      <w:r w:rsidRPr="00C819AD">
        <w:rPr>
          <w:lang w:val="fr-FR"/>
        </w:rPr>
        <w:t>me</w:t>
      </w:r>
      <w:r w:rsidR="00ED481F" w:rsidRPr="00C819AD">
        <w:rPr>
          <w:lang w:val="fr-FR"/>
        </w:rPr>
        <w:t> </w:t>
      </w:r>
      <w:r w:rsidR="00C139FF" w:rsidRPr="00C819AD">
        <w:rPr>
          <w:lang w:val="fr-FR"/>
        </w:rPr>
        <w:t>Susanne</w:t>
      </w:r>
      <w:r w:rsidRPr="00C819AD">
        <w:rPr>
          <w:lang w:val="fr-FR"/>
        </w:rPr>
        <w:t> </w:t>
      </w:r>
      <w:proofErr w:type="spellStart"/>
      <w:r w:rsidR="00C139FF" w:rsidRPr="00C819AD">
        <w:rPr>
          <w:lang w:val="fr-FR"/>
        </w:rPr>
        <w:t>Ås</w:t>
      </w:r>
      <w:proofErr w:type="spellEnd"/>
      <w:r w:rsidRPr="00C819AD">
        <w:rPr>
          <w:lang w:val="fr-FR"/>
        </w:rPr>
        <w:t> </w:t>
      </w:r>
      <w:proofErr w:type="spellStart"/>
      <w:r w:rsidR="00C139FF" w:rsidRPr="00C819AD">
        <w:rPr>
          <w:lang w:val="fr-FR"/>
        </w:rPr>
        <w:t>Sivborg</w:t>
      </w:r>
      <w:proofErr w:type="spellEnd"/>
      <w:r w:rsidR="00C139FF" w:rsidRPr="00C819AD">
        <w:rPr>
          <w:lang w:val="fr-FR"/>
        </w:rPr>
        <w:t xml:space="preserve"> (</w:t>
      </w:r>
      <w:r w:rsidRPr="00C819AD">
        <w:rPr>
          <w:lang w:val="fr-FR"/>
        </w:rPr>
        <w:t>Suède</w:t>
      </w:r>
      <w:r w:rsidR="00C139FF" w:rsidRPr="00C819AD">
        <w:rPr>
          <w:lang w:val="fr-FR"/>
        </w:rPr>
        <w:t xml:space="preserve">), </w:t>
      </w:r>
      <w:r w:rsidRPr="00C819AD">
        <w:rPr>
          <w:lang w:val="fr-FR"/>
        </w:rPr>
        <w:t>la session de l</w:t>
      </w:r>
      <w:r w:rsidR="00D76C92">
        <w:rPr>
          <w:lang w:val="fr-FR"/>
        </w:rPr>
        <w:t>’</w:t>
      </w:r>
      <w:r w:rsidRPr="00C819AD">
        <w:rPr>
          <w:lang w:val="fr-FR"/>
        </w:rPr>
        <w:t>assemblée a été présidée par</w:t>
      </w:r>
      <w:r w:rsidR="002C5DE3" w:rsidRPr="00C819AD">
        <w:rPr>
          <w:lang w:val="fr-FR"/>
        </w:rPr>
        <w:t xml:space="preserve"> </w:t>
      </w:r>
      <w:r w:rsidRPr="00C819AD">
        <w:rPr>
          <w:lang w:val="fr-FR"/>
        </w:rPr>
        <w:t>M</w:t>
      </w:r>
      <w:r w:rsidR="00E613E0" w:rsidRPr="00C819AD">
        <w:rPr>
          <w:lang w:val="fr-FR"/>
        </w:rPr>
        <w:t>.</w:t>
      </w:r>
      <w:r w:rsidR="00ED481F" w:rsidRPr="00C819AD">
        <w:rPr>
          <w:lang w:val="fr-FR"/>
        </w:rPr>
        <w:t> </w:t>
      </w:r>
      <w:proofErr w:type="spellStart"/>
      <w:r w:rsidR="00E613E0" w:rsidRPr="00C819AD">
        <w:rPr>
          <w:lang w:val="fr-FR"/>
        </w:rPr>
        <w:t>Sandris</w:t>
      </w:r>
      <w:proofErr w:type="spellEnd"/>
      <w:r w:rsidRPr="00C819AD">
        <w:rPr>
          <w:lang w:val="fr-FR"/>
        </w:rPr>
        <w:t> </w:t>
      </w:r>
      <w:proofErr w:type="spellStart"/>
      <w:r w:rsidR="00E613E0" w:rsidRPr="00C819AD">
        <w:rPr>
          <w:lang w:val="fr-FR"/>
        </w:rPr>
        <w:t>Laganovskis</w:t>
      </w:r>
      <w:proofErr w:type="spellEnd"/>
      <w:r w:rsidR="00E613E0" w:rsidRPr="00C819AD">
        <w:rPr>
          <w:lang w:val="fr-FR"/>
        </w:rPr>
        <w:t xml:space="preserve"> (</w:t>
      </w:r>
      <w:r w:rsidRPr="00C819AD">
        <w:rPr>
          <w:lang w:val="fr-FR"/>
        </w:rPr>
        <w:t>Lettonie</w:t>
      </w:r>
      <w:r w:rsidR="00E613E0" w:rsidRPr="00C819AD">
        <w:rPr>
          <w:lang w:val="fr-FR"/>
        </w:rPr>
        <w:t xml:space="preserve">), </w:t>
      </w:r>
      <w:r w:rsidRPr="00C819AD">
        <w:rPr>
          <w:lang w:val="fr-FR"/>
        </w:rPr>
        <w:t>vice</w:t>
      </w:r>
      <w:r w:rsidR="00E4676F">
        <w:rPr>
          <w:lang w:val="fr-FR"/>
        </w:rPr>
        <w:noBreakHyphen/>
      </w:r>
      <w:r w:rsidRPr="00C819AD">
        <w:rPr>
          <w:lang w:val="fr-FR"/>
        </w:rPr>
        <w:t>président de l</w:t>
      </w:r>
      <w:r w:rsidR="00D76C92">
        <w:rPr>
          <w:lang w:val="fr-FR"/>
        </w:rPr>
        <w:t>’</w:t>
      </w:r>
      <w:r w:rsidRPr="00C819AD">
        <w:rPr>
          <w:lang w:val="fr-FR"/>
        </w:rPr>
        <w:t>Assemblée de l</w:t>
      </w:r>
      <w:r w:rsidR="00D76C92">
        <w:rPr>
          <w:lang w:val="fr-FR"/>
        </w:rPr>
        <w:t>’</w:t>
      </w:r>
      <w:r w:rsidRPr="00C819AD">
        <w:rPr>
          <w:lang w:val="fr-FR"/>
        </w:rPr>
        <w:t>Union du PCT</w:t>
      </w:r>
      <w:r w:rsidR="00E613E0" w:rsidRPr="00C819AD">
        <w:rPr>
          <w:lang w:val="fr-FR"/>
        </w:rPr>
        <w:t>.</w:t>
      </w:r>
    </w:p>
    <w:p w:rsidR="00A57AE4" w:rsidRDefault="00FE1894" w:rsidP="00FE1894">
      <w:pPr>
        <w:pStyle w:val="ONUMFS"/>
        <w:rPr>
          <w:lang w:val="fr-FR"/>
        </w:rPr>
      </w:pPr>
      <w:r w:rsidRPr="00FE1894">
        <w:rPr>
          <w:color w:val="000000"/>
          <w:lang w:val="fr-FR"/>
        </w:rPr>
        <w:t xml:space="preserve">Le président a souhaité la bienvenue à toutes les délégations, en particulier aux trois États contractants qui </w:t>
      </w:r>
      <w:r w:rsidR="00867252">
        <w:rPr>
          <w:color w:val="000000"/>
          <w:lang w:val="fr-FR"/>
        </w:rPr>
        <w:t>avaie</w:t>
      </w:r>
      <w:r w:rsidRPr="00FE1894">
        <w:rPr>
          <w:color w:val="000000"/>
          <w:lang w:val="fr-FR"/>
        </w:rPr>
        <w:t>nt adhéré au PCT depuis la précédente session de l’Assemblée de l’Union du PCT en octobre 2015, à savoir le Cambodge, Djibouti et le Koweït.</w:t>
      </w:r>
    </w:p>
    <w:p w:rsidR="00F331B5" w:rsidRPr="00C819AD" w:rsidRDefault="00F331B5" w:rsidP="00CE4DF6">
      <w:pPr>
        <w:pStyle w:val="Heading1"/>
        <w:rPr>
          <w:lang w:val="fr-FR"/>
        </w:rPr>
      </w:pPr>
      <w:r w:rsidRPr="00C819AD">
        <w:rPr>
          <w:lang w:val="fr-FR"/>
        </w:rPr>
        <w:t>Rapport sur le Groupe de travail du PCT</w:t>
      </w:r>
    </w:p>
    <w:p w:rsidR="00F331B5" w:rsidRPr="00C819AD" w:rsidRDefault="00F331B5" w:rsidP="00CE4DF6">
      <w:pPr>
        <w:rPr>
          <w:lang w:val="fr-FR"/>
        </w:rPr>
      </w:pPr>
    </w:p>
    <w:p w:rsidR="00F331B5" w:rsidRPr="00C819AD" w:rsidRDefault="00F331B5" w:rsidP="00CE4DF6">
      <w:pPr>
        <w:pStyle w:val="ONUMFS"/>
        <w:rPr>
          <w:lang w:val="fr-FR"/>
        </w:rPr>
      </w:pPr>
      <w:r w:rsidRPr="00C819AD">
        <w:rPr>
          <w:lang w:val="fr-FR"/>
        </w:rPr>
        <w:t>Les délibérations ont eu lieu sur la base du document PCT/A/48/1.</w:t>
      </w:r>
    </w:p>
    <w:p w:rsidR="0091040F" w:rsidRPr="00C819AD" w:rsidRDefault="00F331B5" w:rsidP="00CE4DF6">
      <w:pPr>
        <w:pStyle w:val="ONUMFS"/>
        <w:rPr>
          <w:lang w:val="fr-FR"/>
        </w:rPr>
      </w:pPr>
      <w:r w:rsidRPr="00C819AD">
        <w:rPr>
          <w:lang w:val="fr-FR"/>
        </w:rPr>
        <w:t>Le Secrétariat a présenté le document, qui contenait un rapport sur la neuvième session du Groupe de travail du </w:t>
      </w:r>
      <w:r w:rsidR="003008DF" w:rsidRPr="00C819AD">
        <w:rPr>
          <w:lang w:val="fr-FR"/>
        </w:rPr>
        <w:t>PCT</w:t>
      </w:r>
      <w:r w:rsidR="003008DF">
        <w:rPr>
          <w:lang w:val="fr-FR"/>
        </w:rPr>
        <w:t xml:space="preserve">.  </w:t>
      </w:r>
      <w:r w:rsidR="003008DF" w:rsidRPr="00C819AD">
        <w:rPr>
          <w:lang w:val="fr-FR"/>
        </w:rPr>
        <w:t>Le</w:t>
      </w:r>
      <w:r w:rsidR="004C71F5" w:rsidRPr="00C819AD">
        <w:rPr>
          <w:lang w:val="fr-FR"/>
        </w:rPr>
        <w:t xml:space="preserve"> programme de cette session était chargé, avec 32</w:t>
      </w:r>
      <w:r w:rsidR="00E43A67" w:rsidRPr="00C819AD">
        <w:rPr>
          <w:lang w:val="fr-FR"/>
        </w:rPr>
        <w:t> </w:t>
      </w:r>
      <w:r w:rsidR="004C71F5" w:rsidRPr="00C819AD">
        <w:rPr>
          <w:lang w:val="fr-FR"/>
        </w:rPr>
        <w:t xml:space="preserve">points </w:t>
      </w:r>
      <w:r w:rsidR="004C71F5" w:rsidRPr="00C819AD">
        <w:rPr>
          <w:lang w:val="fr-FR"/>
        </w:rPr>
        <w:lastRenderedPageBreak/>
        <w:t>inscrits à l</w:t>
      </w:r>
      <w:r w:rsidR="00D76C92">
        <w:rPr>
          <w:lang w:val="fr-FR"/>
        </w:rPr>
        <w:t>’</w:t>
      </w:r>
      <w:r w:rsidR="004C71F5" w:rsidRPr="00C819AD">
        <w:rPr>
          <w:lang w:val="fr-FR"/>
        </w:rPr>
        <w:t>ordre du jour et 26</w:t>
      </w:r>
      <w:r w:rsidR="00E43A67" w:rsidRPr="00C819AD">
        <w:rPr>
          <w:lang w:val="fr-FR"/>
        </w:rPr>
        <w:t> </w:t>
      </w:r>
      <w:r w:rsidR="004C71F5" w:rsidRPr="00C819AD">
        <w:rPr>
          <w:lang w:val="fr-FR"/>
        </w:rPr>
        <w:t>documents de travail à examin</w:t>
      </w:r>
      <w:r w:rsidR="003008DF" w:rsidRPr="00C819AD">
        <w:rPr>
          <w:lang w:val="fr-FR"/>
        </w:rPr>
        <w:t>er</w:t>
      </w:r>
      <w:r w:rsidR="003008DF">
        <w:rPr>
          <w:lang w:val="fr-FR"/>
        </w:rPr>
        <w:t xml:space="preserve">.  </w:t>
      </w:r>
      <w:r w:rsidR="003008DF" w:rsidRPr="00C819AD">
        <w:rPr>
          <w:lang w:val="fr-FR"/>
        </w:rPr>
        <w:t>Ce</w:t>
      </w:r>
      <w:r w:rsidR="0091040F" w:rsidRPr="00C819AD">
        <w:rPr>
          <w:lang w:val="fr-FR"/>
        </w:rPr>
        <w:t>la confirmait l</w:t>
      </w:r>
      <w:r w:rsidR="00D76C92">
        <w:rPr>
          <w:lang w:val="fr-FR"/>
        </w:rPr>
        <w:t>’</w:t>
      </w:r>
      <w:r w:rsidR="0091040F" w:rsidRPr="00C819AD">
        <w:rPr>
          <w:lang w:val="fr-FR"/>
        </w:rPr>
        <w:t xml:space="preserve">intérêt majeur suscité par la poursuite du développement du système du PCT, qui constituait </w:t>
      </w:r>
      <w:r w:rsidR="00A16A63" w:rsidRPr="00C819AD">
        <w:rPr>
          <w:lang w:val="fr-FR"/>
        </w:rPr>
        <w:t>une</w:t>
      </w:r>
      <w:r w:rsidR="0091040F" w:rsidRPr="00C819AD">
        <w:rPr>
          <w:lang w:val="fr-FR"/>
        </w:rPr>
        <w:t xml:space="preserve"> pierre angulaire du système international des breve</w:t>
      </w:r>
      <w:r w:rsidR="003008DF" w:rsidRPr="00C819AD">
        <w:rPr>
          <w:lang w:val="fr-FR"/>
        </w:rPr>
        <w:t>ts</w:t>
      </w:r>
      <w:r w:rsidR="003008DF">
        <w:rPr>
          <w:lang w:val="fr-FR"/>
        </w:rPr>
        <w:t xml:space="preserve">.  </w:t>
      </w:r>
      <w:r w:rsidR="003008DF" w:rsidRPr="00C819AD">
        <w:rPr>
          <w:lang w:val="fr-FR"/>
        </w:rPr>
        <w:t>Un</w:t>
      </w:r>
      <w:r w:rsidR="0091040F" w:rsidRPr="00C819AD">
        <w:rPr>
          <w:lang w:val="fr-FR"/>
        </w:rPr>
        <w:t xml:space="preserve"> document de travail distinct </w:t>
      </w:r>
      <w:r w:rsidR="00DF5DB7" w:rsidRPr="00C819AD">
        <w:rPr>
          <w:lang w:val="fr-FR"/>
        </w:rPr>
        <w:t>(</w:t>
      </w:r>
      <w:r w:rsidR="008571E5" w:rsidRPr="00C819AD">
        <w:rPr>
          <w:lang w:val="fr-FR"/>
        </w:rPr>
        <w:t>document PC</w:t>
      </w:r>
      <w:r w:rsidR="00B61FDE" w:rsidRPr="00C819AD">
        <w:rPr>
          <w:lang w:val="fr-FR"/>
        </w:rPr>
        <w:t xml:space="preserve">T/A/48/3) </w:t>
      </w:r>
      <w:r w:rsidR="0091040F" w:rsidRPr="00C819AD">
        <w:rPr>
          <w:lang w:val="fr-FR"/>
        </w:rPr>
        <w:t>apportant des changements au règlement d</w:t>
      </w:r>
      <w:r w:rsidR="00D76C92">
        <w:rPr>
          <w:lang w:val="fr-FR"/>
        </w:rPr>
        <w:t>’</w:t>
      </w:r>
      <w:r w:rsidR="0091040F" w:rsidRPr="00C819AD">
        <w:rPr>
          <w:lang w:val="fr-FR"/>
        </w:rPr>
        <w:t>exécution du PCT, approuvé par le groupe de travail, avait été</w:t>
      </w:r>
      <w:r w:rsidR="0097184C" w:rsidRPr="00C819AD">
        <w:rPr>
          <w:lang w:val="fr-FR"/>
        </w:rPr>
        <w:t xml:space="preserve"> </w:t>
      </w:r>
      <w:r w:rsidR="0091040F" w:rsidRPr="00C819AD">
        <w:rPr>
          <w:lang w:val="fr-FR"/>
        </w:rPr>
        <w:t>soumis à la présente assemblée</w:t>
      </w:r>
      <w:r w:rsidR="00B61FDE" w:rsidRPr="00C819AD">
        <w:rPr>
          <w:lang w:val="fr-FR"/>
        </w:rPr>
        <w:t xml:space="preserve"> </w:t>
      </w:r>
      <w:r w:rsidR="0091040F" w:rsidRPr="00C819AD">
        <w:rPr>
          <w:lang w:val="fr-FR"/>
        </w:rPr>
        <w:t>pour</w:t>
      </w:r>
      <w:r w:rsidR="00B61FDE" w:rsidRPr="00C819AD">
        <w:rPr>
          <w:lang w:val="fr-FR"/>
        </w:rPr>
        <w:t xml:space="preserve"> d</w:t>
      </w:r>
      <w:r w:rsidR="0091040F" w:rsidRPr="00C819AD">
        <w:rPr>
          <w:lang w:val="fr-FR"/>
        </w:rPr>
        <w:t>é</w:t>
      </w:r>
      <w:r w:rsidR="00B61FDE" w:rsidRPr="00C819AD">
        <w:rPr>
          <w:lang w:val="fr-FR"/>
        </w:rPr>
        <w:t>cisi</w:t>
      </w:r>
      <w:r w:rsidR="003008DF" w:rsidRPr="00C819AD">
        <w:rPr>
          <w:lang w:val="fr-FR"/>
        </w:rPr>
        <w:t>on</w:t>
      </w:r>
      <w:r w:rsidR="003008DF">
        <w:rPr>
          <w:lang w:val="fr-FR"/>
        </w:rPr>
        <w:t xml:space="preserve">.  </w:t>
      </w:r>
      <w:r w:rsidR="003008DF" w:rsidRPr="00C819AD">
        <w:rPr>
          <w:lang w:val="fr-FR"/>
        </w:rPr>
        <w:t>Le</w:t>
      </w:r>
      <w:r w:rsidR="0091040F" w:rsidRPr="00C819AD">
        <w:rPr>
          <w:lang w:val="fr-FR"/>
        </w:rPr>
        <w:t xml:space="preserve"> résumé présenté par le président, faisant l</w:t>
      </w:r>
      <w:r w:rsidR="00D76C92">
        <w:rPr>
          <w:lang w:val="fr-FR"/>
        </w:rPr>
        <w:t>’</w:t>
      </w:r>
      <w:r w:rsidR="0091040F" w:rsidRPr="00C819AD">
        <w:rPr>
          <w:lang w:val="fr-FR"/>
        </w:rPr>
        <w:t>objet de l</w:t>
      </w:r>
      <w:r w:rsidR="00D76C92">
        <w:rPr>
          <w:lang w:val="fr-FR"/>
        </w:rPr>
        <w:t>’</w:t>
      </w:r>
      <w:r w:rsidR="0091040F" w:rsidRPr="00C819AD">
        <w:rPr>
          <w:lang w:val="fr-FR"/>
        </w:rPr>
        <w:t>annexe de ce document, contenait une synthèse des questions examinées au cours de la session</w:t>
      </w:r>
      <w:r w:rsidR="0097184C" w:rsidRPr="00C819AD">
        <w:rPr>
          <w:lang w:val="fr-FR"/>
        </w:rPr>
        <w:t>.</w:t>
      </w:r>
    </w:p>
    <w:p w:rsidR="00554540" w:rsidRPr="00C819AD" w:rsidRDefault="0091040F" w:rsidP="00CE4DF6">
      <w:pPr>
        <w:pStyle w:val="ONUMFS"/>
        <w:rPr>
          <w:lang w:val="fr-FR"/>
        </w:rPr>
      </w:pPr>
      <w:r w:rsidRPr="00C819AD">
        <w:rPr>
          <w:lang w:val="fr-FR"/>
        </w:rPr>
        <w:t>La</w:t>
      </w:r>
      <w:r w:rsidR="002C5DE3" w:rsidRPr="00C819AD">
        <w:rPr>
          <w:lang w:val="fr-FR"/>
        </w:rPr>
        <w:t xml:space="preserve"> </w:t>
      </w:r>
      <w:r w:rsidR="00554540" w:rsidRPr="00C819AD">
        <w:rPr>
          <w:lang w:val="fr-FR"/>
        </w:rPr>
        <w:t>délé</w:t>
      </w:r>
      <w:r w:rsidR="00F80CFF" w:rsidRPr="00C819AD">
        <w:rPr>
          <w:lang w:val="fr-FR"/>
        </w:rPr>
        <w:t xml:space="preserve">gation </w:t>
      </w:r>
      <w:r w:rsidR="00554540" w:rsidRPr="00C819AD">
        <w:rPr>
          <w:lang w:val="fr-FR"/>
        </w:rPr>
        <w:t>du Chili, parlant au nom du groupe des pays d</w:t>
      </w:r>
      <w:r w:rsidR="00D76C92">
        <w:rPr>
          <w:lang w:val="fr-FR"/>
        </w:rPr>
        <w:t>’</w:t>
      </w:r>
      <w:r w:rsidR="00554540" w:rsidRPr="00C819AD">
        <w:rPr>
          <w:lang w:val="fr-FR"/>
        </w:rPr>
        <w:t>Amérique latine et des Caraïbes (GRULAC), a fait savoir qu</w:t>
      </w:r>
      <w:r w:rsidR="00D76C92">
        <w:rPr>
          <w:lang w:val="fr-FR"/>
        </w:rPr>
        <w:t>’</w:t>
      </w:r>
      <w:r w:rsidR="00554540" w:rsidRPr="00C819AD">
        <w:rPr>
          <w:lang w:val="fr-FR"/>
        </w:rPr>
        <w:t>elle appréciait et qu</w:t>
      </w:r>
      <w:r w:rsidR="00D76C92">
        <w:rPr>
          <w:lang w:val="fr-FR"/>
        </w:rPr>
        <w:t>’</w:t>
      </w:r>
      <w:r w:rsidR="00554540" w:rsidRPr="00C819AD">
        <w:rPr>
          <w:lang w:val="fr-FR"/>
        </w:rPr>
        <w:t xml:space="preserve">elle </w:t>
      </w:r>
      <w:r w:rsidR="004133DC" w:rsidRPr="00C819AD">
        <w:rPr>
          <w:lang w:val="fr-FR"/>
        </w:rPr>
        <w:t>appuy</w:t>
      </w:r>
      <w:r w:rsidR="00554540" w:rsidRPr="00C819AD">
        <w:rPr>
          <w:lang w:val="fr-FR"/>
        </w:rPr>
        <w:t>ait la proposition du Brésil énoncée dans le document PCT/WG/9/25</w:t>
      </w:r>
      <w:r w:rsidR="004133DC" w:rsidRPr="00C819AD">
        <w:rPr>
          <w:lang w:val="fr-FR"/>
        </w:rPr>
        <w:t>,</w:t>
      </w:r>
      <w:r w:rsidR="00554540" w:rsidRPr="00C819AD">
        <w:rPr>
          <w:lang w:val="fr-FR"/>
        </w:rPr>
        <w:t xml:space="preserve"> en faveur d</w:t>
      </w:r>
      <w:r w:rsidR="00D76C92">
        <w:rPr>
          <w:lang w:val="fr-FR"/>
        </w:rPr>
        <w:t>’</w:t>
      </w:r>
      <w:r w:rsidR="00554540" w:rsidRPr="00C819AD">
        <w:rPr>
          <w:lang w:val="fr-FR"/>
        </w:rPr>
        <w:t>une réduction des taxes pour les universités et les établissements de recherche publics des pays en développeme</w:t>
      </w:r>
      <w:r w:rsidR="003008DF" w:rsidRPr="00C819AD">
        <w:rPr>
          <w:lang w:val="fr-FR"/>
        </w:rPr>
        <w:t>nt</w:t>
      </w:r>
      <w:r w:rsidR="003008DF">
        <w:rPr>
          <w:lang w:val="fr-FR"/>
        </w:rPr>
        <w:t xml:space="preserve">.  </w:t>
      </w:r>
      <w:r w:rsidR="003008DF" w:rsidRPr="00C819AD">
        <w:rPr>
          <w:lang w:val="fr-FR"/>
        </w:rPr>
        <w:t>Le</w:t>
      </w:r>
      <w:r w:rsidR="00C84184" w:rsidRPr="00C819AD">
        <w:rPr>
          <w:lang w:val="fr-FR"/>
        </w:rPr>
        <w:t> GRU</w:t>
      </w:r>
      <w:r w:rsidR="00554540" w:rsidRPr="00C819AD">
        <w:rPr>
          <w:lang w:val="fr-FR"/>
        </w:rPr>
        <w:t>LAC espérait que les études demandées par le Secrétariat seraient réalisées au plus vite en vue de poursuivre l</w:t>
      </w:r>
      <w:r w:rsidR="00D76C92">
        <w:rPr>
          <w:lang w:val="fr-FR"/>
        </w:rPr>
        <w:t>’</w:t>
      </w:r>
      <w:r w:rsidR="00554540" w:rsidRPr="00C819AD">
        <w:rPr>
          <w:lang w:val="fr-FR"/>
        </w:rPr>
        <w:t xml:space="preserve">analyse et de </w:t>
      </w:r>
      <w:r w:rsidR="003F2628" w:rsidRPr="00C819AD">
        <w:rPr>
          <w:lang w:val="fr-FR"/>
        </w:rPr>
        <w:t>prendre rapidement une décision à ce suj</w:t>
      </w:r>
      <w:r w:rsidR="003008DF" w:rsidRPr="00C819AD">
        <w:rPr>
          <w:lang w:val="fr-FR"/>
        </w:rPr>
        <w:t>et</w:t>
      </w:r>
      <w:r w:rsidR="003008DF">
        <w:rPr>
          <w:lang w:val="fr-FR"/>
        </w:rPr>
        <w:t xml:space="preserve">.  </w:t>
      </w:r>
      <w:r w:rsidR="003008DF" w:rsidRPr="00C819AD">
        <w:rPr>
          <w:lang w:val="fr-FR"/>
        </w:rPr>
        <w:t>Il</w:t>
      </w:r>
      <w:r w:rsidR="003F2628" w:rsidRPr="00C819AD">
        <w:rPr>
          <w:lang w:val="fr-FR"/>
        </w:rPr>
        <w:t xml:space="preserve"> a aussi </w:t>
      </w:r>
      <w:r w:rsidR="004133DC" w:rsidRPr="00C819AD">
        <w:rPr>
          <w:lang w:val="fr-FR"/>
        </w:rPr>
        <w:t>salué le</w:t>
      </w:r>
      <w:r w:rsidR="003F2628" w:rsidRPr="00C819AD">
        <w:rPr>
          <w:lang w:val="fr-FR"/>
        </w:rPr>
        <w:t xml:space="preserve"> fait que le Groupe de travail du PCT </w:t>
      </w:r>
      <w:r w:rsidR="001C0AC5" w:rsidRPr="00C819AD">
        <w:rPr>
          <w:lang w:val="fr-FR"/>
        </w:rPr>
        <w:t>so</w:t>
      </w:r>
      <w:r w:rsidR="003F2628" w:rsidRPr="00C819AD">
        <w:rPr>
          <w:lang w:val="fr-FR"/>
        </w:rPr>
        <w:t>it présidé par un délégué de l</w:t>
      </w:r>
      <w:r w:rsidR="00D76C92">
        <w:rPr>
          <w:lang w:val="fr-FR"/>
        </w:rPr>
        <w:t>’</w:t>
      </w:r>
      <w:r w:rsidR="003F2628" w:rsidRPr="00C819AD">
        <w:rPr>
          <w:lang w:val="fr-FR"/>
        </w:rPr>
        <w:t>un de ses pays membres.</w:t>
      </w:r>
    </w:p>
    <w:p w:rsidR="003F2628" w:rsidRPr="00C819AD" w:rsidRDefault="003F2628" w:rsidP="00CE4DF6">
      <w:pPr>
        <w:pStyle w:val="ONUMFS"/>
        <w:rPr>
          <w:lang w:val="fr-FR"/>
        </w:rPr>
      </w:pPr>
      <w:r w:rsidRPr="00C819AD">
        <w:rPr>
          <w:lang w:val="fr-FR"/>
        </w:rPr>
        <w:t xml:space="preserve">La délégation de la Chine </w:t>
      </w:r>
      <w:r w:rsidR="00990320" w:rsidRPr="00C819AD">
        <w:rPr>
          <w:lang w:val="fr-FR"/>
        </w:rPr>
        <w:t>était favorable à</w:t>
      </w:r>
      <w:r w:rsidRPr="00C819AD">
        <w:rPr>
          <w:lang w:val="fr-FR"/>
        </w:rPr>
        <w:t xml:space="preserve"> l</w:t>
      </w:r>
      <w:r w:rsidR="00D76C92">
        <w:rPr>
          <w:lang w:val="fr-FR"/>
        </w:rPr>
        <w:t>’</w:t>
      </w:r>
      <w:r w:rsidRPr="00C819AD">
        <w:rPr>
          <w:lang w:val="fr-FR"/>
        </w:rPr>
        <w:t>amélioration des critères pour la réduction des taxes liées</w:t>
      </w:r>
      <w:r w:rsidR="00C84184" w:rsidRPr="00C819AD">
        <w:rPr>
          <w:lang w:val="fr-FR"/>
        </w:rPr>
        <w:t xml:space="preserve"> au PCT</w:t>
      </w:r>
      <w:r w:rsidRPr="00C819AD">
        <w:rPr>
          <w:lang w:val="fr-FR"/>
        </w:rPr>
        <w:t xml:space="preserve"> en vue de stimuler les dépôts de </w:t>
      </w:r>
      <w:r w:rsidR="006556C0" w:rsidRPr="00C819AD">
        <w:rPr>
          <w:lang w:val="fr-FR"/>
        </w:rPr>
        <w:t>demandes de brevet</w:t>
      </w:r>
      <w:r w:rsidRPr="00C819AD">
        <w:rPr>
          <w:lang w:val="fr-FR"/>
        </w:rPr>
        <w:t xml:space="preserve"> dans certains pays, notamment dans les pays en développement et les pays les moins avancés (PMA). </w:t>
      </w:r>
      <w:r w:rsidR="006B4CC2" w:rsidRPr="00C819AD">
        <w:rPr>
          <w:lang w:val="fr-FR"/>
        </w:rPr>
        <w:t xml:space="preserve"> </w:t>
      </w:r>
      <w:r w:rsidRPr="00C819AD">
        <w:rPr>
          <w:lang w:val="fr-FR"/>
        </w:rPr>
        <w:t xml:space="preserve">La proposition du Brésil, contenue dans le document PCT/WG/9/25, constituerait un premier pas </w:t>
      </w:r>
      <w:r w:rsidR="001C0AC5" w:rsidRPr="00C819AD">
        <w:rPr>
          <w:lang w:val="fr-FR"/>
        </w:rPr>
        <w:t>pour</w:t>
      </w:r>
      <w:r w:rsidR="007956CB" w:rsidRPr="00C819AD">
        <w:rPr>
          <w:lang w:val="fr-FR"/>
        </w:rPr>
        <w:t xml:space="preserve"> facilit</w:t>
      </w:r>
      <w:r w:rsidR="001C0AC5" w:rsidRPr="00C819AD">
        <w:rPr>
          <w:lang w:val="fr-FR"/>
        </w:rPr>
        <w:t>er l</w:t>
      </w:r>
      <w:r w:rsidR="007956CB" w:rsidRPr="00C819AD">
        <w:rPr>
          <w:lang w:val="fr-FR"/>
        </w:rPr>
        <w:t xml:space="preserve">es dépôts de </w:t>
      </w:r>
      <w:r w:rsidR="006556C0" w:rsidRPr="00C819AD">
        <w:rPr>
          <w:lang w:val="fr-FR"/>
        </w:rPr>
        <w:t xml:space="preserve">demandes de brevet </w:t>
      </w:r>
      <w:r w:rsidR="007956CB" w:rsidRPr="00C819AD">
        <w:rPr>
          <w:lang w:val="fr-FR"/>
        </w:rPr>
        <w:t>par les universités et les établissements de recherche publics dans ces pa</w:t>
      </w:r>
      <w:r w:rsidR="003008DF" w:rsidRPr="00C819AD">
        <w:rPr>
          <w:lang w:val="fr-FR"/>
        </w:rPr>
        <w:t>ys</w:t>
      </w:r>
      <w:r w:rsidR="003008DF">
        <w:rPr>
          <w:lang w:val="fr-FR"/>
        </w:rPr>
        <w:t xml:space="preserve">.  </w:t>
      </w:r>
      <w:r w:rsidR="003008DF" w:rsidRPr="00C819AD">
        <w:rPr>
          <w:lang w:val="fr-FR"/>
        </w:rPr>
        <w:t>La</w:t>
      </w:r>
      <w:r w:rsidR="007956CB" w:rsidRPr="00C819AD">
        <w:rPr>
          <w:lang w:val="fr-FR"/>
        </w:rPr>
        <w:t xml:space="preserve"> délégation était persuadée qu</w:t>
      </w:r>
      <w:r w:rsidR="00D76C92">
        <w:rPr>
          <w:lang w:val="fr-FR"/>
        </w:rPr>
        <w:t>’</w:t>
      </w:r>
      <w:r w:rsidR="007956CB" w:rsidRPr="00C819AD">
        <w:rPr>
          <w:lang w:val="fr-FR"/>
        </w:rPr>
        <w:t>une réduction des taxes encouragerait les déposants de tous les pays à utiliser le système</w:t>
      </w:r>
      <w:r w:rsidR="00C84184" w:rsidRPr="00C819AD">
        <w:rPr>
          <w:lang w:val="fr-FR"/>
        </w:rPr>
        <w:t xml:space="preserve"> du PCT</w:t>
      </w:r>
      <w:r w:rsidR="007956CB" w:rsidRPr="00C819AD">
        <w:rPr>
          <w:lang w:val="fr-FR"/>
        </w:rPr>
        <w:t>, favorisant ainsi une croissance durable du nombre de demand</w:t>
      </w:r>
      <w:r w:rsidR="003008DF" w:rsidRPr="00C819AD">
        <w:rPr>
          <w:lang w:val="fr-FR"/>
        </w:rPr>
        <w:t>es</w:t>
      </w:r>
      <w:r w:rsidR="003008DF">
        <w:rPr>
          <w:lang w:val="fr-FR"/>
        </w:rPr>
        <w:t xml:space="preserve">.  </w:t>
      </w:r>
      <w:r w:rsidR="003008DF" w:rsidRPr="00C819AD">
        <w:rPr>
          <w:lang w:val="fr-FR"/>
        </w:rPr>
        <w:t>Ce</w:t>
      </w:r>
      <w:r w:rsidR="007956CB" w:rsidRPr="00C819AD">
        <w:rPr>
          <w:lang w:val="fr-FR"/>
        </w:rPr>
        <w:t>la serait bénéfique aussi bien aux parties contractantes qu</w:t>
      </w:r>
      <w:r w:rsidR="00D76C92">
        <w:rPr>
          <w:lang w:val="fr-FR"/>
        </w:rPr>
        <w:t>’</w:t>
      </w:r>
      <w:r w:rsidR="007956CB" w:rsidRPr="00C819AD">
        <w:rPr>
          <w:lang w:val="fr-FR"/>
        </w:rPr>
        <w:t>au Bureau internation</w:t>
      </w:r>
      <w:r w:rsidR="003008DF" w:rsidRPr="00C819AD">
        <w:rPr>
          <w:lang w:val="fr-FR"/>
        </w:rPr>
        <w:t>al</w:t>
      </w:r>
      <w:r w:rsidR="003008DF">
        <w:rPr>
          <w:lang w:val="fr-FR"/>
        </w:rPr>
        <w:t xml:space="preserve">.  </w:t>
      </w:r>
      <w:r w:rsidR="003008DF" w:rsidRPr="00C819AD">
        <w:rPr>
          <w:lang w:val="fr-FR"/>
        </w:rPr>
        <w:t>Au</w:t>
      </w:r>
      <w:r w:rsidR="007956CB" w:rsidRPr="00C819AD">
        <w:rPr>
          <w:lang w:val="fr-FR"/>
        </w:rPr>
        <w:t xml:space="preserve"> sujet de la prolongation de la nomination des administrations chargées de la recherche internationale et de l</w:t>
      </w:r>
      <w:r w:rsidR="00D76C92">
        <w:rPr>
          <w:lang w:val="fr-FR"/>
        </w:rPr>
        <w:t>’</w:t>
      </w:r>
      <w:r w:rsidR="007956CB" w:rsidRPr="00C819AD">
        <w:rPr>
          <w:lang w:val="fr-FR"/>
        </w:rPr>
        <w:t>examen préliminaire international, la délégation a</w:t>
      </w:r>
      <w:r w:rsidR="002E2003" w:rsidRPr="00C819AD">
        <w:rPr>
          <w:lang w:val="fr-FR"/>
        </w:rPr>
        <w:t xml:space="preserve"> approuvé</w:t>
      </w:r>
      <w:r w:rsidR="007956CB" w:rsidRPr="00C819AD">
        <w:rPr>
          <w:lang w:val="fr-FR"/>
        </w:rPr>
        <w:t xml:space="preserve"> les procédures, le calendrier et les critères matériels</w:t>
      </w:r>
      <w:r w:rsidR="002E2003" w:rsidRPr="00C819AD">
        <w:rPr>
          <w:lang w:val="fr-FR"/>
        </w:rPr>
        <w:t xml:space="preserve"> </w:t>
      </w:r>
      <w:r w:rsidR="003F5629" w:rsidRPr="00C819AD">
        <w:rPr>
          <w:lang w:val="fr-FR"/>
        </w:rPr>
        <w:t>retenus</w:t>
      </w:r>
      <w:r w:rsidR="002E2003" w:rsidRPr="00C819AD">
        <w:rPr>
          <w:lang w:val="fr-FR"/>
        </w:rPr>
        <w:t xml:space="preserve"> pour la prolongation des nominations et entrepris de fournir les documents pertinents requis pour qu</w:t>
      </w:r>
      <w:r w:rsidR="00D76C92">
        <w:rPr>
          <w:lang w:val="fr-FR"/>
        </w:rPr>
        <w:t>’</w:t>
      </w:r>
      <w:r w:rsidR="002E2003" w:rsidRPr="00C819AD">
        <w:rPr>
          <w:lang w:val="fr-FR"/>
        </w:rPr>
        <w:t>elle</w:t>
      </w:r>
      <w:r w:rsidR="0077544E" w:rsidRPr="00C819AD">
        <w:rPr>
          <w:lang w:val="fr-FR"/>
        </w:rPr>
        <w:t xml:space="preserve"> soit traitée</w:t>
      </w:r>
      <w:r w:rsidR="002E2003" w:rsidRPr="00C819AD">
        <w:rPr>
          <w:lang w:val="fr-FR"/>
        </w:rPr>
        <w:t xml:space="preserve"> à temps par le Bureau international.</w:t>
      </w:r>
    </w:p>
    <w:p w:rsidR="002E2003" w:rsidRPr="00C819AD" w:rsidRDefault="002E2003" w:rsidP="00CE4DF6">
      <w:pPr>
        <w:pStyle w:val="ONUMFS"/>
        <w:rPr>
          <w:lang w:val="fr-FR"/>
        </w:rPr>
      </w:pPr>
      <w:r w:rsidRPr="00C819AD">
        <w:rPr>
          <w:lang w:val="fr-FR"/>
        </w:rPr>
        <w:t>La délégation de l</w:t>
      </w:r>
      <w:r w:rsidR="00D76C92">
        <w:rPr>
          <w:lang w:val="fr-FR"/>
        </w:rPr>
        <w:t>’</w:t>
      </w:r>
      <w:r w:rsidRPr="00C819AD">
        <w:rPr>
          <w:lang w:val="fr-FR"/>
        </w:rPr>
        <w:t>Inde a appuyé la proposition du Brésil figurant dans le document PCT/WG/9/25 au sujet de la réduction des taxes pour les universités et les établissements de recherche publics dans les pays en développeme</w:t>
      </w:r>
      <w:r w:rsidR="003008DF" w:rsidRPr="00C819AD">
        <w:rPr>
          <w:lang w:val="fr-FR"/>
        </w:rPr>
        <w:t>nt</w:t>
      </w:r>
      <w:r w:rsidR="003008DF">
        <w:rPr>
          <w:lang w:val="fr-FR"/>
        </w:rPr>
        <w:t xml:space="preserve">.  </w:t>
      </w:r>
      <w:r w:rsidR="003008DF" w:rsidRPr="00C819AD">
        <w:rPr>
          <w:lang w:val="fr-FR"/>
        </w:rPr>
        <w:t>Le</w:t>
      </w:r>
      <w:r w:rsidRPr="00C819AD">
        <w:rPr>
          <w:lang w:val="fr-FR"/>
        </w:rPr>
        <w:t xml:space="preserve"> nombre </w:t>
      </w:r>
      <w:r w:rsidR="006556C0" w:rsidRPr="00C819AD">
        <w:rPr>
          <w:lang w:val="fr-FR"/>
        </w:rPr>
        <w:t>de dépôts de demandes de brevet</w:t>
      </w:r>
      <w:r w:rsidRPr="00C819AD">
        <w:rPr>
          <w:lang w:val="fr-FR"/>
        </w:rPr>
        <w:t xml:space="preserve"> avait augmenté au cours des dernières années, mais le pourcentage de demandes provenant de l</w:t>
      </w:r>
      <w:r w:rsidR="00D76C92">
        <w:rPr>
          <w:lang w:val="fr-FR"/>
        </w:rPr>
        <w:t>’</w:t>
      </w:r>
      <w:r w:rsidRPr="00C819AD">
        <w:rPr>
          <w:lang w:val="fr-FR"/>
        </w:rPr>
        <w:t>Inde était faible malgré</w:t>
      </w:r>
      <w:r w:rsidR="006816C4" w:rsidRPr="00C819AD">
        <w:rPr>
          <w:lang w:val="fr-FR"/>
        </w:rPr>
        <w:t xml:space="preserve"> l</w:t>
      </w:r>
      <w:r w:rsidR="00D76C92">
        <w:rPr>
          <w:lang w:val="fr-FR"/>
        </w:rPr>
        <w:t>’</w:t>
      </w:r>
      <w:r w:rsidR="006816C4" w:rsidRPr="00C819AD">
        <w:rPr>
          <w:lang w:val="fr-FR"/>
        </w:rPr>
        <w:t>important vivier de talents dans les institutions de recherche</w:t>
      </w:r>
      <w:r w:rsidR="00E4676F">
        <w:rPr>
          <w:lang w:val="fr-FR"/>
        </w:rPr>
        <w:noBreakHyphen/>
      </w:r>
      <w:r w:rsidR="006816C4" w:rsidRPr="00C819AD">
        <w:rPr>
          <w:lang w:val="fr-FR"/>
        </w:rPr>
        <w:t>développement du pa</w:t>
      </w:r>
      <w:r w:rsidR="003008DF" w:rsidRPr="00C819AD">
        <w:rPr>
          <w:lang w:val="fr-FR"/>
        </w:rPr>
        <w:t>ys</w:t>
      </w:r>
      <w:r w:rsidR="003008DF">
        <w:rPr>
          <w:lang w:val="fr-FR"/>
        </w:rPr>
        <w:t xml:space="preserve">.  </w:t>
      </w:r>
      <w:r w:rsidR="003008DF" w:rsidRPr="00C819AD">
        <w:rPr>
          <w:lang w:val="fr-FR"/>
        </w:rPr>
        <w:t>Il</w:t>
      </w:r>
      <w:r w:rsidR="006816C4" w:rsidRPr="00C819AD">
        <w:rPr>
          <w:lang w:val="fr-FR"/>
        </w:rPr>
        <w:t xml:space="preserve"> était nécessaire d</w:t>
      </w:r>
      <w:r w:rsidR="00D76C92">
        <w:rPr>
          <w:lang w:val="fr-FR"/>
        </w:rPr>
        <w:t>’</w:t>
      </w:r>
      <w:r w:rsidR="006816C4" w:rsidRPr="00C819AD">
        <w:rPr>
          <w:lang w:val="fr-FR"/>
        </w:rPr>
        <w:t>exploiter les technologies mises au point et de stimuler les d</w:t>
      </w:r>
      <w:r w:rsidR="006556C0" w:rsidRPr="00C819AD">
        <w:rPr>
          <w:lang w:val="fr-FR"/>
        </w:rPr>
        <w:t>emandes de titres</w:t>
      </w:r>
      <w:r w:rsidR="006816C4" w:rsidRPr="00C819AD">
        <w:rPr>
          <w:lang w:val="fr-FR"/>
        </w:rPr>
        <w:t xml:space="preserve"> de propriété intellectuel</w:t>
      </w:r>
      <w:r w:rsidR="003008DF" w:rsidRPr="00C819AD">
        <w:rPr>
          <w:lang w:val="fr-FR"/>
        </w:rPr>
        <w:t>le</w:t>
      </w:r>
      <w:r w:rsidR="003008DF">
        <w:rPr>
          <w:lang w:val="fr-FR"/>
        </w:rPr>
        <w:t xml:space="preserve">.  </w:t>
      </w:r>
      <w:r w:rsidR="003008DF" w:rsidRPr="00C819AD">
        <w:rPr>
          <w:lang w:val="fr-FR"/>
        </w:rPr>
        <w:t>Ét</w:t>
      </w:r>
      <w:r w:rsidR="00E4699E" w:rsidRPr="00C819AD">
        <w:rPr>
          <w:lang w:val="fr-FR"/>
        </w:rPr>
        <w:t>ant donné que la proposition en cours d</w:t>
      </w:r>
      <w:r w:rsidR="00D76C92">
        <w:rPr>
          <w:lang w:val="fr-FR"/>
        </w:rPr>
        <w:t>’</w:t>
      </w:r>
      <w:r w:rsidR="00E4699E" w:rsidRPr="00C819AD">
        <w:rPr>
          <w:lang w:val="fr-FR"/>
        </w:rPr>
        <w:t xml:space="preserve">examen stimulerait le dépôt de demandes de brevet par les </w:t>
      </w:r>
      <w:r w:rsidR="00990320" w:rsidRPr="00C819AD">
        <w:rPr>
          <w:lang w:val="fr-FR"/>
        </w:rPr>
        <w:t xml:space="preserve">universités et les établissements de recherche publics </w:t>
      </w:r>
      <w:r w:rsidR="00E4699E" w:rsidRPr="00C819AD">
        <w:rPr>
          <w:lang w:val="fr-FR"/>
        </w:rPr>
        <w:t>dans les pays en développement et</w:t>
      </w:r>
      <w:r w:rsidR="00C84184" w:rsidRPr="00C819AD">
        <w:rPr>
          <w:lang w:val="fr-FR"/>
        </w:rPr>
        <w:t xml:space="preserve"> les PMA</w:t>
      </w:r>
      <w:r w:rsidR="00E4699E" w:rsidRPr="00C819AD">
        <w:rPr>
          <w:lang w:val="fr-FR"/>
        </w:rPr>
        <w:t xml:space="preserve">, </w:t>
      </w:r>
      <w:r w:rsidR="00CA06D9" w:rsidRPr="00C819AD">
        <w:rPr>
          <w:lang w:val="fr-FR"/>
        </w:rPr>
        <w:t>il s</w:t>
      </w:r>
      <w:r w:rsidR="00D76C92">
        <w:rPr>
          <w:lang w:val="fr-FR"/>
        </w:rPr>
        <w:t>’</w:t>
      </w:r>
      <w:r w:rsidR="00CA06D9" w:rsidRPr="00C819AD">
        <w:rPr>
          <w:lang w:val="fr-FR"/>
        </w:rPr>
        <w:t xml:space="preserve">agissait </w:t>
      </w:r>
      <w:r w:rsidR="003F5629" w:rsidRPr="00C819AD">
        <w:rPr>
          <w:lang w:val="fr-FR"/>
        </w:rPr>
        <w:t>d</w:t>
      </w:r>
      <w:r w:rsidR="00D76C92">
        <w:rPr>
          <w:lang w:val="fr-FR"/>
        </w:rPr>
        <w:t>’</w:t>
      </w:r>
      <w:r w:rsidR="003F5629" w:rsidRPr="00C819AD">
        <w:rPr>
          <w:lang w:val="fr-FR"/>
        </w:rPr>
        <w:t>un</w:t>
      </w:r>
      <w:r w:rsidR="00CA06D9" w:rsidRPr="00C819AD">
        <w:rPr>
          <w:lang w:val="fr-FR"/>
        </w:rPr>
        <w:t xml:space="preserve"> pas encourageant dans la bonne direction, qui permettrait de stimuler la créativité et l</w:t>
      </w:r>
      <w:r w:rsidR="00D76C92">
        <w:rPr>
          <w:lang w:val="fr-FR"/>
        </w:rPr>
        <w:t>’</w:t>
      </w:r>
      <w:r w:rsidR="00CA06D9" w:rsidRPr="00C819AD">
        <w:rPr>
          <w:lang w:val="fr-FR"/>
        </w:rPr>
        <w:t>innovati</w:t>
      </w:r>
      <w:r w:rsidR="003008DF" w:rsidRPr="00C819AD">
        <w:rPr>
          <w:lang w:val="fr-FR"/>
        </w:rPr>
        <w:t>on</w:t>
      </w:r>
      <w:r w:rsidR="003008DF">
        <w:rPr>
          <w:lang w:val="fr-FR"/>
        </w:rPr>
        <w:t xml:space="preserve">.  </w:t>
      </w:r>
      <w:r w:rsidR="003008DF" w:rsidRPr="00C819AD">
        <w:rPr>
          <w:lang w:val="fr-FR"/>
        </w:rPr>
        <w:t>Pa</w:t>
      </w:r>
      <w:r w:rsidR="00CA06D9" w:rsidRPr="00C819AD">
        <w:rPr>
          <w:lang w:val="fr-FR"/>
        </w:rPr>
        <w:t>r conséquent, la délégation souhaitait que cette proposition aboutisse, ce qui profiterait probablement au grand public également.</w:t>
      </w:r>
    </w:p>
    <w:p w:rsidR="00260F57" w:rsidRPr="00C819AD" w:rsidRDefault="00260F57" w:rsidP="00CE4DF6">
      <w:pPr>
        <w:pStyle w:val="ONUMFS"/>
        <w:rPr>
          <w:lang w:val="fr-FR"/>
        </w:rPr>
      </w:pPr>
      <w:r w:rsidRPr="00C819AD">
        <w:rPr>
          <w:lang w:val="fr-FR"/>
        </w:rPr>
        <w:t>La délé</w:t>
      </w:r>
      <w:r w:rsidR="00A153DA" w:rsidRPr="00C819AD">
        <w:rPr>
          <w:lang w:val="fr-FR"/>
        </w:rPr>
        <w:t xml:space="preserve">gation </w:t>
      </w:r>
      <w:r w:rsidRPr="00C819AD">
        <w:rPr>
          <w:lang w:val="fr-FR"/>
        </w:rPr>
        <w:t>du Brésil a remercié le groupe des pays d</w:t>
      </w:r>
      <w:r w:rsidR="00D76C92">
        <w:rPr>
          <w:lang w:val="fr-FR"/>
        </w:rPr>
        <w:t>’</w:t>
      </w:r>
      <w:r w:rsidRPr="00C819AD">
        <w:rPr>
          <w:lang w:val="fr-FR"/>
        </w:rPr>
        <w:t>Asie centrale, du Caucase et d</w:t>
      </w:r>
      <w:r w:rsidR="00D76C92">
        <w:rPr>
          <w:lang w:val="fr-FR"/>
        </w:rPr>
        <w:t>’</w:t>
      </w:r>
      <w:r w:rsidRPr="00C819AD">
        <w:rPr>
          <w:lang w:val="fr-FR"/>
        </w:rPr>
        <w:t>Europe orientale,</w:t>
      </w:r>
      <w:r w:rsidR="00C84184" w:rsidRPr="00C819AD">
        <w:rPr>
          <w:lang w:val="fr-FR"/>
        </w:rPr>
        <w:t xml:space="preserve"> le GRU</w:t>
      </w:r>
      <w:r w:rsidRPr="00C819AD">
        <w:rPr>
          <w:lang w:val="fr-FR"/>
        </w:rPr>
        <w:t>LAC, la Chine, le Cameroun, l</w:t>
      </w:r>
      <w:r w:rsidR="00D76C92">
        <w:rPr>
          <w:lang w:val="fr-FR"/>
        </w:rPr>
        <w:t>’</w:t>
      </w:r>
      <w:r w:rsidRPr="00C819AD">
        <w:rPr>
          <w:lang w:val="fr-FR"/>
        </w:rPr>
        <w:t>Égypte et l</w:t>
      </w:r>
      <w:r w:rsidR="00D76C92">
        <w:rPr>
          <w:lang w:val="fr-FR"/>
        </w:rPr>
        <w:t>’</w:t>
      </w:r>
      <w:r w:rsidRPr="00C819AD">
        <w:rPr>
          <w:lang w:val="fr-FR"/>
        </w:rPr>
        <w:t xml:space="preserve">Inde pour leur </w:t>
      </w:r>
      <w:r w:rsidR="001C0AC5" w:rsidRPr="00C819AD">
        <w:rPr>
          <w:lang w:val="fr-FR"/>
        </w:rPr>
        <w:t xml:space="preserve">appui </w:t>
      </w:r>
      <w:r w:rsidR="00D76C92">
        <w:rPr>
          <w:lang w:val="fr-FR"/>
        </w:rPr>
        <w:t>à l’égard</w:t>
      </w:r>
      <w:r w:rsidR="001C0AC5" w:rsidRPr="00C819AD">
        <w:rPr>
          <w:lang w:val="fr-FR"/>
        </w:rPr>
        <w:t xml:space="preserve"> </w:t>
      </w:r>
      <w:r w:rsidRPr="00C819AD">
        <w:rPr>
          <w:lang w:val="fr-FR"/>
        </w:rPr>
        <w:t xml:space="preserve">de la proposition </w:t>
      </w:r>
      <w:r w:rsidR="009D4FCB" w:rsidRPr="00C819AD">
        <w:rPr>
          <w:lang w:val="fr-FR"/>
        </w:rPr>
        <w:t>figurant dans le document PCT/WG/9/25</w:t>
      </w:r>
      <w:r w:rsidR="001C0AC5" w:rsidRPr="00C819AD">
        <w:rPr>
          <w:lang w:val="fr-FR"/>
        </w:rPr>
        <w:t>,</w:t>
      </w:r>
      <w:r w:rsidR="009D4FCB" w:rsidRPr="00C819AD">
        <w:rPr>
          <w:lang w:val="fr-FR"/>
        </w:rPr>
        <w:t xml:space="preserve"> concernant la réduction des taxes pour les universités et les établissements de recherche publics dans les pays en développement, ainsi que les États qui avaient soutenu la proposition lors de la neuvième</w:t>
      </w:r>
      <w:r w:rsidR="006B4CC2" w:rsidRPr="00C819AD">
        <w:rPr>
          <w:lang w:val="fr-FR"/>
        </w:rPr>
        <w:t> </w:t>
      </w:r>
      <w:r w:rsidR="009D4FCB" w:rsidRPr="00C819AD">
        <w:rPr>
          <w:lang w:val="fr-FR"/>
        </w:rPr>
        <w:t>session du Groupe de travail du </w:t>
      </w:r>
      <w:r w:rsidR="003008DF" w:rsidRPr="00C819AD">
        <w:rPr>
          <w:lang w:val="fr-FR"/>
        </w:rPr>
        <w:t>PCT</w:t>
      </w:r>
      <w:r w:rsidR="003008DF">
        <w:rPr>
          <w:lang w:val="fr-FR"/>
        </w:rPr>
        <w:t xml:space="preserve">.  </w:t>
      </w:r>
      <w:r w:rsidR="003008DF" w:rsidRPr="00C819AD">
        <w:rPr>
          <w:lang w:val="fr-FR"/>
        </w:rPr>
        <w:t>La</w:t>
      </w:r>
      <w:r w:rsidR="009D4FCB" w:rsidRPr="00C819AD">
        <w:rPr>
          <w:lang w:val="fr-FR"/>
        </w:rPr>
        <w:t xml:space="preserve"> proposition </w:t>
      </w:r>
      <w:r w:rsidR="001C0AC5" w:rsidRPr="00C819AD">
        <w:rPr>
          <w:lang w:val="fr-FR"/>
        </w:rPr>
        <w:t>s</w:t>
      </w:r>
      <w:r w:rsidR="00D76C92">
        <w:rPr>
          <w:lang w:val="fr-FR"/>
        </w:rPr>
        <w:t>’</w:t>
      </w:r>
      <w:r w:rsidR="001C0AC5" w:rsidRPr="00C819AD">
        <w:rPr>
          <w:lang w:val="fr-FR"/>
        </w:rPr>
        <w:t>inspirant d</w:t>
      </w:r>
      <w:r w:rsidR="00D76C92">
        <w:rPr>
          <w:lang w:val="fr-FR"/>
        </w:rPr>
        <w:t>’</w:t>
      </w:r>
      <w:r w:rsidR="009D4FCB" w:rsidRPr="00C819AD">
        <w:rPr>
          <w:lang w:val="fr-FR"/>
        </w:rPr>
        <w:t>une étude sur l</w:t>
      </w:r>
      <w:r w:rsidR="00D76C92">
        <w:rPr>
          <w:lang w:val="fr-FR"/>
        </w:rPr>
        <w:t>’</w:t>
      </w:r>
      <w:r w:rsidR="009D4FCB" w:rsidRPr="00C819AD">
        <w:rPr>
          <w:lang w:val="fr-FR"/>
        </w:rPr>
        <w:t xml:space="preserve">élasticité par rapport aux taxes du PCT, </w:t>
      </w:r>
      <w:r w:rsidR="000C7E49" w:rsidRPr="00C819AD">
        <w:rPr>
          <w:lang w:val="fr-FR"/>
        </w:rPr>
        <w:t>qui montrai</w:t>
      </w:r>
      <w:r w:rsidR="009D4FCB" w:rsidRPr="00C819AD">
        <w:rPr>
          <w:lang w:val="fr-FR"/>
        </w:rPr>
        <w:t>t que les universités et les établissements de recherche publics étaient plus sensibles aux prix que d</w:t>
      </w:r>
      <w:r w:rsidR="00D76C92">
        <w:rPr>
          <w:lang w:val="fr-FR"/>
        </w:rPr>
        <w:t>’</w:t>
      </w:r>
      <w:r w:rsidR="009D4FCB" w:rsidRPr="00C819AD">
        <w:rPr>
          <w:lang w:val="fr-FR"/>
        </w:rPr>
        <w:t>autres déposan</w:t>
      </w:r>
      <w:r w:rsidR="003008DF" w:rsidRPr="00C819AD">
        <w:rPr>
          <w:lang w:val="fr-FR"/>
        </w:rPr>
        <w:t>ts</w:t>
      </w:r>
      <w:r w:rsidR="003008DF">
        <w:rPr>
          <w:lang w:val="fr-FR"/>
        </w:rPr>
        <w:t xml:space="preserve">.  </w:t>
      </w:r>
      <w:r w:rsidR="003008DF" w:rsidRPr="00C819AD">
        <w:rPr>
          <w:lang w:val="fr-FR"/>
        </w:rPr>
        <w:t>Au</w:t>
      </w:r>
      <w:r w:rsidR="009D4FCB" w:rsidRPr="00C819AD">
        <w:rPr>
          <w:lang w:val="fr-FR"/>
        </w:rPr>
        <w:t xml:space="preserve"> vu de cela, le document PCT/WG/9/25 proposait l</w:t>
      </w:r>
      <w:r w:rsidR="00D76C92">
        <w:rPr>
          <w:lang w:val="fr-FR"/>
        </w:rPr>
        <w:t>’</w:t>
      </w:r>
      <w:r w:rsidR="009D4FCB" w:rsidRPr="00C819AD">
        <w:rPr>
          <w:lang w:val="fr-FR"/>
        </w:rPr>
        <w:t>établissement d</w:t>
      </w:r>
      <w:r w:rsidR="00D76C92">
        <w:rPr>
          <w:lang w:val="fr-FR"/>
        </w:rPr>
        <w:t>’</w:t>
      </w:r>
      <w:r w:rsidR="009D4FCB" w:rsidRPr="00C819AD">
        <w:rPr>
          <w:lang w:val="fr-FR"/>
        </w:rPr>
        <w:t>une réduction des taxes du PCT d</w:t>
      </w:r>
      <w:r w:rsidR="00D76C92">
        <w:rPr>
          <w:lang w:val="fr-FR"/>
        </w:rPr>
        <w:t>’</w:t>
      </w:r>
      <w:r w:rsidR="009D4FCB" w:rsidRPr="00C819AD">
        <w:rPr>
          <w:lang w:val="fr-FR"/>
        </w:rPr>
        <w:t xml:space="preserve">au moins 50% pour les </w:t>
      </w:r>
      <w:r w:rsidR="003F5629" w:rsidRPr="00C819AD">
        <w:rPr>
          <w:lang w:val="fr-FR"/>
        </w:rPr>
        <w:t>universités</w:t>
      </w:r>
      <w:r w:rsidR="009D4FCB" w:rsidRPr="00C819AD">
        <w:rPr>
          <w:lang w:val="fr-FR"/>
        </w:rPr>
        <w:t xml:space="preserve"> et les établissements de recherche publics de certains pays, notamment des pays en développement et</w:t>
      </w:r>
      <w:r w:rsidR="00C84184" w:rsidRPr="00C819AD">
        <w:rPr>
          <w:lang w:val="fr-FR"/>
        </w:rPr>
        <w:t xml:space="preserve"> des PMA</w:t>
      </w:r>
      <w:r w:rsidR="009D4FCB" w:rsidRPr="00C819AD">
        <w:rPr>
          <w:lang w:val="fr-FR"/>
        </w:rPr>
        <w:t xml:space="preserve">, </w:t>
      </w:r>
      <w:r w:rsidR="00675A19" w:rsidRPr="00C819AD">
        <w:rPr>
          <w:lang w:val="fr-FR"/>
        </w:rPr>
        <w:t>en s</w:t>
      </w:r>
      <w:r w:rsidR="00D76C92">
        <w:rPr>
          <w:lang w:val="fr-FR"/>
        </w:rPr>
        <w:t>’</w:t>
      </w:r>
      <w:r w:rsidR="00675A19" w:rsidRPr="00C819AD">
        <w:rPr>
          <w:lang w:val="fr-FR"/>
        </w:rPr>
        <w:t>appuyant sur les critères par pays actuellement applicables pour les réductions de tax</w:t>
      </w:r>
      <w:r w:rsidR="003008DF" w:rsidRPr="00C819AD">
        <w:rPr>
          <w:lang w:val="fr-FR"/>
        </w:rPr>
        <w:t>es</w:t>
      </w:r>
      <w:r w:rsidR="003008DF">
        <w:rPr>
          <w:lang w:val="fr-FR"/>
        </w:rPr>
        <w:t xml:space="preserve">.  </w:t>
      </w:r>
      <w:r w:rsidR="003008DF" w:rsidRPr="00C819AD">
        <w:rPr>
          <w:lang w:val="fr-FR"/>
        </w:rPr>
        <w:t>Se</w:t>
      </w:r>
      <w:r w:rsidR="00675A19" w:rsidRPr="00C819AD">
        <w:rPr>
          <w:lang w:val="fr-FR"/>
        </w:rPr>
        <w:t xml:space="preserve">lon les estimations du Secrétariat, </w:t>
      </w:r>
      <w:r w:rsidR="00675A19" w:rsidRPr="00C819AD">
        <w:rPr>
          <w:lang w:val="fr-FR"/>
        </w:rPr>
        <w:lastRenderedPageBreak/>
        <w:t>l</w:t>
      </w:r>
      <w:r w:rsidR="00D76C92">
        <w:rPr>
          <w:lang w:val="fr-FR"/>
        </w:rPr>
        <w:t>’</w:t>
      </w:r>
      <w:r w:rsidR="00675A19" w:rsidRPr="00C819AD">
        <w:rPr>
          <w:lang w:val="fr-FR"/>
        </w:rPr>
        <w:t>adoption de cette proposition donnerait lieu à 139 dépôts additionnels par an et à</w:t>
      </w:r>
      <w:r w:rsidR="003F5629" w:rsidRPr="00C819AD">
        <w:rPr>
          <w:lang w:val="fr-FR"/>
        </w:rPr>
        <w:t xml:space="preserve"> une baisse des recettes de 1,50</w:t>
      </w:r>
      <w:r w:rsidR="00675A19" w:rsidRPr="00C819AD">
        <w:rPr>
          <w:lang w:val="fr-FR"/>
        </w:rPr>
        <w:t>8 million de francs suisses, constit</w:t>
      </w:r>
      <w:r w:rsidR="003F5629" w:rsidRPr="00C819AD">
        <w:rPr>
          <w:lang w:val="fr-FR"/>
        </w:rPr>
        <w:t>uant un contraste saisissant a</w:t>
      </w:r>
      <w:r w:rsidR="00675A19" w:rsidRPr="00C819AD">
        <w:rPr>
          <w:lang w:val="fr-FR"/>
        </w:rPr>
        <w:t>v</w:t>
      </w:r>
      <w:r w:rsidR="003F5629" w:rsidRPr="00C819AD">
        <w:rPr>
          <w:lang w:val="fr-FR"/>
        </w:rPr>
        <w:t>ec</w:t>
      </w:r>
      <w:r w:rsidR="00675A19" w:rsidRPr="00C819AD">
        <w:rPr>
          <w:lang w:val="fr-FR"/>
        </w:rPr>
        <w:t xml:space="preserve"> les 70,3</w:t>
      </w:r>
      <w:r w:rsidR="006B4CC2" w:rsidRPr="00C819AD">
        <w:rPr>
          <w:lang w:val="fr-FR"/>
        </w:rPr>
        <w:t> </w:t>
      </w:r>
      <w:r w:rsidR="00675A19" w:rsidRPr="00C819AD">
        <w:rPr>
          <w:lang w:val="fr-FR"/>
        </w:rPr>
        <w:t>millions de francs suisses d</w:t>
      </w:r>
      <w:r w:rsidR="00D76C92">
        <w:rPr>
          <w:lang w:val="fr-FR"/>
        </w:rPr>
        <w:t>’</w:t>
      </w:r>
      <w:r w:rsidR="00675A19" w:rsidRPr="00C819AD">
        <w:rPr>
          <w:lang w:val="fr-FR"/>
        </w:rPr>
        <w:t>excédent annoncés pour l</w:t>
      </w:r>
      <w:r w:rsidR="00D76C92">
        <w:rPr>
          <w:lang w:val="fr-FR"/>
        </w:rPr>
        <w:t>’</w:t>
      </w:r>
      <w:r w:rsidR="00675A19" w:rsidRPr="00C819AD">
        <w:rPr>
          <w:lang w:val="fr-FR"/>
        </w:rPr>
        <w:t>exercice biennal</w:t>
      </w:r>
      <w:r w:rsidR="006B4CC2" w:rsidRPr="00C819AD">
        <w:rPr>
          <w:lang w:val="fr-FR"/>
        </w:rPr>
        <w:t> </w:t>
      </w:r>
      <w:r w:rsidR="00675A19" w:rsidRPr="00C819AD">
        <w:rPr>
          <w:lang w:val="fr-FR"/>
        </w:rPr>
        <w:t>2014</w:t>
      </w:r>
      <w:r w:rsidR="00E4676F">
        <w:rPr>
          <w:lang w:val="fr-FR"/>
        </w:rPr>
        <w:noBreakHyphen/>
      </w:r>
      <w:r w:rsidR="00675A19" w:rsidRPr="00C819AD">
        <w:rPr>
          <w:lang w:val="fr-FR"/>
        </w:rPr>
        <w:t>2015.</w:t>
      </w:r>
      <w:r w:rsidR="003F5629" w:rsidRPr="00C819AD">
        <w:rPr>
          <w:lang w:val="fr-FR"/>
        </w:rPr>
        <w:t xml:space="preserve"> </w:t>
      </w:r>
      <w:r w:rsidR="006B4CC2" w:rsidRPr="00C819AD">
        <w:rPr>
          <w:lang w:val="fr-FR"/>
        </w:rPr>
        <w:t xml:space="preserve"> </w:t>
      </w:r>
      <w:r w:rsidR="003F5629" w:rsidRPr="00C819AD">
        <w:rPr>
          <w:lang w:val="fr-FR"/>
        </w:rPr>
        <w:t>La baisse des recettes représentait par conséquent une petite partie de cet excéde</w:t>
      </w:r>
      <w:r w:rsidR="003008DF" w:rsidRPr="00C819AD">
        <w:rPr>
          <w:lang w:val="fr-FR"/>
        </w:rPr>
        <w:t>nt</w:t>
      </w:r>
      <w:r w:rsidR="003008DF">
        <w:rPr>
          <w:lang w:val="fr-FR"/>
        </w:rPr>
        <w:t xml:space="preserve">.  </w:t>
      </w:r>
      <w:r w:rsidR="003008DF" w:rsidRPr="00C819AD">
        <w:rPr>
          <w:lang w:val="fr-FR"/>
        </w:rPr>
        <w:t>Te</w:t>
      </w:r>
      <w:r w:rsidR="003F5629" w:rsidRPr="00C819AD">
        <w:rPr>
          <w:lang w:val="fr-FR"/>
        </w:rPr>
        <w:t>nant compte de ces faits, on pouvait conclure qu</w:t>
      </w:r>
      <w:r w:rsidR="00D76C92">
        <w:rPr>
          <w:lang w:val="fr-FR"/>
        </w:rPr>
        <w:t>’</w:t>
      </w:r>
      <w:r w:rsidR="003F5629" w:rsidRPr="00C819AD">
        <w:rPr>
          <w:lang w:val="fr-FR"/>
        </w:rPr>
        <w:t>une réduction des taxes pour les universités et les établissements de recherche publics était le changement le plus efficace qu</w:t>
      </w:r>
      <w:r w:rsidR="00D76C92">
        <w:rPr>
          <w:lang w:val="fr-FR"/>
        </w:rPr>
        <w:t>’</w:t>
      </w:r>
      <w:r w:rsidR="003F5629" w:rsidRPr="00C819AD">
        <w:rPr>
          <w:lang w:val="fr-FR"/>
        </w:rPr>
        <w:t>on pouvait apporter à la politique des taxes pour l</w:t>
      </w:r>
      <w:r w:rsidR="00D76C92">
        <w:rPr>
          <w:lang w:val="fr-FR"/>
        </w:rPr>
        <w:t>’</w:t>
      </w:r>
      <w:r w:rsidR="003F5629" w:rsidRPr="00C819AD">
        <w:rPr>
          <w:lang w:val="fr-FR"/>
        </w:rPr>
        <w:t>O</w:t>
      </w:r>
      <w:r w:rsidR="003008DF" w:rsidRPr="00C819AD">
        <w:rPr>
          <w:lang w:val="fr-FR"/>
        </w:rPr>
        <w:t>MPI</w:t>
      </w:r>
      <w:r w:rsidR="003008DF">
        <w:rPr>
          <w:lang w:val="fr-FR"/>
        </w:rPr>
        <w:t xml:space="preserve">.  </w:t>
      </w:r>
      <w:r w:rsidR="003008DF" w:rsidRPr="00C819AD">
        <w:rPr>
          <w:lang w:val="fr-FR"/>
        </w:rPr>
        <w:t>Ap</w:t>
      </w:r>
      <w:r w:rsidR="003F5629" w:rsidRPr="00C819AD">
        <w:rPr>
          <w:lang w:val="fr-FR"/>
        </w:rPr>
        <w:t xml:space="preserve">rès avoir présenté </w:t>
      </w:r>
      <w:r w:rsidR="001C0AC5" w:rsidRPr="00C819AD">
        <w:rPr>
          <w:lang w:val="fr-FR"/>
        </w:rPr>
        <w:t>offici</w:t>
      </w:r>
      <w:r w:rsidR="003F5629" w:rsidRPr="00C819AD">
        <w:rPr>
          <w:lang w:val="fr-FR"/>
        </w:rPr>
        <w:t>ellement la proposition au groupe de travail, la délégation avait engagé des discussions informelles afin d</w:t>
      </w:r>
      <w:r w:rsidR="00D76C92">
        <w:rPr>
          <w:lang w:val="fr-FR"/>
        </w:rPr>
        <w:t>’</w:t>
      </w:r>
      <w:r w:rsidR="003F5629" w:rsidRPr="00C819AD">
        <w:rPr>
          <w:lang w:val="fr-FR"/>
        </w:rPr>
        <w:t>échanger des idées sur la politique</w:t>
      </w:r>
      <w:r w:rsidR="00C84184" w:rsidRPr="00C819AD">
        <w:rPr>
          <w:lang w:val="fr-FR"/>
        </w:rPr>
        <w:t xml:space="preserve"> du PCT</w:t>
      </w:r>
      <w:r w:rsidR="003F5629" w:rsidRPr="00C819AD">
        <w:rPr>
          <w:lang w:val="fr-FR"/>
        </w:rPr>
        <w:t xml:space="preserve"> en matière de taxes, et elle </w:t>
      </w:r>
      <w:r w:rsidR="000C7E49" w:rsidRPr="00C819AD">
        <w:rPr>
          <w:lang w:val="fr-FR"/>
        </w:rPr>
        <w:t>avait été</w:t>
      </w:r>
      <w:r w:rsidR="003F5629" w:rsidRPr="00C819AD">
        <w:rPr>
          <w:lang w:val="fr-FR"/>
        </w:rPr>
        <w:t xml:space="preserve"> heureuse de constater un soutien général en faveur de cette propositi</w:t>
      </w:r>
      <w:r w:rsidR="003008DF" w:rsidRPr="00C819AD">
        <w:rPr>
          <w:lang w:val="fr-FR"/>
        </w:rPr>
        <w:t>on</w:t>
      </w:r>
      <w:r w:rsidR="003008DF">
        <w:rPr>
          <w:lang w:val="fr-FR"/>
        </w:rPr>
        <w:t xml:space="preserve">.  </w:t>
      </w:r>
      <w:r w:rsidR="003008DF" w:rsidRPr="00C819AD">
        <w:rPr>
          <w:lang w:val="fr-FR"/>
        </w:rPr>
        <w:t xml:space="preserve">À </w:t>
      </w:r>
      <w:r w:rsidR="003F5629" w:rsidRPr="00C819AD">
        <w:rPr>
          <w:lang w:val="fr-FR"/>
        </w:rPr>
        <w:t xml:space="preserve">ce sujet, elle </w:t>
      </w:r>
      <w:r w:rsidR="006556C0" w:rsidRPr="00C819AD">
        <w:rPr>
          <w:lang w:val="fr-FR"/>
        </w:rPr>
        <w:t>a souligné qu</w:t>
      </w:r>
      <w:r w:rsidR="00D76C92">
        <w:rPr>
          <w:lang w:val="fr-FR"/>
        </w:rPr>
        <w:t>’</w:t>
      </w:r>
      <w:r w:rsidR="006556C0" w:rsidRPr="00C819AD">
        <w:rPr>
          <w:lang w:val="fr-FR"/>
        </w:rPr>
        <w:t>une approche</w:t>
      </w:r>
      <w:r w:rsidR="000C5D89" w:rsidRPr="00C819AD">
        <w:rPr>
          <w:lang w:val="fr-FR"/>
        </w:rPr>
        <w:t xml:space="preserve"> progressive </w:t>
      </w:r>
      <w:r w:rsidR="006556C0" w:rsidRPr="00C819AD">
        <w:rPr>
          <w:lang w:val="fr-FR"/>
        </w:rPr>
        <w:t>permettai</w:t>
      </w:r>
      <w:r w:rsidR="007E0363" w:rsidRPr="00C819AD">
        <w:rPr>
          <w:lang w:val="fr-FR"/>
        </w:rPr>
        <w:t xml:space="preserve">t </w:t>
      </w:r>
      <w:r w:rsidR="006556C0" w:rsidRPr="00C819AD">
        <w:rPr>
          <w:lang w:val="fr-FR"/>
        </w:rPr>
        <w:t>d</w:t>
      </w:r>
      <w:r w:rsidR="00D76C92">
        <w:rPr>
          <w:lang w:val="fr-FR"/>
        </w:rPr>
        <w:t>’</w:t>
      </w:r>
      <w:r w:rsidR="006556C0" w:rsidRPr="00C819AD">
        <w:rPr>
          <w:lang w:val="fr-FR"/>
        </w:rPr>
        <w:t>adapter précisément</w:t>
      </w:r>
      <w:r w:rsidR="007E0363" w:rsidRPr="00C819AD">
        <w:rPr>
          <w:lang w:val="fr-FR"/>
        </w:rPr>
        <w:t xml:space="preserve"> la réduction des taxes en fonction des résultats obten</w:t>
      </w:r>
      <w:r w:rsidR="003008DF" w:rsidRPr="00C819AD">
        <w:rPr>
          <w:lang w:val="fr-FR"/>
        </w:rPr>
        <w:t>us</w:t>
      </w:r>
      <w:r w:rsidR="003008DF">
        <w:rPr>
          <w:lang w:val="fr-FR"/>
        </w:rPr>
        <w:t xml:space="preserve">.  </w:t>
      </w:r>
      <w:r w:rsidR="003008DF" w:rsidRPr="00C819AD">
        <w:rPr>
          <w:lang w:val="fr-FR"/>
        </w:rPr>
        <w:t>La</w:t>
      </w:r>
      <w:r w:rsidR="007E0363" w:rsidRPr="00C819AD">
        <w:rPr>
          <w:lang w:val="fr-FR"/>
        </w:rPr>
        <w:t xml:space="preserve"> délégation a appelé tous les États membres à </w:t>
      </w:r>
      <w:r w:rsidR="001C0AC5" w:rsidRPr="00C819AD">
        <w:rPr>
          <w:lang w:val="fr-FR"/>
        </w:rPr>
        <w:t>appuyer</w:t>
      </w:r>
      <w:r w:rsidR="007E0363" w:rsidRPr="00C819AD">
        <w:rPr>
          <w:lang w:val="fr-FR"/>
        </w:rPr>
        <w:t xml:space="preserve"> et approuver la proposition qui créerait une réduction des taxes </w:t>
      </w:r>
      <w:r w:rsidR="006556C0" w:rsidRPr="00C819AD">
        <w:rPr>
          <w:lang w:val="fr-FR"/>
        </w:rPr>
        <w:t>judicieuse</w:t>
      </w:r>
      <w:r w:rsidR="007E0363" w:rsidRPr="00C819AD">
        <w:rPr>
          <w:lang w:val="fr-FR"/>
        </w:rPr>
        <w:t xml:space="preserve"> dans l</w:t>
      </w:r>
      <w:r w:rsidR="00D76C92">
        <w:rPr>
          <w:lang w:val="fr-FR"/>
        </w:rPr>
        <w:t>’</w:t>
      </w:r>
      <w:r w:rsidR="007E0363" w:rsidRPr="00C819AD">
        <w:rPr>
          <w:lang w:val="fr-FR"/>
        </w:rPr>
        <w:t>intérêt de la communauté internationale, en favorisant l</w:t>
      </w:r>
      <w:r w:rsidR="00D76C92">
        <w:rPr>
          <w:lang w:val="fr-FR"/>
        </w:rPr>
        <w:t>’</w:t>
      </w:r>
      <w:r w:rsidR="007E0363" w:rsidRPr="00C819AD">
        <w:rPr>
          <w:lang w:val="fr-FR"/>
        </w:rPr>
        <w:t>utilisation du système des brevets et en faisant un premier pas concret dans les discussions concernant l</w:t>
      </w:r>
      <w:r w:rsidR="00D76C92">
        <w:rPr>
          <w:lang w:val="fr-FR"/>
        </w:rPr>
        <w:t>’</w:t>
      </w:r>
      <w:r w:rsidR="007E0363" w:rsidRPr="00C819AD">
        <w:rPr>
          <w:lang w:val="fr-FR"/>
        </w:rPr>
        <w:t>élasticité par rapport aux taxes du PCT.</w:t>
      </w:r>
    </w:p>
    <w:p w:rsidR="0042040D" w:rsidRPr="00C819AD" w:rsidRDefault="007E0363" w:rsidP="00CE4DF6">
      <w:pPr>
        <w:pStyle w:val="ONUMFS"/>
        <w:rPr>
          <w:lang w:val="fr-FR"/>
        </w:rPr>
      </w:pPr>
      <w:r w:rsidRPr="00C819AD">
        <w:rPr>
          <w:lang w:val="fr-FR"/>
        </w:rPr>
        <w:t xml:space="preserve">La délégation de la Grèce </w:t>
      </w:r>
      <w:r w:rsidR="0042040D" w:rsidRPr="00C819AD">
        <w:rPr>
          <w:lang w:val="fr-FR"/>
        </w:rPr>
        <w:t>a fait part de son appui aux modifications du règlement d</w:t>
      </w:r>
      <w:r w:rsidR="00D76C92">
        <w:rPr>
          <w:lang w:val="fr-FR"/>
        </w:rPr>
        <w:t>’</w:t>
      </w:r>
      <w:r w:rsidR="0042040D" w:rsidRPr="00C819AD">
        <w:rPr>
          <w:lang w:val="fr-FR"/>
        </w:rPr>
        <w:t>exécution du PCT proposées en vue de rendre</w:t>
      </w:r>
      <w:r w:rsidR="0042040D" w:rsidRPr="00C819AD">
        <w:t xml:space="preserve"> </w:t>
      </w:r>
      <w:r w:rsidR="0042040D" w:rsidRPr="00C819AD">
        <w:rPr>
          <w:lang w:val="fr-FR"/>
        </w:rPr>
        <w:t>le système mieux adapté aux besoins des utilisateurs et des offices</w:t>
      </w:r>
      <w:r w:rsidR="0042040D" w:rsidRPr="00C819AD">
        <w:t xml:space="preserve"> </w:t>
      </w:r>
      <w:r w:rsidR="0042040D" w:rsidRPr="00C819AD">
        <w:rPr>
          <w:lang w:val="fr-FR"/>
        </w:rPr>
        <w:t>de breve</w:t>
      </w:r>
      <w:r w:rsidR="003008DF" w:rsidRPr="00C819AD">
        <w:rPr>
          <w:lang w:val="fr-FR"/>
        </w:rPr>
        <w:t>ts</w:t>
      </w:r>
      <w:r w:rsidR="003008DF">
        <w:rPr>
          <w:lang w:val="fr-FR"/>
        </w:rPr>
        <w:t xml:space="preserve">.  </w:t>
      </w:r>
      <w:r w:rsidR="003008DF" w:rsidRPr="00C819AD">
        <w:rPr>
          <w:lang w:val="fr-FR"/>
        </w:rPr>
        <w:t>L</w:t>
      </w:r>
      <w:r w:rsidR="003008DF">
        <w:rPr>
          <w:lang w:val="fr-FR"/>
        </w:rPr>
        <w:t>’</w:t>
      </w:r>
      <w:r w:rsidR="003008DF" w:rsidRPr="00C819AD">
        <w:rPr>
          <w:lang w:val="fr-FR"/>
        </w:rPr>
        <w:t>é</w:t>
      </w:r>
      <w:r w:rsidR="0042040D" w:rsidRPr="00C819AD">
        <w:rPr>
          <w:lang w:val="fr-FR"/>
        </w:rPr>
        <w:t>volution des besoins des utilisateurs, des tiers et des offices de brevets devrait être le moteur de l</w:t>
      </w:r>
      <w:r w:rsidR="00D76C92">
        <w:rPr>
          <w:lang w:val="fr-FR"/>
        </w:rPr>
        <w:t>’</w:t>
      </w:r>
      <w:r w:rsidR="0042040D" w:rsidRPr="00C819AD">
        <w:rPr>
          <w:lang w:val="fr-FR"/>
        </w:rPr>
        <w:t>amélioration continue du système</w:t>
      </w:r>
      <w:r w:rsidR="00C84184" w:rsidRPr="00C819AD">
        <w:rPr>
          <w:lang w:val="fr-FR"/>
        </w:rPr>
        <w:t xml:space="preserve"> du PCT</w:t>
      </w:r>
      <w:r w:rsidR="0042040D" w:rsidRPr="00C819AD">
        <w:rPr>
          <w:lang w:val="fr-FR"/>
        </w:rPr>
        <w:t xml:space="preserve">. </w:t>
      </w:r>
      <w:r w:rsidR="006B4CC2" w:rsidRPr="00C819AD">
        <w:rPr>
          <w:lang w:val="fr-FR"/>
        </w:rPr>
        <w:t xml:space="preserve"> </w:t>
      </w:r>
      <w:r w:rsidR="0042040D" w:rsidRPr="00C819AD">
        <w:rPr>
          <w:lang w:val="fr-FR"/>
        </w:rPr>
        <w:t>L</w:t>
      </w:r>
      <w:r w:rsidR="00D76C92">
        <w:rPr>
          <w:lang w:val="fr-FR"/>
        </w:rPr>
        <w:t>’</w:t>
      </w:r>
      <w:r w:rsidR="0042040D" w:rsidRPr="00C819AD">
        <w:rPr>
          <w:lang w:val="fr-FR"/>
        </w:rPr>
        <w:t>accès à ce système</w:t>
      </w:r>
      <w:r w:rsidR="005F1F64" w:rsidRPr="00C819AD">
        <w:rPr>
          <w:lang w:val="fr-FR"/>
        </w:rPr>
        <w:t xml:space="preserve"> devait encore être adapté aux universités et établissements de recherche publics qui avaient des ressources limitées et ne pouvaient pas financer les coûts d</w:t>
      </w:r>
      <w:r w:rsidR="00D76C92">
        <w:rPr>
          <w:lang w:val="fr-FR"/>
        </w:rPr>
        <w:t>’</w:t>
      </w:r>
      <w:r w:rsidR="005F1F64" w:rsidRPr="00C819AD">
        <w:rPr>
          <w:lang w:val="fr-FR"/>
        </w:rPr>
        <w:t>entr</w:t>
      </w:r>
      <w:r w:rsidR="003008DF" w:rsidRPr="00C819AD">
        <w:rPr>
          <w:lang w:val="fr-FR"/>
        </w:rPr>
        <w:t>ée</w:t>
      </w:r>
      <w:r w:rsidR="003008DF">
        <w:rPr>
          <w:lang w:val="fr-FR"/>
        </w:rPr>
        <w:t xml:space="preserve">.  </w:t>
      </w:r>
      <w:r w:rsidR="003008DF" w:rsidRPr="00C819AD">
        <w:rPr>
          <w:lang w:val="fr-FR"/>
        </w:rPr>
        <w:t>C</w:t>
      </w:r>
      <w:r w:rsidR="003008DF">
        <w:rPr>
          <w:lang w:val="fr-FR"/>
        </w:rPr>
        <w:t>’</w:t>
      </w:r>
      <w:r w:rsidR="003008DF" w:rsidRPr="00C819AD">
        <w:rPr>
          <w:lang w:val="fr-FR"/>
        </w:rPr>
        <w:t>e</w:t>
      </w:r>
      <w:r w:rsidR="005F1F64" w:rsidRPr="00C819AD">
        <w:rPr>
          <w:lang w:val="fr-FR"/>
        </w:rPr>
        <w:t xml:space="preserve">st pourquoi la délégation </w:t>
      </w:r>
      <w:r w:rsidR="006556C0" w:rsidRPr="00C819AD">
        <w:rPr>
          <w:lang w:val="fr-FR"/>
        </w:rPr>
        <w:t>accueillait avec satisfaction la possibilité</w:t>
      </w:r>
      <w:r w:rsidR="005F1F64" w:rsidRPr="00C819AD">
        <w:rPr>
          <w:lang w:val="fr-FR"/>
        </w:rPr>
        <w:t xml:space="preserve"> de </w:t>
      </w:r>
      <w:r w:rsidR="006556C0" w:rsidRPr="00C819AD">
        <w:rPr>
          <w:lang w:val="fr-FR"/>
        </w:rPr>
        <w:t>mettre en p</w:t>
      </w:r>
      <w:r w:rsidR="005F1F64" w:rsidRPr="00C819AD">
        <w:rPr>
          <w:lang w:val="fr-FR"/>
        </w:rPr>
        <w:t>la</w:t>
      </w:r>
      <w:r w:rsidR="006556C0" w:rsidRPr="00C819AD">
        <w:rPr>
          <w:lang w:val="fr-FR"/>
        </w:rPr>
        <w:t>ce</w:t>
      </w:r>
      <w:r w:rsidR="005F1F64" w:rsidRPr="00C819AD">
        <w:rPr>
          <w:lang w:val="fr-FR"/>
        </w:rPr>
        <w:t xml:space="preserve"> de</w:t>
      </w:r>
      <w:r w:rsidR="006556C0" w:rsidRPr="00C819AD">
        <w:rPr>
          <w:lang w:val="fr-FR"/>
        </w:rPr>
        <w:t>s</w:t>
      </w:r>
      <w:r w:rsidR="005F1F64" w:rsidRPr="00C819AD">
        <w:rPr>
          <w:lang w:val="fr-FR"/>
        </w:rPr>
        <w:t xml:space="preserve"> réductions </w:t>
      </w:r>
      <w:r w:rsidR="006556C0" w:rsidRPr="00C819AD">
        <w:rPr>
          <w:lang w:val="fr-FR"/>
        </w:rPr>
        <w:t>de</w:t>
      </w:r>
      <w:r w:rsidR="005F1F64" w:rsidRPr="00C819AD">
        <w:rPr>
          <w:lang w:val="fr-FR"/>
        </w:rPr>
        <w:t xml:space="preserve"> taxes afin de stimuler le</w:t>
      </w:r>
      <w:r w:rsidR="006556C0" w:rsidRPr="00C819AD">
        <w:rPr>
          <w:lang w:val="fr-FR"/>
        </w:rPr>
        <w:t>s</w:t>
      </w:r>
      <w:r w:rsidR="005F1F64" w:rsidRPr="00C819AD">
        <w:rPr>
          <w:lang w:val="fr-FR"/>
        </w:rPr>
        <w:t xml:space="preserve"> dépôt</w:t>
      </w:r>
      <w:r w:rsidR="006556C0" w:rsidRPr="00C819AD">
        <w:rPr>
          <w:lang w:val="fr-FR"/>
        </w:rPr>
        <w:t>s de demandes de brevet</w:t>
      </w:r>
      <w:r w:rsidR="005F1F64" w:rsidRPr="00C819AD">
        <w:rPr>
          <w:lang w:val="fr-FR"/>
        </w:rPr>
        <w:t xml:space="preserve"> en partant de l</w:t>
      </w:r>
      <w:r w:rsidR="00D76C92">
        <w:rPr>
          <w:lang w:val="fr-FR"/>
        </w:rPr>
        <w:t>’</w:t>
      </w:r>
      <w:r w:rsidR="005F1F64" w:rsidRPr="00C819AD">
        <w:rPr>
          <w:lang w:val="fr-FR"/>
        </w:rPr>
        <w:t>idée que l</w:t>
      </w:r>
      <w:r w:rsidR="00D76C92">
        <w:rPr>
          <w:lang w:val="fr-FR"/>
        </w:rPr>
        <w:t>’</w:t>
      </w:r>
      <w:r w:rsidR="005F1F64" w:rsidRPr="00C819AD">
        <w:rPr>
          <w:lang w:val="fr-FR"/>
        </w:rPr>
        <w:t>impact sur le</w:t>
      </w:r>
      <w:r w:rsidR="00111F8E" w:rsidRPr="00C819AD">
        <w:rPr>
          <w:lang w:val="fr-FR"/>
        </w:rPr>
        <w:t>s recettes</w:t>
      </w:r>
      <w:r w:rsidR="00C84184" w:rsidRPr="00C819AD">
        <w:rPr>
          <w:lang w:val="fr-FR"/>
        </w:rPr>
        <w:t xml:space="preserve"> du PCT</w:t>
      </w:r>
      <w:r w:rsidR="005F1F64" w:rsidRPr="00C819AD">
        <w:rPr>
          <w:lang w:val="fr-FR"/>
        </w:rPr>
        <w:t xml:space="preserve"> serait minime.</w:t>
      </w:r>
    </w:p>
    <w:p w:rsidR="00F331B5" w:rsidRPr="00C819AD" w:rsidRDefault="005F1F64" w:rsidP="00CE4DF6">
      <w:pPr>
        <w:pStyle w:val="ONUMFS"/>
        <w:rPr>
          <w:lang w:val="fr-FR"/>
        </w:rPr>
      </w:pPr>
      <w:r w:rsidRPr="00C819AD">
        <w:rPr>
          <w:lang w:val="fr-FR"/>
        </w:rPr>
        <w:t>La délégation de l</w:t>
      </w:r>
      <w:r w:rsidR="00D76C92">
        <w:rPr>
          <w:lang w:val="fr-FR"/>
        </w:rPr>
        <w:t>’</w:t>
      </w:r>
      <w:r w:rsidRPr="00C819AD">
        <w:rPr>
          <w:lang w:val="fr-FR"/>
        </w:rPr>
        <w:t>Afrique du Sud a souscrit à la proposition du Brésil figurant dans le</w:t>
      </w:r>
      <w:r w:rsidR="00B2095E" w:rsidRPr="00C819AD">
        <w:rPr>
          <w:lang w:val="fr-FR"/>
        </w:rPr>
        <w:t xml:space="preserve"> document PCT/WG/9/25 </w:t>
      </w:r>
      <w:r w:rsidRPr="00C819AD">
        <w:rPr>
          <w:lang w:val="fr-FR"/>
        </w:rPr>
        <w:t>concernant la réduction des taxes pour les universités et les établissements de recherche publics dans les pays en développement</w:t>
      </w:r>
      <w:r w:rsidR="00B2095E" w:rsidRPr="00C819AD">
        <w:rPr>
          <w:lang w:val="fr-FR"/>
        </w:rPr>
        <w:t>.</w:t>
      </w:r>
    </w:p>
    <w:p w:rsidR="008571E5" w:rsidRPr="00C819AD" w:rsidRDefault="005F1F64" w:rsidP="00CE4DF6">
      <w:pPr>
        <w:pStyle w:val="ONUMFS"/>
        <w:rPr>
          <w:lang w:val="fr-FR"/>
        </w:rPr>
      </w:pPr>
      <w:r w:rsidRPr="00C819AD">
        <w:rPr>
          <w:lang w:val="fr-FR"/>
        </w:rPr>
        <w:t>La délégation de l</w:t>
      </w:r>
      <w:r w:rsidR="00D76C92">
        <w:rPr>
          <w:lang w:val="fr-FR"/>
        </w:rPr>
        <w:t>’</w:t>
      </w:r>
      <w:r w:rsidRPr="00C819AD">
        <w:rPr>
          <w:lang w:val="fr-FR"/>
        </w:rPr>
        <w:t>Iran</w:t>
      </w:r>
      <w:r w:rsidR="00B2095E" w:rsidRPr="00C819AD">
        <w:rPr>
          <w:lang w:val="fr-FR"/>
        </w:rPr>
        <w:t xml:space="preserve"> </w:t>
      </w:r>
      <w:r w:rsidRPr="00C819AD">
        <w:rPr>
          <w:lang w:val="fr-FR"/>
        </w:rPr>
        <w:t>(République islamique d</w:t>
      </w:r>
      <w:r w:rsidR="00D76C92">
        <w:rPr>
          <w:lang w:val="fr-FR"/>
        </w:rPr>
        <w:t>’</w:t>
      </w:r>
      <w:r w:rsidRPr="00C819AD">
        <w:rPr>
          <w:lang w:val="fr-FR"/>
        </w:rPr>
        <w:t xml:space="preserve">) </w:t>
      </w:r>
      <w:r w:rsidR="00FE79B1" w:rsidRPr="00C819AD">
        <w:rPr>
          <w:lang w:val="fr-FR"/>
        </w:rPr>
        <w:t>a pris note du rapport et appuyé les efforts du Groupe de travail</w:t>
      </w:r>
      <w:r w:rsidR="00C84184" w:rsidRPr="00C819AD">
        <w:rPr>
          <w:lang w:val="fr-FR"/>
        </w:rPr>
        <w:t xml:space="preserve"> du </w:t>
      </w:r>
      <w:r w:rsidR="003008DF" w:rsidRPr="00C819AD">
        <w:rPr>
          <w:lang w:val="fr-FR"/>
        </w:rPr>
        <w:t>PCT</w:t>
      </w:r>
      <w:r w:rsidR="003008DF">
        <w:rPr>
          <w:lang w:val="fr-FR"/>
        </w:rPr>
        <w:t xml:space="preserve">.  </w:t>
      </w:r>
      <w:r w:rsidR="003008DF" w:rsidRPr="00C819AD">
        <w:rPr>
          <w:lang w:val="fr-FR"/>
        </w:rPr>
        <w:t>Au</w:t>
      </w:r>
      <w:r w:rsidR="0009423C" w:rsidRPr="00C819AD">
        <w:rPr>
          <w:lang w:val="fr-FR"/>
        </w:rPr>
        <w:t xml:space="preserve"> sujet des </w:t>
      </w:r>
      <w:r w:rsidR="00111F8E" w:rsidRPr="00C819AD">
        <w:rPr>
          <w:lang w:val="fr-FR"/>
        </w:rPr>
        <w:t>propositions de modification d</w:t>
      </w:r>
      <w:r w:rsidR="0009423C" w:rsidRPr="00C819AD">
        <w:rPr>
          <w:lang w:val="fr-FR"/>
        </w:rPr>
        <w:t>u règlement d</w:t>
      </w:r>
      <w:r w:rsidR="00D76C92">
        <w:rPr>
          <w:lang w:val="fr-FR"/>
        </w:rPr>
        <w:t>’</w:t>
      </w:r>
      <w:r w:rsidR="0009423C" w:rsidRPr="00C819AD">
        <w:rPr>
          <w:lang w:val="fr-FR"/>
        </w:rPr>
        <w:t>exécution du PCT, elle estimait que les modifications devaient tenir compte de facteurs comme la divulgation d</w:t>
      </w:r>
      <w:r w:rsidR="00D76C92">
        <w:rPr>
          <w:lang w:val="fr-FR"/>
        </w:rPr>
        <w:t>’</w:t>
      </w:r>
      <w:r w:rsidR="0009423C" w:rsidRPr="00C819AD">
        <w:rPr>
          <w:lang w:val="fr-FR"/>
        </w:rPr>
        <w:t>autant d</w:t>
      </w:r>
      <w:r w:rsidR="00D76C92">
        <w:rPr>
          <w:lang w:val="fr-FR"/>
        </w:rPr>
        <w:t>’</w:t>
      </w:r>
      <w:r w:rsidR="0009423C" w:rsidRPr="00C819AD">
        <w:rPr>
          <w:lang w:val="fr-FR"/>
        </w:rPr>
        <w:t xml:space="preserve">informations techniques que possible dans les brevets et </w:t>
      </w:r>
      <w:r w:rsidR="006556C0" w:rsidRPr="00C819AD">
        <w:rPr>
          <w:lang w:val="fr-FR"/>
        </w:rPr>
        <w:t>ne pas</w:t>
      </w:r>
      <w:r w:rsidR="0009423C" w:rsidRPr="00C819AD">
        <w:rPr>
          <w:lang w:val="fr-FR"/>
        </w:rPr>
        <w:t xml:space="preserve"> traiter des questions du droit matériel des breve</w:t>
      </w:r>
      <w:r w:rsidR="003008DF" w:rsidRPr="00C819AD">
        <w:rPr>
          <w:lang w:val="fr-FR"/>
        </w:rPr>
        <w:t>ts</w:t>
      </w:r>
      <w:r w:rsidR="003008DF">
        <w:rPr>
          <w:lang w:val="fr-FR"/>
        </w:rPr>
        <w:t xml:space="preserve">.  </w:t>
      </w:r>
      <w:r w:rsidR="003008DF" w:rsidRPr="00C819AD">
        <w:rPr>
          <w:lang w:val="fr-FR"/>
        </w:rPr>
        <w:t>Il</w:t>
      </w:r>
      <w:r w:rsidR="0009423C" w:rsidRPr="00C819AD">
        <w:rPr>
          <w:lang w:val="fr-FR"/>
        </w:rPr>
        <w:t xml:space="preserve"> était important de fournir une assistance technique et juridique et de donner au pays un meilleur accès à différent</w:t>
      </w:r>
      <w:r w:rsidR="00E43A67" w:rsidRPr="00C819AD">
        <w:rPr>
          <w:lang w:val="fr-FR"/>
        </w:rPr>
        <w:t>s</w:t>
      </w:r>
      <w:r w:rsidR="001C0AC5" w:rsidRPr="00C819AD">
        <w:rPr>
          <w:lang w:val="fr-FR"/>
        </w:rPr>
        <w:t xml:space="preserve"> outils de recherche en ligne</w:t>
      </w:r>
      <w:r w:rsidR="0009423C" w:rsidRPr="00C819AD">
        <w:rPr>
          <w:lang w:val="fr-FR"/>
        </w:rPr>
        <w:t xml:space="preserve"> </w:t>
      </w:r>
      <w:r w:rsidR="001C0AC5" w:rsidRPr="00C819AD">
        <w:rPr>
          <w:lang w:val="fr-FR"/>
        </w:rPr>
        <w:t xml:space="preserve">et </w:t>
      </w:r>
      <w:r w:rsidR="0009423C" w:rsidRPr="00C819AD">
        <w:rPr>
          <w:lang w:val="fr-FR"/>
        </w:rPr>
        <w:t>banques de données</w:t>
      </w:r>
      <w:r w:rsidR="0085702C" w:rsidRPr="00C819AD">
        <w:rPr>
          <w:lang w:val="fr-FR"/>
        </w:rPr>
        <w:t>, a</w:t>
      </w:r>
      <w:r w:rsidR="001C0AC5" w:rsidRPr="00C819AD">
        <w:rPr>
          <w:lang w:val="fr-FR"/>
        </w:rPr>
        <w:t>fin d</w:t>
      </w:r>
      <w:r w:rsidR="00D76C92">
        <w:rPr>
          <w:lang w:val="fr-FR"/>
        </w:rPr>
        <w:t>’</w:t>
      </w:r>
      <w:r w:rsidR="001C0AC5" w:rsidRPr="00C819AD">
        <w:rPr>
          <w:lang w:val="fr-FR"/>
        </w:rPr>
        <w:t>a</w:t>
      </w:r>
      <w:r w:rsidR="0085702C" w:rsidRPr="00C819AD">
        <w:rPr>
          <w:lang w:val="fr-FR"/>
        </w:rPr>
        <w:t>ssur</w:t>
      </w:r>
      <w:r w:rsidR="001C0AC5" w:rsidRPr="00C819AD">
        <w:rPr>
          <w:lang w:val="fr-FR"/>
        </w:rPr>
        <w:t>er</w:t>
      </w:r>
      <w:r w:rsidR="0085702C" w:rsidRPr="00C819AD">
        <w:rPr>
          <w:lang w:val="fr-FR"/>
        </w:rPr>
        <w:t xml:space="preserve"> un maximum d</w:t>
      </w:r>
      <w:r w:rsidR="00D76C92">
        <w:rPr>
          <w:lang w:val="fr-FR"/>
        </w:rPr>
        <w:t>’</w:t>
      </w:r>
      <w:r w:rsidR="0085702C" w:rsidRPr="00C819AD">
        <w:rPr>
          <w:lang w:val="fr-FR"/>
        </w:rPr>
        <w:t>égalité en partageant les banques de données sur les brevets et en réduisant les coûts liés à l</w:t>
      </w:r>
      <w:r w:rsidR="00D76C92">
        <w:rPr>
          <w:lang w:val="fr-FR"/>
        </w:rPr>
        <w:t>’</w:t>
      </w:r>
      <w:r w:rsidR="0085702C" w:rsidRPr="00C819AD">
        <w:rPr>
          <w:lang w:val="fr-FR"/>
        </w:rPr>
        <w:t xml:space="preserve">examen des brevets </w:t>
      </w:r>
      <w:r w:rsidR="001C0AC5" w:rsidRPr="00C819AD">
        <w:rPr>
          <w:lang w:val="fr-FR"/>
        </w:rPr>
        <w:t>et</w:t>
      </w:r>
      <w:r w:rsidR="0085702C" w:rsidRPr="00C819AD">
        <w:rPr>
          <w:lang w:val="fr-FR"/>
        </w:rPr>
        <w:t xml:space="preserve"> d</w:t>
      </w:r>
      <w:r w:rsidR="00D76C92">
        <w:rPr>
          <w:lang w:val="fr-FR"/>
        </w:rPr>
        <w:t>’</w:t>
      </w:r>
      <w:r w:rsidR="0085702C" w:rsidRPr="00C819AD">
        <w:rPr>
          <w:lang w:val="fr-FR"/>
        </w:rPr>
        <w:t>encourager les pays en développement à utiliser davantage le système</w:t>
      </w:r>
      <w:r w:rsidR="00C84184" w:rsidRPr="00C819AD">
        <w:rPr>
          <w:lang w:val="fr-FR"/>
        </w:rPr>
        <w:t xml:space="preserve"> du PCT</w:t>
      </w:r>
      <w:r w:rsidR="0085702C" w:rsidRPr="00C819AD">
        <w:rPr>
          <w:lang w:val="fr-FR"/>
        </w:rPr>
        <w:t>.</w:t>
      </w:r>
    </w:p>
    <w:p w:rsidR="00C819AD" w:rsidRPr="00C819AD" w:rsidRDefault="00C819AD" w:rsidP="00C819AD">
      <w:pPr>
        <w:pStyle w:val="ONUMFS"/>
        <w:numPr>
          <w:ilvl w:val="0"/>
          <w:numId w:val="6"/>
        </w:numPr>
        <w:rPr>
          <w:lang w:val="fr-FR"/>
        </w:rPr>
      </w:pPr>
      <w:r w:rsidRPr="00C819AD">
        <w:rPr>
          <w:lang w:val="fr-FR"/>
        </w:rPr>
        <w:t>La délégation de la Mongolie a appuyé les propositions de modification du règlement d</w:t>
      </w:r>
      <w:r w:rsidR="00D76C92">
        <w:rPr>
          <w:lang w:val="fr-FR"/>
        </w:rPr>
        <w:t>’</w:t>
      </w:r>
      <w:r w:rsidRPr="00C819AD">
        <w:rPr>
          <w:lang w:val="fr-FR"/>
        </w:rPr>
        <w:t>exécution du PCT ainsi que la proposition faite par le Brésil en faveur des réductions de taxes pour les universités et les établissements de recherche financés par des fonds publics, présentées dans le document PCT/WG/9/25, qui auraient des répercussions importantes sur la promotion de l</w:t>
      </w:r>
      <w:r w:rsidR="00D76C92">
        <w:rPr>
          <w:lang w:val="fr-FR"/>
        </w:rPr>
        <w:t>’</w:t>
      </w:r>
      <w:r w:rsidRPr="00C819AD">
        <w:rPr>
          <w:lang w:val="fr-FR"/>
        </w:rPr>
        <w:t>innovation dans les pays en développement.</w:t>
      </w:r>
    </w:p>
    <w:p w:rsidR="00C819AD" w:rsidRPr="00C819AD" w:rsidRDefault="00C819AD" w:rsidP="00C819AD">
      <w:pPr>
        <w:pStyle w:val="ONUMFS"/>
        <w:numPr>
          <w:ilvl w:val="0"/>
          <w:numId w:val="6"/>
        </w:numPr>
        <w:rPr>
          <w:lang w:val="fr-FR"/>
        </w:rPr>
      </w:pPr>
      <w:r w:rsidRPr="00C819AD">
        <w:rPr>
          <w:lang w:val="fr-FR"/>
        </w:rPr>
        <w:t>La délégation du Koweït s</w:t>
      </w:r>
      <w:r w:rsidR="00D76C92">
        <w:rPr>
          <w:lang w:val="fr-FR"/>
        </w:rPr>
        <w:t>’</w:t>
      </w:r>
      <w:r w:rsidRPr="00C819AD">
        <w:rPr>
          <w:lang w:val="fr-FR"/>
        </w:rPr>
        <w:t>est félicitée de participer aux réunions de l</w:t>
      </w:r>
      <w:r w:rsidR="00D76C92">
        <w:rPr>
          <w:lang w:val="fr-FR"/>
        </w:rPr>
        <w:t>’</w:t>
      </w:r>
      <w:r w:rsidRPr="00C819AD">
        <w:rPr>
          <w:lang w:val="fr-FR"/>
        </w:rPr>
        <w:t>assemblée pour la première fois en tant qu</w:t>
      </w:r>
      <w:r w:rsidR="00D76C92">
        <w:rPr>
          <w:lang w:val="fr-FR"/>
        </w:rPr>
        <w:t>’</w:t>
      </w:r>
      <w:r w:rsidRPr="00C819AD">
        <w:rPr>
          <w:lang w:val="fr-FR"/>
        </w:rPr>
        <w:t>État contractant du PCT et a remercié le Bureau international pour les moyens et l</w:t>
      </w:r>
      <w:r w:rsidR="00D76C92">
        <w:rPr>
          <w:lang w:val="fr-FR"/>
        </w:rPr>
        <w:t>’</w:t>
      </w:r>
      <w:r w:rsidRPr="00C819AD">
        <w:rPr>
          <w:lang w:val="fr-FR"/>
        </w:rPr>
        <w:t>assistance mis à disposition pour faciliter l</w:t>
      </w:r>
      <w:r w:rsidR="00D76C92">
        <w:rPr>
          <w:lang w:val="fr-FR"/>
        </w:rPr>
        <w:t>’</w:t>
      </w:r>
      <w:r w:rsidRPr="00C819AD">
        <w:rPr>
          <w:lang w:val="fr-FR"/>
        </w:rPr>
        <w:t>adhésion du Koweït à un traité international si important compte tenu de son incidence positive sur le développeme</w:t>
      </w:r>
      <w:r w:rsidR="003008DF" w:rsidRPr="00C819AD">
        <w:rPr>
          <w:lang w:val="fr-FR"/>
        </w:rPr>
        <w:t>nt</w:t>
      </w:r>
      <w:r w:rsidR="003008DF">
        <w:rPr>
          <w:lang w:val="fr-FR"/>
        </w:rPr>
        <w:t xml:space="preserve">.  </w:t>
      </w:r>
      <w:r w:rsidR="003008DF" w:rsidRPr="00C819AD">
        <w:rPr>
          <w:lang w:val="fr-FR"/>
        </w:rPr>
        <w:t>Le</w:t>
      </w:r>
      <w:r w:rsidRPr="00C819AD">
        <w:rPr>
          <w:lang w:val="fr-FR"/>
        </w:rPr>
        <w:t xml:space="preserve"> Koweït avait déposé son instrument d</w:t>
      </w:r>
      <w:r w:rsidR="00D76C92">
        <w:rPr>
          <w:lang w:val="fr-FR"/>
        </w:rPr>
        <w:t>’</w:t>
      </w:r>
      <w:r w:rsidRPr="00C819AD">
        <w:rPr>
          <w:lang w:val="fr-FR"/>
        </w:rPr>
        <w:t>adhésion au traité le 9 juin 2016, pour une entrée en vigueur au Koweït le 9 septembre 2016.  Cette adhésion découlait de la volonté du Koweït de promouvoir et de favoriser l</w:t>
      </w:r>
      <w:r w:rsidR="00D76C92">
        <w:rPr>
          <w:lang w:val="fr-FR"/>
        </w:rPr>
        <w:t>’</w:t>
      </w:r>
      <w:r w:rsidRPr="00C819AD">
        <w:rPr>
          <w:lang w:val="fr-FR"/>
        </w:rPr>
        <w:t>innovation et la créativité dans le pays, en tenant compte de l</w:t>
      </w:r>
      <w:r w:rsidR="00D76C92">
        <w:rPr>
          <w:lang w:val="fr-FR"/>
        </w:rPr>
        <w:t>’</w:t>
      </w:r>
      <w:r w:rsidRPr="00C819AD">
        <w:rPr>
          <w:lang w:val="fr-FR"/>
        </w:rPr>
        <w:t>expérience fructueuse du Conseil de coopération des États arabes du Golfe pour en tirer par</w:t>
      </w:r>
      <w:r w:rsidR="003008DF" w:rsidRPr="00C819AD">
        <w:rPr>
          <w:lang w:val="fr-FR"/>
        </w:rPr>
        <w:t>ti</w:t>
      </w:r>
      <w:r w:rsidR="003008DF">
        <w:rPr>
          <w:lang w:val="fr-FR"/>
        </w:rPr>
        <w:t xml:space="preserve">.  </w:t>
      </w:r>
      <w:r w:rsidR="003008DF" w:rsidRPr="00C819AD">
        <w:rPr>
          <w:lang w:val="fr-FR"/>
        </w:rPr>
        <w:t>Le</w:t>
      </w:r>
      <w:r w:rsidRPr="00C819AD">
        <w:rPr>
          <w:lang w:val="fr-FR"/>
        </w:rPr>
        <w:t xml:space="preserve"> Koweït reconnaissait l</w:t>
      </w:r>
      <w:r w:rsidR="00D76C92">
        <w:rPr>
          <w:lang w:val="fr-FR"/>
        </w:rPr>
        <w:t>’</w:t>
      </w:r>
      <w:r w:rsidRPr="00C819AD">
        <w:rPr>
          <w:lang w:val="fr-FR"/>
        </w:rPr>
        <w:t>importance du rôle joué par la propriété intellectuelle et du fait que le traité offrait de nombreux avantages aux pays en développeme</w:t>
      </w:r>
      <w:r w:rsidR="003008DF" w:rsidRPr="00C819AD">
        <w:rPr>
          <w:lang w:val="fr-FR"/>
        </w:rPr>
        <w:t>nt</w:t>
      </w:r>
      <w:r w:rsidR="003008DF">
        <w:rPr>
          <w:lang w:val="fr-FR"/>
        </w:rPr>
        <w:t xml:space="preserve">.  </w:t>
      </w:r>
      <w:r w:rsidR="003008DF" w:rsidRPr="00C819AD">
        <w:rPr>
          <w:lang w:val="fr-FR"/>
        </w:rPr>
        <w:t>En</w:t>
      </w:r>
      <w:r w:rsidRPr="00C819AD">
        <w:rPr>
          <w:lang w:val="fr-FR"/>
        </w:rPr>
        <w:t xml:space="preserve"> effet, il s</w:t>
      </w:r>
      <w:r w:rsidR="00D76C92">
        <w:rPr>
          <w:lang w:val="fr-FR"/>
        </w:rPr>
        <w:t>’</w:t>
      </w:r>
      <w:r w:rsidRPr="00C819AD">
        <w:rPr>
          <w:lang w:val="fr-FR"/>
        </w:rPr>
        <w:t>agissait d</w:t>
      </w:r>
      <w:r w:rsidR="00D76C92">
        <w:rPr>
          <w:lang w:val="fr-FR"/>
        </w:rPr>
        <w:t>’</w:t>
      </w:r>
      <w:r w:rsidRPr="00C819AD">
        <w:rPr>
          <w:lang w:val="fr-FR"/>
        </w:rPr>
        <w:t xml:space="preserve">un </w:t>
      </w:r>
      <w:r w:rsidRPr="00C819AD">
        <w:rPr>
          <w:lang w:val="fr-FR"/>
        </w:rPr>
        <w:lastRenderedPageBreak/>
        <w:t>système international qui permettait aux inventeurs remplissant les conditions requises selon les dispositions du PCT de déposer leurs demandes dans 150 pays et de définir l</w:t>
      </w:r>
      <w:r w:rsidR="00D76C92">
        <w:rPr>
          <w:lang w:val="fr-FR"/>
        </w:rPr>
        <w:t>’</w:t>
      </w:r>
      <w:r w:rsidRPr="00C819AD">
        <w:rPr>
          <w:lang w:val="fr-FR"/>
        </w:rPr>
        <w:t>étendue souhaitée de la protecti</w:t>
      </w:r>
      <w:r w:rsidR="003008DF" w:rsidRPr="00C819AD">
        <w:rPr>
          <w:lang w:val="fr-FR"/>
        </w:rPr>
        <w:t>on</w:t>
      </w:r>
      <w:r w:rsidR="003008DF">
        <w:rPr>
          <w:lang w:val="fr-FR"/>
        </w:rPr>
        <w:t xml:space="preserve">.  </w:t>
      </w:r>
      <w:r w:rsidR="003008DF" w:rsidRPr="00C819AD">
        <w:rPr>
          <w:lang w:val="fr-FR"/>
        </w:rPr>
        <w:t xml:space="preserve">À </w:t>
      </w:r>
      <w:r w:rsidRPr="00C819AD">
        <w:rPr>
          <w:lang w:val="fr-FR"/>
        </w:rPr>
        <w:t>cet égard, l</w:t>
      </w:r>
      <w:r w:rsidR="00D76C92">
        <w:rPr>
          <w:lang w:val="fr-FR"/>
        </w:rPr>
        <w:t>’</w:t>
      </w:r>
      <w:r w:rsidRPr="00C819AD">
        <w:rPr>
          <w:lang w:val="fr-FR"/>
        </w:rPr>
        <w:t>adhésion du Koweït pouvait être vue comme l</w:t>
      </w:r>
      <w:r w:rsidR="00D76C92">
        <w:rPr>
          <w:lang w:val="fr-FR"/>
        </w:rPr>
        <w:t>’</w:t>
      </w:r>
      <w:r w:rsidRPr="00C819AD">
        <w:rPr>
          <w:lang w:val="fr-FR"/>
        </w:rPr>
        <w:t>expression de la volonté du pays de soutenir l</w:t>
      </w:r>
      <w:r w:rsidR="00D76C92">
        <w:rPr>
          <w:lang w:val="fr-FR"/>
        </w:rPr>
        <w:t>’</w:t>
      </w:r>
      <w:r w:rsidRPr="00C819AD">
        <w:rPr>
          <w:lang w:val="fr-FR"/>
        </w:rPr>
        <w:t>innovation et la créativité en faveur du développement économique nation</w:t>
      </w:r>
      <w:r w:rsidR="003008DF" w:rsidRPr="00C819AD">
        <w:rPr>
          <w:lang w:val="fr-FR"/>
        </w:rPr>
        <w:t>al</w:t>
      </w:r>
      <w:r w:rsidR="003008DF">
        <w:rPr>
          <w:lang w:val="fr-FR"/>
        </w:rPr>
        <w:t xml:space="preserve">.  </w:t>
      </w:r>
      <w:r w:rsidR="003008DF" w:rsidRPr="00C819AD">
        <w:rPr>
          <w:lang w:val="fr-FR"/>
        </w:rPr>
        <w:t>Co</w:t>
      </w:r>
      <w:r w:rsidRPr="00C819AD">
        <w:rPr>
          <w:lang w:val="fr-FR"/>
        </w:rPr>
        <w:t>nscient de l</w:t>
      </w:r>
      <w:r w:rsidR="00D76C92">
        <w:rPr>
          <w:lang w:val="fr-FR"/>
        </w:rPr>
        <w:t>’</w:t>
      </w:r>
      <w:r w:rsidRPr="00C819AD">
        <w:rPr>
          <w:lang w:val="fr-FR"/>
        </w:rPr>
        <w:t>importance de la propriété intellectuelle dans la définition du niveau de développement d</w:t>
      </w:r>
      <w:r w:rsidR="00D76C92">
        <w:rPr>
          <w:lang w:val="fr-FR"/>
        </w:rPr>
        <w:t>’</w:t>
      </w:r>
      <w:r w:rsidRPr="00C819AD">
        <w:rPr>
          <w:lang w:val="fr-FR"/>
        </w:rPr>
        <w:t>un pays, le Koweït déployait des efforts pour développer les capacités créatives au moyen de programmes de sensibilisation à l</w:t>
      </w:r>
      <w:r w:rsidR="00D76C92">
        <w:rPr>
          <w:lang w:val="fr-FR"/>
        </w:rPr>
        <w:t>’</w:t>
      </w:r>
      <w:r w:rsidRPr="00C819AD">
        <w:rPr>
          <w:lang w:val="fr-FR"/>
        </w:rPr>
        <w:t>intention des écoles, des universités et des établissements de recherc</w:t>
      </w:r>
      <w:r w:rsidR="003008DF" w:rsidRPr="00C819AD">
        <w:rPr>
          <w:lang w:val="fr-FR"/>
        </w:rPr>
        <w:t>he</w:t>
      </w:r>
      <w:r w:rsidR="003008DF">
        <w:rPr>
          <w:lang w:val="fr-FR"/>
        </w:rPr>
        <w:t xml:space="preserve">.  </w:t>
      </w:r>
      <w:r w:rsidR="003008DF" w:rsidRPr="00C819AD">
        <w:rPr>
          <w:lang w:val="fr-FR"/>
        </w:rPr>
        <w:t>Pa</w:t>
      </w:r>
      <w:r w:rsidRPr="00C819AD">
        <w:rPr>
          <w:lang w:val="fr-FR"/>
        </w:rPr>
        <w:t>r ailleurs, le Koweït attendait avec intérêt de commencer à coopérer avec les États contractants du PCT sur la question de l</w:t>
      </w:r>
      <w:r w:rsidR="00D76C92">
        <w:rPr>
          <w:lang w:val="fr-FR"/>
        </w:rPr>
        <w:t>’</w:t>
      </w:r>
      <w:r w:rsidRPr="00C819AD">
        <w:rPr>
          <w:lang w:val="fr-FR"/>
        </w:rPr>
        <w:t>examen des brevets, et de poursuivre ses travaux avec le Bureau international dans le domaine de l</w:t>
      </w:r>
      <w:r w:rsidR="00D76C92">
        <w:rPr>
          <w:lang w:val="fr-FR"/>
        </w:rPr>
        <w:t>’</w:t>
      </w:r>
      <w:r w:rsidRPr="00C819AD">
        <w:rPr>
          <w:lang w:val="fr-FR"/>
        </w:rPr>
        <w:t>assistance technique pour remplir ses obligatio</w:t>
      </w:r>
      <w:r w:rsidR="003008DF" w:rsidRPr="00C819AD">
        <w:rPr>
          <w:lang w:val="fr-FR"/>
        </w:rPr>
        <w:t>ns</w:t>
      </w:r>
      <w:r w:rsidR="003008DF">
        <w:rPr>
          <w:lang w:val="fr-FR"/>
        </w:rPr>
        <w:t xml:space="preserve">.  </w:t>
      </w:r>
      <w:r w:rsidR="003008DF" w:rsidRPr="00C819AD">
        <w:rPr>
          <w:lang w:val="fr-FR"/>
        </w:rPr>
        <w:t>En</w:t>
      </w:r>
      <w:r w:rsidRPr="00C819AD">
        <w:rPr>
          <w:lang w:val="fr-FR"/>
        </w:rPr>
        <w:t xml:space="preserve"> conclusion, la délégation espérait que les travaux menés par l</w:t>
      </w:r>
      <w:r w:rsidR="00D76C92">
        <w:rPr>
          <w:lang w:val="fr-FR"/>
        </w:rPr>
        <w:t>’</w:t>
      </w:r>
      <w:r w:rsidRPr="00C819AD">
        <w:rPr>
          <w:lang w:val="fr-FR"/>
        </w:rPr>
        <w:t>Organisation seraient fructueux, a remercié les experts de l</w:t>
      </w:r>
      <w:r w:rsidR="00D76C92">
        <w:rPr>
          <w:lang w:val="fr-FR"/>
        </w:rPr>
        <w:t>’</w:t>
      </w:r>
      <w:r w:rsidRPr="00C819AD">
        <w:rPr>
          <w:lang w:val="fr-FR"/>
        </w:rPr>
        <w:t>OMPI pour leurs conseils et a salué les efforts déployés pour améliorer les résultats de l</w:t>
      </w:r>
      <w:r w:rsidR="00D76C92">
        <w:rPr>
          <w:lang w:val="fr-FR"/>
        </w:rPr>
        <w:t>’</w:t>
      </w:r>
      <w:r w:rsidRPr="00C819AD">
        <w:rPr>
          <w:lang w:val="fr-FR"/>
        </w:rPr>
        <w:t>Office de la propriété intellectuelle du Koweït.</w:t>
      </w:r>
    </w:p>
    <w:p w:rsidR="00C819AD" w:rsidRPr="00C819AD" w:rsidRDefault="00C819AD" w:rsidP="00C819AD">
      <w:pPr>
        <w:pStyle w:val="ONUMFS"/>
        <w:numPr>
          <w:ilvl w:val="0"/>
          <w:numId w:val="6"/>
        </w:numPr>
        <w:ind w:left="567"/>
        <w:rPr>
          <w:lang w:val="fr-FR"/>
        </w:rPr>
      </w:pPr>
      <w:r w:rsidRPr="00C819AD">
        <w:rPr>
          <w:lang w:val="fr-FR"/>
        </w:rPr>
        <w:t>L</w:t>
      </w:r>
      <w:r w:rsidR="00D76C92">
        <w:rPr>
          <w:lang w:val="fr-FR"/>
        </w:rPr>
        <w:t>’</w:t>
      </w:r>
      <w:r w:rsidRPr="00C819AD">
        <w:rPr>
          <w:lang w:val="fr-FR"/>
        </w:rPr>
        <w:t>assemblée</w:t>
      </w:r>
    </w:p>
    <w:p w:rsidR="00C819AD" w:rsidRPr="00C819AD" w:rsidRDefault="00C819AD" w:rsidP="00C819AD">
      <w:pPr>
        <w:pStyle w:val="ONUMFS"/>
        <w:numPr>
          <w:ilvl w:val="2"/>
          <w:numId w:val="6"/>
        </w:numPr>
        <w:rPr>
          <w:lang w:val="fr-FR"/>
        </w:rPr>
      </w:pPr>
      <w:r w:rsidRPr="00C819AD">
        <w:rPr>
          <w:lang w:val="fr-FR"/>
        </w:rPr>
        <w:t>a pris note du “Rapport sur le Groupe de travail du PCT” (document PCT/A/48/1) et</w:t>
      </w:r>
    </w:p>
    <w:p w:rsidR="00C819AD" w:rsidRPr="00C819AD" w:rsidRDefault="00C819AD" w:rsidP="00C819AD">
      <w:pPr>
        <w:pStyle w:val="ONUMFS"/>
        <w:numPr>
          <w:ilvl w:val="2"/>
          <w:numId w:val="6"/>
        </w:numPr>
        <w:rPr>
          <w:lang w:val="fr-FR"/>
        </w:rPr>
      </w:pPr>
      <w:r w:rsidRPr="00C819AD">
        <w:rPr>
          <w:lang w:val="fr-FR"/>
        </w:rPr>
        <w:t>a approuvé la convocation d</w:t>
      </w:r>
      <w:r w:rsidR="00D76C92">
        <w:rPr>
          <w:lang w:val="fr-FR"/>
        </w:rPr>
        <w:t>’</w:t>
      </w:r>
      <w:r w:rsidRPr="00C819AD">
        <w:rPr>
          <w:lang w:val="fr-FR"/>
        </w:rPr>
        <w:t>une session du Groupe de travail du PCT, comme indiqué au paragraphe 6 de ce document.</w:t>
      </w:r>
    </w:p>
    <w:p w:rsidR="00C819AD" w:rsidRPr="00C819AD" w:rsidRDefault="00C819AD" w:rsidP="004C71F5">
      <w:pPr>
        <w:pStyle w:val="Heading1"/>
        <w:rPr>
          <w:lang w:val="fr-FR"/>
        </w:rPr>
      </w:pPr>
      <w:r w:rsidRPr="00C819AD">
        <w:rPr>
          <w:lang w:val="fr-FR"/>
        </w:rPr>
        <w:t>Travaux des administrations internationales relatifs à la qualité</w:t>
      </w:r>
    </w:p>
    <w:p w:rsidR="00C819AD" w:rsidRPr="00C819AD" w:rsidRDefault="00C819AD" w:rsidP="00AE6C72">
      <w:pPr>
        <w:rPr>
          <w:lang w:val="fr-FR"/>
        </w:rPr>
      </w:pPr>
    </w:p>
    <w:p w:rsidR="00C819AD" w:rsidRPr="00C819AD" w:rsidRDefault="00C819AD" w:rsidP="00C819AD">
      <w:pPr>
        <w:pStyle w:val="ONUMFS"/>
        <w:numPr>
          <w:ilvl w:val="0"/>
          <w:numId w:val="6"/>
        </w:numPr>
        <w:rPr>
          <w:lang w:val="fr-FR"/>
        </w:rPr>
      </w:pPr>
      <w:r w:rsidRPr="00C819AD">
        <w:rPr>
          <w:lang w:val="fr-FR"/>
        </w:rPr>
        <w:t>Les délibérations ont eu lieu sur la base du document PCT/A/48/2.</w:t>
      </w:r>
    </w:p>
    <w:p w:rsidR="00C819AD" w:rsidRPr="00C819AD" w:rsidRDefault="00C819AD" w:rsidP="00C819AD">
      <w:pPr>
        <w:pStyle w:val="ONUMFS"/>
        <w:numPr>
          <w:ilvl w:val="0"/>
          <w:numId w:val="6"/>
        </w:numPr>
        <w:rPr>
          <w:lang w:val="fr-FR"/>
        </w:rPr>
      </w:pPr>
      <w:r w:rsidRPr="00C819AD">
        <w:rPr>
          <w:lang w:val="fr-FR"/>
        </w:rPr>
        <w:t>Le Secrétariat a expliqué que ce document contenait un rapport succinct sur les travaux relatifs à la qualité menés par les administrations chargées de la recherche internationale et de l</w:t>
      </w:r>
      <w:r w:rsidR="00D76C92">
        <w:rPr>
          <w:lang w:val="fr-FR"/>
        </w:rPr>
        <w:t>’</w:t>
      </w:r>
      <w:r w:rsidRPr="00C819AD">
        <w:rPr>
          <w:lang w:val="fr-FR"/>
        </w:rPr>
        <w:t>examen préliminaire international, principalement dans le cadre de la Réunion des administrations internationales et, notamment, du Sous</w:t>
      </w:r>
      <w:r w:rsidR="00E4676F">
        <w:rPr>
          <w:lang w:val="fr-FR"/>
        </w:rPr>
        <w:noBreakHyphen/>
      </w:r>
      <w:r w:rsidRPr="00C819AD">
        <w:rPr>
          <w:lang w:val="fr-FR"/>
        </w:rPr>
        <w:t>Groupe chargé de la quali</w:t>
      </w:r>
      <w:r w:rsidR="003008DF" w:rsidRPr="00C819AD">
        <w:rPr>
          <w:lang w:val="fr-FR"/>
        </w:rPr>
        <w:t>té</w:t>
      </w:r>
      <w:r w:rsidR="003008DF">
        <w:rPr>
          <w:lang w:val="fr-FR"/>
        </w:rPr>
        <w:t xml:space="preserve">.  </w:t>
      </w:r>
      <w:r w:rsidR="003008DF" w:rsidRPr="00C819AD">
        <w:rPr>
          <w:lang w:val="fr-FR"/>
        </w:rPr>
        <w:t>L</w:t>
      </w:r>
      <w:r w:rsidR="003008DF">
        <w:rPr>
          <w:lang w:val="fr-FR"/>
        </w:rPr>
        <w:t>’</w:t>
      </w:r>
      <w:r w:rsidR="003008DF" w:rsidRPr="00C819AD">
        <w:rPr>
          <w:lang w:val="fr-FR"/>
        </w:rPr>
        <w:t>o</w:t>
      </w:r>
      <w:r w:rsidRPr="00C819AD">
        <w:rPr>
          <w:lang w:val="fr-FR"/>
        </w:rPr>
        <w:t>bjet de ce document était de présenter les résultats de la sixième réunion informelle du Sous</w:t>
      </w:r>
      <w:r w:rsidR="00E4676F">
        <w:rPr>
          <w:lang w:val="fr-FR"/>
        </w:rPr>
        <w:noBreakHyphen/>
      </w:r>
      <w:r w:rsidRPr="00C819AD">
        <w:rPr>
          <w:lang w:val="fr-FR"/>
        </w:rPr>
        <w:t>groupe chargé de la qualité tenue à Santiago (Chili) en janvier 2016.  Au cours de cette réunion, les administrations internationales avaient poursuivi les discussions sur les mesures à prendre pour améliorer la qualité globale et l</w:t>
      </w:r>
      <w:r w:rsidR="00D76C92">
        <w:rPr>
          <w:lang w:val="fr-FR"/>
        </w:rPr>
        <w:t>’</w:t>
      </w:r>
      <w:r w:rsidRPr="00C819AD">
        <w:rPr>
          <w:lang w:val="fr-FR"/>
        </w:rPr>
        <w:t>utilité des produits du travail du PCT, notamment les rapports de recherche internationale et les rapports préliminaires internationaux sur la brevetabilité établis par les administrations internationales.</w:t>
      </w:r>
    </w:p>
    <w:p w:rsidR="00C819AD" w:rsidRPr="00C819AD" w:rsidRDefault="00C819AD" w:rsidP="00C819AD">
      <w:pPr>
        <w:pStyle w:val="ONUMFS"/>
        <w:numPr>
          <w:ilvl w:val="0"/>
          <w:numId w:val="6"/>
        </w:numPr>
        <w:ind w:left="567"/>
        <w:rPr>
          <w:lang w:val="fr-FR"/>
        </w:rPr>
      </w:pPr>
      <w:r w:rsidRPr="00C819AD">
        <w:rPr>
          <w:lang w:val="fr-FR"/>
        </w:rPr>
        <w:t>L</w:t>
      </w:r>
      <w:r w:rsidR="00D76C92">
        <w:rPr>
          <w:lang w:val="fr-FR"/>
        </w:rPr>
        <w:t>’</w:t>
      </w:r>
      <w:r w:rsidRPr="00C819AD">
        <w:rPr>
          <w:lang w:val="fr-FR"/>
        </w:rPr>
        <w:t>assemblée a pris note du rapport sur les “Travaux des administrations internationales relatifs à la qualité” figurant dans le document PCT/A/48/2.</w:t>
      </w:r>
    </w:p>
    <w:p w:rsidR="00C819AD" w:rsidRPr="00C819AD" w:rsidRDefault="00C819AD" w:rsidP="004C71F5">
      <w:pPr>
        <w:pStyle w:val="Heading1"/>
        <w:rPr>
          <w:lang w:val="fr-FR"/>
        </w:rPr>
      </w:pPr>
      <w:r w:rsidRPr="00C819AD">
        <w:rPr>
          <w:lang w:val="fr-FR"/>
        </w:rPr>
        <w:t>Propositions de modification du règlement d</w:t>
      </w:r>
      <w:r w:rsidR="00D76C92">
        <w:rPr>
          <w:lang w:val="fr-FR"/>
        </w:rPr>
        <w:t>’</w:t>
      </w:r>
      <w:r w:rsidRPr="00C819AD">
        <w:rPr>
          <w:lang w:val="fr-FR"/>
        </w:rPr>
        <w:t>exécution du PCT</w:t>
      </w:r>
    </w:p>
    <w:p w:rsidR="00C819AD" w:rsidRPr="00C819AD" w:rsidRDefault="00C819AD" w:rsidP="00AE6C72">
      <w:pPr>
        <w:rPr>
          <w:lang w:val="fr-FR"/>
        </w:rPr>
      </w:pPr>
    </w:p>
    <w:p w:rsidR="00C819AD" w:rsidRPr="00C819AD" w:rsidRDefault="00C819AD" w:rsidP="00C819AD">
      <w:pPr>
        <w:pStyle w:val="ONUMFS"/>
        <w:numPr>
          <w:ilvl w:val="0"/>
          <w:numId w:val="6"/>
        </w:numPr>
        <w:rPr>
          <w:lang w:val="fr-FR"/>
        </w:rPr>
      </w:pPr>
      <w:r w:rsidRPr="00C819AD">
        <w:rPr>
          <w:lang w:val="fr-FR"/>
        </w:rPr>
        <w:t>Les délibérations ont eu lieu sur la base du document PCT/A/48/3.</w:t>
      </w:r>
    </w:p>
    <w:p w:rsidR="00C819AD" w:rsidRPr="00C819AD" w:rsidRDefault="00C819AD" w:rsidP="00C819AD">
      <w:pPr>
        <w:pStyle w:val="ONUMFS"/>
        <w:numPr>
          <w:ilvl w:val="0"/>
          <w:numId w:val="6"/>
        </w:numPr>
        <w:rPr>
          <w:lang w:val="fr-FR"/>
        </w:rPr>
      </w:pPr>
      <w:r w:rsidRPr="00C819AD">
        <w:rPr>
          <w:lang w:val="fr-FR"/>
        </w:rPr>
        <w:t>Le Secrétariat a présenté le document, contenant des propositions de modification du règlement d</w:t>
      </w:r>
      <w:r w:rsidR="00D76C92">
        <w:rPr>
          <w:lang w:val="fr-FR"/>
        </w:rPr>
        <w:t>’</w:t>
      </w:r>
      <w:r w:rsidRPr="00C819AD">
        <w:rPr>
          <w:lang w:val="fr-FR"/>
        </w:rPr>
        <w:t>exécution du </w:t>
      </w:r>
      <w:r w:rsidR="003008DF" w:rsidRPr="00C819AD">
        <w:rPr>
          <w:lang w:val="fr-FR"/>
        </w:rPr>
        <w:t>PCT</w:t>
      </w:r>
      <w:r w:rsidR="003008DF">
        <w:rPr>
          <w:lang w:val="fr-FR"/>
        </w:rPr>
        <w:t xml:space="preserve">.  </w:t>
      </w:r>
      <w:r w:rsidR="003008DF" w:rsidRPr="00C819AD">
        <w:rPr>
          <w:lang w:val="fr-FR"/>
        </w:rPr>
        <w:t>Le</w:t>
      </w:r>
      <w:r w:rsidRPr="00C819AD">
        <w:rPr>
          <w:lang w:val="fr-FR"/>
        </w:rPr>
        <w:t>s modifications proposées avaient été examinées par le Groupe de travail du PCT, qui était convenu à l</w:t>
      </w:r>
      <w:r w:rsidR="00D76C92">
        <w:rPr>
          <w:lang w:val="fr-FR"/>
        </w:rPr>
        <w:t>’</w:t>
      </w:r>
      <w:r w:rsidRPr="00C819AD">
        <w:rPr>
          <w:lang w:val="fr-FR"/>
        </w:rPr>
        <w:t>unanimité de recommander à l</w:t>
      </w:r>
      <w:r w:rsidR="00D76C92">
        <w:rPr>
          <w:lang w:val="fr-FR"/>
        </w:rPr>
        <w:t>’</w:t>
      </w:r>
      <w:r w:rsidRPr="00C819AD">
        <w:rPr>
          <w:lang w:val="fr-FR"/>
        </w:rPr>
        <w:t>assemblée d</w:t>
      </w:r>
      <w:r w:rsidR="00D76C92">
        <w:rPr>
          <w:lang w:val="fr-FR"/>
        </w:rPr>
        <w:t>’</w:t>
      </w:r>
      <w:r w:rsidRPr="00C819AD">
        <w:rPr>
          <w:lang w:val="fr-FR"/>
        </w:rPr>
        <w:t>adopter les modifications telles quell</w:t>
      </w:r>
      <w:r w:rsidR="003008DF" w:rsidRPr="00C819AD">
        <w:rPr>
          <w:lang w:val="fr-FR"/>
        </w:rPr>
        <w:t>es</w:t>
      </w:r>
      <w:r w:rsidR="003008DF">
        <w:rPr>
          <w:lang w:val="fr-FR"/>
        </w:rPr>
        <w:t xml:space="preserve">.  </w:t>
      </w:r>
      <w:r w:rsidR="003008DF" w:rsidRPr="00C819AD">
        <w:rPr>
          <w:lang w:val="fr-FR"/>
        </w:rPr>
        <w:t>Le</w:t>
      </w:r>
      <w:r w:rsidRPr="00C819AD">
        <w:rPr>
          <w:lang w:val="fr-FR"/>
        </w:rPr>
        <w:t>s propositions de modification figurant dans l</w:t>
      </w:r>
      <w:r w:rsidR="00D76C92">
        <w:rPr>
          <w:lang w:val="fr-FR"/>
        </w:rPr>
        <w:t>’</w:t>
      </w:r>
      <w:r w:rsidRPr="00C819AD">
        <w:rPr>
          <w:lang w:val="fr-FR"/>
        </w:rPr>
        <w:t>annexe I du document portaient sur : l</w:t>
      </w:r>
      <w:r w:rsidR="00D76C92">
        <w:rPr>
          <w:lang w:val="fr-FR"/>
        </w:rPr>
        <w:t>’</w:t>
      </w:r>
      <w:r w:rsidRPr="00C819AD">
        <w:rPr>
          <w:lang w:val="fr-FR"/>
        </w:rPr>
        <w:t>extension du délai imparti pour demander une recherche internationale supplémentaire, consistant à le porter de 19 à 22 mois à compter de la date de priorité;  la clarification des liens entre, d</w:t>
      </w:r>
      <w:r w:rsidR="00D76C92">
        <w:rPr>
          <w:lang w:val="fr-FR"/>
        </w:rPr>
        <w:t>’</w:t>
      </w:r>
      <w:r w:rsidRPr="00C819AD">
        <w:rPr>
          <w:lang w:val="fr-FR"/>
        </w:rPr>
        <w:t>une part, la règle 23</w:t>
      </w:r>
      <w:r w:rsidRPr="00C819AD">
        <w:rPr>
          <w:i/>
          <w:lang w:val="fr-FR"/>
        </w:rPr>
        <w:t>bis</w:t>
      </w:r>
      <w:r w:rsidRPr="00C819AD">
        <w:rPr>
          <w:lang w:val="fr-FR"/>
        </w:rPr>
        <w:t>.2.a) et, d</w:t>
      </w:r>
      <w:r w:rsidR="00D76C92">
        <w:rPr>
          <w:lang w:val="fr-FR"/>
        </w:rPr>
        <w:t>’</w:t>
      </w:r>
      <w:r w:rsidRPr="00C819AD">
        <w:rPr>
          <w:lang w:val="fr-FR"/>
        </w:rPr>
        <w:t>autre part, l</w:t>
      </w:r>
      <w:r w:rsidR="00D76C92">
        <w:rPr>
          <w:lang w:val="fr-FR"/>
        </w:rPr>
        <w:t>’</w:t>
      </w:r>
      <w:r w:rsidRPr="00C819AD">
        <w:rPr>
          <w:lang w:val="fr-FR"/>
        </w:rPr>
        <w:t>article 30.2)a) applicable en vertu de l</w:t>
      </w:r>
      <w:r w:rsidR="00D76C92">
        <w:rPr>
          <w:lang w:val="fr-FR"/>
        </w:rPr>
        <w:t>’</w:t>
      </w:r>
      <w:r w:rsidRPr="00C819AD">
        <w:rPr>
          <w:lang w:val="fr-FR"/>
        </w:rPr>
        <w:t>article 30.3), qui porte sur la transmission par l</w:t>
      </w:r>
      <w:r w:rsidR="00D76C92">
        <w:rPr>
          <w:lang w:val="fr-FR"/>
        </w:rPr>
        <w:t>’</w:t>
      </w:r>
      <w:r w:rsidRPr="00C819AD">
        <w:rPr>
          <w:lang w:val="fr-FR"/>
        </w:rPr>
        <w:t>office récepteur des résultats de recherche ou de classement antérieurs à l</w:t>
      </w:r>
      <w:r w:rsidR="00D76C92">
        <w:rPr>
          <w:lang w:val="fr-FR"/>
        </w:rPr>
        <w:t>’</w:t>
      </w:r>
      <w:r w:rsidRPr="00C819AD">
        <w:rPr>
          <w:lang w:val="fr-FR"/>
        </w:rPr>
        <w:t>administration chargée de la recherche internationale;  et la suppression de “dispositions relatives à une incompatibilité” à la suite du retrait des notifications finales d</w:t>
      </w:r>
      <w:r w:rsidR="00D76C92">
        <w:rPr>
          <w:lang w:val="fr-FR"/>
        </w:rPr>
        <w:t>’</w:t>
      </w:r>
      <w:r w:rsidRPr="00C819AD">
        <w:rPr>
          <w:lang w:val="fr-FR"/>
        </w:rPr>
        <w:t>incompatibilité en vertu de ces dispositions.</w:t>
      </w:r>
    </w:p>
    <w:p w:rsidR="00C819AD" w:rsidRPr="00C819AD" w:rsidRDefault="00C819AD" w:rsidP="00C819AD">
      <w:pPr>
        <w:pStyle w:val="ONUMFS"/>
        <w:keepNext/>
        <w:numPr>
          <w:ilvl w:val="0"/>
          <w:numId w:val="6"/>
        </w:numPr>
        <w:ind w:left="567"/>
        <w:rPr>
          <w:lang w:val="fr-FR"/>
        </w:rPr>
      </w:pPr>
      <w:r w:rsidRPr="00C819AD">
        <w:rPr>
          <w:lang w:val="fr-FR"/>
        </w:rPr>
        <w:lastRenderedPageBreak/>
        <w:t>L</w:t>
      </w:r>
      <w:r w:rsidR="00D76C92">
        <w:rPr>
          <w:lang w:val="fr-FR"/>
        </w:rPr>
        <w:t>’</w:t>
      </w:r>
      <w:r w:rsidRPr="00C819AD">
        <w:rPr>
          <w:lang w:val="fr-FR"/>
        </w:rPr>
        <w:t>assemblée</w:t>
      </w:r>
    </w:p>
    <w:p w:rsidR="00C819AD" w:rsidRPr="00C819AD" w:rsidRDefault="00C819AD" w:rsidP="00C819AD">
      <w:pPr>
        <w:pStyle w:val="ONUMFS"/>
        <w:numPr>
          <w:ilvl w:val="2"/>
          <w:numId w:val="6"/>
        </w:numPr>
        <w:rPr>
          <w:lang w:val="fr-FR"/>
        </w:rPr>
      </w:pPr>
      <w:r w:rsidRPr="00C819AD">
        <w:rPr>
          <w:lang w:val="fr-FR"/>
        </w:rPr>
        <w:t>a adopté les modifications du règlement d</w:t>
      </w:r>
      <w:r w:rsidR="00D76C92">
        <w:rPr>
          <w:lang w:val="fr-FR"/>
        </w:rPr>
        <w:t>’</w:t>
      </w:r>
      <w:r w:rsidRPr="00C819AD">
        <w:rPr>
          <w:lang w:val="fr-FR"/>
        </w:rPr>
        <w:t>exécution du PCT présentées dans l</w:t>
      </w:r>
      <w:r w:rsidR="00D76C92">
        <w:rPr>
          <w:lang w:val="fr-FR"/>
        </w:rPr>
        <w:t>’</w:t>
      </w:r>
      <w:r w:rsidRPr="00C819AD">
        <w:rPr>
          <w:lang w:val="fr-FR"/>
        </w:rPr>
        <w:t>annexe I du document PCT/A/48/3 et</w:t>
      </w:r>
    </w:p>
    <w:p w:rsidR="00C819AD" w:rsidRPr="00C819AD" w:rsidRDefault="00C819AD" w:rsidP="00C819AD">
      <w:pPr>
        <w:pStyle w:val="ONUMFS"/>
        <w:numPr>
          <w:ilvl w:val="2"/>
          <w:numId w:val="6"/>
        </w:numPr>
        <w:rPr>
          <w:lang w:val="fr-FR"/>
        </w:rPr>
      </w:pPr>
      <w:r w:rsidRPr="00C819AD">
        <w:rPr>
          <w:lang w:val="fr-FR"/>
        </w:rPr>
        <w:t>a adopté les décisions énoncées au paragraphe 7 du document PCT/A/48/3 concernant l</w:t>
      </w:r>
      <w:r w:rsidR="00D76C92">
        <w:rPr>
          <w:lang w:val="fr-FR"/>
        </w:rPr>
        <w:t>’</w:t>
      </w:r>
      <w:r w:rsidRPr="00C819AD">
        <w:rPr>
          <w:lang w:val="fr-FR"/>
        </w:rPr>
        <w:t>entrée en vigueur et les dispositions transitoires.</w:t>
      </w:r>
    </w:p>
    <w:p w:rsidR="00C819AD" w:rsidRPr="00C819AD" w:rsidRDefault="00C819AD" w:rsidP="00C819AD">
      <w:pPr>
        <w:pStyle w:val="ONUMFS"/>
        <w:numPr>
          <w:ilvl w:val="0"/>
          <w:numId w:val="6"/>
        </w:numPr>
        <w:rPr>
          <w:lang w:val="fr-FR"/>
        </w:rPr>
      </w:pPr>
      <w:r w:rsidRPr="00C819AD">
        <w:rPr>
          <w:lang w:val="fr-FR"/>
        </w:rPr>
        <w:t>Pour des raisons pratiques, l</w:t>
      </w:r>
      <w:r w:rsidR="00D76C92">
        <w:rPr>
          <w:lang w:val="fr-FR"/>
        </w:rPr>
        <w:t>’</w:t>
      </w:r>
      <w:r w:rsidRPr="00C819AD">
        <w:rPr>
          <w:lang w:val="fr-FR"/>
        </w:rPr>
        <w:t>annexe I du présent rapport contient une version “propre” du règlement d</w:t>
      </w:r>
      <w:r w:rsidR="00D76C92">
        <w:rPr>
          <w:lang w:val="fr-FR"/>
        </w:rPr>
        <w:t>’</w:t>
      </w:r>
      <w:r w:rsidRPr="00C819AD">
        <w:rPr>
          <w:lang w:val="fr-FR"/>
        </w:rPr>
        <w:t>exécution du PCT tel que modifié par la décision énoncée au paragraphe </w:t>
      </w:r>
      <w:r w:rsidR="00A57AE4">
        <w:rPr>
          <w:lang w:val="fr-FR"/>
        </w:rPr>
        <w:t>23</w:t>
      </w:r>
      <w:r w:rsidRPr="00C819AD">
        <w:rPr>
          <w:lang w:val="fr-FR"/>
        </w:rPr>
        <w:t>.i);  et l</w:t>
      </w:r>
      <w:r w:rsidR="00D76C92">
        <w:rPr>
          <w:lang w:val="fr-FR"/>
        </w:rPr>
        <w:t>’</w:t>
      </w:r>
      <w:r w:rsidRPr="00C819AD">
        <w:rPr>
          <w:lang w:val="fr-FR"/>
        </w:rPr>
        <w:t>annexe II du présent rapport contient les décisions relatives à l</w:t>
      </w:r>
      <w:r w:rsidR="00D76C92">
        <w:rPr>
          <w:lang w:val="fr-FR"/>
        </w:rPr>
        <w:t>’</w:t>
      </w:r>
      <w:r w:rsidRPr="00C819AD">
        <w:rPr>
          <w:lang w:val="fr-FR"/>
        </w:rPr>
        <w:t>entrée en vigueur et aux dispositions transitoires, ainsi qu</w:t>
      </w:r>
      <w:r w:rsidR="00D76C92">
        <w:rPr>
          <w:lang w:val="fr-FR"/>
        </w:rPr>
        <w:t>’</w:t>
      </w:r>
      <w:r w:rsidRPr="00C819AD">
        <w:rPr>
          <w:lang w:val="fr-FR"/>
        </w:rPr>
        <w:t>il est indiqué au paragraphe </w:t>
      </w:r>
      <w:r w:rsidR="00A57AE4">
        <w:rPr>
          <w:lang w:val="fr-FR"/>
        </w:rPr>
        <w:t>23</w:t>
      </w:r>
      <w:r w:rsidRPr="00C819AD">
        <w:rPr>
          <w:lang w:val="fr-FR"/>
        </w:rPr>
        <w:t>.ii), ci</w:t>
      </w:r>
      <w:r w:rsidR="00E4676F">
        <w:rPr>
          <w:lang w:val="fr-FR"/>
        </w:rPr>
        <w:noBreakHyphen/>
      </w:r>
      <w:r w:rsidRPr="00C819AD">
        <w:rPr>
          <w:lang w:val="fr-FR"/>
        </w:rPr>
        <w:t>dessus.</w:t>
      </w:r>
    </w:p>
    <w:p w:rsidR="00C819AD" w:rsidRPr="00C819AD" w:rsidRDefault="00C819AD" w:rsidP="004C71F5">
      <w:pPr>
        <w:pStyle w:val="Heading1"/>
        <w:rPr>
          <w:lang w:val="fr-FR"/>
        </w:rPr>
      </w:pPr>
      <w:r w:rsidRPr="00C819AD">
        <w:rPr>
          <w:lang w:val="fr-FR"/>
        </w:rPr>
        <w:t>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AE6C72">
      <w:pPr>
        <w:rPr>
          <w:lang w:val="fr-FR"/>
        </w:rPr>
      </w:pPr>
    </w:p>
    <w:p w:rsidR="00C819AD" w:rsidRPr="00C819AD" w:rsidRDefault="00C819AD" w:rsidP="00C819AD">
      <w:pPr>
        <w:pStyle w:val="ONUMFS"/>
        <w:numPr>
          <w:ilvl w:val="0"/>
          <w:numId w:val="6"/>
        </w:numPr>
        <w:rPr>
          <w:lang w:val="fr-FR"/>
        </w:rPr>
      </w:pPr>
      <w:r w:rsidRPr="00C819AD">
        <w:rPr>
          <w:lang w:val="fr-FR"/>
        </w:rPr>
        <w:t>Les délibérations ont eu lieu sur la base du document PCT/A/48/4.</w:t>
      </w:r>
    </w:p>
    <w:p w:rsidR="00C819AD" w:rsidRPr="00C819AD" w:rsidRDefault="00C819AD" w:rsidP="00C819AD">
      <w:pPr>
        <w:pStyle w:val="ONUMFS"/>
        <w:numPr>
          <w:ilvl w:val="0"/>
          <w:numId w:val="6"/>
        </w:numPr>
        <w:rPr>
          <w:lang w:val="fr-FR"/>
        </w:rPr>
      </w:pPr>
      <w:r w:rsidRPr="00C819AD">
        <w:rPr>
          <w:lang w:val="fr-FR"/>
        </w:rPr>
        <w:t>La présidente s</w:t>
      </w:r>
      <w:r w:rsidR="00D76C92">
        <w:rPr>
          <w:lang w:val="fr-FR"/>
        </w:rPr>
        <w:t>’</w:t>
      </w:r>
      <w:r w:rsidRPr="00C819AD">
        <w:rPr>
          <w:lang w:val="fr-FR"/>
        </w:rPr>
        <w:t>est référée à la vingt</w:t>
      </w:r>
      <w:r w:rsidR="00E4676F">
        <w:rPr>
          <w:lang w:val="fr-FR"/>
        </w:rPr>
        <w:noBreakHyphen/>
      </w:r>
      <w:r w:rsidRPr="00C819AD">
        <w:rPr>
          <w:lang w:val="fr-FR"/>
        </w:rPr>
        <w:t>neuvième session du Comité de coopération technique du PCT tenue en mai 2016, au cours de laquelle le comité était convenu à l</w:t>
      </w:r>
      <w:r w:rsidR="00D76C92">
        <w:rPr>
          <w:lang w:val="fr-FR"/>
        </w:rPr>
        <w:t>’</w:t>
      </w:r>
      <w:r w:rsidRPr="00C819AD">
        <w:rPr>
          <w:lang w:val="fr-FR"/>
        </w:rPr>
        <w:t>unanimité de recommander à l</w:t>
      </w:r>
      <w:r w:rsidR="00D76C92">
        <w:rPr>
          <w:lang w:val="fr-FR"/>
        </w:rPr>
        <w:t>’</w:t>
      </w:r>
      <w:r w:rsidRPr="00C819AD">
        <w:rPr>
          <w:lang w:val="fr-FR"/>
        </w:rPr>
        <w:t>assemblée de nommer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 comme indiqué au paragraphe 5 de ce document.</w:t>
      </w:r>
    </w:p>
    <w:p w:rsidR="00C819AD" w:rsidRPr="00C819AD" w:rsidRDefault="00C819AD" w:rsidP="00C819AD">
      <w:pPr>
        <w:pStyle w:val="ONUMFS"/>
        <w:numPr>
          <w:ilvl w:val="0"/>
          <w:numId w:val="6"/>
        </w:numPr>
        <w:rPr>
          <w:lang w:val="fr-FR"/>
        </w:rPr>
      </w:pPr>
      <w:r w:rsidRPr="00C819AD">
        <w:rPr>
          <w:lang w:val="fr-FR"/>
        </w:rPr>
        <w:t>La délégation de la Turquie a remercié le Directeur général, M. Francis Gurry, d</w:t>
      </w:r>
      <w:r w:rsidR="00D76C92">
        <w:rPr>
          <w:lang w:val="fr-FR"/>
        </w:rPr>
        <w:t>’</w:t>
      </w:r>
      <w:r w:rsidRPr="00C819AD">
        <w:rPr>
          <w:lang w:val="fr-FR"/>
        </w:rPr>
        <w:t>avoir ajouté à l</w:t>
      </w:r>
      <w:r w:rsidR="00D76C92">
        <w:rPr>
          <w:lang w:val="fr-FR"/>
        </w:rPr>
        <w:t>’</w:t>
      </w:r>
      <w:r w:rsidRPr="00C819AD">
        <w:rPr>
          <w:lang w:val="fr-FR"/>
        </w:rPr>
        <w:t>ordre du jour de l</w:t>
      </w:r>
      <w:r w:rsidR="00D76C92">
        <w:rPr>
          <w:lang w:val="fr-FR"/>
        </w:rPr>
        <w:t>’</w:t>
      </w:r>
      <w:r w:rsidRPr="00C819AD">
        <w:rPr>
          <w:lang w:val="fr-FR"/>
        </w:rPr>
        <w:t>Assemblée de l</w:t>
      </w:r>
      <w:r w:rsidR="00D76C92">
        <w:rPr>
          <w:lang w:val="fr-FR"/>
        </w:rPr>
        <w:t>’</w:t>
      </w:r>
      <w:r w:rsidRPr="00C819AD">
        <w:rPr>
          <w:lang w:val="fr-FR"/>
        </w:rPr>
        <w:t>Union du PCT la question concernant la proposition de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décision lors de la cinquante</w:t>
      </w:r>
      <w:r w:rsidR="00E4676F">
        <w:rPr>
          <w:lang w:val="fr-FR"/>
        </w:rPr>
        <w:noBreakHyphen/>
      </w:r>
      <w:r w:rsidRPr="00C819AD">
        <w:rPr>
          <w:lang w:val="fr-FR"/>
        </w:rPr>
        <w:t>sixième série de réunions des assemblées des États membres de l</w:t>
      </w:r>
      <w:r w:rsidR="00D76C92">
        <w:rPr>
          <w:lang w:val="fr-FR"/>
        </w:rPr>
        <w:t>’</w:t>
      </w:r>
      <w:r w:rsidRPr="00C819AD">
        <w:rPr>
          <w:lang w:val="fr-FR"/>
        </w:rPr>
        <w:t>OMPI, conformément à la lettre de l</w:t>
      </w:r>
      <w:r w:rsidR="00D76C92">
        <w:rPr>
          <w:lang w:val="fr-FR"/>
        </w:rPr>
        <w:t>’</w:t>
      </w:r>
      <w:r w:rsidRPr="00C819AD">
        <w:rPr>
          <w:lang w:val="fr-FR"/>
        </w:rPr>
        <w:t>Institut turc des brevets datée du 15 décembre 2015.  Elle a eu le plaisir d</w:t>
      </w:r>
      <w:r w:rsidR="00D76C92">
        <w:rPr>
          <w:lang w:val="fr-FR"/>
        </w:rPr>
        <w:t>’</w:t>
      </w:r>
      <w:r w:rsidRPr="00C819AD">
        <w:rPr>
          <w:lang w:val="fr-FR"/>
        </w:rPr>
        <w:t>informer l</w:t>
      </w:r>
      <w:r w:rsidR="00D76C92">
        <w:rPr>
          <w:lang w:val="fr-FR"/>
        </w:rPr>
        <w:t>’</w:t>
      </w:r>
      <w:r w:rsidRPr="00C819AD">
        <w:rPr>
          <w:lang w:val="fr-FR"/>
        </w:rPr>
        <w:t>assemblée que le Comité de coopération technique du Traité de coopération en matière de brevets (PCT/CTC), à sa vingt</w:t>
      </w:r>
      <w:r w:rsidR="00E4676F">
        <w:rPr>
          <w:lang w:val="fr-FR"/>
        </w:rPr>
        <w:noBreakHyphen/>
      </w:r>
      <w:r w:rsidRPr="00C819AD">
        <w:rPr>
          <w:lang w:val="fr-FR"/>
        </w:rPr>
        <w:t>neuvième session, avait produit une recommandation unanime des États membres à l</w:t>
      </w:r>
      <w:r w:rsidR="00D76C92">
        <w:rPr>
          <w:lang w:val="fr-FR"/>
        </w:rPr>
        <w:t>’</w:t>
      </w:r>
      <w:r w:rsidRPr="00C819AD">
        <w:rPr>
          <w:lang w:val="fr-FR"/>
        </w:rPr>
        <w:t>Assemblée de l</w:t>
      </w:r>
      <w:r w:rsidR="00D76C92">
        <w:rPr>
          <w:lang w:val="fr-FR"/>
        </w:rPr>
        <w:t>’</w:t>
      </w:r>
      <w:r w:rsidRPr="00C819AD">
        <w:rPr>
          <w:lang w:val="fr-FR"/>
        </w:rPr>
        <w:t>Union du PCT, selon laquelle l</w:t>
      </w:r>
      <w:r w:rsidR="00D76C92">
        <w:rPr>
          <w:lang w:val="fr-FR"/>
        </w:rPr>
        <w:t>’</w:t>
      </w:r>
      <w:r w:rsidRPr="00C819AD">
        <w:rPr>
          <w:lang w:val="fr-FR"/>
        </w:rPr>
        <w:t>Institut turc des brevets serait nommé en tant qu</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w:t>
      </w:r>
      <w:r w:rsidR="003008DF" w:rsidRPr="00C819AD">
        <w:rPr>
          <w:lang w:val="fr-FR"/>
        </w:rPr>
        <w:t>PCT</w:t>
      </w:r>
      <w:r w:rsidR="003008DF">
        <w:rPr>
          <w:lang w:val="fr-FR"/>
        </w:rPr>
        <w:t xml:space="preserve">.  </w:t>
      </w:r>
      <w:r w:rsidR="003008DF" w:rsidRPr="00C819AD">
        <w:rPr>
          <w:lang w:val="fr-FR"/>
        </w:rPr>
        <w:t>Da</w:t>
      </w:r>
      <w:r w:rsidRPr="00C819AD">
        <w:rPr>
          <w:lang w:val="fr-FR"/>
        </w:rPr>
        <w:t>ns ce contexte, la délégation a souhaité réaffirmer l</w:t>
      </w:r>
      <w:r w:rsidR="00D76C92">
        <w:rPr>
          <w:lang w:val="fr-FR"/>
        </w:rPr>
        <w:t>’</w:t>
      </w:r>
      <w:r w:rsidRPr="00C819AD">
        <w:rPr>
          <w:lang w:val="fr-FR"/>
        </w:rPr>
        <w:t>engagement de l</w:t>
      </w:r>
      <w:r w:rsidR="00D76C92">
        <w:rPr>
          <w:lang w:val="fr-FR"/>
        </w:rPr>
        <w:t>’</w:t>
      </w:r>
      <w:r w:rsidRPr="00C819AD">
        <w:rPr>
          <w:lang w:val="fr-FR"/>
        </w:rPr>
        <w:t>Institut turc des brevets à continuer de respecter l</w:t>
      </w:r>
      <w:r w:rsidR="00D76C92">
        <w:rPr>
          <w:lang w:val="fr-FR"/>
        </w:rPr>
        <w:t>’</w:t>
      </w:r>
      <w:r w:rsidRPr="00C819AD">
        <w:rPr>
          <w:lang w:val="fr-FR"/>
        </w:rPr>
        <w:t>intégralité des conditions minimales de nomination fixées par les règles 36.1 et 63.1 du règlement d</w:t>
      </w:r>
      <w:r w:rsidR="00D76C92">
        <w:rPr>
          <w:lang w:val="fr-FR"/>
        </w:rPr>
        <w:t>’</w:t>
      </w:r>
      <w:r w:rsidRPr="00C819AD">
        <w:rPr>
          <w:lang w:val="fr-FR"/>
        </w:rPr>
        <w:t>exécution du </w:t>
      </w:r>
      <w:r w:rsidR="003008DF" w:rsidRPr="00C819AD">
        <w:rPr>
          <w:lang w:val="fr-FR"/>
        </w:rPr>
        <w:t>PCT</w:t>
      </w:r>
      <w:r w:rsidR="003008DF">
        <w:rPr>
          <w:lang w:val="fr-FR"/>
        </w:rPr>
        <w:t xml:space="preserve">.  </w:t>
      </w:r>
      <w:r w:rsidR="003008DF" w:rsidRPr="00C819AD">
        <w:rPr>
          <w:lang w:val="fr-FR"/>
        </w:rPr>
        <w:t>La</w:t>
      </w:r>
      <w:r w:rsidRPr="00C819AD">
        <w:rPr>
          <w:lang w:val="fr-FR"/>
        </w:rPr>
        <w:t xml:space="preserve"> délégation a présenté sa demande en trois grandes parti</w:t>
      </w:r>
      <w:r w:rsidR="003008DF" w:rsidRPr="00C819AD">
        <w:rPr>
          <w:lang w:val="fr-FR"/>
        </w:rPr>
        <w:t>es</w:t>
      </w:r>
      <w:r w:rsidR="003008DF">
        <w:rPr>
          <w:lang w:val="fr-FR"/>
        </w:rPr>
        <w:t xml:space="preserve">.  </w:t>
      </w:r>
      <w:r w:rsidR="003008DF" w:rsidRPr="00C819AD">
        <w:rPr>
          <w:lang w:val="fr-FR"/>
        </w:rPr>
        <w:t>La</w:t>
      </w:r>
      <w:r w:rsidRPr="00C819AD">
        <w:rPr>
          <w:lang w:val="fr-FR"/>
        </w:rPr>
        <w:t xml:space="preserve"> première partie contenait des informations générales sur la Turquie du point de vue des indicateurs économiques et du système de la propriété intellectuel</w:t>
      </w:r>
      <w:r w:rsidR="003008DF" w:rsidRPr="00C819AD">
        <w:rPr>
          <w:lang w:val="fr-FR"/>
        </w:rPr>
        <w:t>le</w:t>
      </w:r>
      <w:r w:rsidR="003008DF">
        <w:rPr>
          <w:lang w:val="fr-FR"/>
        </w:rPr>
        <w:t xml:space="preserve">.  </w:t>
      </w:r>
      <w:r w:rsidR="003008DF" w:rsidRPr="00C819AD">
        <w:rPr>
          <w:lang w:val="fr-FR"/>
        </w:rPr>
        <w:t>La</w:t>
      </w:r>
      <w:r w:rsidRPr="00C819AD">
        <w:rPr>
          <w:lang w:val="fr-FR"/>
        </w:rPr>
        <w:t xml:space="preserve"> deuxième partie portait sur la capacité de l</w:t>
      </w:r>
      <w:r w:rsidR="00D76C92">
        <w:rPr>
          <w:lang w:val="fr-FR"/>
        </w:rPr>
        <w:t>’</w:t>
      </w:r>
      <w:r w:rsidRPr="00C819AD">
        <w:rPr>
          <w:lang w:val="fr-FR"/>
        </w:rPr>
        <w:t>Institut turc des brevets, en tant qu</w:t>
      </w:r>
      <w:r w:rsidR="00D76C92">
        <w:rPr>
          <w:lang w:val="fr-FR"/>
        </w:rPr>
        <w:t>’</w:t>
      </w:r>
      <w:r w:rsidRPr="00C819AD">
        <w:rPr>
          <w:lang w:val="fr-FR"/>
        </w:rPr>
        <w:t>institution, de s</w:t>
      </w:r>
      <w:r w:rsidR="00D76C92">
        <w:rPr>
          <w:lang w:val="fr-FR"/>
        </w:rPr>
        <w:t>’</w:t>
      </w:r>
      <w:r w:rsidRPr="00C819AD">
        <w:rPr>
          <w:lang w:val="fr-FR"/>
        </w:rPr>
        <w:t>acquitter de ses fonctio</w:t>
      </w:r>
      <w:r w:rsidR="003008DF" w:rsidRPr="00C819AD">
        <w:rPr>
          <w:lang w:val="fr-FR"/>
        </w:rPr>
        <w:t>ns</w:t>
      </w:r>
      <w:r w:rsidR="003008DF">
        <w:rPr>
          <w:lang w:val="fr-FR"/>
        </w:rPr>
        <w:t xml:space="preserve">.  </w:t>
      </w:r>
      <w:r w:rsidR="003008DF" w:rsidRPr="00C819AD">
        <w:rPr>
          <w:lang w:val="fr-FR"/>
        </w:rPr>
        <w:t>La</w:t>
      </w:r>
      <w:r w:rsidRPr="00C819AD">
        <w:rPr>
          <w:lang w:val="fr-FR"/>
        </w:rPr>
        <w:t xml:space="preserve"> dernière partie contenait des informations sur la manière dont l</w:t>
      </w:r>
      <w:r w:rsidR="00D76C92">
        <w:rPr>
          <w:lang w:val="fr-FR"/>
        </w:rPr>
        <w:t>’</w:t>
      </w:r>
      <w:r w:rsidRPr="00C819AD">
        <w:rPr>
          <w:lang w:val="fr-FR"/>
        </w:rPr>
        <w:t>Institut turc des brevets respectait les conditions minimales de nomination.</w:t>
      </w:r>
    </w:p>
    <w:p w:rsidR="00C819AD" w:rsidRPr="00C819AD" w:rsidRDefault="00C819AD" w:rsidP="00C819AD">
      <w:pPr>
        <w:pStyle w:val="ONUMFS"/>
        <w:numPr>
          <w:ilvl w:val="0"/>
          <w:numId w:val="6"/>
        </w:numPr>
        <w:rPr>
          <w:lang w:val="fr-FR"/>
        </w:rPr>
      </w:pPr>
      <w:r w:rsidRPr="00C819AD">
        <w:rPr>
          <w:lang w:val="fr-FR"/>
        </w:rPr>
        <w:t xml:space="preserve">La délégation de la Turquie a déclaré que la Turquie, </w:t>
      </w:r>
      <w:r w:rsidRPr="00C819AD">
        <w:rPr>
          <w:iCs/>
          <w:lang w:val="fr-FR"/>
        </w:rPr>
        <w:t>du fait de l</w:t>
      </w:r>
      <w:r w:rsidR="00D76C92">
        <w:rPr>
          <w:iCs/>
          <w:lang w:val="fr-FR"/>
        </w:rPr>
        <w:t>’</w:t>
      </w:r>
      <w:r w:rsidRPr="00C819AD">
        <w:rPr>
          <w:iCs/>
          <w:lang w:val="fr-FR"/>
        </w:rPr>
        <w:t xml:space="preserve">importance de sa population </w:t>
      </w:r>
      <w:r w:rsidRPr="00C819AD">
        <w:rPr>
          <w:lang w:val="fr-FR"/>
        </w:rPr>
        <w:t>(environ 80 millions d</w:t>
      </w:r>
      <w:r w:rsidR="00D76C92">
        <w:rPr>
          <w:lang w:val="fr-FR"/>
        </w:rPr>
        <w:t>’</w:t>
      </w:r>
      <w:r w:rsidRPr="00C819AD">
        <w:rPr>
          <w:lang w:val="fr-FR"/>
        </w:rPr>
        <w:t>habitants), de son histoire, de sa situation géographique et de son développement économique, était un pays avancé dans la région, dont les voisins étaient des pays socialement et culturellement différents d</w:t>
      </w:r>
      <w:r w:rsidR="00D76C92">
        <w:rPr>
          <w:lang w:val="fr-FR"/>
        </w:rPr>
        <w:t>’</w:t>
      </w:r>
      <w:r w:rsidRPr="00C819AD">
        <w:rPr>
          <w:lang w:val="fr-FR"/>
        </w:rPr>
        <w:t>Europe, d</w:t>
      </w:r>
      <w:r w:rsidR="00D76C92">
        <w:rPr>
          <w:lang w:val="fr-FR"/>
        </w:rPr>
        <w:t>’</w:t>
      </w:r>
      <w:r w:rsidRPr="00C819AD">
        <w:rPr>
          <w:lang w:val="fr-FR"/>
        </w:rPr>
        <w:t>Asie et du Moyen</w:t>
      </w:r>
      <w:r w:rsidR="00E4676F">
        <w:rPr>
          <w:lang w:val="fr-FR"/>
        </w:rPr>
        <w:noBreakHyphen/>
      </w:r>
      <w:r w:rsidRPr="00C819AD">
        <w:rPr>
          <w:lang w:val="fr-FR"/>
        </w:rPr>
        <w:t>Orie</w:t>
      </w:r>
      <w:r w:rsidR="003008DF" w:rsidRPr="00C819AD">
        <w:rPr>
          <w:lang w:val="fr-FR"/>
        </w:rPr>
        <w:t>nt</w:t>
      </w:r>
      <w:r w:rsidR="003008DF">
        <w:rPr>
          <w:lang w:val="fr-FR"/>
        </w:rPr>
        <w:t xml:space="preserve">.  </w:t>
      </w:r>
      <w:r w:rsidR="003008DF" w:rsidRPr="00C819AD">
        <w:rPr>
          <w:lang w:val="fr-FR"/>
        </w:rPr>
        <w:t>Sa</w:t>
      </w:r>
      <w:r w:rsidRPr="00C819AD">
        <w:rPr>
          <w:lang w:val="fr-FR"/>
        </w:rPr>
        <w:t xml:space="preserve"> situation géographique, ses capacités logistiques et sa situation exceptionnelle à la confluence de trois continents étaient des facteurs essentiels contribuant à son rôle dans la régi</w:t>
      </w:r>
      <w:r w:rsidR="003008DF" w:rsidRPr="00C819AD">
        <w:rPr>
          <w:lang w:val="fr-FR"/>
        </w:rPr>
        <w:t>on</w:t>
      </w:r>
      <w:r w:rsidR="003008DF">
        <w:rPr>
          <w:lang w:val="fr-FR"/>
        </w:rPr>
        <w:t xml:space="preserve">.  </w:t>
      </w:r>
      <w:r w:rsidR="003008DF" w:rsidRPr="00C819AD">
        <w:rPr>
          <w:lang w:val="fr-FR"/>
        </w:rPr>
        <w:t>La</w:t>
      </w:r>
      <w:r w:rsidRPr="00C819AD">
        <w:rPr>
          <w:lang w:val="fr-FR"/>
        </w:rPr>
        <w:t xml:space="preserve"> performance économique de la Turquie au cours de la dernière décennie avait donné lieu à un taux de croissance annuel réel moyen du produit national brut (PNB) d</w:t>
      </w:r>
      <w:r w:rsidR="00D76C92">
        <w:rPr>
          <w:lang w:val="fr-FR"/>
        </w:rPr>
        <w:t>’</w:t>
      </w:r>
      <w:r w:rsidRPr="00C819AD">
        <w:rPr>
          <w:lang w:val="fr-FR"/>
        </w:rPr>
        <w:t>environ 5%.  En outre, les dépenses de recherche</w:t>
      </w:r>
      <w:r w:rsidR="00E4676F">
        <w:rPr>
          <w:lang w:val="fr-FR"/>
        </w:rPr>
        <w:noBreakHyphen/>
      </w:r>
      <w:r w:rsidRPr="00C819AD">
        <w:rPr>
          <w:lang w:val="fr-FR"/>
        </w:rPr>
        <w:t>développement de la Turquie avaient augmenté de 20% en 2014, pour atteindre 6 milliards de dollars É.</w:t>
      </w:r>
      <w:r w:rsidR="00E4676F">
        <w:rPr>
          <w:lang w:val="fr-FR"/>
        </w:rPr>
        <w:noBreakHyphen/>
      </w:r>
      <w:r w:rsidRPr="00C819AD">
        <w:rPr>
          <w:lang w:val="fr-FR"/>
        </w:rPr>
        <w:t>U., et ces dépenses devraient représenter 3% du PIB en 2023.  L</w:t>
      </w:r>
      <w:r w:rsidR="00D76C92">
        <w:rPr>
          <w:lang w:val="fr-FR"/>
        </w:rPr>
        <w:t>’</w:t>
      </w:r>
      <w:r w:rsidRPr="00C819AD">
        <w:rPr>
          <w:lang w:val="fr-FR"/>
        </w:rPr>
        <w:t>histoire de la propriété intellectuelle en Turquie remontait au XIX</w:t>
      </w:r>
      <w:r w:rsidRPr="00C819AD">
        <w:rPr>
          <w:vertAlign w:val="superscript"/>
          <w:lang w:val="fr-FR"/>
        </w:rPr>
        <w:t>e</w:t>
      </w:r>
      <w:r w:rsidRPr="00C819AD">
        <w:rPr>
          <w:lang w:val="fr-FR"/>
        </w:rPr>
        <w:t xml:space="preserve"> siècle, avec la </w:t>
      </w:r>
      <w:r w:rsidRPr="00C819AD">
        <w:rPr>
          <w:lang w:val="fr-FR"/>
        </w:rPr>
        <w:lastRenderedPageBreak/>
        <w:t>première législation en matière de propriété intellectuelle sur les marques entrée en vigueur en 1871, et la loi sur les brevets promulguée pour la première fois en 1879.  En 1994, l</w:t>
      </w:r>
      <w:r w:rsidR="00D76C92">
        <w:rPr>
          <w:lang w:val="fr-FR"/>
        </w:rPr>
        <w:t>’</w:t>
      </w:r>
      <w:r w:rsidRPr="00C819AD">
        <w:rPr>
          <w:lang w:val="fr-FR"/>
        </w:rPr>
        <w:t>Institut turc des brevets avait été créé en tant qu</w:t>
      </w:r>
      <w:r w:rsidR="00D76C92">
        <w:rPr>
          <w:lang w:val="fr-FR"/>
        </w:rPr>
        <w:t>’</w:t>
      </w:r>
      <w:r w:rsidRPr="00C819AD">
        <w:rPr>
          <w:lang w:val="fr-FR"/>
        </w:rPr>
        <w:t>organe autonome et la législation en matière de propriété intellectuelle avait été révisée conformément aux normes international</w:t>
      </w:r>
      <w:r w:rsidR="003008DF" w:rsidRPr="00C819AD">
        <w:rPr>
          <w:lang w:val="fr-FR"/>
        </w:rPr>
        <w:t>es</w:t>
      </w:r>
      <w:r w:rsidR="003008DF">
        <w:rPr>
          <w:lang w:val="fr-FR"/>
        </w:rPr>
        <w:t xml:space="preserve">.  </w:t>
      </w:r>
      <w:r w:rsidR="003008DF" w:rsidRPr="00C819AD">
        <w:rPr>
          <w:lang w:val="fr-FR"/>
        </w:rPr>
        <w:t>La</w:t>
      </w:r>
      <w:r w:rsidRPr="00C819AD">
        <w:rPr>
          <w:lang w:val="fr-FR"/>
        </w:rPr>
        <w:t xml:space="preserve"> Turquie disposait à présent d</w:t>
      </w:r>
      <w:r w:rsidR="00D76C92">
        <w:rPr>
          <w:lang w:val="fr-FR"/>
        </w:rPr>
        <w:t>’</w:t>
      </w:r>
      <w:r w:rsidRPr="00C819AD">
        <w:rPr>
          <w:lang w:val="fr-FR"/>
        </w:rPr>
        <w:t xml:space="preserve">un système de propriété intellectuelle bien rôdé, avec des tribunaux spécialisés en matière de propriété intellectuelle, des </w:t>
      </w:r>
      <w:r w:rsidRPr="00C819AD">
        <w:rPr>
          <w:rFonts w:eastAsia="Times New Roman"/>
          <w:lang w:val="fr-FR" w:eastAsia="tr-TR"/>
        </w:rPr>
        <w:t>services chargés de l</w:t>
      </w:r>
      <w:r w:rsidR="00D76C92">
        <w:rPr>
          <w:rFonts w:eastAsia="Times New Roman"/>
          <w:lang w:val="fr-FR" w:eastAsia="tr-TR"/>
        </w:rPr>
        <w:t>’</w:t>
      </w:r>
      <w:r w:rsidRPr="00C819AD">
        <w:rPr>
          <w:rFonts w:eastAsia="Times New Roman"/>
          <w:lang w:val="fr-FR" w:eastAsia="tr-TR"/>
        </w:rPr>
        <w:t>application des droits et un corps juridique structuré comptant environ 1000 avocats en propriété intellectuelle dûment inscrits, ainsi que d</w:t>
      </w:r>
      <w:r w:rsidR="00D76C92">
        <w:rPr>
          <w:rFonts w:eastAsia="Times New Roman"/>
          <w:lang w:val="fr-FR" w:eastAsia="tr-TR"/>
        </w:rPr>
        <w:t>’</w:t>
      </w:r>
      <w:r w:rsidRPr="00C819AD">
        <w:rPr>
          <w:rFonts w:eastAsia="Times New Roman"/>
          <w:lang w:val="fr-FR" w:eastAsia="tr-TR"/>
        </w:rPr>
        <w:t>autres parties prenant</w:t>
      </w:r>
      <w:r w:rsidR="003008DF" w:rsidRPr="00C819AD">
        <w:rPr>
          <w:rFonts w:eastAsia="Times New Roman"/>
          <w:lang w:val="fr-FR" w:eastAsia="tr-TR"/>
        </w:rPr>
        <w:t>es</w:t>
      </w:r>
      <w:r w:rsidR="003008DF">
        <w:rPr>
          <w:rFonts w:eastAsia="Times New Roman"/>
          <w:lang w:val="fr-FR" w:eastAsia="tr-TR"/>
        </w:rPr>
        <w:t xml:space="preserve">.  </w:t>
      </w:r>
      <w:r w:rsidR="003008DF" w:rsidRPr="00C819AD">
        <w:rPr>
          <w:lang w:val="fr-FR"/>
        </w:rPr>
        <w:t>Un</w:t>
      </w:r>
      <w:r w:rsidRPr="00C819AD">
        <w:rPr>
          <w:lang w:val="fr-FR"/>
        </w:rPr>
        <w:t xml:space="preserve"> projet de loi nouveau et modernisé, regroupant tous les droits de propriété industrielle au sein d</w:t>
      </w:r>
      <w:r w:rsidR="00D76C92">
        <w:rPr>
          <w:lang w:val="fr-FR"/>
        </w:rPr>
        <w:t>’</w:t>
      </w:r>
      <w:r w:rsidRPr="00C819AD">
        <w:rPr>
          <w:lang w:val="fr-FR"/>
        </w:rPr>
        <w:t>un Acte unique était à l</w:t>
      </w:r>
      <w:r w:rsidR="00D76C92">
        <w:rPr>
          <w:lang w:val="fr-FR"/>
        </w:rPr>
        <w:t>’</w:t>
      </w:r>
      <w:r w:rsidRPr="00C819AD">
        <w:rPr>
          <w:lang w:val="fr-FR"/>
        </w:rPr>
        <w:t>ordre du jour de l</w:t>
      </w:r>
      <w:r w:rsidR="00D76C92">
        <w:rPr>
          <w:lang w:val="fr-FR"/>
        </w:rPr>
        <w:t>’</w:t>
      </w:r>
      <w:r w:rsidRPr="00C819AD">
        <w:rPr>
          <w:lang w:val="fr-FR"/>
        </w:rPr>
        <w:t>Assemblée nationale turque et en cours d</w:t>
      </w:r>
      <w:r w:rsidR="00D76C92">
        <w:rPr>
          <w:lang w:val="fr-FR"/>
        </w:rPr>
        <w:t>’</w:t>
      </w:r>
      <w:r w:rsidRPr="00C819AD">
        <w:rPr>
          <w:lang w:val="fr-FR"/>
        </w:rPr>
        <w:t>élaborati</w:t>
      </w:r>
      <w:r w:rsidR="003008DF" w:rsidRPr="00C819AD">
        <w:rPr>
          <w:lang w:val="fr-FR"/>
        </w:rPr>
        <w:t>on</w:t>
      </w:r>
      <w:r w:rsidR="003008DF">
        <w:rPr>
          <w:lang w:val="fr-FR"/>
        </w:rPr>
        <w:t xml:space="preserve">.  </w:t>
      </w:r>
      <w:r w:rsidR="003008DF" w:rsidRPr="00C819AD">
        <w:rPr>
          <w:lang w:val="fr-FR"/>
        </w:rPr>
        <w:t>L</w:t>
      </w:r>
      <w:r w:rsidR="003008DF">
        <w:rPr>
          <w:lang w:val="fr-FR"/>
        </w:rPr>
        <w:t>’</w:t>
      </w:r>
      <w:r w:rsidR="003008DF" w:rsidRPr="00C819AD">
        <w:rPr>
          <w:lang w:val="fr-FR"/>
        </w:rPr>
        <w:t>i</w:t>
      </w:r>
      <w:r w:rsidRPr="00C819AD">
        <w:rPr>
          <w:lang w:val="fr-FR"/>
        </w:rPr>
        <w:t>nfrastructure turque en matière de propriété intellectuelle, en particulier le système des brevets, s</w:t>
      </w:r>
      <w:r w:rsidR="00D76C92">
        <w:rPr>
          <w:lang w:val="fr-FR"/>
        </w:rPr>
        <w:t>’</w:t>
      </w:r>
      <w:r w:rsidRPr="00C819AD">
        <w:rPr>
          <w:lang w:val="fr-FR"/>
        </w:rPr>
        <w:t xml:space="preserve">était considérablement </w:t>
      </w:r>
      <w:proofErr w:type="gramStart"/>
      <w:r w:rsidRPr="00C819AD">
        <w:rPr>
          <w:lang w:val="fr-FR"/>
        </w:rPr>
        <w:t>développée</w:t>
      </w:r>
      <w:proofErr w:type="gramEnd"/>
      <w:r w:rsidRPr="00C819AD">
        <w:rPr>
          <w:lang w:val="fr-FR"/>
        </w:rPr>
        <w:t xml:space="preserve"> et étendue aux niveaux national et internation</w:t>
      </w:r>
      <w:r w:rsidR="003008DF" w:rsidRPr="00C819AD">
        <w:rPr>
          <w:lang w:val="fr-FR"/>
        </w:rPr>
        <w:t>al</w:t>
      </w:r>
      <w:r w:rsidR="003008DF">
        <w:rPr>
          <w:lang w:val="fr-FR"/>
        </w:rPr>
        <w:t xml:space="preserve">.  </w:t>
      </w:r>
      <w:r w:rsidR="003008DF" w:rsidRPr="00C819AD">
        <w:rPr>
          <w:lang w:val="fr-FR"/>
        </w:rPr>
        <w:t>Se</w:t>
      </w:r>
      <w:r w:rsidRPr="00C819AD">
        <w:rPr>
          <w:lang w:val="fr-FR"/>
        </w:rPr>
        <w:t>lon les indicateurs relatifs à la propriété intellectuelle publiés par l</w:t>
      </w:r>
      <w:r w:rsidR="00D76C92">
        <w:rPr>
          <w:lang w:val="fr-FR"/>
        </w:rPr>
        <w:t>’</w:t>
      </w:r>
      <w:r w:rsidRPr="00C819AD">
        <w:rPr>
          <w:lang w:val="fr-FR"/>
        </w:rPr>
        <w:t>OMPI, le nombre de demandes de brevet déposées par des résidents avait été multiplié environ par 20 au cours des 15 dernières années, et la Turquie était passée au cours de cette période du quarante</w:t>
      </w:r>
      <w:r w:rsidR="00E4676F">
        <w:rPr>
          <w:lang w:val="fr-FR"/>
        </w:rPr>
        <w:noBreakHyphen/>
      </w:r>
      <w:r w:rsidRPr="00C819AD">
        <w:rPr>
          <w:lang w:val="fr-FR"/>
        </w:rPr>
        <w:t>cinquième au quinzième rang mondial à cet éga</w:t>
      </w:r>
      <w:r w:rsidR="003008DF" w:rsidRPr="00C819AD">
        <w:rPr>
          <w:lang w:val="fr-FR"/>
        </w:rPr>
        <w:t>rd</w:t>
      </w:r>
      <w:r w:rsidR="003008DF">
        <w:rPr>
          <w:lang w:val="fr-FR"/>
        </w:rPr>
        <w:t xml:space="preserve">.  </w:t>
      </w:r>
      <w:r w:rsidR="003008DF" w:rsidRPr="00C819AD">
        <w:rPr>
          <w:lang w:val="fr-FR"/>
        </w:rPr>
        <w:t>Le</w:t>
      </w:r>
      <w:r w:rsidRPr="00C819AD">
        <w:rPr>
          <w:lang w:val="fr-FR"/>
        </w:rPr>
        <w:t xml:space="preserve"> nombre de demandes internationales selon le PCT déposées en Turquie avait été multiplié environ par 13 au cours des 15 dernières années, avec 1013 demandes internationales déposées en 2015, soit une augmentation de 25% par rapport aux chiffres de 2014.  En particulier, parmi les pays à revenu intermédiaire, des augmentations notables avaient été constatées en 2015 et la Turquie était passée au premier rang pour le nombre de demandes déposées selon le PCT parmi ces pays.</w:t>
      </w:r>
    </w:p>
    <w:p w:rsidR="00C819AD" w:rsidRPr="00C819AD" w:rsidRDefault="00C819AD" w:rsidP="00C819AD">
      <w:pPr>
        <w:pStyle w:val="ONUMFS"/>
        <w:numPr>
          <w:ilvl w:val="0"/>
          <w:numId w:val="6"/>
        </w:numPr>
        <w:rPr>
          <w:lang w:val="fr-FR"/>
        </w:rPr>
      </w:pPr>
      <w:r w:rsidRPr="00C819AD">
        <w:rPr>
          <w:lang w:val="fr-FR"/>
        </w:rPr>
        <w:t>La délégation de la Turquie a déclaré que l</w:t>
      </w:r>
      <w:r w:rsidR="00D76C92">
        <w:rPr>
          <w:lang w:val="fr-FR"/>
        </w:rPr>
        <w:t>’</w:t>
      </w:r>
      <w:r w:rsidRPr="00C819AD">
        <w:rPr>
          <w:lang w:val="fr-FR"/>
        </w:rPr>
        <w:t>Institut turc des brevets était bien placé pour jouer un rôle de sensibilisation et de promotion d</w:t>
      </w:r>
      <w:r w:rsidR="00D76C92">
        <w:rPr>
          <w:lang w:val="fr-FR"/>
        </w:rPr>
        <w:t>’</w:t>
      </w:r>
      <w:r w:rsidRPr="00C819AD">
        <w:rPr>
          <w:lang w:val="fr-FR"/>
        </w:rPr>
        <w:t>une utilisation plus large du système du PCT dans sa région, de même que pour encourager l</w:t>
      </w:r>
      <w:r w:rsidR="00D76C92">
        <w:rPr>
          <w:lang w:val="fr-FR"/>
        </w:rPr>
        <w:t>’</w:t>
      </w:r>
      <w:r w:rsidRPr="00C819AD">
        <w:rPr>
          <w:lang w:val="fr-FR"/>
        </w:rPr>
        <w:t>innovation, la diffusion du savoir, une plus grande harmonisation et une meilleure qualité des services au sein du système des brevets, ainsi que le transfert de technolog</w:t>
      </w:r>
      <w:r w:rsidR="003008DF" w:rsidRPr="00C819AD">
        <w:rPr>
          <w:lang w:val="fr-FR"/>
        </w:rPr>
        <w:t>ie</w:t>
      </w:r>
      <w:r w:rsidR="003008DF">
        <w:rPr>
          <w:lang w:val="fr-FR"/>
        </w:rPr>
        <w:t xml:space="preserve">.  </w:t>
      </w:r>
      <w:r w:rsidR="003008DF" w:rsidRPr="00C819AD">
        <w:rPr>
          <w:lang w:val="fr-FR"/>
        </w:rPr>
        <w:t>La</w:t>
      </w:r>
      <w:r w:rsidRPr="00C819AD">
        <w:rPr>
          <w:lang w:val="fr-FR"/>
        </w:rPr>
        <w:t xml:space="preserve">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w:t>
      </w:r>
      <w:r w:rsidR="00D76C92">
        <w:rPr>
          <w:lang w:val="fr-FR"/>
        </w:rPr>
        <w:t>’</w:t>
      </w:r>
      <w:r w:rsidRPr="00C819AD">
        <w:rPr>
          <w:lang w:val="fr-FR"/>
        </w:rPr>
        <w:t>administration chargée de l</w:t>
      </w:r>
      <w:r w:rsidR="00D76C92">
        <w:rPr>
          <w:lang w:val="fr-FR"/>
        </w:rPr>
        <w:t>’</w:t>
      </w:r>
      <w:r w:rsidRPr="00C819AD">
        <w:rPr>
          <w:lang w:val="fr-FR"/>
        </w:rPr>
        <w:t>examen préliminaire international devrait être bénéfique non seulement pour les utilisateurs locaux, mais également pour le système du PCT dans son ensemb</w:t>
      </w:r>
      <w:r w:rsidR="003008DF" w:rsidRPr="00C819AD">
        <w:rPr>
          <w:lang w:val="fr-FR"/>
        </w:rPr>
        <w:t>le</w:t>
      </w:r>
      <w:r w:rsidR="003008DF">
        <w:rPr>
          <w:lang w:val="fr-FR"/>
        </w:rPr>
        <w:t xml:space="preserve">.  </w:t>
      </w:r>
      <w:r w:rsidR="003008DF" w:rsidRPr="00C819AD">
        <w:rPr>
          <w:lang w:val="fr-FR"/>
        </w:rPr>
        <w:t>Av</w:t>
      </w:r>
      <w:r w:rsidRPr="00C819AD">
        <w:rPr>
          <w:lang w:val="fr-FR"/>
        </w:rPr>
        <w:t>ec sa situation exceptionnelle à la confluence de différents continents, l</w:t>
      </w:r>
      <w:r w:rsidR="00D76C92">
        <w:rPr>
          <w:lang w:val="fr-FR"/>
        </w:rPr>
        <w:t>’</w:t>
      </w:r>
      <w:r w:rsidRPr="00C819AD">
        <w:rPr>
          <w:lang w:val="fr-FR"/>
        </w:rPr>
        <w:t>institut pourrait jouer le rôle de passerelle favorisant la transmission des connaissances et informations en matière de propriété intellectuelle entre l</w:t>
      </w:r>
      <w:r w:rsidR="00D76C92">
        <w:rPr>
          <w:lang w:val="fr-FR"/>
        </w:rPr>
        <w:t>’</w:t>
      </w:r>
      <w:r w:rsidRPr="00C819AD">
        <w:rPr>
          <w:lang w:val="fr-FR"/>
        </w:rPr>
        <w:t>Europe et l</w:t>
      </w:r>
      <w:r w:rsidR="00D76C92">
        <w:rPr>
          <w:lang w:val="fr-FR"/>
        </w:rPr>
        <w:t>’</w:t>
      </w:r>
      <w:r w:rsidRPr="00C819AD">
        <w:rPr>
          <w:lang w:val="fr-FR"/>
        </w:rPr>
        <w:t>As</w:t>
      </w:r>
      <w:r w:rsidR="003008DF" w:rsidRPr="00C819AD">
        <w:rPr>
          <w:lang w:val="fr-FR"/>
        </w:rPr>
        <w:t>ie</w:t>
      </w:r>
      <w:r w:rsidR="003008DF">
        <w:rPr>
          <w:lang w:val="fr-FR"/>
        </w:rPr>
        <w:t xml:space="preserve">.  </w:t>
      </w:r>
      <w:r w:rsidR="003008DF" w:rsidRPr="00C819AD">
        <w:rPr>
          <w:lang w:val="fr-FR"/>
        </w:rPr>
        <w:t>En</w:t>
      </w:r>
      <w:r w:rsidRPr="00C819AD">
        <w:rPr>
          <w:lang w:val="fr-FR"/>
        </w:rPr>
        <w:t xml:space="preserve"> outre</w:t>
      </w:r>
      <w:r w:rsidRPr="00C819AD">
        <w:rPr>
          <w:rFonts w:eastAsia="Times New Roman"/>
          <w:lang w:val="fr-FR" w:eastAsia="tr-TR"/>
        </w:rPr>
        <w:t>, la banque de technologies qui sera établie en Turquie sous l</w:t>
      </w:r>
      <w:r w:rsidR="00D76C92">
        <w:rPr>
          <w:rFonts w:eastAsia="Times New Roman"/>
          <w:lang w:val="fr-FR" w:eastAsia="tr-TR"/>
        </w:rPr>
        <w:t>’</w:t>
      </w:r>
      <w:r w:rsidRPr="00C819AD">
        <w:rPr>
          <w:rFonts w:eastAsia="Times New Roman"/>
          <w:lang w:val="fr-FR" w:eastAsia="tr-TR"/>
        </w:rPr>
        <w:t xml:space="preserve">égide des </w:t>
      </w:r>
      <w:r w:rsidR="00D76C92">
        <w:rPr>
          <w:rFonts w:eastAsia="Times New Roman"/>
          <w:lang w:val="fr-FR" w:eastAsia="tr-TR"/>
        </w:rPr>
        <w:t>Nations Unies</w:t>
      </w:r>
      <w:r w:rsidRPr="00C819AD">
        <w:rPr>
          <w:rFonts w:eastAsia="Times New Roman"/>
          <w:lang w:val="fr-FR" w:eastAsia="tr-TR"/>
        </w:rPr>
        <w:t xml:space="preserve"> et dédiée aux PMA afin de soutenir leur développement technologique par la création d</w:t>
      </w:r>
      <w:r w:rsidR="00D76C92">
        <w:rPr>
          <w:rFonts w:eastAsia="Times New Roman"/>
          <w:lang w:val="fr-FR" w:eastAsia="tr-TR"/>
        </w:rPr>
        <w:t>’</w:t>
      </w:r>
      <w:r w:rsidRPr="00C819AD">
        <w:rPr>
          <w:rFonts w:eastAsia="Times New Roman"/>
          <w:lang w:val="fr-FR" w:eastAsia="tr-TR"/>
        </w:rPr>
        <w:t>une banque de brevets, d</w:t>
      </w:r>
      <w:r w:rsidR="00D76C92">
        <w:rPr>
          <w:rFonts w:eastAsia="Times New Roman"/>
          <w:lang w:val="fr-FR" w:eastAsia="tr-TR"/>
        </w:rPr>
        <w:t>’</w:t>
      </w:r>
      <w:r w:rsidRPr="00C819AD">
        <w:rPr>
          <w:rFonts w:eastAsia="Times New Roman"/>
          <w:lang w:val="fr-FR" w:eastAsia="tr-TR"/>
        </w:rPr>
        <w:t>un dépôt d</w:t>
      </w:r>
      <w:r w:rsidR="00D76C92">
        <w:rPr>
          <w:rFonts w:eastAsia="Times New Roman"/>
          <w:lang w:val="fr-FR" w:eastAsia="tr-TR"/>
        </w:rPr>
        <w:t>’</w:t>
      </w:r>
      <w:r w:rsidRPr="00C819AD">
        <w:rPr>
          <w:rFonts w:eastAsia="Times New Roman"/>
          <w:lang w:val="fr-FR" w:eastAsia="tr-TR"/>
        </w:rPr>
        <w:t>informations scientifiques et technologiques et d</w:t>
      </w:r>
      <w:r w:rsidR="00D76C92">
        <w:rPr>
          <w:rFonts w:eastAsia="Times New Roman"/>
          <w:lang w:val="fr-FR" w:eastAsia="tr-TR"/>
        </w:rPr>
        <w:t>’</w:t>
      </w:r>
      <w:r w:rsidRPr="00C819AD">
        <w:rPr>
          <w:rFonts w:eastAsia="Times New Roman"/>
          <w:lang w:val="fr-FR" w:eastAsia="tr-TR"/>
        </w:rPr>
        <w:t>un mécanisme d</w:t>
      </w:r>
      <w:r w:rsidR="00D76C92">
        <w:rPr>
          <w:rFonts w:eastAsia="Times New Roman"/>
          <w:lang w:val="fr-FR" w:eastAsia="tr-TR"/>
        </w:rPr>
        <w:t>’</w:t>
      </w:r>
      <w:r w:rsidRPr="00C819AD">
        <w:rPr>
          <w:rFonts w:eastAsia="Times New Roman"/>
          <w:lang w:val="fr-FR" w:eastAsia="tr-TR"/>
        </w:rPr>
        <w:t>appui en matière de science, de technologie et d</w:t>
      </w:r>
      <w:r w:rsidR="00D76C92">
        <w:rPr>
          <w:rFonts w:eastAsia="Times New Roman"/>
          <w:lang w:val="fr-FR" w:eastAsia="tr-TR"/>
        </w:rPr>
        <w:t>’</w:t>
      </w:r>
      <w:r w:rsidRPr="00C819AD">
        <w:rPr>
          <w:rFonts w:eastAsia="Times New Roman"/>
          <w:lang w:val="fr-FR" w:eastAsia="tr-TR"/>
        </w:rPr>
        <w:t>innovation, bénéficierait de l</w:t>
      </w:r>
      <w:r w:rsidR="00D76C92">
        <w:rPr>
          <w:rFonts w:eastAsia="Times New Roman"/>
          <w:lang w:val="fr-FR" w:eastAsia="tr-TR"/>
        </w:rPr>
        <w:t>’</w:t>
      </w:r>
      <w:r w:rsidRPr="00C819AD">
        <w:rPr>
          <w:rFonts w:eastAsia="Times New Roman"/>
          <w:lang w:val="fr-FR" w:eastAsia="tr-TR"/>
        </w:rPr>
        <w:t>élargissement des services dans le domaine des breve</w:t>
      </w:r>
      <w:r w:rsidR="003008DF" w:rsidRPr="00C819AD">
        <w:rPr>
          <w:rFonts w:eastAsia="Times New Roman"/>
          <w:lang w:val="fr-FR" w:eastAsia="tr-TR"/>
        </w:rPr>
        <w:t>ts</w:t>
      </w:r>
      <w:r w:rsidR="003008DF">
        <w:rPr>
          <w:rFonts w:eastAsia="Times New Roman"/>
          <w:lang w:val="fr-FR" w:eastAsia="tr-TR"/>
        </w:rPr>
        <w:t xml:space="preserve">.  </w:t>
      </w:r>
      <w:r w:rsidR="003008DF" w:rsidRPr="00C819AD">
        <w:rPr>
          <w:rFonts w:eastAsia="Times New Roman"/>
          <w:lang w:val="fr-FR" w:eastAsia="tr-TR"/>
        </w:rPr>
        <w:t>Da</w:t>
      </w:r>
      <w:r w:rsidRPr="00C819AD">
        <w:rPr>
          <w:rFonts w:eastAsia="Times New Roman"/>
          <w:lang w:val="fr-FR" w:eastAsia="tr-TR"/>
        </w:rPr>
        <w:t>ns ce contexte, la Turquie entendait devenir, par l</w:t>
      </w:r>
      <w:r w:rsidR="00D76C92">
        <w:rPr>
          <w:rFonts w:eastAsia="Times New Roman"/>
          <w:lang w:val="fr-FR" w:eastAsia="tr-TR"/>
        </w:rPr>
        <w:t>’</w:t>
      </w:r>
      <w:r w:rsidRPr="00C819AD">
        <w:rPr>
          <w:rFonts w:eastAsia="Times New Roman"/>
          <w:lang w:val="fr-FR" w:eastAsia="tr-TR"/>
        </w:rPr>
        <w:t>échange et le partage de ses expériences, une plaque tournante de la diffusion de savoirs et d</w:t>
      </w:r>
      <w:r w:rsidR="00D76C92">
        <w:rPr>
          <w:rFonts w:eastAsia="Times New Roman"/>
          <w:lang w:val="fr-FR" w:eastAsia="tr-TR"/>
        </w:rPr>
        <w:t>’</w:t>
      </w:r>
      <w:r w:rsidRPr="00C819AD">
        <w:rPr>
          <w:rFonts w:eastAsia="Times New Roman"/>
          <w:lang w:val="fr-FR" w:eastAsia="tr-TR"/>
        </w:rPr>
        <w:t>informations en matière de propriété intellectuelle dans la région, parallèlement à sa nomination en qualité d</w:t>
      </w:r>
      <w:r w:rsidR="00D76C92">
        <w:rPr>
          <w:rFonts w:eastAsia="Times New Roman"/>
          <w:lang w:val="fr-FR" w:eastAsia="tr-TR"/>
        </w:rPr>
        <w:t>’</w:t>
      </w:r>
      <w:r w:rsidRPr="00C819AD">
        <w:rPr>
          <w:rFonts w:eastAsia="Times New Roman"/>
          <w:lang w:val="fr-FR" w:eastAsia="tr-TR"/>
        </w:rPr>
        <w:t>administration internationale</w:t>
      </w:r>
      <w:r w:rsidRPr="00C819AD">
        <w:rPr>
          <w:lang w:val="fr-FR"/>
        </w:rPr>
        <w:t>.</w:t>
      </w:r>
    </w:p>
    <w:p w:rsidR="00C819AD" w:rsidRPr="00C819AD" w:rsidRDefault="00C819AD" w:rsidP="00C819AD">
      <w:pPr>
        <w:pStyle w:val="ONUMFS"/>
        <w:numPr>
          <w:ilvl w:val="0"/>
          <w:numId w:val="6"/>
        </w:numPr>
        <w:rPr>
          <w:lang w:val="fr-FR"/>
        </w:rPr>
      </w:pPr>
      <w:r w:rsidRPr="00C819AD">
        <w:rPr>
          <w:lang w:val="fr-FR"/>
        </w:rPr>
        <w:t>La délégation de la Turquie a poursuivi en fournissant des informations détaillées sur la capacité institutionnelle de l</w:t>
      </w:r>
      <w:r w:rsidR="00D76C92">
        <w:rPr>
          <w:lang w:val="fr-FR"/>
        </w:rPr>
        <w:t>’</w:t>
      </w:r>
      <w:r w:rsidRPr="00C819AD">
        <w:rPr>
          <w:lang w:val="fr-FR"/>
        </w:rPr>
        <w:t>Institut turc des breve</w:t>
      </w:r>
      <w:r w:rsidR="003008DF" w:rsidRPr="00C819AD">
        <w:rPr>
          <w:lang w:val="fr-FR"/>
        </w:rPr>
        <w:t>ts</w:t>
      </w:r>
      <w:r w:rsidR="003008DF">
        <w:rPr>
          <w:lang w:val="fr-FR"/>
        </w:rPr>
        <w:t xml:space="preserve">.  </w:t>
      </w:r>
      <w:r w:rsidR="003008DF" w:rsidRPr="00C819AD">
        <w:rPr>
          <w:lang w:val="fr-FR"/>
        </w:rPr>
        <w:t>L</w:t>
      </w:r>
      <w:r w:rsidR="003008DF">
        <w:rPr>
          <w:lang w:val="fr-FR"/>
        </w:rPr>
        <w:t>’</w:t>
      </w:r>
      <w:r w:rsidR="003008DF" w:rsidRPr="00C819AD">
        <w:rPr>
          <w:lang w:val="fr-FR"/>
        </w:rPr>
        <w:t>i</w:t>
      </w:r>
      <w:r w:rsidRPr="00C819AD">
        <w:rPr>
          <w:lang w:val="fr-FR"/>
        </w:rPr>
        <w:t>nstitut était une institution publique, responsable de l</w:t>
      </w:r>
      <w:r w:rsidR="00D76C92">
        <w:rPr>
          <w:lang w:val="fr-FR"/>
        </w:rPr>
        <w:t>’</w:t>
      </w:r>
      <w:r w:rsidRPr="00C819AD">
        <w:rPr>
          <w:lang w:val="fr-FR"/>
        </w:rPr>
        <w:t>administration des droits de propriété intellectuelle sous l</w:t>
      </w:r>
      <w:r w:rsidR="00D76C92">
        <w:rPr>
          <w:lang w:val="fr-FR"/>
        </w:rPr>
        <w:t>’</w:t>
      </w:r>
      <w:r w:rsidRPr="00C819AD">
        <w:rPr>
          <w:lang w:val="fr-FR"/>
        </w:rPr>
        <w:t>égide du Ministère de la science, de l</w:t>
      </w:r>
      <w:r w:rsidR="00D76C92">
        <w:rPr>
          <w:lang w:val="fr-FR"/>
        </w:rPr>
        <w:t>’</w:t>
      </w:r>
      <w:r w:rsidRPr="00C819AD">
        <w:rPr>
          <w:lang w:val="fr-FR"/>
        </w:rPr>
        <w:t>industrie et de la technolog</w:t>
      </w:r>
      <w:r w:rsidR="003008DF" w:rsidRPr="00C819AD">
        <w:rPr>
          <w:lang w:val="fr-FR"/>
        </w:rPr>
        <w:t>ie</w:t>
      </w:r>
      <w:r w:rsidR="003008DF">
        <w:rPr>
          <w:lang w:val="fr-FR"/>
        </w:rPr>
        <w:t xml:space="preserve">.  </w:t>
      </w:r>
      <w:r w:rsidR="003008DF" w:rsidRPr="00C819AD">
        <w:rPr>
          <w:lang w:val="fr-FR"/>
        </w:rPr>
        <w:t>Ou</w:t>
      </w:r>
      <w:r w:rsidRPr="00C819AD">
        <w:rPr>
          <w:lang w:val="fr-FR"/>
        </w:rPr>
        <w:t>tre sa structure de gestion souple, dotée de ses propres ressources financières, l</w:t>
      </w:r>
      <w:r w:rsidR="00D76C92">
        <w:rPr>
          <w:lang w:val="fr-FR"/>
        </w:rPr>
        <w:t>’</w:t>
      </w:r>
      <w:r w:rsidRPr="00C819AD">
        <w:rPr>
          <w:lang w:val="fr-FR"/>
        </w:rPr>
        <w:t>Institut avait effectué des investissements substantiels dans les ressources humaines et les outils informatiques afin d</w:t>
      </w:r>
      <w:r w:rsidR="00D76C92">
        <w:rPr>
          <w:lang w:val="fr-FR"/>
        </w:rPr>
        <w:t>’</w:t>
      </w:r>
      <w:r w:rsidRPr="00C819AD">
        <w:rPr>
          <w:lang w:val="fr-FR"/>
        </w:rPr>
        <w:t>améliorer la qualité de ses servic</w:t>
      </w:r>
      <w:r w:rsidR="003008DF" w:rsidRPr="00C819AD">
        <w:rPr>
          <w:lang w:val="fr-FR"/>
        </w:rPr>
        <w:t>es</w:t>
      </w:r>
      <w:r w:rsidR="003008DF">
        <w:rPr>
          <w:lang w:val="fr-FR"/>
        </w:rPr>
        <w:t xml:space="preserve">.  </w:t>
      </w:r>
      <w:r w:rsidR="003008DF" w:rsidRPr="00C819AD">
        <w:rPr>
          <w:lang w:val="fr-FR"/>
        </w:rPr>
        <w:t>Il</w:t>
      </w:r>
      <w:r w:rsidRPr="00C819AD">
        <w:rPr>
          <w:lang w:val="fr-FR"/>
        </w:rPr>
        <w:t xml:space="preserve"> était un “bureau sans papier” et 99% des demandes étaient déposées en lig</w:t>
      </w:r>
      <w:r w:rsidR="003008DF" w:rsidRPr="00C819AD">
        <w:rPr>
          <w:lang w:val="fr-FR"/>
        </w:rPr>
        <w:t>ne</w:t>
      </w:r>
      <w:r w:rsidR="003008DF">
        <w:rPr>
          <w:lang w:val="fr-FR"/>
        </w:rPr>
        <w:t xml:space="preserve">.  </w:t>
      </w:r>
      <w:r w:rsidR="003008DF" w:rsidRPr="00C819AD">
        <w:rPr>
          <w:lang w:val="fr-FR"/>
        </w:rPr>
        <w:t>L</w:t>
      </w:r>
      <w:r w:rsidR="003008DF">
        <w:rPr>
          <w:lang w:val="fr-FR"/>
        </w:rPr>
        <w:t>’</w:t>
      </w:r>
      <w:r w:rsidR="003008DF" w:rsidRPr="00C819AD">
        <w:rPr>
          <w:lang w:val="fr-FR"/>
        </w:rPr>
        <w:t>i</w:t>
      </w:r>
      <w:r w:rsidRPr="00C819AD">
        <w:rPr>
          <w:lang w:val="fr-FR"/>
        </w:rPr>
        <w:t>nstitut avait commencé à établir des rapports de recherche et d</w:t>
      </w:r>
      <w:r w:rsidR="00D76C92">
        <w:rPr>
          <w:lang w:val="fr-FR"/>
        </w:rPr>
        <w:t>’</w:t>
      </w:r>
      <w:r w:rsidRPr="00C819AD">
        <w:rPr>
          <w:lang w:val="fr-FR"/>
        </w:rPr>
        <w:t>examen en 2005, mais avec une capacité limitée dans certains domaines techniqu</w:t>
      </w:r>
      <w:r w:rsidR="003008DF" w:rsidRPr="00C819AD">
        <w:rPr>
          <w:lang w:val="fr-FR"/>
        </w:rPr>
        <w:t>es</w:t>
      </w:r>
      <w:r w:rsidR="003008DF">
        <w:rPr>
          <w:lang w:val="fr-FR"/>
        </w:rPr>
        <w:t xml:space="preserve">.  </w:t>
      </w:r>
      <w:r w:rsidR="003008DF" w:rsidRPr="00C819AD">
        <w:rPr>
          <w:lang w:val="fr-FR"/>
        </w:rPr>
        <w:t>De</w:t>
      </w:r>
      <w:r w:rsidRPr="00C819AD">
        <w:rPr>
          <w:lang w:val="fr-FR"/>
        </w:rPr>
        <w:t>puis 2005, sa capacité de recherche et d</w:t>
      </w:r>
      <w:r w:rsidR="00D76C92">
        <w:rPr>
          <w:lang w:val="fr-FR"/>
        </w:rPr>
        <w:t>’</w:t>
      </w:r>
      <w:r w:rsidRPr="00C819AD">
        <w:rPr>
          <w:lang w:val="fr-FR"/>
        </w:rPr>
        <w:t>examen avait augmenté grâce à la planification stratégique des ressources humaines et d</w:t>
      </w:r>
      <w:r w:rsidR="00D76C92">
        <w:rPr>
          <w:lang w:val="fr-FR"/>
        </w:rPr>
        <w:t>’</w:t>
      </w:r>
      <w:r w:rsidRPr="00C819AD">
        <w:rPr>
          <w:lang w:val="fr-FR"/>
        </w:rPr>
        <w:t>autres infrastructures techniques indispensabl</w:t>
      </w:r>
      <w:r w:rsidR="003008DF" w:rsidRPr="00C819AD">
        <w:rPr>
          <w:lang w:val="fr-FR"/>
        </w:rPr>
        <w:t>es</w:t>
      </w:r>
      <w:r w:rsidR="003008DF">
        <w:rPr>
          <w:lang w:val="fr-FR"/>
        </w:rPr>
        <w:t xml:space="preserve">.  </w:t>
      </w:r>
      <w:r w:rsidR="003008DF" w:rsidRPr="00C819AD">
        <w:rPr>
          <w:lang w:val="fr-FR"/>
        </w:rPr>
        <w:t>La</w:t>
      </w:r>
      <w:r w:rsidRPr="00C819AD">
        <w:rPr>
          <w:lang w:val="fr-FR"/>
        </w:rPr>
        <w:t xml:space="preserve"> capacité de recherche et d</w:t>
      </w:r>
      <w:r w:rsidR="00D76C92">
        <w:rPr>
          <w:lang w:val="fr-FR"/>
        </w:rPr>
        <w:t>’</w:t>
      </w:r>
      <w:r w:rsidRPr="00C819AD">
        <w:rPr>
          <w:lang w:val="fr-FR"/>
        </w:rPr>
        <w:t>examen en termes de ressources humaines avait été plus que décuplée et couvrait actuellement tous les domaines techniques, avec des examinateurs de brevets parfaitement formés dans les domaines respecti</w:t>
      </w:r>
      <w:r w:rsidR="003008DF" w:rsidRPr="00C819AD">
        <w:rPr>
          <w:lang w:val="fr-FR"/>
        </w:rPr>
        <w:t>fs</w:t>
      </w:r>
      <w:r w:rsidR="003008DF">
        <w:rPr>
          <w:lang w:val="fr-FR"/>
        </w:rPr>
        <w:t xml:space="preserve">.  </w:t>
      </w:r>
      <w:r w:rsidR="003008DF" w:rsidRPr="00C819AD">
        <w:rPr>
          <w:lang w:val="fr-FR"/>
        </w:rPr>
        <w:t>Af</w:t>
      </w:r>
      <w:r w:rsidRPr="00C819AD">
        <w:rPr>
          <w:lang w:val="fr-FR"/>
        </w:rPr>
        <w:t>in de gérer les procédures conduisant à la nomination en qualité d</w:t>
      </w:r>
      <w:r w:rsidR="00D76C92">
        <w:rPr>
          <w:lang w:val="fr-FR"/>
        </w:rPr>
        <w:t>’</w:t>
      </w:r>
      <w:r w:rsidRPr="00C819AD">
        <w:rPr>
          <w:lang w:val="fr-FR"/>
        </w:rPr>
        <w:t>administration internationale, l</w:t>
      </w:r>
      <w:r w:rsidR="00D76C92">
        <w:rPr>
          <w:lang w:val="fr-FR"/>
        </w:rPr>
        <w:t>’</w:t>
      </w:r>
      <w:r w:rsidRPr="00C819AD">
        <w:rPr>
          <w:lang w:val="fr-FR"/>
        </w:rPr>
        <w:t>institut avait établi un plan d</w:t>
      </w:r>
      <w:r w:rsidR="00D76C92">
        <w:rPr>
          <w:lang w:val="fr-FR"/>
        </w:rPr>
        <w:t>’</w:t>
      </w:r>
      <w:r w:rsidRPr="00C819AD">
        <w:rPr>
          <w:lang w:val="fr-FR"/>
        </w:rPr>
        <w:t xml:space="preserve">action répertoriant les </w:t>
      </w:r>
      <w:r w:rsidRPr="00C819AD">
        <w:rPr>
          <w:lang w:val="fr-FR"/>
        </w:rPr>
        <w:lastRenderedPageBreak/>
        <w:t>priorités et les étapes pour les tâches à accompl</w:t>
      </w:r>
      <w:r w:rsidR="003008DF" w:rsidRPr="00C819AD">
        <w:rPr>
          <w:lang w:val="fr-FR"/>
        </w:rPr>
        <w:t>ir</w:t>
      </w:r>
      <w:r w:rsidR="003008DF">
        <w:rPr>
          <w:lang w:val="fr-FR"/>
        </w:rPr>
        <w:t xml:space="preserve">.  </w:t>
      </w:r>
      <w:r w:rsidR="003008DF" w:rsidRPr="00C819AD">
        <w:rPr>
          <w:lang w:val="fr-FR"/>
        </w:rPr>
        <w:t>Da</w:t>
      </w:r>
      <w:r w:rsidRPr="00C819AD">
        <w:rPr>
          <w:lang w:val="fr-FR"/>
        </w:rPr>
        <w:t>ns le cadre de ce plan d</w:t>
      </w:r>
      <w:r w:rsidR="00D76C92">
        <w:rPr>
          <w:lang w:val="fr-FR"/>
        </w:rPr>
        <w:t>’</w:t>
      </w:r>
      <w:r w:rsidRPr="00C819AD">
        <w:rPr>
          <w:lang w:val="fr-FR"/>
        </w:rPr>
        <w:t>action, l</w:t>
      </w:r>
      <w:r w:rsidR="00D76C92">
        <w:rPr>
          <w:lang w:val="fr-FR"/>
        </w:rPr>
        <w:t>’</w:t>
      </w:r>
      <w:r w:rsidRPr="00C819AD">
        <w:rPr>
          <w:lang w:val="fr-FR"/>
        </w:rPr>
        <w:t>institut avait établi trois groupes de travail destinés à effectuer les préparatifs et arrangements nécessaires pour exercer les fonctions et accomplir les tâches requises d</w:t>
      </w:r>
      <w:r w:rsidR="00D76C92">
        <w:rPr>
          <w:lang w:val="fr-FR"/>
        </w:rPr>
        <w:t>’</w:t>
      </w:r>
      <w:r w:rsidRPr="00C819AD">
        <w:rPr>
          <w:lang w:val="fr-FR"/>
        </w:rPr>
        <w:t>une administration internationa</w:t>
      </w:r>
      <w:r w:rsidR="003008DF" w:rsidRPr="00C819AD">
        <w:rPr>
          <w:lang w:val="fr-FR"/>
        </w:rPr>
        <w:t>le</w:t>
      </w:r>
      <w:r w:rsidR="003008DF">
        <w:rPr>
          <w:lang w:val="fr-FR"/>
        </w:rPr>
        <w:t xml:space="preserve">.  </w:t>
      </w:r>
      <w:r w:rsidR="003008DF" w:rsidRPr="00C819AD">
        <w:rPr>
          <w:lang w:val="fr-FR"/>
        </w:rPr>
        <w:t>L</w:t>
      </w:r>
      <w:r w:rsidR="003008DF">
        <w:rPr>
          <w:lang w:val="fr-FR"/>
        </w:rPr>
        <w:t>’</w:t>
      </w:r>
      <w:r w:rsidR="003008DF" w:rsidRPr="00C819AD">
        <w:rPr>
          <w:lang w:val="fr-FR"/>
        </w:rPr>
        <w:t>i</w:t>
      </w:r>
      <w:r w:rsidRPr="00C819AD">
        <w:rPr>
          <w:lang w:val="fr-FR"/>
        </w:rPr>
        <w:t>nstitut avait coopéré avec l</w:t>
      </w:r>
      <w:r w:rsidR="00D76C92">
        <w:rPr>
          <w:lang w:val="fr-FR"/>
        </w:rPr>
        <w:t>’</w:t>
      </w:r>
      <w:r w:rsidRPr="00C819AD">
        <w:rPr>
          <w:lang w:val="fr-FR"/>
        </w:rPr>
        <w:t>Office coréen de la propriété intellectuelle (KIPO) et l</w:t>
      </w:r>
      <w:r w:rsidR="00D76C92">
        <w:rPr>
          <w:lang w:val="fr-FR"/>
        </w:rPr>
        <w:t>’</w:t>
      </w:r>
      <w:r w:rsidRPr="00C819AD">
        <w:rPr>
          <w:lang w:val="fr-FR"/>
        </w:rPr>
        <w:t>Office espagnol des brevets et des marques (SPTO), conformément aux procédures de nomination des administrations internationales convenues à la quarante</w:t>
      </w:r>
      <w:r w:rsidR="00E4676F">
        <w:rPr>
          <w:lang w:val="fr-FR"/>
        </w:rPr>
        <w:noBreakHyphen/>
      </w:r>
      <w:r w:rsidRPr="00C819AD">
        <w:rPr>
          <w:lang w:val="fr-FR"/>
        </w:rPr>
        <w:t>sixième session de l</w:t>
      </w:r>
      <w:r w:rsidR="00D76C92">
        <w:rPr>
          <w:lang w:val="fr-FR"/>
        </w:rPr>
        <w:t>’</w:t>
      </w:r>
      <w:r w:rsidRPr="00C819AD">
        <w:rPr>
          <w:lang w:val="fr-FR"/>
        </w:rPr>
        <w:t>Assemblée de l</w:t>
      </w:r>
      <w:r w:rsidR="00D76C92">
        <w:rPr>
          <w:lang w:val="fr-FR"/>
        </w:rPr>
        <w:t>’</w:t>
      </w:r>
      <w:r w:rsidRPr="00C819AD">
        <w:rPr>
          <w:lang w:val="fr-FR"/>
        </w:rPr>
        <w:t>Union du PCT, qui encourageaient vivement à demander l</w:t>
      </w:r>
      <w:r w:rsidR="00D76C92">
        <w:rPr>
          <w:lang w:val="fr-FR"/>
        </w:rPr>
        <w:t>’</w:t>
      </w:r>
      <w:r w:rsidRPr="00C819AD">
        <w:rPr>
          <w:lang w:val="fr-FR"/>
        </w:rPr>
        <w:t>assistance d</w:t>
      </w:r>
      <w:r w:rsidR="00D76C92">
        <w:rPr>
          <w:lang w:val="fr-FR"/>
        </w:rPr>
        <w:t>’</w:t>
      </w:r>
      <w:r w:rsidRPr="00C819AD">
        <w:rPr>
          <w:lang w:val="fr-FR"/>
        </w:rPr>
        <w:t>une ou plusieurs administrations internationales existant</w:t>
      </w:r>
      <w:r w:rsidR="003008DF" w:rsidRPr="00C819AD">
        <w:rPr>
          <w:lang w:val="fr-FR"/>
        </w:rPr>
        <w:t>es</w:t>
      </w:r>
      <w:r w:rsidR="003008DF">
        <w:rPr>
          <w:lang w:val="fr-FR"/>
        </w:rPr>
        <w:t xml:space="preserve">.  </w:t>
      </w:r>
      <w:r w:rsidR="003008DF" w:rsidRPr="00C819AD">
        <w:rPr>
          <w:lang w:val="fr-FR"/>
        </w:rPr>
        <w:t xml:space="preserve">À </w:t>
      </w:r>
      <w:r w:rsidRPr="00C819AD">
        <w:rPr>
          <w:lang w:val="fr-FR"/>
        </w:rPr>
        <w:t>l</w:t>
      </w:r>
      <w:r w:rsidR="00D76C92">
        <w:rPr>
          <w:lang w:val="fr-FR"/>
        </w:rPr>
        <w:t>’</w:t>
      </w:r>
      <w:r w:rsidRPr="00C819AD">
        <w:rPr>
          <w:lang w:val="fr-FR"/>
        </w:rPr>
        <w:t>issue de plusieurs visites d</w:t>
      </w:r>
      <w:r w:rsidR="00D76C92">
        <w:rPr>
          <w:lang w:val="fr-FR"/>
        </w:rPr>
        <w:t>’</w:t>
      </w:r>
      <w:r w:rsidRPr="00C819AD">
        <w:rPr>
          <w:lang w:val="fr-FR"/>
        </w:rPr>
        <w:t>étude et d</w:t>
      </w:r>
      <w:r w:rsidR="00D76C92">
        <w:rPr>
          <w:lang w:val="fr-FR"/>
        </w:rPr>
        <w:t>’</w:t>
      </w:r>
      <w:r w:rsidRPr="00C819AD">
        <w:rPr>
          <w:lang w:val="fr-FR"/>
        </w:rPr>
        <w:t>un intense processus d</w:t>
      </w:r>
      <w:r w:rsidR="00D76C92">
        <w:rPr>
          <w:lang w:val="fr-FR"/>
        </w:rPr>
        <w:t>’</w:t>
      </w:r>
      <w:r w:rsidRPr="00C819AD">
        <w:rPr>
          <w:lang w:val="fr-FR"/>
        </w:rPr>
        <w:t>évaluation, le KIPO et le SPTO avaient conclu, chacun de leur côté, dans leurs rapports que l</w:t>
      </w:r>
      <w:r w:rsidR="00D76C92">
        <w:rPr>
          <w:lang w:val="fr-FR"/>
        </w:rPr>
        <w:t>’</w:t>
      </w:r>
      <w:r w:rsidRPr="00C819AD">
        <w:rPr>
          <w:lang w:val="fr-FR"/>
        </w:rPr>
        <w:t>Institut turc des brevets satisfaisait aux exigences minimal</w:t>
      </w:r>
      <w:r w:rsidR="003008DF" w:rsidRPr="00C819AD">
        <w:rPr>
          <w:lang w:val="fr-FR"/>
        </w:rPr>
        <w:t>es</w:t>
      </w:r>
      <w:r w:rsidR="003008DF">
        <w:rPr>
          <w:lang w:val="fr-FR"/>
        </w:rPr>
        <w:t xml:space="preserve">.  </w:t>
      </w:r>
      <w:r w:rsidR="003008DF" w:rsidRPr="00C819AD">
        <w:rPr>
          <w:lang w:val="fr-FR"/>
        </w:rPr>
        <w:t>La</w:t>
      </w:r>
      <w:r w:rsidRPr="00C819AD">
        <w:rPr>
          <w:lang w:val="fr-FR"/>
        </w:rPr>
        <w:t xml:space="preserve"> délégation a saisi l</w:t>
      </w:r>
      <w:r w:rsidR="00D76C92">
        <w:rPr>
          <w:lang w:val="fr-FR"/>
        </w:rPr>
        <w:t>’</w:t>
      </w:r>
      <w:r w:rsidRPr="00C819AD">
        <w:rPr>
          <w:lang w:val="fr-FR"/>
        </w:rPr>
        <w:t>occasion qui lui était donnée pour exprimer sa reconnaissance à la direction et aux représentants des offices respectifs pour leur étroite collaboration et leurs observations judicieuses qui avaient aidé l</w:t>
      </w:r>
      <w:r w:rsidR="00D76C92">
        <w:rPr>
          <w:lang w:val="fr-FR"/>
        </w:rPr>
        <w:t>’</w:t>
      </w:r>
      <w:r w:rsidRPr="00C819AD">
        <w:rPr>
          <w:lang w:val="fr-FR"/>
        </w:rPr>
        <w:t>institut à mettre en œuvre son plan d</w:t>
      </w:r>
      <w:r w:rsidR="00D76C92">
        <w:rPr>
          <w:lang w:val="fr-FR"/>
        </w:rPr>
        <w:t>’</w:t>
      </w:r>
      <w:r w:rsidRPr="00C819AD">
        <w:rPr>
          <w:lang w:val="fr-FR"/>
        </w:rPr>
        <w:t>action.</w:t>
      </w:r>
    </w:p>
    <w:p w:rsidR="00C819AD" w:rsidRPr="00C819AD" w:rsidRDefault="00C819AD" w:rsidP="00C819AD">
      <w:pPr>
        <w:pStyle w:val="ONUMFS"/>
        <w:numPr>
          <w:ilvl w:val="0"/>
          <w:numId w:val="6"/>
        </w:numPr>
        <w:rPr>
          <w:lang w:val="fr-FR"/>
        </w:rPr>
      </w:pPr>
      <w:r w:rsidRPr="00C819AD">
        <w:rPr>
          <w:lang w:val="fr-FR"/>
        </w:rPr>
        <w:t>La délégation de la Turquie a poursuivi en donnant un aperçu de la manière dont l</w:t>
      </w:r>
      <w:r w:rsidR="00D76C92">
        <w:rPr>
          <w:lang w:val="fr-FR"/>
        </w:rPr>
        <w:t>’</w:t>
      </w:r>
      <w:r w:rsidRPr="00C819AD">
        <w:rPr>
          <w:lang w:val="fr-FR"/>
        </w:rPr>
        <w:t>Institut turc des brevets satisfaisait aux exigences de nomination, conformément aux rapports d</w:t>
      </w:r>
      <w:r w:rsidR="00D76C92">
        <w:rPr>
          <w:lang w:val="fr-FR"/>
        </w:rPr>
        <w:t>’</w:t>
      </w:r>
      <w:r w:rsidRPr="00C819AD">
        <w:rPr>
          <w:lang w:val="fr-FR"/>
        </w:rPr>
        <w:t>évaluation établis par le KIPO et le SPTO.  À l</w:t>
      </w:r>
      <w:r w:rsidR="00D76C92">
        <w:rPr>
          <w:lang w:val="fr-FR"/>
        </w:rPr>
        <w:t>’</w:t>
      </w:r>
      <w:r w:rsidRPr="00C819AD">
        <w:rPr>
          <w:lang w:val="fr-FR"/>
        </w:rPr>
        <w:t>heure actuelle, l</w:t>
      </w:r>
      <w:r w:rsidR="00D76C92">
        <w:rPr>
          <w:lang w:val="fr-FR"/>
        </w:rPr>
        <w:t>’</w:t>
      </w:r>
      <w:r w:rsidRPr="00C819AD">
        <w:rPr>
          <w:lang w:val="fr-FR"/>
        </w:rPr>
        <w:t>institut employait 112 examinateurs à plein temps ayant des qualifications techniques suffisantes pour effectuer un travail de recherche et d</w:t>
      </w:r>
      <w:r w:rsidR="00D76C92">
        <w:rPr>
          <w:lang w:val="fr-FR"/>
        </w:rPr>
        <w:t>’</w:t>
      </w:r>
      <w:r w:rsidRPr="00C819AD">
        <w:rPr>
          <w:lang w:val="fr-FR"/>
        </w:rPr>
        <w:t>exam</w:t>
      </w:r>
      <w:r w:rsidR="003008DF" w:rsidRPr="00C819AD">
        <w:rPr>
          <w:lang w:val="fr-FR"/>
        </w:rPr>
        <w:t>en</w:t>
      </w:r>
      <w:r w:rsidR="003008DF">
        <w:rPr>
          <w:lang w:val="fr-FR"/>
        </w:rPr>
        <w:t xml:space="preserve">.  </w:t>
      </w:r>
      <w:r w:rsidR="003008DF" w:rsidRPr="00C819AD">
        <w:rPr>
          <w:lang w:val="fr-FR"/>
        </w:rPr>
        <w:t>Il</w:t>
      </w:r>
      <w:r w:rsidRPr="00C819AD">
        <w:rPr>
          <w:lang w:val="fr-FR"/>
        </w:rPr>
        <w:t xml:space="preserve"> prévoyait en outre de recruter 50 examinateurs supplémentaires et d</w:t>
      </w:r>
      <w:r w:rsidR="00D76C92">
        <w:rPr>
          <w:lang w:val="fr-FR"/>
        </w:rPr>
        <w:t>’</w:t>
      </w:r>
      <w:r w:rsidRPr="00C819AD">
        <w:rPr>
          <w:lang w:val="fr-FR"/>
        </w:rPr>
        <w:t>achever leur formation d</w:t>
      </w:r>
      <w:r w:rsidR="00D76C92">
        <w:rPr>
          <w:lang w:val="fr-FR"/>
        </w:rPr>
        <w:t>’</w:t>
      </w:r>
      <w:r w:rsidRPr="00C819AD">
        <w:rPr>
          <w:lang w:val="fr-FR"/>
        </w:rPr>
        <w:t>ici la fin de l</w:t>
      </w:r>
      <w:r w:rsidR="00D76C92">
        <w:rPr>
          <w:lang w:val="fr-FR"/>
        </w:rPr>
        <w:t>’</w:t>
      </w:r>
      <w:r w:rsidRPr="00C819AD">
        <w:rPr>
          <w:lang w:val="fr-FR"/>
        </w:rPr>
        <w:t>année 2018.  Actuellement, les examinateurs de brevets avaient en moyenne une expérience professionnelle de sept ans et environ 50% d</w:t>
      </w:r>
      <w:r w:rsidR="00D76C92">
        <w:rPr>
          <w:lang w:val="fr-FR"/>
        </w:rPr>
        <w:t>’</w:t>
      </w:r>
      <w:r w:rsidRPr="00C819AD">
        <w:rPr>
          <w:lang w:val="fr-FR"/>
        </w:rPr>
        <w:t>entre eux étaient titulaires d</w:t>
      </w:r>
      <w:r w:rsidR="00D76C92">
        <w:rPr>
          <w:lang w:val="fr-FR"/>
        </w:rPr>
        <w:t>’</w:t>
      </w:r>
      <w:r w:rsidRPr="00C819AD">
        <w:rPr>
          <w:lang w:val="fr-FR"/>
        </w:rPr>
        <w:t>une maîtrise ou d</w:t>
      </w:r>
      <w:r w:rsidR="00D76C92">
        <w:rPr>
          <w:lang w:val="fr-FR"/>
        </w:rPr>
        <w:t>’</w:t>
      </w:r>
      <w:r w:rsidRPr="00C819AD">
        <w:rPr>
          <w:lang w:val="fr-FR"/>
        </w:rPr>
        <w:t>un doctor</w:t>
      </w:r>
      <w:r w:rsidR="003008DF" w:rsidRPr="00C819AD">
        <w:rPr>
          <w:lang w:val="fr-FR"/>
        </w:rPr>
        <w:t>at</w:t>
      </w:r>
      <w:r w:rsidR="003008DF">
        <w:rPr>
          <w:lang w:val="fr-FR"/>
        </w:rPr>
        <w:t xml:space="preserve">.  </w:t>
      </w:r>
      <w:r w:rsidR="003008DF" w:rsidRPr="00C819AD">
        <w:rPr>
          <w:lang w:val="fr-FR"/>
        </w:rPr>
        <w:t>Pr</w:t>
      </w:r>
      <w:r w:rsidRPr="00C819AD">
        <w:rPr>
          <w:lang w:val="fr-FR"/>
        </w:rPr>
        <w:t>ès de la moitié des examinateurs avaient plus de cinq années d</w:t>
      </w:r>
      <w:r w:rsidR="00D76C92">
        <w:rPr>
          <w:lang w:val="fr-FR"/>
        </w:rPr>
        <w:t>’</w:t>
      </w:r>
      <w:r w:rsidRPr="00C819AD">
        <w:rPr>
          <w:lang w:val="fr-FR"/>
        </w:rPr>
        <w:t>expérience en matière de travaux de recherche et d</w:t>
      </w:r>
      <w:r w:rsidR="00D76C92">
        <w:rPr>
          <w:lang w:val="fr-FR"/>
        </w:rPr>
        <w:t>’</w:t>
      </w:r>
      <w:r w:rsidRPr="00C819AD">
        <w:rPr>
          <w:lang w:val="fr-FR"/>
        </w:rPr>
        <w:t>exam</w:t>
      </w:r>
      <w:r w:rsidR="003008DF" w:rsidRPr="00C819AD">
        <w:rPr>
          <w:lang w:val="fr-FR"/>
        </w:rPr>
        <w:t>en</w:t>
      </w:r>
      <w:r w:rsidR="003008DF">
        <w:rPr>
          <w:lang w:val="fr-FR"/>
        </w:rPr>
        <w:t xml:space="preserve">.  </w:t>
      </w:r>
      <w:r w:rsidR="003008DF" w:rsidRPr="00C819AD">
        <w:rPr>
          <w:lang w:val="fr-FR"/>
        </w:rPr>
        <w:t>Le</w:t>
      </w:r>
      <w:r w:rsidRPr="00C819AD">
        <w:rPr>
          <w:lang w:val="fr-FR"/>
        </w:rPr>
        <w:t>s exigences pour être examinateurs de brevets étaient strictement régies par le biais d</w:t>
      </w:r>
      <w:r w:rsidR="00D76C92">
        <w:rPr>
          <w:lang w:val="fr-FR"/>
        </w:rPr>
        <w:t>’</w:t>
      </w:r>
      <w:r w:rsidRPr="00C819AD">
        <w:rPr>
          <w:lang w:val="fr-FR"/>
        </w:rPr>
        <w:t>un processus de recrutement exhaustif, suivi d</w:t>
      </w:r>
      <w:r w:rsidR="00D76C92">
        <w:rPr>
          <w:lang w:val="fr-FR"/>
        </w:rPr>
        <w:t>’</w:t>
      </w:r>
      <w:r w:rsidRPr="00C819AD">
        <w:rPr>
          <w:lang w:val="fr-FR"/>
        </w:rPr>
        <w:t>un programme de formation intensif se rapportant aux aptitudes, aux connaissances et aux stratégies concernant les principes d</w:t>
      </w:r>
      <w:r w:rsidR="00D76C92">
        <w:rPr>
          <w:lang w:val="fr-FR"/>
        </w:rPr>
        <w:t>’</w:t>
      </w:r>
      <w:r w:rsidRPr="00C819AD">
        <w:rPr>
          <w:lang w:val="fr-FR"/>
        </w:rPr>
        <w:t>examen et de recherche de breve</w:t>
      </w:r>
      <w:r w:rsidR="003008DF" w:rsidRPr="00C819AD">
        <w:rPr>
          <w:lang w:val="fr-FR"/>
        </w:rPr>
        <w:t>ts</w:t>
      </w:r>
      <w:r w:rsidR="003008DF">
        <w:rPr>
          <w:lang w:val="fr-FR"/>
        </w:rPr>
        <w:t xml:space="preserve">.  </w:t>
      </w:r>
      <w:r w:rsidR="003008DF" w:rsidRPr="00C819AD">
        <w:rPr>
          <w:lang w:val="fr-FR"/>
        </w:rPr>
        <w:t>Ce</w:t>
      </w:r>
      <w:r w:rsidRPr="00C819AD">
        <w:rPr>
          <w:lang w:val="fr-FR"/>
        </w:rPr>
        <w:t>tte procédure était également conforme aux exigences à remplir en termes de ressources humain</w:t>
      </w:r>
      <w:r w:rsidR="003008DF" w:rsidRPr="00C819AD">
        <w:rPr>
          <w:lang w:val="fr-FR"/>
        </w:rPr>
        <w:t>es</w:t>
      </w:r>
      <w:r w:rsidR="003008DF">
        <w:rPr>
          <w:lang w:val="fr-FR"/>
        </w:rPr>
        <w:t xml:space="preserve">.  </w:t>
      </w:r>
      <w:r w:rsidR="003008DF" w:rsidRPr="00C819AD">
        <w:rPr>
          <w:lang w:val="fr-FR"/>
        </w:rPr>
        <w:t>L</w:t>
      </w:r>
      <w:r w:rsidR="003008DF">
        <w:rPr>
          <w:lang w:val="fr-FR"/>
        </w:rPr>
        <w:t>’</w:t>
      </w:r>
      <w:r w:rsidR="003008DF" w:rsidRPr="00C819AD">
        <w:rPr>
          <w:lang w:val="fr-FR"/>
        </w:rPr>
        <w:t>i</w:t>
      </w:r>
      <w:r w:rsidRPr="00C819AD">
        <w:rPr>
          <w:lang w:val="fr-FR"/>
        </w:rPr>
        <w:t>nstitut a par ailleurs coopéré avec d</w:t>
      </w:r>
      <w:r w:rsidR="00D76C92">
        <w:rPr>
          <w:lang w:val="fr-FR"/>
        </w:rPr>
        <w:t>’</w:t>
      </w:r>
      <w:r w:rsidRPr="00C819AD">
        <w:rPr>
          <w:lang w:val="fr-FR"/>
        </w:rPr>
        <w:t>autres offices nationaux pour assurer une formation sur les aspects techniques et les procédures applicables aux demandes selon le </w:t>
      </w:r>
      <w:r w:rsidR="003008DF" w:rsidRPr="00C819AD">
        <w:rPr>
          <w:lang w:val="fr-FR"/>
        </w:rPr>
        <w:t>PCT</w:t>
      </w:r>
      <w:r w:rsidR="003008DF">
        <w:rPr>
          <w:lang w:val="fr-FR"/>
        </w:rPr>
        <w:t xml:space="preserve">.  </w:t>
      </w:r>
      <w:r w:rsidR="003008DF" w:rsidRPr="00C819AD">
        <w:rPr>
          <w:lang w:val="fr-FR"/>
        </w:rPr>
        <w:t>De</w:t>
      </w:r>
      <w:r w:rsidRPr="00C819AD">
        <w:rPr>
          <w:lang w:val="fr-FR"/>
        </w:rPr>
        <w:t>rnièrement, un programme de formation avait été dispensé par deux examinateurs de brevets du KIPO aux examinateurs de l</w:t>
      </w:r>
      <w:r w:rsidR="00D76C92">
        <w:rPr>
          <w:lang w:val="fr-FR"/>
        </w:rPr>
        <w:t>’</w:t>
      </w:r>
      <w:r w:rsidRPr="00C819AD">
        <w:rPr>
          <w:lang w:val="fr-FR"/>
        </w:rPr>
        <w:t>institut, les 26 septembre et 5 octobre 2016.  Afin de continuer à renforcer les capacités des examinateurs de l</w:t>
      </w:r>
      <w:r w:rsidR="00D76C92">
        <w:rPr>
          <w:lang w:val="fr-FR"/>
        </w:rPr>
        <w:t>’</w:t>
      </w:r>
      <w:r w:rsidRPr="00C819AD">
        <w:rPr>
          <w:lang w:val="fr-FR"/>
        </w:rPr>
        <w:t>institut, ce dernier menait d</w:t>
      </w:r>
      <w:r w:rsidR="00D76C92">
        <w:rPr>
          <w:lang w:val="fr-FR"/>
        </w:rPr>
        <w:t>’</w:t>
      </w:r>
      <w:r w:rsidRPr="00C819AD">
        <w:rPr>
          <w:lang w:val="fr-FR"/>
        </w:rPr>
        <w:t>autres activités de formation avec les offices des brevets de l</w:t>
      </w:r>
      <w:r w:rsidR="00D76C92">
        <w:rPr>
          <w:lang w:val="fr-FR"/>
        </w:rPr>
        <w:t>’</w:t>
      </w:r>
      <w:r w:rsidRPr="00C819AD">
        <w:rPr>
          <w:lang w:val="fr-FR"/>
        </w:rPr>
        <w:t>Espagne, des États</w:t>
      </w:r>
      <w:r w:rsidR="00E4676F">
        <w:rPr>
          <w:lang w:val="fr-FR"/>
        </w:rPr>
        <w:noBreakHyphen/>
      </w:r>
      <w:r w:rsidRPr="00C819AD">
        <w:rPr>
          <w:lang w:val="fr-FR"/>
        </w:rPr>
        <w:t>Unis d</w:t>
      </w:r>
      <w:r w:rsidR="00D76C92">
        <w:rPr>
          <w:lang w:val="fr-FR"/>
        </w:rPr>
        <w:t>’</w:t>
      </w:r>
      <w:r w:rsidRPr="00C819AD">
        <w:rPr>
          <w:lang w:val="fr-FR"/>
        </w:rPr>
        <w:t>Amérique, du Japon et de la République de Corée, tout en bénéficiant des activités de formation dispensées par l</w:t>
      </w:r>
      <w:r w:rsidR="00D76C92">
        <w:rPr>
          <w:lang w:val="fr-FR"/>
        </w:rPr>
        <w:t>’</w:t>
      </w:r>
      <w:r w:rsidRPr="00C819AD">
        <w:rPr>
          <w:lang w:val="fr-FR"/>
        </w:rPr>
        <w:t>Office européen des brevets et l</w:t>
      </w:r>
      <w:r w:rsidR="00D76C92">
        <w:rPr>
          <w:lang w:val="fr-FR"/>
        </w:rPr>
        <w:t>’</w:t>
      </w:r>
      <w:r w:rsidRPr="00C819AD">
        <w:rPr>
          <w:lang w:val="fr-FR"/>
        </w:rPr>
        <w:t>O</w:t>
      </w:r>
      <w:r w:rsidR="003008DF" w:rsidRPr="00C819AD">
        <w:rPr>
          <w:lang w:val="fr-FR"/>
        </w:rPr>
        <w:t>MPI</w:t>
      </w:r>
      <w:r w:rsidR="003008DF">
        <w:rPr>
          <w:lang w:val="fr-FR"/>
        </w:rPr>
        <w:t xml:space="preserve">.  </w:t>
      </w:r>
      <w:r w:rsidR="003008DF" w:rsidRPr="00C819AD">
        <w:rPr>
          <w:lang w:val="fr-FR"/>
        </w:rPr>
        <w:t>Da</w:t>
      </w:r>
      <w:r w:rsidRPr="00C819AD">
        <w:rPr>
          <w:lang w:val="fr-FR"/>
        </w:rPr>
        <w:t>ns ce contexte, l</w:t>
      </w:r>
      <w:r w:rsidR="00D76C92">
        <w:rPr>
          <w:lang w:val="fr-FR"/>
        </w:rPr>
        <w:t>’</w:t>
      </w:r>
      <w:r w:rsidRPr="00C819AD">
        <w:rPr>
          <w:lang w:val="fr-FR"/>
        </w:rPr>
        <w:t>institut était ainsi assuré de satisfaire aux exigences énoncées par les règles 36.1.i) et 63.1.i) du règlement d</w:t>
      </w:r>
      <w:r w:rsidR="00D76C92">
        <w:rPr>
          <w:lang w:val="fr-FR"/>
        </w:rPr>
        <w:t>’</w:t>
      </w:r>
      <w:r w:rsidRPr="00C819AD">
        <w:rPr>
          <w:lang w:val="fr-FR"/>
        </w:rPr>
        <w:t>exécution du </w:t>
      </w:r>
      <w:r w:rsidR="003008DF" w:rsidRPr="00C819AD">
        <w:rPr>
          <w:lang w:val="fr-FR"/>
        </w:rPr>
        <w:t>PCT</w:t>
      </w:r>
      <w:r w:rsidR="003008DF">
        <w:rPr>
          <w:lang w:val="fr-FR"/>
        </w:rPr>
        <w:t xml:space="preserve">.  </w:t>
      </w:r>
      <w:r w:rsidR="003008DF" w:rsidRPr="00C819AD">
        <w:rPr>
          <w:lang w:val="fr-FR"/>
        </w:rPr>
        <w:t>En</w:t>
      </w:r>
      <w:r w:rsidRPr="00C819AD">
        <w:rPr>
          <w:lang w:val="fr-FR"/>
        </w:rPr>
        <w:t xml:space="preserve"> ce qui concernait la documentation minimale accessible pour la recherche et l</w:t>
      </w:r>
      <w:r w:rsidR="00D76C92">
        <w:rPr>
          <w:lang w:val="fr-FR"/>
        </w:rPr>
        <w:t>’</w:t>
      </w:r>
      <w:r w:rsidRPr="00C819AD">
        <w:rPr>
          <w:lang w:val="fr-FR"/>
        </w:rPr>
        <w:t>examen, l</w:t>
      </w:r>
      <w:r w:rsidR="00D76C92">
        <w:rPr>
          <w:lang w:val="fr-FR"/>
        </w:rPr>
        <w:t>’</w:t>
      </w:r>
      <w:r w:rsidRPr="00C819AD">
        <w:rPr>
          <w:lang w:val="fr-FR"/>
        </w:rPr>
        <w:t>institut bénéficiait d</w:t>
      </w:r>
      <w:r w:rsidR="00D76C92">
        <w:rPr>
          <w:lang w:val="fr-FR"/>
        </w:rPr>
        <w:t>’</w:t>
      </w:r>
      <w:r w:rsidRPr="00C819AD">
        <w:rPr>
          <w:lang w:val="fr-FR"/>
        </w:rPr>
        <w:t xml:space="preserve">un accès sans restriction à la base de données </w:t>
      </w:r>
      <w:proofErr w:type="spellStart"/>
      <w:r w:rsidRPr="00C819AD">
        <w:rPr>
          <w:lang w:val="fr-FR"/>
        </w:rPr>
        <w:t>EPOQUENet</w:t>
      </w:r>
      <w:proofErr w:type="spellEnd"/>
      <w:r w:rsidRPr="00C819AD">
        <w:rPr>
          <w:lang w:val="fr-FR"/>
        </w:rPr>
        <w:t>, la Turquie étant partie contractante à la Convention européenne des breve</w:t>
      </w:r>
      <w:r w:rsidR="003008DF" w:rsidRPr="00C819AD">
        <w:rPr>
          <w:lang w:val="fr-FR"/>
        </w:rPr>
        <w:t>ts</w:t>
      </w:r>
      <w:r w:rsidR="003008DF">
        <w:rPr>
          <w:lang w:val="fr-FR"/>
        </w:rPr>
        <w:t xml:space="preserve">.  </w:t>
      </w:r>
      <w:r w:rsidR="003008DF" w:rsidRPr="00C819AD">
        <w:rPr>
          <w:lang w:val="fr-FR"/>
        </w:rPr>
        <w:t>L</w:t>
      </w:r>
      <w:r w:rsidR="003008DF">
        <w:rPr>
          <w:lang w:val="fr-FR"/>
        </w:rPr>
        <w:t>’</w:t>
      </w:r>
      <w:r w:rsidR="003008DF" w:rsidRPr="00C819AD">
        <w:rPr>
          <w:lang w:val="fr-FR"/>
        </w:rPr>
        <w:t>i</w:t>
      </w:r>
      <w:r w:rsidRPr="00C819AD">
        <w:rPr>
          <w:lang w:val="fr-FR"/>
        </w:rPr>
        <w:t>nstitut avait également accès aux bases de données commerciales classiques, ainsi qu</w:t>
      </w:r>
      <w:r w:rsidR="00D76C92">
        <w:rPr>
          <w:lang w:val="fr-FR"/>
        </w:rPr>
        <w:t>’</w:t>
      </w:r>
      <w:r w:rsidRPr="00C819AD">
        <w:rPr>
          <w:lang w:val="fr-FR"/>
        </w:rPr>
        <w:t>à la bibliothèque et aux bases de données du Conseil turc de la recherche scientifique et technique, qui fournissaient des bulletins officiels, des périodiques, des revues et des livres portant sur différents domaines de la science et de la technolog</w:t>
      </w:r>
      <w:r w:rsidR="003008DF" w:rsidRPr="00C819AD">
        <w:rPr>
          <w:lang w:val="fr-FR"/>
        </w:rPr>
        <w:t>ie</w:t>
      </w:r>
      <w:r w:rsidR="003008DF">
        <w:rPr>
          <w:lang w:val="fr-FR"/>
        </w:rPr>
        <w:t xml:space="preserve">.  </w:t>
      </w:r>
      <w:r w:rsidR="003008DF" w:rsidRPr="00C819AD">
        <w:rPr>
          <w:lang w:val="fr-FR"/>
        </w:rPr>
        <w:t>Pa</w:t>
      </w:r>
      <w:r w:rsidRPr="00C819AD">
        <w:rPr>
          <w:lang w:val="fr-FR"/>
        </w:rPr>
        <w:t>r conséquent, s</w:t>
      </w:r>
      <w:r w:rsidR="00D76C92">
        <w:rPr>
          <w:lang w:val="fr-FR"/>
        </w:rPr>
        <w:t>’</w:t>
      </w:r>
      <w:r w:rsidRPr="00C819AD">
        <w:rPr>
          <w:lang w:val="fr-FR"/>
        </w:rPr>
        <w:t>agissant de la documentation minimale du PCT, l</w:t>
      </w:r>
      <w:r w:rsidR="00D76C92">
        <w:rPr>
          <w:lang w:val="fr-FR"/>
        </w:rPr>
        <w:t>’</w:t>
      </w:r>
      <w:r w:rsidRPr="00C819AD">
        <w:rPr>
          <w:lang w:val="fr-FR"/>
        </w:rPr>
        <w:t>institut avait accès aux bases de données des documents de brevet et de la littérature non</w:t>
      </w:r>
      <w:r w:rsidR="00E4676F">
        <w:rPr>
          <w:lang w:val="fr-FR"/>
        </w:rPr>
        <w:noBreakHyphen/>
      </w:r>
      <w:r w:rsidRPr="00C819AD">
        <w:rPr>
          <w:lang w:val="fr-FR"/>
        </w:rPr>
        <w:t>brevet, comme l</w:t>
      </w:r>
      <w:r w:rsidR="00D76C92">
        <w:rPr>
          <w:lang w:val="fr-FR"/>
        </w:rPr>
        <w:t>’</w:t>
      </w:r>
      <w:r w:rsidRPr="00C819AD">
        <w:rPr>
          <w:lang w:val="fr-FR"/>
        </w:rPr>
        <w:t>exigeait la règle 34 du règlement d</w:t>
      </w:r>
      <w:r w:rsidR="00D76C92">
        <w:rPr>
          <w:lang w:val="fr-FR"/>
        </w:rPr>
        <w:t>’</w:t>
      </w:r>
      <w:r w:rsidRPr="00C819AD">
        <w:rPr>
          <w:lang w:val="fr-FR"/>
        </w:rPr>
        <w:t>exécution du PCT.</w:t>
      </w:r>
    </w:p>
    <w:p w:rsidR="00C819AD" w:rsidRPr="00C819AD" w:rsidRDefault="00C819AD" w:rsidP="00C819AD">
      <w:pPr>
        <w:pStyle w:val="ONUMFS"/>
        <w:rPr>
          <w:lang w:val="fr-FR"/>
        </w:rPr>
      </w:pPr>
      <w:r w:rsidRPr="00C819AD">
        <w:rPr>
          <w:lang w:val="fr-FR"/>
        </w:rPr>
        <w:t>La délégation de la Turquie a poursuivi en soulignant que, concernant le système de gestion de la qualité requis aux fins de la recherche internationale et de l</w:t>
      </w:r>
      <w:r w:rsidR="00D76C92">
        <w:rPr>
          <w:lang w:val="fr-FR"/>
        </w:rPr>
        <w:t>’</w:t>
      </w:r>
      <w:r w:rsidRPr="00C819AD">
        <w:rPr>
          <w:lang w:val="fr-FR"/>
        </w:rPr>
        <w:t>examen international, l</w:t>
      </w:r>
      <w:r w:rsidR="00D76C92">
        <w:rPr>
          <w:lang w:val="fr-FR"/>
        </w:rPr>
        <w:t>’</w:t>
      </w:r>
      <w:r w:rsidRPr="00C819AD">
        <w:rPr>
          <w:lang w:val="fr-FR"/>
        </w:rPr>
        <w:t>Institut turc des brevets avait obtenu la certification ISO 9001 à titre de référence normati</w:t>
      </w:r>
      <w:r w:rsidR="003008DF" w:rsidRPr="00C819AD">
        <w:rPr>
          <w:lang w:val="fr-FR"/>
        </w:rPr>
        <w:t>ve</w:t>
      </w:r>
      <w:r w:rsidR="003008DF">
        <w:rPr>
          <w:lang w:val="fr-FR"/>
        </w:rPr>
        <w:t xml:space="preserve">.  </w:t>
      </w:r>
      <w:r w:rsidR="003008DF" w:rsidRPr="00C819AD">
        <w:rPr>
          <w:lang w:val="fr-FR"/>
        </w:rPr>
        <w:t>De</w:t>
      </w:r>
      <w:r w:rsidRPr="00C819AD">
        <w:rPr>
          <w:lang w:val="fr-FR"/>
        </w:rPr>
        <w:t>s études menées en vue de satisfaire aux critères de la norme ISO 27001 concernant les systèmes de sécurité informatique étaient en cours et devraient être achevées au premier semestre de 2017.  La politique de qualité des recherches et des examens de l</w:t>
      </w:r>
      <w:r w:rsidR="00D76C92">
        <w:rPr>
          <w:lang w:val="fr-FR"/>
        </w:rPr>
        <w:t>’</w:t>
      </w:r>
      <w:r w:rsidRPr="00C819AD">
        <w:rPr>
          <w:lang w:val="fr-FR"/>
        </w:rPr>
        <w:t>institut reposait sur la fiabilité, la cohérence, la transparence, la conformité juridique, la rapidité et l</w:t>
      </w:r>
      <w:r w:rsidR="00D76C92">
        <w:rPr>
          <w:lang w:val="fr-FR"/>
        </w:rPr>
        <w:t>’</w:t>
      </w:r>
      <w:r w:rsidRPr="00C819AD">
        <w:rPr>
          <w:lang w:val="fr-FR"/>
        </w:rPr>
        <w:t>amélioration contin</w:t>
      </w:r>
      <w:r w:rsidR="003008DF" w:rsidRPr="00C819AD">
        <w:rPr>
          <w:lang w:val="fr-FR"/>
        </w:rPr>
        <w:t>ue</w:t>
      </w:r>
      <w:r w:rsidR="003008DF">
        <w:rPr>
          <w:lang w:val="fr-FR"/>
        </w:rPr>
        <w:t xml:space="preserve">.  </w:t>
      </w:r>
      <w:r w:rsidR="003008DF" w:rsidRPr="00C819AD">
        <w:rPr>
          <w:lang w:val="fr-FR"/>
        </w:rPr>
        <w:t xml:space="preserve">À </w:t>
      </w:r>
      <w:r w:rsidRPr="00C819AD">
        <w:rPr>
          <w:lang w:val="fr-FR"/>
        </w:rPr>
        <w:t>cet égard, l</w:t>
      </w:r>
      <w:r w:rsidR="00D76C92">
        <w:rPr>
          <w:lang w:val="fr-FR"/>
        </w:rPr>
        <w:t>’</w:t>
      </w:r>
      <w:r w:rsidRPr="00C819AD">
        <w:rPr>
          <w:lang w:val="fr-FR"/>
        </w:rPr>
        <w:t>institut avait adopté le système de gestion de la qualité selon la méthode du cycle PDCA (planifier</w:t>
      </w:r>
      <w:r w:rsidR="00E4676F">
        <w:rPr>
          <w:lang w:val="fr-FR"/>
        </w:rPr>
        <w:noBreakHyphen/>
      </w:r>
      <w:r w:rsidRPr="00C819AD">
        <w:rPr>
          <w:lang w:val="fr-FR"/>
        </w:rPr>
        <w:t>exécuter</w:t>
      </w:r>
      <w:r w:rsidR="00E4676F">
        <w:rPr>
          <w:lang w:val="fr-FR"/>
        </w:rPr>
        <w:noBreakHyphen/>
      </w:r>
      <w:r w:rsidRPr="00C819AD">
        <w:rPr>
          <w:lang w:val="fr-FR"/>
        </w:rPr>
        <w:t>contrôler</w:t>
      </w:r>
      <w:r w:rsidR="00E4676F">
        <w:rPr>
          <w:lang w:val="fr-FR"/>
        </w:rPr>
        <w:noBreakHyphen/>
      </w:r>
      <w:r w:rsidRPr="00C819AD">
        <w:rPr>
          <w:lang w:val="fr-FR"/>
        </w:rPr>
        <w:t xml:space="preserve">agir) à titre de principe de base de mise </w:t>
      </w:r>
      <w:r w:rsidRPr="00C819AD">
        <w:rPr>
          <w:lang w:val="fr-FR"/>
        </w:rPr>
        <w:lastRenderedPageBreak/>
        <w:t>en œuvre du système de gestion de la quali</w:t>
      </w:r>
      <w:r w:rsidR="003008DF" w:rsidRPr="00C819AD">
        <w:rPr>
          <w:lang w:val="fr-FR"/>
        </w:rPr>
        <w:t>té</w:t>
      </w:r>
      <w:r w:rsidR="003008DF">
        <w:rPr>
          <w:lang w:val="fr-FR"/>
        </w:rPr>
        <w:t xml:space="preserve">.  </w:t>
      </w:r>
      <w:r w:rsidR="003008DF" w:rsidRPr="00C819AD">
        <w:rPr>
          <w:lang w:val="fr-FR"/>
        </w:rPr>
        <w:t>Da</w:t>
      </w:r>
      <w:r w:rsidRPr="00C819AD">
        <w:rPr>
          <w:lang w:val="fr-FR"/>
        </w:rPr>
        <w:t>ns le cadre de la procédure de contrôle de la qualité, un second examinateur vérifiait l</w:t>
      </w:r>
      <w:r w:rsidR="00D76C92">
        <w:rPr>
          <w:lang w:val="fr-FR"/>
        </w:rPr>
        <w:t>’</w:t>
      </w:r>
      <w:r w:rsidRPr="00C819AD">
        <w:rPr>
          <w:lang w:val="fr-FR"/>
        </w:rPr>
        <w:t>exactitude de tous les rapports avant leur émission afin de garantir des résultats de grande quali</w:t>
      </w:r>
      <w:r w:rsidR="003008DF" w:rsidRPr="00C819AD">
        <w:rPr>
          <w:lang w:val="fr-FR"/>
        </w:rPr>
        <w:t>té</w:t>
      </w:r>
      <w:r w:rsidR="003008DF">
        <w:rPr>
          <w:lang w:val="fr-FR"/>
        </w:rPr>
        <w:t xml:space="preserve">.  </w:t>
      </w:r>
      <w:r w:rsidR="003008DF" w:rsidRPr="00C819AD">
        <w:rPr>
          <w:lang w:val="fr-FR"/>
        </w:rPr>
        <w:t>Da</w:t>
      </w:r>
      <w:r w:rsidRPr="00C819AD">
        <w:rPr>
          <w:lang w:val="fr-FR"/>
        </w:rPr>
        <w:t>ns le cadre de la procédure d</w:t>
      </w:r>
      <w:r w:rsidR="00D76C92">
        <w:rPr>
          <w:lang w:val="fr-FR"/>
        </w:rPr>
        <w:t>’</w:t>
      </w:r>
      <w:r w:rsidRPr="00C819AD">
        <w:rPr>
          <w:lang w:val="fr-FR"/>
        </w:rPr>
        <w:t>assurance qualité envisagée pour les opérations en tant qu</w:t>
      </w:r>
      <w:r w:rsidR="00D76C92">
        <w:rPr>
          <w:lang w:val="fr-FR"/>
        </w:rPr>
        <w:t>’</w:t>
      </w:r>
      <w:r w:rsidRPr="00C819AD">
        <w:rPr>
          <w:lang w:val="fr-FR"/>
        </w:rPr>
        <w:t>administration internationale, 5% des rapports seraient sélectionnés de manière aléatoire et contrôlés conformément à des paramètres déterminés par l</w:t>
      </w:r>
      <w:r w:rsidR="00D76C92">
        <w:rPr>
          <w:lang w:val="fr-FR"/>
        </w:rPr>
        <w:t>’</w:t>
      </w:r>
      <w:r w:rsidRPr="00C819AD">
        <w:rPr>
          <w:lang w:val="fr-FR"/>
        </w:rPr>
        <w:t>équipe responsable de la quali</w:t>
      </w:r>
      <w:r w:rsidR="003008DF" w:rsidRPr="00C819AD">
        <w:rPr>
          <w:lang w:val="fr-FR"/>
        </w:rPr>
        <w:t>té</w:t>
      </w:r>
      <w:r w:rsidR="003008DF">
        <w:rPr>
          <w:lang w:val="fr-FR"/>
        </w:rPr>
        <w:t xml:space="preserve">.  </w:t>
      </w:r>
      <w:r w:rsidR="003008DF" w:rsidRPr="00C819AD">
        <w:rPr>
          <w:lang w:val="fr-FR"/>
        </w:rPr>
        <w:t>Le</w:t>
      </w:r>
      <w:r w:rsidRPr="00C819AD">
        <w:rPr>
          <w:lang w:val="fr-FR"/>
        </w:rPr>
        <w:t>s résultats seraient enregistrés et feraient l</w:t>
      </w:r>
      <w:r w:rsidR="00D76C92">
        <w:rPr>
          <w:lang w:val="fr-FR"/>
        </w:rPr>
        <w:t>’</w:t>
      </w:r>
      <w:r w:rsidRPr="00C819AD">
        <w:rPr>
          <w:lang w:val="fr-FR"/>
        </w:rPr>
        <w:t>objet de rapports périodiqu</w:t>
      </w:r>
      <w:r w:rsidR="003008DF" w:rsidRPr="00C819AD">
        <w:rPr>
          <w:lang w:val="fr-FR"/>
        </w:rPr>
        <w:t>es</w:t>
      </w:r>
      <w:r w:rsidR="003008DF">
        <w:rPr>
          <w:lang w:val="fr-FR"/>
        </w:rPr>
        <w:t xml:space="preserve">.  </w:t>
      </w:r>
      <w:r w:rsidR="003008DF" w:rsidRPr="00C819AD">
        <w:rPr>
          <w:lang w:val="fr-FR"/>
        </w:rPr>
        <w:t>Da</w:t>
      </w:r>
      <w:r w:rsidRPr="00C819AD">
        <w:rPr>
          <w:lang w:val="fr-FR"/>
        </w:rPr>
        <w:t>ns ce contexte, l</w:t>
      </w:r>
      <w:r w:rsidR="00D76C92">
        <w:rPr>
          <w:lang w:val="fr-FR"/>
        </w:rPr>
        <w:t>’</w:t>
      </w:r>
      <w:r w:rsidRPr="00C819AD">
        <w:rPr>
          <w:lang w:val="fr-FR"/>
        </w:rPr>
        <w:t>institut s</w:t>
      </w:r>
      <w:r w:rsidR="00D76C92">
        <w:rPr>
          <w:lang w:val="fr-FR"/>
        </w:rPr>
        <w:t>’</w:t>
      </w:r>
      <w:r w:rsidRPr="00C819AD">
        <w:rPr>
          <w:lang w:val="fr-FR"/>
        </w:rPr>
        <w:t>assurait que les exigences en matière de système de gestion de la qualité énoncées au chapitre 21 des directives concernant la recherche et l</w:t>
      </w:r>
      <w:r w:rsidR="00D76C92">
        <w:rPr>
          <w:lang w:val="fr-FR"/>
        </w:rPr>
        <w:t>’</w:t>
      </w:r>
      <w:r w:rsidRPr="00C819AD">
        <w:rPr>
          <w:lang w:val="fr-FR"/>
        </w:rPr>
        <w:t>examen selon le PCT seraient remplies.</w:t>
      </w:r>
    </w:p>
    <w:p w:rsidR="00C819AD" w:rsidRPr="00C819AD" w:rsidRDefault="00C819AD" w:rsidP="00C819AD">
      <w:pPr>
        <w:pStyle w:val="ONUMFS"/>
        <w:numPr>
          <w:ilvl w:val="0"/>
          <w:numId w:val="6"/>
        </w:numPr>
        <w:rPr>
          <w:lang w:val="fr-FR"/>
        </w:rPr>
      </w:pPr>
      <w:r w:rsidRPr="00C819AD">
        <w:rPr>
          <w:lang w:val="fr-FR"/>
        </w:rPr>
        <w:t>La délégation de la Turquie a ajouté que, généralement, le nombre de demandes selon le PCT n</w:t>
      </w:r>
      <w:r w:rsidR="00D76C92">
        <w:rPr>
          <w:lang w:val="fr-FR"/>
        </w:rPr>
        <w:t>’</w:t>
      </w:r>
      <w:r w:rsidRPr="00C819AD">
        <w:rPr>
          <w:lang w:val="fr-FR"/>
        </w:rPr>
        <w:t>avait cessé de croître au cours des dernières années, 218 000 demandes ayant été déposées en 2015, qui représentait la sixième année consécutive de croissance, soit une augmentation d</w:t>
      </w:r>
      <w:r w:rsidR="00D76C92">
        <w:rPr>
          <w:lang w:val="fr-FR"/>
        </w:rPr>
        <w:t>’</w:t>
      </w:r>
      <w:r w:rsidRPr="00C819AD">
        <w:rPr>
          <w:lang w:val="fr-FR"/>
        </w:rPr>
        <w:t>environ 2% par rapport aux chiffres de 2014.  Parallèlement à l</w:t>
      </w:r>
      <w:r w:rsidR="00D76C92">
        <w:rPr>
          <w:lang w:val="fr-FR"/>
        </w:rPr>
        <w:t>’</w:t>
      </w:r>
      <w:r w:rsidRPr="00C819AD">
        <w:rPr>
          <w:lang w:val="fr-FR"/>
        </w:rPr>
        <w:t>augmentation du nombre de demandes selon le PCT, la charge de travail liée aux activités de recherche et d</w:t>
      </w:r>
      <w:r w:rsidR="00D76C92">
        <w:rPr>
          <w:lang w:val="fr-FR"/>
        </w:rPr>
        <w:t>’</w:t>
      </w:r>
      <w:r w:rsidRPr="00C819AD">
        <w:rPr>
          <w:lang w:val="fr-FR"/>
        </w:rPr>
        <w:t>examen avait aussi augmenté chaque ann</w:t>
      </w:r>
      <w:r w:rsidR="003008DF" w:rsidRPr="00C819AD">
        <w:rPr>
          <w:lang w:val="fr-FR"/>
        </w:rPr>
        <w:t>ée</w:t>
      </w:r>
      <w:r w:rsidR="003008DF">
        <w:rPr>
          <w:lang w:val="fr-FR"/>
        </w:rPr>
        <w:t xml:space="preserve">.  </w:t>
      </w:r>
      <w:r w:rsidR="003008DF" w:rsidRPr="00C819AD">
        <w:rPr>
          <w:lang w:val="fr-FR"/>
        </w:rPr>
        <w:t>Af</w:t>
      </w:r>
      <w:r w:rsidRPr="00C819AD">
        <w:rPr>
          <w:lang w:val="fr-FR"/>
        </w:rPr>
        <w:t>in de répondre à la demande et de définir un juste équilibre avec les normes de qualité, l</w:t>
      </w:r>
      <w:r w:rsidR="00D76C92">
        <w:rPr>
          <w:lang w:val="fr-FR"/>
        </w:rPr>
        <w:t>’</w:t>
      </w:r>
      <w:r w:rsidRPr="00C819AD">
        <w:rPr>
          <w:lang w:val="fr-FR"/>
        </w:rPr>
        <w:t>augmentation du nombre d</w:t>
      </w:r>
      <w:r w:rsidR="00D76C92">
        <w:rPr>
          <w:lang w:val="fr-FR"/>
        </w:rPr>
        <w:t>’</w:t>
      </w:r>
      <w:r w:rsidRPr="00C819AD">
        <w:rPr>
          <w:lang w:val="fr-FR"/>
        </w:rPr>
        <w:t>administrations internationales instituées en vertu du PCT et la répartition du travail entre les offices de brevets constituaient la soluti</w:t>
      </w:r>
      <w:r w:rsidR="003008DF" w:rsidRPr="00C819AD">
        <w:rPr>
          <w:lang w:val="fr-FR"/>
        </w:rPr>
        <w:t>on</w:t>
      </w:r>
      <w:r w:rsidR="003008DF">
        <w:rPr>
          <w:lang w:val="fr-FR"/>
        </w:rPr>
        <w:t xml:space="preserve">.  </w:t>
      </w:r>
      <w:r w:rsidR="003008DF" w:rsidRPr="00C819AD">
        <w:rPr>
          <w:lang w:val="fr-FR"/>
        </w:rPr>
        <w:t>Av</w:t>
      </w:r>
      <w:r w:rsidRPr="00C819AD">
        <w:rPr>
          <w:lang w:val="fr-FR"/>
        </w:rPr>
        <w:t>ec ses importantes ressources en matière de recherche et d</w:t>
      </w:r>
      <w:r w:rsidR="00D76C92">
        <w:rPr>
          <w:lang w:val="fr-FR"/>
        </w:rPr>
        <w:t>’</w:t>
      </w:r>
      <w:r w:rsidRPr="00C819AD">
        <w:rPr>
          <w:lang w:val="fr-FR"/>
        </w:rPr>
        <w:t>examen, l</w:t>
      </w:r>
      <w:r w:rsidR="00D76C92">
        <w:rPr>
          <w:lang w:val="fr-FR"/>
        </w:rPr>
        <w:t>’</w:t>
      </w:r>
      <w:r w:rsidRPr="00C819AD">
        <w:rPr>
          <w:lang w:val="fr-FR"/>
        </w:rPr>
        <w:t>Institut turc des brevets était disposé à assumer sa part de cette charge de travail, en collaboration avec les autres offices nationa</w:t>
      </w:r>
      <w:r w:rsidR="003008DF" w:rsidRPr="00C819AD">
        <w:rPr>
          <w:lang w:val="fr-FR"/>
        </w:rPr>
        <w:t>ux</w:t>
      </w:r>
      <w:r w:rsidR="003008DF">
        <w:rPr>
          <w:lang w:val="fr-FR"/>
        </w:rPr>
        <w:t xml:space="preserve">.  </w:t>
      </w:r>
      <w:r w:rsidR="003008DF" w:rsidRPr="00C819AD">
        <w:rPr>
          <w:lang w:val="fr-FR"/>
        </w:rPr>
        <w:t xml:space="preserve">À </w:t>
      </w:r>
      <w:r w:rsidRPr="00C819AD">
        <w:rPr>
          <w:lang w:val="fr-FR"/>
        </w:rPr>
        <w:t>cet égard, il avait récemment conclu des accords bilatéraux en matière de partage des tâches avec les offices nationaux des brevets de la Chine, du Japon et de l</w:t>
      </w:r>
      <w:r w:rsidR="00D76C92">
        <w:rPr>
          <w:lang w:val="fr-FR"/>
        </w:rPr>
        <w:t>’</w:t>
      </w:r>
      <w:r w:rsidRPr="00C819AD">
        <w:rPr>
          <w:lang w:val="fr-FR"/>
        </w:rPr>
        <w:t xml:space="preserve">Espagne afin de permettre aux déposants de demandes de brevet de solliciter un traitement accéléré au cours de la phase nationale en vertu du Patent </w:t>
      </w:r>
      <w:proofErr w:type="spellStart"/>
      <w:r w:rsidRPr="00C819AD">
        <w:rPr>
          <w:lang w:val="fr-FR"/>
        </w:rPr>
        <w:t>Prosecution</w:t>
      </w:r>
      <w:proofErr w:type="spellEnd"/>
      <w:r w:rsidRPr="00C819AD">
        <w:rPr>
          <w:lang w:val="fr-FR"/>
        </w:rPr>
        <w:t xml:space="preserve"> </w:t>
      </w:r>
      <w:proofErr w:type="spellStart"/>
      <w:r w:rsidRPr="00C819AD">
        <w:rPr>
          <w:lang w:val="fr-FR"/>
        </w:rPr>
        <w:t>Highway</w:t>
      </w:r>
      <w:proofErr w:type="spellEnd"/>
      <w:r w:rsidRPr="00C819AD">
        <w:rPr>
          <w:lang w:val="fr-FR"/>
        </w:rPr>
        <w:t xml:space="preserve"> (PPH), qui serait mis en œuvre par l</w:t>
      </w:r>
      <w:r w:rsidR="00D76C92">
        <w:rPr>
          <w:lang w:val="fr-FR"/>
        </w:rPr>
        <w:t>’</w:t>
      </w:r>
      <w:r w:rsidRPr="00C819AD">
        <w:rPr>
          <w:lang w:val="fr-FR"/>
        </w:rPr>
        <w:t>institut dès qu</w:t>
      </w:r>
      <w:r w:rsidR="00D76C92">
        <w:rPr>
          <w:lang w:val="fr-FR"/>
        </w:rPr>
        <w:t>’</w:t>
      </w:r>
      <w:r w:rsidRPr="00C819AD">
        <w:rPr>
          <w:lang w:val="fr-FR"/>
        </w:rPr>
        <w:t>il pourrait agir en qualité d</w:t>
      </w:r>
      <w:r w:rsidR="00D76C92">
        <w:rPr>
          <w:lang w:val="fr-FR"/>
        </w:rPr>
        <w:t>’</w:t>
      </w:r>
      <w:r w:rsidRPr="00C819AD">
        <w:rPr>
          <w:lang w:val="fr-FR"/>
        </w:rPr>
        <w:t>administration internationa</w:t>
      </w:r>
      <w:r w:rsidR="003008DF" w:rsidRPr="00C819AD">
        <w:rPr>
          <w:lang w:val="fr-FR"/>
        </w:rPr>
        <w:t>le</w:t>
      </w:r>
      <w:r w:rsidR="003008DF">
        <w:rPr>
          <w:lang w:val="fr-FR"/>
        </w:rPr>
        <w:t xml:space="preserve">.  </w:t>
      </w:r>
      <w:r w:rsidR="003008DF" w:rsidRPr="00C819AD">
        <w:rPr>
          <w:lang w:val="fr-FR"/>
        </w:rPr>
        <w:t>En</w:t>
      </w:r>
      <w:r w:rsidRPr="00C819AD">
        <w:rPr>
          <w:lang w:val="fr-FR"/>
        </w:rPr>
        <w:t xml:space="preserve"> outre, l</w:t>
      </w:r>
      <w:r w:rsidR="00D76C92">
        <w:rPr>
          <w:lang w:val="fr-FR"/>
        </w:rPr>
        <w:t>’</w:t>
      </w:r>
      <w:r w:rsidRPr="00C819AD">
        <w:rPr>
          <w:lang w:val="fr-FR"/>
        </w:rPr>
        <w:t>institut se réjouissait à la perspective de lancer avec le KIPO des négociations concernant le </w:t>
      </w:r>
      <w:r w:rsidR="003008DF" w:rsidRPr="00C819AD">
        <w:rPr>
          <w:lang w:val="fr-FR"/>
        </w:rPr>
        <w:t>PPH</w:t>
      </w:r>
      <w:r w:rsidR="003008DF">
        <w:rPr>
          <w:lang w:val="fr-FR"/>
        </w:rPr>
        <w:t xml:space="preserve">.  </w:t>
      </w:r>
      <w:r w:rsidR="003008DF" w:rsidRPr="00C819AD">
        <w:rPr>
          <w:lang w:val="fr-FR"/>
        </w:rPr>
        <w:t>Il</w:t>
      </w:r>
      <w:r w:rsidRPr="00C819AD">
        <w:rPr>
          <w:lang w:val="fr-FR"/>
        </w:rPr>
        <w:t xml:space="preserve"> se félicitait de la possibilité qui lui était donnée de contribuer au système mondial en assurant des travaux de recherche au niveau national pour d</w:t>
      </w:r>
      <w:r w:rsidR="00D76C92">
        <w:rPr>
          <w:lang w:val="fr-FR"/>
        </w:rPr>
        <w:t>’</w:t>
      </w:r>
      <w:r w:rsidRPr="00C819AD">
        <w:rPr>
          <w:lang w:val="fr-FR"/>
        </w:rPr>
        <w:t>autres offices, tels que celui de la Bosnie</w:t>
      </w:r>
      <w:r w:rsidR="00E4676F">
        <w:rPr>
          <w:lang w:val="fr-FR"/>
        </w:rPr>
        <w:noBreakHyphen/>
      </w:r>
      <w:r w:rsidRPr="00C819AD">
        <w:rPr>
          <w:lang w:val="fr-FR"/>
        </w:rPr>
        <w:t>Herzégovine, et souhaitait fournir des services à d</w:t>
      </w:r>
      <w:r w:rsidR="00D76C92">
        <w:rPr>
          <w:lang w:val="fr-FR"/>
        </w:rPr>
        <w:t>’</w:t>
      </w:r>
      <w:r w:rsidRPr="00C819AD">
        <w:rPr>
          <w:lang w:val="fr-FR"/>
        </w:rPr>
        <w:t>autres pays de la région dans le cadre des 30 accords de coopération bilatérale qu</w:t>
      </w:r>
      <w:r w:rsidR="00D76C92">
        <w:rPr>
          <w:lang w:val="fr-FR"/>
        </w:rPr>
        <w:t>’</w:t>
      </w:r>
      <w:r w:rsidRPr="00C819AD">
        <w:rPr>
          <w:lang w:val="fr-FR"/>
        </w:rPr>
        <w:t>il avait signés.</w:t>
      </w:r>
    </w:p>
    <w:p w:rsidR="00C819AD" w:rsidRPr="00C819AD" w:rsidRDefault="00C819AD" w:rsidP="00C819AD">
      <w:pPr>
        <w:pStyle w:val="ONUMFS"/>
        <w:numPr>
          <w:ilvl w:val="0"/>
          <w:numId w:val="6"/>
        </w:numPr>
        <w:rPr>
          <w:lang w:val="fr-FR"/>
        </w:rPr>
      </w:pPr>
      <w:r w:rsidRPr="00C819AD">
        <w:rPr>
          <w:lang w:val="fr-FR"/>
        </w:rPr>
        <w:t>En conclusion, la délégation de la Turquie s</w:t>
      </w:r>
      <w:r w:rsidR="00D76C92">
        <w:rPr>
          <w:lang w:val="fr-FR"/>
        </w:rPr>
        <w:t>’</w:t>
      </w:r>
      <w:r w:rsidRPr="00C819AD">
        <w:rPr>
          <w:lang w:val="fr-FR"/>
        </w:rPr>
        <w:t>est déclarée profondément convaincue que le fait de devenir une administration internationale permettrait à l</w:t>
      </w:r>
      <w:r w:rsidR="00D76C92">
        <w:rPr>
          <w:lang w:val="fr-FR"/>
        </w:rPr>
        <w:t>’</w:t>
      </w:r>
      <w:r w:rsidRPr="00C819AD">
        <w:rPr>
          <w:lang w:val="fr-FR"/>
        </w:rPr>
        <w:t>institut de jouer un rôle de passerelle entre l</w:t>
      </w:r>
      <w:r w:rsidR="00D76C92">
        <w:rPr>
          <w:lang w:val="fr-FR"/>
        </w:rPr>
        <w:t>’</w:t>
      </w:r>
      <w:r w:rsidRPr="00C819AD">
        <w:rPr>
          <w:lang w:val="fr-FR"/>
        </w:rPr>
        <w:t>Europe et l</w:t>
      </w:r>
      <w:r w:rsidR="00D76C92">
        <w:rPr>
          <w:lang w:val="fr-FR"/>
        </w:rPr>
        <w:t>’</w:t>
      </w:r>
      <w:r w:rsidRPr="00C819AD">
        <w:rPr>
          <w:lang w:val="fr-FR"/>
        </w:rPr>
        <w:t>Asie et de contribuer à faire connaître le PCT en créant un réseau entre les utilisateurs locaux et régionaux ainsi qu</w:t>
      </w:r>
      <w:r w:rsidR="00D76C92">
        <w:rPr>
          <w:lang w:val="fr-FR"/>
        </w:rPr>
        <w:t>’</w:t>
      </w:r>
      <w:r w:rsidRPr="00C819AD">
        <w:rPr>
          <w:lang w:val="fr-FR"/>
        </w:rPr>
        <w:t>en soutenant le développement et la promotion du système du PCT dans la régi</w:t>
      </w:r>
      <w:r w:rsidR="003008DF" w:rsidRPr="00C819AD">
        <w:rPr>
          <w:lang w:val="fr-FR"/>
        </w:rPr>
        <w:t>on</w:t>
      </w:r>
      <w:r w:rsidR="003008DF">
        <w:rPr>
          <w:lang w:val="fr-FR"/>
        </w:rPr>
        <w:t xml:space="preserve">.  </w:t>
      </w:r>
      <w:r w:rsidR="003008DF" w:rsidRPr="00C819AD">
        <w:rPr>
          <w:lang w:val="fr-FR"/>
        </w:rPr>
        <w:t>La</w:t>
      </w:r>
      <w:r w:rsidRPr="00C819AD">
        <w:rPr>
          <w:lang w:val="fr-FR"/>
        </w:rPr>
        <w:t xml:space="preserve"> délégation a de nouveau fait part de sa plus haute considération et de sa gratitude à l</w:t>
      </w:r>
      <w:r w:rsidR="00D76C92">
        <w:rPr>
          <w:lang w:val="fr-FR"/>
        </w:rPr>
        <w:t>’</w:t>
      </w:r>
      <w:r w:rsidRPr="00C819AD">
        <w:rPr>
          <w:lang w:val="fr-FR"/>
        </w:rPr>
        <w:t>Office coréen de la propriété intellectuelle (KIPO) et à l</w:t>
      </w:r>
      <w:r w:rsidR="00D76C92">
        <w:rPr>
          <w:lang w:val="fr-FR"/>
        </w:rPr>
        <w:t>’</w:t>
      </w:r>
      <w:r w:rsidRPr="00C819AD">
        <w:rPr>
          <w:lang w:val="fr-FR"/>
        </w:rPr>
        <w:t>Office espagnol des brevets et des marques (SPTO) pour leur excellente coopération et leur assistan</w:t>
      </w:r>
      <w:r w:rsidR="003008DF" w:rsidRPr="00C819AD">
        <w:rPr>
          <w:lang w:val="fr-FR"/>
        </w:rPr>
        <w:t>ce</w:t>
      </w:r>
      <w:r w:rsidR="003008DF">
        <w:rPr>
          <w:lang w:val="fr-FR"/>
        </w:rPr>
        <w:t xml:space="preserve">.  </w:t>
      </w:r>
      <w:r w:rsidR="003008DF" w:rsidRPr="00C819AD">
        <w:rPr>
          <w:lang w:val="fr-FR"/>
        </w:rPr>
        <w:t>Gr</w:t>
      </w:r>
      <w:r w:rsidRPr="00C819AD">
        <w:rPr>
          <w:lang w:val="fr-FR"/>
        </w:rPr>
        <w:t>âce à leur aide, l</w:t>
      </w:r>
      <w:r w:rsidR="00D76C92">
        <w:rPr>
          <w:lang w:val="fr-FR"/>
        </w:rPr>
        <w:t>’</w:t>
      </w:r>
      <w:r w:rsidRPr="00C819AD">
        <w:rPr>
          <w:lang w:val="fr-FR"/>
        </w:rPr>
        <w:t>Institut turc des brevets était fin prêt à être nommé par l</w:t>
      </w:r>
      <w:r w:rsidR="00D76C92">
        <w:rPr>
          <w:lang w:val="fr-FR"/>
        </w:rPr>
        <w:t>’</w:t>
      </w:r>
      <w:r w:rsidRPr="00C819AD">
        <w:rPr>
          <w:lang w:val="fr-FR"/>
        </w:rPr>
        <w:t>Assemblée sans devoir réaliser des travaux supplémentaires ou solliciter un délai supplémentaire pour remplir les critèr</w:t>
      </w:r>
      <w:r w:rsidR="003008DF" w:rsidRPr="00C819AD">
        <w:rPr>
          <w:lang w:val="fr-FR"/>
        </w:rPr>
        <w:t>es</w:t>
      </w:r>
      <w:r w:rsidR="003008DF">
        <w:rPr>
          <w:lang w:val="fr-FR"/>
        </w:rPr>
        <w:t xml:space="preserve">.  </w:t>
      </w:r>
      <w:r w:rsidR="003008DF" w:rsidRPr="00C819AD">
        <w:rPr>
          <w:lang w:val="fr-FR"/>
        </w:rPr>
        <w:t>La</w:t>
      </w:r>
      <w:r w:rsidRPr="00C819AD">
        <w:rPr>
          <w:lang w:val="fr-FR"/>
        </w:rPr>
        <w:t xml:space="preserve"> délégation a également adressé ses remerciements au Secrétariat, et plus particulièrement aux fonctionnaires de la Division de la coopération internationale du PCT, pour les excellents conseils dispensés tout au long du process</w:t>
      </w:r>
      <w:r w:rsidR="003008DF" w:rsidRPr="00C819AD">
        <w:rPr>
          <w:lang w:val="fr-FR"/>
        </w:rPr>
        <w:t>us</w:t>
      </w:r>
      <w:r w:rsidR="003008DF">
        <w:rPr>
          <w:lang w:val="fr-FR"/>
        </w:rPr>
        <w:t xml:space="preserve">.  </w:t>
      </w:r>
      <w:r w:rsidR="003008DF" w:rsidRPr="00C819AD">
        <w:rPr>
          <w:lang w:val="fr-FR"/>
        </w:rPr>
        <w:t>So</w:t>
      </w:r>
      <w:r w:rsidRPr="00C819AD">
        <w:rPr>
          <w:lang w:val="fr-FR"/>
        </w:rPr>
        <w:t>umettant sa demande à l</w:t>
      </w:r>
      <w:r w:rsidR="00D76C92">
        <w:rPr>
          <w:lang w:val="fr-FR"/>
        </w:rPr>
        <w:t>’</w:t>
      </w:r>
      <w:r w:rsidRPr="00C819AD">
        <w:rPr>
          <w:lang w:val="fr-FR"/>
        </w:rPr>
        <w:t>évaluation professionnelle et objective des autres délégations eu égard aux critères techniques de nomination, la délégation a déclaré qu</w:t>
      </w:r>
      <w:r w:rsidR="00D76C92">
        <w:rPr>
          <w:lang w:val="fr-FR"/>
        </w:rPr>
        <w:t>’</w:t>
      </w:r>
      <w:r w:rsidRPr="00C819AD">
        <w:rPr>
          <w:lang w:val="fr-FR"/>
        </w:rPr>
        <w:t>elle serait heureuse de fournir toute précision supplémentaire qui pourrait être requise par l</w:t>
      </w:r>
      <w:r w:rsidR="00D76C92">
        <w:rPr>
          <w:lang w:val="fr-FR"/>
        </w:rPr>
        <w:t>’</w:t>
      </w:r>
      <w:r w:rsidRPr="00C819AD">
        <w:rPr>
          <w:lang w:val="fr-FR"/>
        </w:rPr>
        <w:t>Assemblée de l</w:t>
      </w:r>
      <w:r w:rsidR="00D76C92">
        <w:rPr>
          <w:lang w:val="fr-FR"/>
        </w:rPr>
        <w:t>’</w:t>
      </w:r>
      <w:r w:rsidRPr="00C819AD">
        <w:rPr>
          <w:lang w:val="fr-FR"/>
        </w:rPr>
        <w:t>Union du PCT.</w:t>
      </w:r>
    </w:p>
    <w:p w:rsidR="00C819AD" w:rsidRPr="00C819AD" w:rsidRDefault="00C819AD" w:rsidP="00C819AD">
      <w:pPr>
        <w:pStyle w:val="ONUMFS"/>
        <w:numPr>
          <w:ilvl w:val="0"/>
          <w:numId w:val="6"/>
        </w:numPr>
        <w:rPr>
          <w:lang w:val="fr-FR"/>
        </w:rPr>
      </w:pPr>
      <w:r w:rsidRPr="00C819AD">
        <w:rPr>
          <w:lang w:val="fr-FR"/>
        </w:rPr>
        <w:t>La délégation de la République de Corée a félicité la délégation de la Turquie pour la présentation de la demande de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w:t>
      </w:r>
      <w:r w:rsidR="003008DF" w:rsidRPr="00C819AD">
        <w:rPr>
          <w:lang w:val="fr-FR"/>
        </w:rPr>
        <w:t>PCT</w:t>
      </w:r>
      <w:r w:rsidR="003008DF">
        <w:rPr>
          <w:lang w:val="fr-FR"/>
        </w:rPr>
        <w:t xml:space="preserve">.  </w:t>
      </w:r>
      <w:r w:rsidR="003008DF" w:rsidRPr="00C819AD">
        <w:rPr>
          <w:lang w:val="fr-FR"/>
        </w:rPr>
        <w:t>Le</w:t>
      </w:r>
      <w:r w:rsidRPr="00C819AD">
        <w:rPr>
          <w:lang w:val="fr-FR"/>
        </w:rPr>
        <w:t> KIPO était en mesure de confirmer que l</w:t>
      </w:r>
      <w:r w:rsidR="00D76C92">
        <w:rPr>
          <w:lang w:val="fr-FR"/>
        </w:rPr>
        <w:t>’</w:t>
      </w:r>
      <w:r w:rsidRPr="00C819AD">
        <w:rPr>
          <w:lang w:val="fr-FR"/>
        </w:rPr>
        <w:t>institut remplissait les exigences minimales prescrites en vertu des règles 36.1 et 63.1 du règlement d</w:t>
      </w:r>
      <w:r w:rsidR="00D76C92">
        <w:rPr>
          <w:lang w:val="fr-FR"/>
        </w:rPr>
        <w:t>’</w:t>
      </w:r>
      <w:r w:rsidRPr="00C819AD">
        <w:rPr>
          <w:lang w:val="fr-FR"/>
        </w:rPr>
        <w:t>exécution du PCT pour être nommé en qualité d</w:t>
      </w:r>
      <w:r w:rsidR="00D76C92">
        <w:rPr>
          <w:lang w:val="fr-FR"/>
        </w:rPr>
        <w:t>’</w:t>
      </w:r>
      <w:r w:rsidRPr="00C819AD">
        <w:rPr>
          <w:lang w:val="fr-FR"/>
        </w:rPr>
        <w:t>administration internationa</w:t>
      </w:r>
      <w:r w:rsidR="003008DF" w:rsidRPr="00C819AD">
        <w:rPr>
          <w:lang w:val="fr-FR"/>
        </w:rPr>
        <w:t>le</w:t>
      </w:r>
      <w:r w:rsidR="003008DF">
        <w:rPr>
          <w:lang w:val="fr-FR"/>
        </w:rPr>
        <w:t xml:space="preserve">.  </w:t>
      </w:r>
      <w:r w:rsidR="003008DF" w:rsidRPr="00C819AD">
        <w:rPr>
          <w:lang w:val="fr-FR"/>
        </w:rPr>
        <w:t>Il</w:t>
      </w:r>
      <w:r w:rsidRPr="00C819AD">
        <w:rPr>
          <w:lang w:val="fr-FR"/>
        </w:rPr>
        <w:t xml:space="preserve"> disposait en effet de davantage d</w:t>
      </w:r>
      <w:r w:rsidR="00D76C92">
        <w:rPr>
          <w:lang w:val="fr-FR"/>
        </w:rPr>
        <w:t>’</w:t>
      </w:r>
      <w:r w:rsidRPr="00C819AD">
        <w:rPr>
          <w:lang w:val="fr-FR"/>
        </w:rPr>
        <w:t xml:space="preserve">examinateurs de brevets disposant de qualifications techniques suffisantes que le nombre </w:t>
      </w:r>
      <w:r w:rsidRPr="00C819AD">
        <w:rPr>
          <w:lang w:val="fr-FR"/>
        </w:rPr>
        <w:lastRenderedPageBreak/>
        <w:t>minimal de 100 examinateurs requ</w:t>
      </w:r>
      <w:r w:rsidR="003008DF" w:rsidRPr="00C819AD">
        <w:rPr>
          <w:lang w:val="fr-FR"/>
        </w:rPr>
        <w:t>is</w:t>
      </w:r>
      <w:r w:rsidR="003008DF">
        <w:rPr>
          <w:lang w:val="fr-FR"/>
        </w:rPr>
        <w:t xml:space="preserve">.  </w:t>
      </w:r>
      <w:r w:rsidR="003008DF" w:rsidRPr="00C819AD">
        <w:rPr>
          <w:lang w:val="fr-FR"/>
        </w:rPr>
        <w:t>Pa</w:t>
      </w:r>
      <w:r w:rsidRPr="00C819AD">
        <w:rPr>
          <w:lang w:val="fr-FR"/>
        </w:rPr>
        <w:t>r ailleurs, l</w:t>
      </w:r>
      <w:r w:rsidR="00D76C92">
        <w:rPr>
          <w:lang w:val="fr-FR"/>
        </w:rPr>
        <w:t>’</w:t>
      </w:r>
      <w:r w:rsidRPr="00C819AD">
        <w:rPr>
          <w:lang w:val="fr-FR"/>
        </w:rPr>
        <w:t>institut était doté d</w:t>
      </w:r>
      <w:r w:rsidR="00D76C92">
        <w:rPr>
          <w:lang w:val="fr-FR"/>
        </w:rPr>
        <w:t>’</w:t>
      </w:r>
      <w:r w:rsidRPr="00C819AD">
        <w:rPr>
          <w:lang w:val="fr-FR"/>
        </w:rPr>
        <w:t>un système de gestion de la qualité répondant aux critères énoncés dans les Directives concernant la recherche internationale et l</w:t>
      </w:r>
      <w:r w:rsidR="00D76C92">
        <w:rPr>
          <w:lang w:val="fr-FR"/>
        </w:rPr>
        <w:t>’</w:t>
      </w:r>
      <w:r w:rsidRPr="00C819AD">
        <w:rPr>
          <w:lang w:val="fr-FR"/>
        </w:rPr>
        <w:t>examen préliminaire international selon le PCT et était fermement résolu à améliorer ce systè</w:t>
      </w:r>
      <w:r w:rsidR="003008DF" w:rsidRPr="00C819AD">
        <w:rPr>
          <w:lang w:val="fr-FR"/>
        </w:rPr>
        <w:t>me</w:t>
      </w:r>
      <w:r w:rsidR="003008DF">
        <w:rPr>
          <w:lang w:val="fr-FR"/>
        </w:rPr>
        <w:t xml:space="preserve">.  </w:t>
      </w:r>
      <w:r w:rsidR="003008DF" w:rsidRPr="00C819AD">
        <w:rPr>
          <w:lang w:val="fr-FR"/>
        </w:rPr>
        <w:t>De</w:t>
      </w:r>
      <w:r w:rsidRPr="00C819AD">
        <w:rPr>
          <w:lang w:val="fr-FR"/>
        </w:rPr>
        <w:t>s experts du KIPO s</w:t>
      </w:r>
      <w:r w:rsidR="00D76C92">
        <w:rPr>
          <w:lang w:val="fr-FR"/>
        </w:rPr>
        <w:t>’</w:t>
      </w:r>
      <w:r w:rsidRPr="00C819AD">
        <w:rPr>
          <w:lang w:val="fr-FR"/>
        </w:rPr>
        <w:t>étaient rendus à l</w:t>
      </w:r>
      <w:r w:rsidR="00D76C92">
        <w:rPr>
          <w:lang w:val="fr-FR"/>
        </w:rPr>
        <w:t>’</w:t>
      </w:r>
      <w:r w:rsidRPr="00C819AD">
        <w:rPr>
          <w:lang w:val="fr-FR"/>
        </w:rPr>
        <w:t>institut à deux reprises afin de vérifier ses systèmes et sur la base de leurs observations, la délégation était en mesure de déterminer que l</w:t>
      </w:r>
      <w:r w:rsidR="00D76C92">
        <w:rPr>
          <w:lang w:val="fr-FR"/>
        </w:rPr>
        <w:t>’</w:t>
      </w:r>
      <w:r w:rsidRPr="00C819AD">
        <w:rPr>
          <w:lang w:val="fr-FR"/>
        </w:rPr>
        <w:t>Institut turc des brevets était compétent pour agir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w:t>
      </w:r>
      <w:r w:rsidR="003008DF" w:rsidRPr="00C819AD">
        <w:rPr>
          <w:lang w:val="fr-FR"/>
        </w:rPr>
        <w:t>al</w:t>
      </w:r>
      <w:r w:rsidR="003008DF">
        <w:rPr>
          <w:lang w:val="fr-FR"/>
        </w:rPr>
        <w:t xml:space="preserve">.  </w:t>
      </w:r>
      <w:r w:rsidR="003008DF" w:rsidRPr="00C819AD">
        <w:rPr>
          <w:lang w:val="fr-FR"/>
        </w:rPr>
        <w:t>En</w:t>
      </w:r>
      <w:r w:rsidRPr="00C819AD">
        <w:rPr>
          <w:lang w:val="fr-FR"/>
        </w:rPr>
        <w:t xml:space="preserve"> outre, des examinateurs du KIPO avaient pu, au cours du mois précédent, transmettre leur expérience en matière de recherche internationale en dispensant une formation aux examinateurs de l</w:t>
      </w:r>
      <w:r w:rsidR="00D76C92">
        <w:rPr>
          <w:lang w:val="fr-FR"/>
        </w:rPr>
        <w:t>’</w:t>
      </w:r>
      <w:r w:rsidRPr="00C819AD">
        <w:rPr>
          <w:lang w:val="fr-FR"/>
        </w:rPr>
        <w:t>instit</w:t>
      </w:r>
      <w:r w:rsidR="003008DF" w:rsidRPr="00C819AD">
        <w:rPr>
          <w:lang w:val="fr-FR"/>
        </w:rPr>
        <w:t>ut</w:t>
      </w:r>
      <w:r w:rsidR="003008DF">
        <w:rPr>
          <w:lang w:val="fr-FR"/>
        </w:rPr>
        <w:t xml:space="preserve">.  </w:t>
      </w:r>
      <w:r w:rsidR="003008DF" w:rsidRPr="00C819AD">
        <w:rPr>
          <w:lang w:val="fr-FR"/>
        </w:rPr>
        <w:t>Pa</w:t>
      </w:r>
      <w:r w:rsidRPr="00C819AD">
        <w:rPr>
          <w:lang w:val="fr-FR"/>
        </w:rPr>
        <w:t>r conséquent, la délégation appuyait sans réserve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internationale qui, elle l</w:t>
      </w:r>
      <w:r w:rsidR="00D76C92">
        <w:rPr>
          <w:lang w:val="fr-FR"/>
        </w:rPr>
        <w:t>’</w:t>
      </w:r>
      <w:r w:rsidRPr="00C819AD">
        <w:rPr>
          <w:lang w:val="fr-FR"/>
        </w:rPr>
        <w:t>espérait, lui permettrait de contribuer au développement du système du PCT et de renforcer la coopération du KIPO avec l</w:t>
      </w:r>
      <w:r w:rsidR="00D76C92">
        <w:rPr>
          <w:lang w:val="fr-FR"/>
        </w:rPr>
        <w:t>’</w:t>
      </w:r>
      <w:r w:rsidRPr="00C819AD">
        <w:rPr>
          <w:lang w:val="fr-FR"/>
        </w:rPr>
        <w:t>institut.</w:t>
      </w:r>
    </w:p>
    <w:p w:rsidR="00C819AD" w:rsidRPr="00C819AD" w:rsidRDefault="00C819AD" w:rsidP="00C819AD">
      <w:pPr>
        <w:pStyle w:val="ONUMFS"/>
        <w:numPr>
          <w:ilvl w:val="0"/>
          <w:numId w:val="6"/>
        </w:numPr>
        <w:rPr>
          <w:lang w:val="fr-FR"/>
        </w:rPr>
      </w:pPr>
      <w:r w:rsidRPr="00C819AD">
        <w:rPr>
          <w:lang w:val="fr-FR"/>
        </w:rPr>
        <w:t>La délégation de l</w:t>
      </w:r>
      <w:r w:rsidR="00D76C92">
        <w:rPr>
          <w:lang w:val="fr-FR"/>
        </w:rPr>
        <w:t>’</w:t>
      </w:r>
      <w:r w:rsidRPr="00C819AD">
        <w:rPr>
          <w:lang w:val="fr-FR"/>
        </w:rPr>
        <w:t>Espagne a déclaré qu</w:t>
      </w:r>
      <w:r w:rsidR="00D76C92">
        <w:rPr>
          <w:lang w:val="fr-FR"/>
        </w:rPr>
        <w:t>’</w:t>
      </w:r>
      <w:r w:rsidRPr="00C819AD">
        <w:rPr>
          <w:lang w:val="fr-FR"/>
        </w:rPr>
        <w:t>elle avait étroitement collaboré avec l</w:t>
      </w:r>
      <w:r w:rsidR="00D76C92">
        <w:rPr>
          <w:lang w:val="fr-FR"/>
        </w:rPr>
        <w:t>’</w:t>
      </w:r>
      <w:r w:rsidRPr="00C819AD">
        <w:rPr>
          <w:lang w:val="fr-FR"/>
        </w:rPr>
        <w:t>Institut turc des brevets afin de lui apporter une assistance technique et d</w:t>
      </w:r>
      <w:r w:rsidR="00D76C92">
        <w:rPr>
          <w:lang w:val="fr-FR"/>
        </w:rPr>
        <w:t>’</w:t>
      </w:r>
      <w:r w:rsidRPr="00C819AD">
        <w:rPr>
          <w:lang w:val="fr-FR"/>
        </w:rPr>
        <w:t>étudier dans quelle mesure il pouvait devenir une administration internationa</w:t>
      </w:r>
      <w:r w:rsidR="003008DF" w:rsidRPr="00C819AD">
        <w:rPr>
          <w:lang w:val="fr-FR"/>
        </w:rPr>
        <w:t>le</w:t>
      </w:r>
      <w:r w:rsidR="003008DF">
        <w:rPr>
          <w:lang w:val="fr-FR"/>
        </w:rPr>
        <w:t xml:space="preserve">.  </w:t>
      </w:r>
      <w:r w:rsidR="003008DF" w:rsidRPr="00C819AD">
        <w:rPr>
          <w:lang w:val="fr-FR"/>
        </w:rPr>
        <w:t>To</w:t>
      </w:r>
      <w:r w:rsidRPr="00C819AD">
        <w:rPr>
          <w:lang w:val="fr-FR"/>
        </w:rPr>
        <w:t>ut au long du processus, le SPTO, qui avait eu l</w:t>
      </w:r>
      <w:r w:rsidR="00D76C92">
        <w:rPr>
          <w:lang w:val="fr-FR"/>
        </w:rPr>
        <w:t>’</w:t>
      </w:r>
      <w:r w:rsidRPr="00C819AD">
        <w:rPr>
          <w:lang w:val="fr-FR"/>
        </w:rPr>
        <w:t>occasion de se rendre compte du professionnalisme de l</w:t>
      </w:r>
      <w:r w:rsidR="00D76C92">
        <w:rPr>
          <w:lang w:val="fr-FR"/>
        </w:rPr>
        <w:t>’</w:t>
      </w:r>
      <w:r w:rsidRPr="00C819AD">
        <w:rPr>
          <w:lang w:val="fr-FR"/>
        </w:rPr>
        <w:t>institut, était convaincu qu</w:t>
      </w:r>
      <w:r w:rsidR="00D76C92">
        <w:rPr>
          <w:lang w:val="fr-FR"/>
        </w:rPr>
        <w:t>’</w:t>
      </w:r>
      <w:r w:rsidRPr="00C819AD">
        <w:rPr>
          <w:lang w:val="fr-FR"/>
        </w:rPr>
        <w:t>il remplissait les conditions requises pour devenir une administration chargée de la recherche internationale et de l</w:t>
      </w:r>
      <w:r w:rsidR="00D76C92">
        <w:rPr>
          <w:lang w:val="fr-FR"/>
        </w:rPr>
        <w:t>’</w:t>
      </w:r>
      <w:r w:rsidRPr="00C819AD">
        <w:rPr>
          <w:lang w:val="fr-FR"/>
        </w:rPr>
        <w:t>examen préliminaire internation</w:t>
      </w:r>
      <w:r w:rsidR="003008DF" w:rsidRPr="00C819AD">
        <w:rPr>
          <w:lang w:val="fr-FR"/>
        </w:rPr>
        <w:t>al</w:t>
      </w:r>
      <w:r w:rsidR="003008DF">
        <w:rPr>
          <w:lang w:val="fr-FR"/>
        </w:rPr>
        <w:t xml:space="preserve">.  </w:t>
      </w:r>
      <w:r w:rsidR="003008DF" w:rsidRPr="00C819AD">
        <w:rPr>
          <w:lang w:val="fr-FR"/>
        </w:rPr>
        <w:t>La</w:t>
      </w:r>
      <w:r w:rsidRPr="00C819AD">
        <w:rPr>
          <w:lang w:val="fr-FR"/>
        </w:rPr>
        <w:t xml:space="preserve"> délégation a également remercié la délégation de la Turquie pour ses mots aimables à l</w:t>
      </w:r>
      <w:r w:rsidR="00D76C92">
        <w:rPr>
          <w:lang w:val="fr-FR"/>
        </w:rPr>
        <w:t>’</w:t>
      </w:r>
      <w:r w:rsidRPr="00C819AD">
        <w:rPr>
          <w:lang w:val="fr-FR"/>
        </w:rPr>
        <w:t>endroit du SPTO au regard des conseils qu</w:t>
      </w:r>
      <w:r w:rsidR="00D76C92">
        <w:rPr>
          <w:lang w:val="fr-FR"/>
        </w:rPr>
        <w:t>’</w:t>
      </w:r>
      <w:r w:rsidRPr="00C819AD">
        <w:rPr>
          <w:lang w:val="fr-FR"/>
        </w:rPr>
        <w:t>il avait pu prodiguer en vue d</w:t>
      </w:r>
      <w:r w:rsidR="00D76C92">
        <w:rPr>
          <w:lang w:val="fr-FR"/>
        </w:rPr>
        <w:t>’</w:t>
      </w:r>
      <w:r w:rsidRPr="00C819AD">
        <w:rPr>
          <w:lang w:val="fr-FR"/>
        </w:rPr>
        <w:t>appuyer la candidature de l</w:t>
      </w:r>
      <w:r w:rsidR="00D76C92">
        <w:rPr>
          <w:lang w:val="fr-FR"/>
        </w:rPr>
        <w:t>’</w:t>
      </w:r>
      <w:r w:rsidRPr="00C819AD">
        <w:rPr>
          <w:lang w:val="fr-FR"/>
        </w:rPr>
        <w:t>Institut turc des brevets.</w:t>
      </w:r>
    </w:p>
    <w:p w:rsidR="00C819AD" w:rsidRPr="00C819AD" w:rsidRDefault="00C819AD" w:rsidP="00C819AD">
      <w:pPr>
        <w:pStyle w:val="ONUMFS"/>
        <w:numPr>
          <w:ilvl w:val="0"/>
          <w:numId w:val="6"/>
        </w:numPr>
        <w:rPr>
          <w:lang w:val="fr-FR"/>
        </w:rPr>
      </w:pPr>
      <w:r w:rsidRPr="00C819AD">
        <w:rPr>
          <w:lang w:val="fr-FR"/>
        </w:rPr>
        <w:t>La délégation de l</w:t>
      </w:r>
      <w:r w:rsidR="00D76C92">
        <w:rPr>
          <w:lang w:val="fr-FR"/>
        </w:rPr>
        <w:t>’</w:t>
      </w:r>
      <w:r w:rsidRPr="00C819AD">
        <w:rPr>
          <w:lang w:val="fr-FR"/>
        </w:rPr>
        <w:t>Inde a appuyé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w:t>
      </w:r>
      <w:r w:rsidR="003008DF" w:rsidRPr="00C819AD">
        <w:rPr>
          <w:lang w:val="fr-FR"/>
        </w:rPr>
        <w:t>PCT</w:t>
      </w:r>
      <w:r w:rsidR="003008DF">
        <w:rPr>
          <w:lang w:val="fr-FR"/>
        </w:rPr>
        <w:t xml:space="preserve">.  </w:t>
      </w:r>
      <w:r w:rsidR="003008DF" w:rsidRPr="00C819AD">
        <w:rPr>
          <w:lang w:val="fr-FR"/>
        </w:rPr>
        <w:t>El</w:t>
      </w:r>
      <w:r w:rsidRPr="00C819AD">
        <w:rPr>
          <w:lang w:val="fr-FR"/>
        </w:rPr>
        <w:t>le a estimé que l</w:t>
      </w:r>
      <w:r w:rsidR="00D76C92">
        <w:rPr>
          <w:lang w:val="fr-FR"/>
        </w:rPr>
        <w:t>’</w:t>
      </w:r>
      <w:r w:rsidRPr="00C819AD">
        <w:rPr>
          <w:lang w:val="fr-FR"/>
        </w:rPr>
        <w:t>institut remplissait les conditions requises pour agir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 et fournirait des services de qualité aux déposants à un coût plus intéressant, ce qui revêtait une importance décisive pour les petites et moyennes entreprises (PME) et les particuliers.</w:t>
      </w:r>
    </w:p>
    <w:p w:rsidR="00C819AD" w:rsidRPr="00C819AD" w:rsidRDefault="00C819AD" w:rsidP="00C819AD">
      <w:pPr>
        <w:pStyle w:val="ONUMFS"/>
        <w:numPr>
          <w:ilvl w:val="0"/>
          <w:numId w:val="6"/>
        </w:numPr>
        <w:rPr>
          <w:lang w:val="fr-FR"/>
        </w:rPr>
      </w:pPr>
      <w:r w:rsidRPr="00C819AD">
        <w:rPr>
          <w:lang w:val="fr-FR"/>
        </w:rPr>
        <w:t>La délégation de l</w:t>
      </w:r>
      <w:r w:rsidR="00D76C92">
        <w:rPr>
          <w:lang w:val="fr-FR"/>
        </w:rPr>
        <w:t>’</w:t>
      </w:r>
      <w:r w:rsidRPr="00C819AD">
        <w:rPr>
          <w:lang w:val="fr-FR"/>
        </w:rPr>
        <w:t>Iran (République islamique d</w:t>
      </w:r>
      <w:r w:rsidR="00D76C92">
        <w:rPr>
          <w:lang w:val="fr-FR"/>
        </w:rPr>
        <w:t>’</w:t>
      </w:r>
      <w:r w:rsidRPr="00C819AD">
        <w:rPr>
          <w:lang w:val="fr-FR"/>
        </w:rPr>
        <w:t>) a appuyé la proposition tendant à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 et a déclaré que les pays voisins pourraient tirer parti de la présence cette nouvelle administration internationale.</w:t>
      </w:r>
    </w:p>
    <w:p w:rsidR="00C819AD" w:rsidRPr="00C819AD" w:rsidRDefault="00C819AD" w:rsidP="00C819AD">
      <w:pPr>
        <w:pStyle w:val="ONUMFS"/>
        <w:numPr>
          <w:ilvl w:val="0"/>
          <w:numId w:val="6"/>
        </w:numPr>
        <w:rPr>
          <w:lang w:val="fr-FR"/>
        </w:rPr>
      </w:pPr>
      <w:r w:rsidRPr="00C819AD">
        <w:rPr>
          <w:lang w:val="fr-FR"/>
        </w:rPr>
        <w:t>La délégation de la Mongolie a déclaré qu</w:t>
      </w:r>
      <w:r w:rsidR="00D76C92">
        <w:rPr>
          <w:lang w:val="fr-FR"/>
        </w:rPr>
        <w:t>’</w:t>
      </w:r>
      <w:r w:rsidRPr="00C819AD">
        <w:rPr>
          <w:lang w:val="fr-FR"/>
        </w:rPr>
        <w:t>elle appuyait pleinement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de l</w:t>
      </w:r>
      <w:r w:rsidR="00D76C92">
        <w:rPr>
          <w:lang w:val="fr-FR"/>
        </w:rPr>
        <w:t>’Arabie saoudite</w:t>
      </w:r>
      <w:r w:rsidRPr="00C819AD">
        <w:rPr>
          <w:lang w:val="fr-FR"/>
        </w:rPr>
        <w:t xml:space="preserve"> a appuyé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du Soudan a appuyé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 se déclarant convaincue que l</w:t>
      </w:r>
      <w:r w:rsidR="00D76C92">
        <w:rPr>
          <w:lang w:val="fr-FR"/>
        </w:rPr>
        <w:t>’</w:t>
      </w:r>
      <w:r w:rsidRPr="00C819AD">
        <w:rPr>
          <w:lang w:val="fr-FR"/>
        </w:rPr>
        <w:t>institut jouerait un rôle efficace à cet égard.</w:t>
      </w:r>
    </w:p>
    <w:p w:rsidR="00C819AD" w:rsidRPr="00C819AD" w:rsidRDefault="00C819AD" w:rsidP="00C819AD">
      <w:pPr>
        <w:pStyle w:val="ONUMFS"/>
        <w:numPr>
          <w:ilvl w:val="0"/>
          <w:numId w:val="6"/>
        </w:numPr>
        <w:rPr>
          <w:lang w:val="fr-FR"/>
        </w:rPr>
      </w:pPr>
      <w:r w:rsidRPr="00C819AD">
        <w:rPr>
          <w:lang w:val="fr-FR"/>
        </w:rPr>
        <w:t>La délégation des Philippines a estimé que compte tenu de l</w:t>
      </w:r>
      <w:r w:rsidR="00D76C92">
        <w:rPr>
          <w:lang w:val="fr-FR"/>
        </w:rPr>
        <w:t>’</w:t>
      </w:r>
      <w:r w:rsidRPr="00C819AD">
        <w:rPr>
          <w:lang w:val="fr-FR"/>
        </w:rPr>
        <w:t>importance croissante du système des brevets, il était nécessaire de disposer d</w:t>
      </w:r>
      <w:r w:rsidR="00D76C92">
        <w:rPr>
          <w:lang w:val="fr-FR"/>
        </w:rPr>
        <w:t>’</w:t>
      </w:r>
      <w:r w:rsidRPr="00C819AD">
        <w:rPr>
          <w:lang w:val="fr-FR"/>
        </w:rPr>
        <w:t>un réseau plus solide, équilibré et stratégique d</w:t>
      </w:r>
      <w:r w:rsidR="00D76C92">
        <w:rPr>
          <w:lang w:val="fr-FR"/>
        </w:rPr>
        <w:t>’</w:t>
      </w:r>
      <w:r w:rsidRPr="00C819AD">
        <w:rPr>
          <w:lang w:val="fr-FR"/>
        </w:rPr>
        <w:t>administrations chargées de la recherche internationale et de l</w:t>
      </w:r>
      <w:r w:rsidR="00D76C92">
        <w:rPr>
          <w:lang w:val="fr-FR"/>
        </w:rPr>
        <w:t>’</w:t>
      </w:r>
      <w:r w:rsidRPr="00C819AD">
        <w:rPr>
          <w:lang w:val="fr-FR"/>
        </w:rPr>
        <w:t>examen préliminaire international dans toutes les régions du monde et sur tous les continen</w:t>
      </w:r>
      <w:r w:rsidR="003008DF" w:rsidRPr="00C819AD">
        <w:rPr>
          <w:lang w:val="fr-FR"/>
        </w:rPr>
        <w:t>ts</w:t>
      </w:r>
      <w:r w:rsidR="003008DF">
        <w:rPr>
          <w:lang w:val="fr-FR"/>
        </w:rPr>
        <w:t xml:space="preserve">.  </w:t>
      </w:r>
      <w:r w:rsidR="003008DF" w:rsidRPr="00C819AD">
        <w:rPr>
          <w:lang w:val="fr-FR"/>
        </w:rPr>
        <w:t xml:space="preserve">À </w:t>
      </w:r>
      <w:r w:rsidRPr="00C819AD">
        <w:rPr>
          <w:lang w:val="fr-FR"/>
        </w:rPr>
        <w:t>cet égard, elle a fermement appuyé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qui remplissait les exigences minimales selon le </w:t>
      </w:r>
      <w:r w:rsidR="003008DF" w:rsidRPr="00C819AD">
        <w:rPr>
          <w:lang w:val="fr-FR"/>
        </w:rPr>
        <w:t>PCT</w:t>
      </w:r>
      <w:r w:rsidR="003008DF">
        <w:rPr>
          <w:lang w:val="fr-FR"/>
        </w:rPr>
        <w:t xml:space="preserve">.  </w:t>
      </w:r>
      <w:r w:rsidR="003008DF" w:rsidRPr="00C819AD">
        <w:rPr>
          <w:lang w:val="fr-FR"/>
        </w:rPr>
        <w:t>El</w:t>
      </w:r>
      <w:r w:rsidRPr="00C819AD">
        <w:rPr>
          <w:lang w:val="fr-FR"/>
        </w:rPr>
        <w:t>le se félicitait du rôle actif que l</w:t>
      </w:r>
      <w:r w:rsidR="00D76C92">
        <w:rPr>
          <w:lang w:val="fr-FR"/>
        </w:rPr>
        <w:t>’</w:t>
      </w:r>
      <w:r w:rsidRPr="00C819AD">
        <w:rPr>
          <w:lang w:val="fr-FR"/>
        </w:rPr>
        <w:t>institut pourrait jouer dans la promotion et la protection des inventions brevetables dans le cadre du système mondial de la propriété intellectuel</w:t>
      </w:r>
      <w:r w:rsidR="003008DF" w:rsidRPr="00C819AD">
        <w:rPr>
          <w:lang w:val="fr-FR"/>
        </w:rPr>
        <w:t>le</w:t>
      </w:r>
      <w:r w:rsidR="003008DF">
        <w:rPr>
          <w:lang w:val="fr-FR"/>
        </w:rPr>
        <w:t xml:space="preserve">.  </w:t>
      </w:r>
      <w:r w:rsidR="003008DF" w:rsidRPr="00C819AD">
        <w:rPr>
          <w:lang w:val="fr-FR"/>
        </w:rPr>
        <w:t>La</w:t>
      </w:r>
      <w:r w:rsidRPr="00C819AD">
        <w:rPr>
          <w:lang w:val="fr-FR"/>
        </w:rPr>
        <w:t xml:space="preserve"> nomination d</w:t>
      </w:r>
      <w:r w:rsidR="00D76C92">
        <w:rPr>
          <w:lang w:val="fr-FR"/>
        </w:rPr>
        <w:t>’</w:t>
      </w:r>
      <w:r w:rsidRPr="00C819AD">
        <w:rPr>
          <w:lang w:val="fr-FR"/>
        </w:rPr>
        <w:t xml:space="preserve">une nouvelle </w:t>
      </w:r>
      <w:r w:rsidRPr="00C819AD">
        <w:rPr>
          <w:lang w:val="fr-FR"/>
        </w:rPr>
        <w:lastRenderedPageBreak/>
        <w:t>administration internationale dans un pays émergent renforcerait le rôle du système de la propriété intellectuelle en tant qu</w:t>
      </w:r>
      <w:r w:rsidR="00D76C92">
        <w:rPr>
          <w:lang w:val="fr-FR"/>
        </w:rPr>
        <w:t>’</w:t>
      </w:r>
      <w:r w:rsidRPr="00C819AD">
        <w:rPr>
          <w:lang w:val="fr-FR"/>
        </w:rPr>
        <w:t>instrument de promotion du développement économique et technologique et constituerait un moyen rigoureux et dynamique de favoriser une recherche et un examen préliminaire efficaces et crédibles.</w:t>
      </w:r>
    </w:p>
    <w:p w:rsidR="00C819AD" w:rsidRPr="00C819AD" w:rsidRDefault="00C819AD" w:rsidP="00C819AD">
      <w:pPr>
        <w:pStyle w:val="ONUMFS"/>
        <w:numPr>
          <w:ilvl w:val="0"/>
          <w:numId w:val="6"/>
        </w:numPr>
        <w:rPr>
          <w:lang w:val="fr-FR"/>
        </w:rPr>
      </w:pPr>
      <w:r w:rsidRPr="00C819AD">
        <w:rPr>
          <w:lang w:val="fr-FR"/>
        </w:rPr>
        <w:t>La délégation de la Géorgie a remercié la délégation de la Turquie pour son rapport complet concernant les activités menées par l</w:t>
      </w:r>
      <w:r w:rsidR="00D76C92">
        <w:rPr>
          <w:lang w:val="fr-FR"/>
        </w:rPr>
        <w:t>’</w:t>
      </w:r>
      <w:r w:rsidRPr="00C819AD">
        <w:rPr>
          <w:lang w:val="fr-FR"/>
        </w:rPr>
        <w:t>Institut turc des brevets afin de satisfaire aux exigences minimales relatives à la nomination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 et s</w:t>
      </w:r>
      <w:r w:rsidR="00D76C92">
        <w:rPr>
          <w:lang w:val="fr-FR"/>
        </w:rPr>
        <w:t>’</w:t>
      </w:r>
      <w:r w:rsidRPr="00C819AD">
        <w:rPr>
          <w:lang w:val="fr-FR"/>
        </w:rPr>
        <w:t>est déclarée totalement favorable à cette nomination.</w:t>
      </w:r>
    </w:p>
    <w:p w:rsidR="00C819AD" w:rsidRPr="00C819AD" w:rsidRDefault="00C819AD" w:rsidP="00C819AD">
      <w:pPr>
        <w:pStyle w:val="ONUMFS"/>
        <w:numPr>
          <w:ilvl w:val="0"/>
          <w:numId w:val="6"/>
        </w:numPr>
        <w:rPr>
          <w:lang w:val="fr-FR"/>
        </w:rPr>
      </w:pPr>
      <w:r w:rsidRPr="00C819AD">
        <w:rPr>
          <w:lang w:val="fr-FR"/>
        </w:rPr>
        <w:t>La délégation de l</w:t>
      </w:r>
      <w:r w:rsidR="00D76C92">
        <w:rPr>
          <w:lang w:val="fr-FR"/>
        </w:rPr>
        <w:t>’</w:t>
      </w:r>
      <w:r w:rsidRPr="00C819AD">
        <w:rPr>
          <w:lang w:val="fr-FR"/>
        </w:rPr>
        <w:t>Autriche a indiqué que l</w:t>
      </w:r>
      <w:r w:rsidR="00D76C92">
        <w:rPr>
          <w:lang w:val="fr-FR"/>
        </w:rPr>
        <w:t>’</w:t>
      </w:r>
      <w:r w:rsidRPr="00C819AD">
        <w:rPr>
          <w:lang w:val="fr-FR"/>
        </w:rPr>
        <w:t>Office autrichien des brevets, en qualité d</w:t>
      </w:r>
      <w:r w:rsidR="00D76C92">
        <w:rPr>
          <w:lang w:val="fr-FR"/>
        </w:rPr>
        <w:t>’</w:t>
      </w:r>
      <w:r w:rsidRPr="00C819AD">
        <w:rPr>
          <w:lang w:val="fr-FR"/>
        </w:rPr>
        <w:t>administration internationale, avait étudié avec attention la documentation accompagnant la demande en cours d</w:t>
      </w:r>
      <w:r w:rsidR="00D76C92">
        <w:rPr>
          <w:lang w:val="fr-FR"/>
        </w:rPr>
        <w:t>’</w:t>
      </w:r>
      <w:r w:rsidRPr="00C819AD">
        <w:rPr>
          <w:lang w:val="fr-FR"/>
        </w:rPr>
        <w:t>examen et avait écouté avec beaucoup d</w:t>
      </w:r>
      <w:r w:rsidR="00D76C92">
        <w:rPr>
          <w:lang w:val="fr-FR"/>
        </w:rPr>
        <w:t>’</w:t>
      </w:r>
      <w:r w:rsidRPr="00C819AD">
        <w:rPr>
          <w:lang w:val="fr-FR"/>
        </w:rPr>
        <w:t>intérêt les renseignements additionnels fournis par le représentant de l</w:t>
      </w:r>
      <w:r w:rsidR="00D76C92">
        <w:rPr>
          <w:lang w:val="fr-FR"/>
        </w:rPr>
        <w:t>’</w:t>
      </w:r>
      <w:r w:rsidRPr="00C819AD">
        <w:rPr>
          <w:lang w:val="fr-FR"/>
        </w:rPr>
        <w:t>Institut turc des breve</w:t>
      </w:r>
      <w:r w:rsidR="003008DF" w:rsidRPr="00C819AD">
        <w:rPr>
          <w:lang w:val="fr-FR"/>
        </w:rPr>
        <w:t>ts</w:t>
      </w:r>
      <w:r w:rsidR="003008DF">
        <w:rPr>
          <w:lang w:val="fr-FR"/>
        </w:rPr>
        <w:t xml:space="preserve">.  </w:t>
      </w:r>
      <w:r w:rsidR="003008DF" w:rsidRPr="00C819AD">
        <w:rPr>
          <w:lang w:val="fr-FR"/>
        </w:rPr>
        <w:t>Ai</w:t>
      </w:r>
      <w:r w:rsidRPr="00C819AD">
        <w:rPr>
          <w:lang w:val="fr-FR"/>
        </w:rPr>
        <w:t>nsi que la délégation l</w:t>
      </w:r>
      <w:r w:rsidR="00D76C92">
        <w:rPr>
          <w:lang w:val="fr-FR"/>
        </w:rPr>
        <w:t>’</w:t>
      </w:r>
      <w:r w:rsidRPr="00C819AD">
        <w:rPr>
          <w:lang w:val="fr-FR"/>
        </w:rPr>
        <w:t>avait déjà signalé lors de la vingt</w:t>
      </w:r>
      <w:r w:rsidR="00E4676F">
        <w:rPr>
          <w:lang w:val="fr-FR"/>
        </w:rPr>
        <w:noBreakHyphen/>
      </w:r>
      <w:r w:rsidRPr="00C819AD">
        <w:rPr>
          <w:lang w:val="fr-FR"/>
        </w:rPr>
        <w:t>neuvième session du Comité de coopération technique du PCT, elle appuyait la proposition de nommer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 xml:space="preserve">examen préliminaire international selon le PCT, et souhaitait </w:t>
      </w:r>
      <w:r w:rsidR="00AF1269" w:rsidRPr="00C819AD">
        <w:rPr>
          <w:lang w:val="fr-FR"/>
        </w:rPr>
        <w:t xml:space="preserve">bonne chance </w:t>
      </w:r>
      <w:r w:rsidRPr="00C819AD">
        <w:rPr>
          <w:lang w:val="fr-FR"/>
        </w:rPr>
        <w:t>à la direction de l</w:t>
      </w:r>
      <w:r w:rsidR="00D76C92">
        <w:rPr>
          <w:lang w:val="fr-FR"/>
        </w:rPr>
        <w:t>’</w:t>
      </w:r>
      <w:r w:rsidRPr="00C819AD">
        <w:rPr>
          <w:lang w:val="fr-FR"/>
        </w:rPr>
        <w:t>institut dans l</w:t>
      </w:r>
      <w:r w:rsidR="00D76C92">
        <w:rPr>
          <w:lang w:val="fr-FR"/>
        </w:rPr>
        <w:t>’</w:t>
      </w:r>
      <w:r w:rsidRPr="00C819AD">
        <w:rPr>
          <w:lang w:val="fr-FR"/>
        </w:rPr>
        <w:t>accomplissement de cette tâche et de ce défi.</w:t>
      </w:r>
    </w:p>
    <w:p w:rsidR="00C819AD" w:rsidRPr="00C819AD" w:rsidRDefault="00C819AD" w:rsidP="00C819AD">
      <w:pPr>
        <w:pStyle w:val="ONUMFS"/>
        <w:numPr>
          <w:ilvl w:val="0"/>
          <w:numId w:val="6"/>
        </w:numPr>
        <w:rPr>
          <w:lang w:val="fr-FR"/>
        </w:rPr>
      </w:pPr>
      <w:r w:rsidRPr="00C819AD">
        <w:rPr>
          <w:lang w:val="fr-FR"/>
        </w:rPr>
        <w:t>La délégation de la Chine estimait que l</w:t>
      </w:r>
      <w:r w:rsidR="00D76C92">
        <w:rPr>
          <w:lang w:val="fr-FR"/>
        </w:rPr>
        <w:t>’</w:t>
      </w:r>
      <w:r w:rsidRPr="00C819AD">
        <w:rPr>
          <w:lang w:val="fr-FR"/>
        </w:rPr>
        <w:t>Institut turc des brevets remplissait les conditions fixées dans le règlement d</w:t>
      </w:r>
      <w:r w:rsidR="00D76C92">
        <w:rPr>
          <w:lang w:val="fr-FR"/>
        </w:rPr>
        <w:t>’</w:t>
      </w:r>
      <w:r w:rsidRPr="00C819AD">
        <w:rPr>
          <w:lang w:val="fr-FR"/>
        </w:rPr>
        <w:t>exécution du PCT concernant le nombre d</w:t>
      </w:r>
      <w:r w:rsidR="00D76C92">
        <w:rPr>
          <w:lang w:val="fr-FR"/>
        </w:rPr>
        <w:t>’</w:t>
      </w:r>
      <w:r w:rsidRPr="00C819AD">
        <w:rPr>
          <w:lang w:val="fr-FR"/>
        </w:rPr>
        <w:t>examinateurs, leurs compétences linguistiques, la documentation minimale ainsi que le fait de disposer d</w:t>
      </w:r>
      <w:r w:rsidR="00D76C92">
        <w:rPr>
          <w:lang w:val="fr-FR"/>
        </w:rPr>
        <w:t>’</w:t>
      </w:r>
      <w:r w:rsidRPr="00C819AD">
        <w:rPr>
          <w:lang w:val="fr-FR"/>
        </w:rPr>
        <w:t>un système de gestion de la quali</w:t>
      </w:r>
      <w:r w:rsidR="003008DF" w:rsidRPr="00C819AD">
        <w:rPr>
          <w:lang w:val="fr-FR"/>
        </w:rPr>
        <w:t>té</w:t>
      </w:r>
      <w:r w:rsidR="003008DF">
        <w:rPr>
          <w:lang w:val="fr-FR"/>
        </w:rPr>
        <w:t xml:space="preserve">.  </w:t>
      </w:r>
      <w:r w:rsidR="003008DF" w:rsidRPr="00C819AD">
        <w:rPr>
          <w:lang w:val="fr-FR"/>
        </w:rPr>
        <w:t>La</w:t>
      </w:r>
      <w:r w:rsidRPr="00C819AD">
        <w:rPr>
          <w:lang w:val="fr-FR"/>
        </w:rPr>
        <w:t xml:space="preserve"> délégation appuyait donc pleinement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du Chili a remercié la délégation de la Turquie pour les informations qu</w:t>
      </w:r>
      <w:r w:rsidR="00D76C92">
        <w:rPr>
          <w:lang w:val="fr-FR"/>
        </w:rPr>
        <w:t>’</w:t>
      </w:r>
      <w:r w:rsidRPr="00C819AD">
        <w:rPr>
          <w:lang w:val="fr-FR"/>
        </w:rPr>
        <w:t>elle avait fournies et approuvé la candidature de l</w:t>
      </w:r>
      <w:r w:rsidR="00D76C92">
        <w:rPr>
          <w:lang w:val="fr-FR"/>
        </w:rPr>
        <w:t>’</w:t>
      </w:r>
      <w:r w:rsidRPr="00C819AD">
        <w:rPr>
          <w:lang w:val="fr-FR"/>
        </w:rPr>
        <w:t>Institut turc des brevets à la nomination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w:t>
      </w:r>
      <w:r w:rsidR="00D76C92">
        <w:rPr>
          <w:lang w:val="fr-FR"/>
        </w:rPr>
        <w:t>’</w:t>
      </w:r>
      <w:r w:rsidRPr="00C819AD">
        <w:rPr>
          <w:lang w:val="fr-FR"/>
        </w:rPr>
        <w:t>Israël a indiqué qu</w:t>
      </w:r>
      <w:r w:rsidR="00D76C92">
        <w:rPr>
          <w:lang w:val="fr-FR"/>
        </w:rPr>
        <w:t>’</w:t>
      </w:r>
      <w:r w:rsidRPr="00C819AD">
        <w:rPr>
          <w:lang w:val="fr-FR"/>
        </w:rPr>
        <w:t>elle appuyait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du Japon a appuyé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w:t>
      </w:r>
      <w:r w:rsidR="003008DF" w:rsidRPr="00C819AD">
        <w:rPr>
          <w:lang w:val="fr-FR"/>
        </w:rPr>
        <w:t>PCT</w:t>
      </w:r>
      <w:r w:rsidR="003008DF">
        <w:rPr>
          <w:lang w:val="fr-FR"/>
        </w:rPr>
        <w:t xml:space="preserve">.  </w:t>
      </w:r>
      <w:r w:rsidR="003008DF" w:rsidRPr="00C819AD">
        <w:rPr>
          <w:lang w:val="fr-FR"/>
        </w:rPr>
        <w:t>El</w:t>
      </w:r>
      <w:r w:rsidRPr="00C819AD">
        <w:rPr>
          <w:lang w:val="fr-FR"/>
        </w:rPr>
        <w:t>le a salué les efforts que l</w:t>
      </w:r>
      <w:r w:rsidR="00D76C92">
        <w:rPr>
          <w:lang w:val="fr-FR"/>
        </w:rPr>
        <w:t>’</w:t>
      </w:r>
      <w:r w:rsidRPr="00C819AD">
        <w:rPr>
          <w:lang w:val="fr-FR"/>
        </w:rPr>
        <w:t>institut pourrait faire en termes d</w:t>
      </w:r>
      <w:r w:rsidR="00D76C92">
        <w:rPr>
          <w:lang w:val="fr-FR"/>
        </w:rPr>
        <w:t>’</w:t>
      </w:r>
      <w:r w:rsidRPr="00C819AD">
        <w:rPr>
          <w:lang w:val="fr-FR"/>
        </w:rPr>
        <w:t>amélioration du système du PCT, lequel était un</w:t>
      </w:r>
      <w:r w:rsidRPr="00C819AD">
        <w:t xml:space="preserve"> </w:t>
      </w:r>
      <w:r w:rsidRPr="00C819AD">
        <w:rPr>
          <w:lang w:val="fr-FR"/>
        </w:rPr>
        <w:t>instrument important pour tous les innovateurs en quête d</w:t>
      </w:r>
      <w:r w:rsidR="00D76C92">
        <w:rPr>
          <w:lang w:val="fr-FR"/>
        </w:rPr>
        <w:t>’</w:t>
      </w:r>
      <w:r w:rsidRPr="00C819AD">
        <w:rPr>
          <w:lang w:val="fr-FR"/>
        </w:rPr>
        <w:t>une protection des brevets au niveau international, et considérait que l</w:t>
      </w:r>
      <w:r w:rsidR="00D76C92">
        <w:rPr>
          <w:lang w:val="fr-FR"/>
        </w:rPr>
        <w:t>’</w:t>
      </w:r>
      <w:r w:rsidRPr="00C819AD">
        <w:rPr>
          <w:lang w:val="fr-FR"/>
        </w:rPr>
        <w:t>institut serait amené à jouer un rôle important dans le développement du système du PCT entre l</w:t>
      </w:r>
      <w:r w:rsidR="00D76C92">
        <w:rPr>
          <w:lang w:val="fr-FR"/>
        </w:rPr>
        <w:t>’</w:t>
      </w:r>
      <w:r w:rsidRPr="00C819AD">
        <w:rPr>
          <w:lang w:val="fr-FR"/>
        </w:rPr>
        <w:t>Europe et l</w:t>
      </w:r>
      <w:r w:rsidR="00D76C92">
        <w:rPr>
          <w:lang w:val="fr-FR"/>
        </w:rPr>
        <w:t>’</w:t>
      </w:r>
      <w:r w:rsidRPr="00C819AD">
        <w:rPr>
          <w:lang w:val="fr-FR"/>
        </w:rPr>
        <w:t>Asie.</w:t>
      </w:r>
    </w:p>
    <w:p w:rsidR="00C819AD" w:rsidRPr="00C819AD" w:rsidRDefault="00C819AD" w:rsidP="00C819AD">
      <w:pPr>
        <w:pStyle w:val="ONUMFS"/>
        <w:numPr>
          <w:ilvl w:val="0"/>
          <w:numId w:val="6"/>
        </w:numPr>
        <w:rPr>
          <w:lang w:val="fr-FR"/>
        </w:rPr>
      </w:pPr>
      <w:r w:rsidRPr="00C819AD">
        <w:rPr>
          <w:lang w:val="fr-FR"/>
        </w:rPr>
        <w:t>La délégation du Tadjikistan a appuyé la candidature présentée par la délégation de la Turquie pour l</w:t>
      </w:r>
      <w:r w:rsidR="00D76C92">
        <w:rPr>
          <w:lang w:val="fr-FR"/>
        </w:rPr>
        <w:t>’</w:t>
      </w:r>
      <w:r w:rsidRPr="00C819AD">
        <w:rPr>
          <w:lang w:val="fr-FR"/>
        </w:rPr>
        <w:t>Institut turc des brevets à la nomination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du Brésil s</w:t>
      </w:r>
      <w:r w:rsidR="00D76C92">
        <w:rPr>
          <w:lang w:val="fr-FR"/>
        </w:rPr>
        <w:t>’</w:t>
      </w:r>
      <w:r w:rsidRPr="00C819AD">
        <w:rPr>
          <w:lang w:val="fr-FR"/>
        </w:rPr>
        <w:t>est associée aux observations des autres délégations en appuyant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du Mexique a</w:t>
      </w:r>
      <w:r w:rsidRPr="00C819AD">
        <w:t xml:space="preserve"> </w:t>
      </w:r>
      <w:r w:rsidRPr="00C819AD">
        <w:rPr>
          <w:lang w:val="fr-FR"/>
        </w:rPr>
        <w:t>approuvé la candidature de l</w:t>
      </w:r>
      <w:r w:rsidR="00D76C92">
        <w:rPr>
          <w:lang w:val="fr-FR"/>
        </w:rPr>
        <w:t>’</w:t>
      </w:r>
      <w:r w:rsidRPr="00C819AD">
        <w:rPr>
          <w:lang w:val="fr-FR"/>
        </w:rPr>
        <w:t>Institut turc des brevets à la nomination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lastRenderedPageBreak/>
        <w:t>La délégation de la Tunisie a remercié la délégation de la Turquie pour les renseignements fournis par l</w:t>
      </w:r>
      <w:r w:rsidR="00D76C92">
        <w:rPr>
          <w:lang w:val="fr-FR"/>
        </w:rPr>
        <w:t>’</w:t>
      </w:r>
      <w:r w:rsidRPr="00C819AD">
        <w:rPr>
          <w:lang w:val="fr-FR"/>
        </w:rPr>
        <w:t>Institut turc des brevets et pour les efforts qu</w:t>
      </w:r>
      <w:r w:rsidR="00D76C92">
        <w:rPr>
          <w:lang w:val="fr-FR"/>
        </w:rPr>
        <w:t>’</w:t>
      </w:r>
      <w:r w:rsidRPr="00C819AD">
        <w:rPr>
          <w:lang w:val="fr-FR"/>
        </w:rPr>
        <w:t>elle avait déployés afin de promouvoir le système des brevets, et elle a approuvé la nomination de l</w:t>
      </w:r>
      <w:r w:rsidR="00D76C92">
        <w:rPr>
          <w:lang w:val="fr-FR"/>
        </w:rPr>
        <w:t>’</w:t>
      </w:r>
      <w:r w:rsidRPr="00C819AD">
        <w:rPr>
          <w:lang w:val="fr-FR"/>
        </w:rPr>
        <w:t>institut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w:t>
      </w:r>
      <w:r w:rsidR="00D76C92">
        <w:rPr>
          <w:lang w:val="fr-FR"/>
        </w:rPr>
        <w:t>’</w:t>
      </w:r>
      <w:r w:rsidRPr="00C819AD">
        <w:rPr>
          <w:lang w:val="fr-FR"/>
        </w:rPr>
        <w:t>Oman s</w:t>
      </w:r>
      <w:r w:rsidR="00D76C92">
        <w:rPr>
          <w:lang w:val="fr-FR"/>
        </w:rPr>
        <w:t>’</w:t>
      </w:r>
      <w:r w:rsidRPr="00C819AD">
        <w:rPr>
          <w:lang w:val="fr-FR"/>
        </w:rPr>
        <w:t>est alignée sur les interventions faites par les autres délégations à l</w:t>
      </w:r>
      <w:r w:rsidR="00D76C92">
        <w:rPr>
          <w:lang w:val="fr-FR"/>
        </w:rPr>
        <w:t>’</w:t>
      </w:r>
      <w:r w:rsidRPr="00C819AD">
        <w:rPr>
          <w:lang w:val="fr-FR"/>
        </w:rPr>
        <w:t>appui de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du Maroc s</w:t>
      </w:r>
      <w:r w:rsidR="00D76C92">
        <w:rPr>
          <w:lang w:val="fr-FR"/>
        </w:rPr>
        <w:t>’</w:t>
      </w:r>
      <w:r w:rsidRPr="00C819AD">
        <w:rPr>
          <w:lang w:val="fr-FR"/>
        </w:rPr>
        <w:t>est alignée sur les interventions faites par les autres délégations à l</w:t>
      </w:r>
      <w:r w:rsidR="00D76C92">
        <w:rPr>
          <w:lang w:val="fr-FR"/>
        </w:rPr>
        <w:t>’</w:t>
      </w:r>
      <w:r w:rsidRPr="00C819AD">
        <w:rPr>
          <w:lang w:val="fr-FR"/>
        </w:rPr>
        <w:t>appui de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du Sénégal a approuvé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de l</w:t>
      </w:r>
      <w:r w:rsidR="00D76C92">
        <w:rPr>
          <w:lang w:val="fr-FR"/>
        </w:rPr>
        <w:t>’</w:t>
      </w:r>
      <w:r w:rsidRPr="00C819AD">
        <w:rPr>
          <w:lang w:val="fr-FR"/>
        </w:rPr>
        <w:t>Afrique du Sud</w:t>
      </w:r>
      <w:r w:rsidRPr="00C819AD">
        <w:t xml:space="preserve"> </w:t>
      </w:r>
      <w:r w:rsidRPr="00C819AD">
        <w:rPr>
          <w:lang w:val="fr-FR"/>
        </w:rPr>
        <w:t>a marqué son appui à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rPr>
          <w:lang w:val="fr-FR"/>
        </w:rPr>
      </w:pPr>
      <w:r w:rsidRPr="00C819AD">
        <w:rPr>
          <w:lang w:val="fr-FR"/>
        </w:rPr>
        <w:t>La délégation de Singapour a indiqué qu</w:t>
      </w:r>
      <w:r w:rsidR="00D76C92">
        <w:rPr>
          <w:lang w:val="fr-FR"/>
        </w:rPr>
        <w:t>’</w:t>
      </w:r>
      <w:r w:rsidRPr="00C819AD">
        <w:rPr>
          <w:lang w:val="fr-FR"/>
        </w:rPr>
        <w:t>elle était favorable à ce que</w:t>
      </w:r>
      <w:r w:rsidRPr="00C819AD">
        <w:t xml:space="preserve"> </w:t>
      </w:r>
      <w:r w:rsidRPr="00C819AD">
        <w:rPr>
          <w:lang w:val="fr-FR"/>
        </w:rPr>
        <w:t>l</w:t>
      </w:r>
      <w:r w:rsidR="00D76C92">
        <w:rPr>
          <w:lang w:val="fr-FR"/>
        </w:rPr>
        <w:t>’</w:t>
      </w:r>
      <w:r w:rsidRPr="00C819AD">
        <w:rPr>
          <w:lang w:val="fr-FR"/>
        </w:rPr>
        <w:t>Institut turc des brevets devienne une administration chargée de la recherche internationale et de l</w:t>
      </w:r>
      <w:r w:rsidR="00D76C92">
        <w:rPr>
          <w:lang w:val="fr-FR"/>
        </w:rPr>
        <w:t>’</w:t>
      </w:r>
      <w:r w:rsidRPr="00C819AD">
        <w:rPr>
          <w:lang w:val="fr-FR"/>
        </w:rPr>
        <w:t>examen préliminaire international selon le PCT, ainsi qu</w:t>
      </w:r>
      <w:r w:rsidR="00D76C92">
        <w:rPr>
          <w:lang w:val="fr-FR"/>
        </w:rPr>
        <w:t>’</w:t>
      </w:r>
      <w:r w:rsidRPr="00C819AD">
        <w:rPr>
          <w:lang w:val="fr-FR"/>
        </w:rPr>
        <w:t>elle l</w:t>
      </w:r>
      <w:r w:rsidR="00D76C92">
        <w:rPr>
          <w:lang w:val="fr-FR"/>
        </w:rPr>
        <w:t>’</w:t>
      </w:r>
      <w:r w:rsidRPr="00C819AD">
        <w:rPr>
          <w:lang w:val="fr-FR"/>
        </w:rPr>
        <w:t>avait déjà mentionné lors de la vingt</w:t>
      </w:r>
      <w:r w:rsidR="00E4676F">
        <w:rPr>
          <w:lang w:val="fr-FR"/>
        </w:rPr>
        <w:noBreakHyphen/>
      </w:r>
      <w:r w:rsidRPr="00C819AD">
        <w:rPr>
          <w:lang w:val="fr-FR"/>
        </w:rPr>
        <w:t xml:space="preserve">neuvième session du </w:t>
      </w:r>
      <w:r w:rsidRPr="00C819AD">
        <w:t>Comité de coopération technique du </w:t>
      </w:r>
      <w:r w:rsidR="003008DF" w:rsidRPr="00C819AD">
        <w:t>PCT</w:t>
      </w:r>
      <w:r w:rsidR="003008DF">
        <w:t xml:space="preserve">.  </w:t>
      </w:r>
      <w:r w:rsidR="003008DF" w:rsidRPr="00C819AD">
        <w:rPr>
          <w:lang w:val="fr-FR"/>
        </w:rPr>
        <w:t>De</w:t>
      </w:r>
      <w:r w:rsidRPr="00C819AD">
        <w:rPr>
          <w:lang w:val="fr-FR"/>
        </w:rPr>
        <w:t>puis toujours, la Turquie était un pont entre l</w:t>
      </w:r>
      <w:r w:rsidR="00D76C92">
        <w:rPr>
          <w:lang w:val="fr-FR"/>
        </w:rPr>
        <w:t>’</w:t>
      </w:r>
      <w:r w:rsidRPr="00C819AD">
        <w:rPr>
          <w:lang w:val="fr-FR"/>
        </w:rPr>
        <w:t>Orient et l</w:t>
      </w:r>
      <w:r w:rsidR="00D76C92">
        <w:rPr>
          <w:lang w:val="fr-FR"/>
        </w:rPr>
        <w:t>’</w:t>
      </w:r>
      <w:r w:rsidRPr="00C819AD">
        <w:rPr>
          <w:lang w:val="fr-FR"/>
        </w:rPr>
        <w:t>Occident, et cela était toujours vrai dans l</w:t>
      </w:r>
      <w:r w:rsidR="00D76C92">
        <w:rPr>
          <w:lang w:val="fr-FR"/>
        </w:rPr>
        <w:t>’</w:t>
      </w:r>
      <w:r w:rsidRPr="00C819AD">
        <w:rPr>
          <w:lang w:val="fr-FR"/>
        </w:rPr>
        <w:t>ère moderne, puisqu</w:t>
      </w:r>
      <w:r w:rsidR="00D76C92">
        <w:rPr>
          <w:lang w:val="fr-FR"/>
        </w:rPr>
        <w:t>’</w:t>
      </w:r>
      <w:r w:rsidRPr="00C819AD">
        <w:rPr>
          <w:lang w:val="fr-FR"/>
        </w:rPr>
        <w:t>elle pouvait promouvoir les services du PCT par</w:t>
      </w:r>
      <w:r w:rsidR="00E4676F">
        <w:rPr>
          <w:lang w:val="fr-FR"/>
        </w:rPr>
        <w:noBreakHyphen/>
      </w:r>
      <w:r w:rsidRPr="00C819AD">
        <w:rPr>
          <w:lang w:val="fr-FR"/>
        </w:rPr>
        <w:t>delà les frontières de l</w:t>
      </w:r>
      <w:r w:rsidR="00D76C92">
        <w:rPr>
          <w:lang w:val="fr-FR"/>
        </w:rPr>
        <w:t>’</w:t>
      </w:r>
      <w:r w:rsidRPr="00C819AD">
        <w:rPr>
          <w:lang w:val="fr-FR"/>
        </w:rPr>
        <w:t>Europe, de l</w:t>
      </w:r>
      <w:r w:rsidR="00D76C92">
        <w:rPr>
          <w:lang w:val="fr-FR"/>
        </w:rPr>
        <w:t>’</w:t>
      </w:r>
      <w:r w:rsidRPr="00C819AD">
        <w:rPr>
          <w:lang w:val="fr-FR"/>
        </w:rPr>
        <w:t>Asie et du Moyen</w:t>
      </w:r>
      <w:r w:rsidR="00E4676F">
        <w:rPr>
          <w:lang w:val="fr-FR"/>
        </w:rPr>
        <w:noBreakHyphen/>
      </w:r>
      <w:r w:rsidRPr="00C819AD">
        <w:rPr>
          <w:lang w:val="fr-FR"/>
        </w:rPr>
        <w:t>Orie</w:t>
      </w:r>
      <w:r w:rsidR="003008DF" w:rsidRPr="00C819AD">
        <w:rPr>
          <w:lang w:val="fr-FR"/>
        </w:rPr>
        <w:t>nt</w:t>
      </w:r>
      <w:r w:rsidR="003008DF">
        <w:rPr>
          <w:lang w:val="fr-FR"/>
        </w:rPr>
        <w:t xml:space="preserve">.  </w:t>
      </w:r>
      <w:r w:rsidR="003008DF" w:rsidRPr="00C819AD">
        <w:rPr>
          <w:lang w:val="fr-FR"/>
        </w:rPr>
        <w:t>La</w:t>
      </w:r>
      <w:r w:rsidRPr="00C819AD">
        <w:rPr>
          <w:lang w:val="fr-FR"/>
        </w:rPr>
        <w:t xml:space="preserve"> délégation était convaincue que l</w:t>
      </w:r>
      <w:r w:rsidR="00D76C92">
        <w:rPr>
          <w:lang w:val="fr-FR"/>
        </w:rPr>
        <w:t>’</w:t>
      </w:r>
      <w:r w:rsidRPr="00C819AD">
        <w:rPr>
          <w:lang w:val="fr-FR"/>
        </w:rPr>
        <w:t>institut remplissait les exigences minimales pour être nommé en qualité d</w:t>
      </w:r>
      <w:r w:rsidR="00D76C92">
        <w:rPr>
          <w:lang w:val="fr-FR"/>
        </w:rPr>
        <w:t>’</w:t>
      </w:r>
      <w:r w:rsidRPr="00C819AD">
        <w:rPr>
          <w:lang w:val="fr-FR"/>
        </w:rPr>
        <w:t>administration internationale, ce qui accroîtrait considérablement la valeur du PCT.</w:t>
      </w:r>
    </w:p>
    <w:p w:rsidR="00C819AD" w:rsidRPr="00C819AD" w:rsidRDefault="00C819AD" w:rsidP="00C819AD">
      <w:pPr>
        <w:pStyle w:val="ONUMFS"/>
        <w:numPr>
          <w:ilvl w:val="0"/>
          <w:numId w:val="6"/>
        </w:numPr>
        <w:rPr>
          <w:lang w:val="fr-FR"/>
        </w:rPr>
      </w:pPr>
      <w:r w:rsidRPr="00C819AD">
        <w:rPr>
          <w:lang w:val="fr-FR"/>
        </w:rPr>
        <w:t xml:space="preserve">La délégation de la Finlande a remercié la délégation de la Turquie pour sa présentation complète et elle a </w:t>
      </w:r>
      <w:r w:rsidR="0049691D">
        <w:rPr>
          <w:lang w:val="fr-FR"/>
        </w:rPr>
        <w:t>fait observer</w:t>
      </w:r>
      <w:r w:rsidRPr="00C819AD">
        <w:rPr>
          <w:lang w:val="fr-FR"/>
        </w:rPr>
        <w:t xml:space="preserve"> que l</w:t>
      </w:r>
      <w:r w:rsidR="00D76C92">
        <w:rPr>
          <w:lang w:val="fr-FR"/>
        </w:rPr>
        <w:t>’</w:t>
      </w:r>
      <w:r w:rsidRPr="00C819AD">
        <w:rPr>
          <w:lang w:val="fr-FR"/>
        </w:rPr>
        <w:t>Institut turc des brevets avait travaillé dur pour se préparer à assumer le rôle d</w:t>
      </w:r>
      <w:r w:rsidR="00D76C92">
        <w:rPr>
          <w:lang w:val="fr-FR"/>
        </w:rPr>
        <w:t>’</w:t>
      </w:r>
      <w:r w:rsidRPr="00C819AD">
        <w:rPr>
          <w:lang w:val="fr-FR"/>
        </w:rPr>
        <w:t>administration internationa</w:t>
      </w:r>
      <w:r w:rsidR="003008DF" w:rsidRPr="00C819AD">
        <w:rPr>
          <w:lang w:val="fr-FR"/>
        </w:rPr>
        <w:t>le</w:t>
      </w:r>
      <w:r w:rsidR="003008DF">
        <w:rPr>
          <w:lang w:val="fr-FR"/>
        </w:rPr>
        <w:t xml:space="preserve">.  </w:t>
      </w:r>
      <w:r w:rsidR="003008DF" w:rsidRPr="00C819AD">
        <w:rPr>
          <w:lang w:val="fr-FR"/>
        </w:rPr>
        <w:t>Co</w:t>
      </w:r>
      <w:r w:rsidRPr="00C819AD">
        <w:rPr>
          <w:lang w:val="fr-FR"/>
        </w:rPr>
        <w:t>mme elle l</w:t>
      </w:r>
      <w:r w:rsidR="00D76C92">
        <w:rPr>
          <w:lang w:val="fr-FR"/>
        </w:rPr>
        <w:t>’</w:t>
      </w:r>
      <w:r w:rsidRPr="00C819AD">
        <w:rPr>
          <w:lang w:val="fr-FR"/>
        </w:rPr>
        <w:t>avait déjà affirmé devant</w:t>
      </w:r>
      <w:r w:rsidRPr="00C819AD">
        <w:t xml:space="preserve"> </w:t>
      </w:r>
      <w:r w:rsidRPr="00C819AD">
        <w:rPr>
          <w:lang w:val="fr-FR"/>
        </w:rPr>
        <w:t>le Comité de coopération technique du PCT, elle appuyait sans réserve la nomination de l</w:t>
      </w:r>
      <w:r w:rsidR="00D76C92">
        <w:rPr>
          <w:lang w:val="fr-FR"/>
        </w:rPr>
        <w:t>’</w:t>
      </w:r>
      <w:r w:rsidRPr="00C819AD">
        <w:rPr>
          <w:lang w:val="fr-FR"/>
        </w:rPr>
        <w:t>Institut turc des brevets</w:t>
      </w:r>
      <w:r w:rsidRPr="00C819AD">
        <w:t xml:space="preserve"> </w:t>
      </w:r>
      <w:r w:rsidRPr="00C819AD">
        <w:rPr>
          <w:lang w:val="fr-FR"/>
        </w:rPr>
        <w:t>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w:t>
      </w:r>
    </w:p>
    <w:p w:rsidR="00C819AD" w:rsidRPr="00C819AD" w:rsidRDefault="00C819AD" w:rsidP="00C819AD">
      <w:pPr>
        <w:pStyle w:val="ONUMFS"/>
        <w:numPr>
          <w:ilvl w:val="0"/>
          <w:numId w:val="6"/>
        </w:numPr>
      </w:pPr>
      <w:r w:rsidRPr="00C819AD">
        <w:rPr>
          <w:lang w:val="fr-FR"/>
        </w:rPr>
        <w:t>La délégation de Chypre, conformément aux</w:t>
      </w:r>
      <w:r w:rsidRPr="00C819AD">
        <w:t xml:space="preserve"> </w:t>
      </w:r>
      <w:r w:rsidRPr="003008DF">
        <w:t>Règles générales de procédure</w:t>
      </w:r>
      <w:r w:rsidRPr="00C819AD">
        <w:rPr>
          <w:lang w:val="fr-FR"/>
        </w:rPr>
        <w:t>s de l</w:t>
      </w:r>
      <w:r w:rsidR="00D76C92">
        <w:rPr>
          <w:lang w:val="fr-FR"/>
        </w:rPr>
        <w:t>’</w:t>
      </w:r>
      <w:r w:rsidRPr="00C819AD">
        <w:rPr>
          <w:lang w:val="fr-FR"/>
        </w:rPr>
        <w:t>OMPI et au règlement intérieur de l</w:t>
      </w:r>
      <w:r w:rsidR="00D76C92">
        <w:rPr>
          <w:lang w:val="fr-FR"/>
        </w:rPr>
        <w:t>’</w:t>
      </w:r>
      <w:r w:rsidRPr="00C819AD">
        <w:rPr>
          <w:lang w:val="fr-FR"/>
        </w:rPr>
        <w:t>Assemblée de l</w:t>
      </w:r>
      <w:r w:rsidR="00D76C92">
        <w:rPr>
          <w:lang w:val="fr-FR"/>
        </w:rPr>
        <w:t>’</w:t>
      </w:r>
      <w:r w:rsidRPr="00C819AD">
        <w:rPr>
          <w:lang w:val="fr-FR"/>
        </w:rPr>
        <w:t xml:space="preserve">Union du PCT, a affirmé que la République de Chypre exprimait des réserves </w:t>
      </w:r>
      <w:r w:rsidR="00D76C92">
        <w:rPr>
          <w:lang w:val="fr-FR"/>
        </w:rPr>
        <w:t>à l’égard</w:t>
      </w:r>
      <w:r w:rsidRPr="00C819AD">
        <w:rPr>
          <w:lang w:val="fr-FR"/>
        </w:rPr>
        <w:t xml:space="preserve"> des décisions formulées aux paragraphes 9.ii) et iii) du document PCT/A/48/4.  La Turquie ne reconnaissait pas l</w:t>
      </w:r>
      <w:r w:rsidR="00D76C92">
        <w:rPr>
          <w:lang w:val="fr-FR"/>
        </w:rPr>
        <w:t>’</w:t>
      </w:r>
      <w:r w:rsidRPr="00C819AD">
        <w:rPr>
          <w:lang w:val="fr-FR"/>
        </w:rPr>
        <w:t xml:space="preserve">existence de la République de Chypre et refusait tout contact </w:t>
      </w:r>
      <w:r w:rsidR="0049691D">
        <w:rPr>
          <w:lang w:val="fr-FR"/>
        </w:rPr>
        <w:t>ou lien de</w:t>
      </w:r>
      <w:r w:rsidRPr="00C819AD">
        <w:rPr>
          <w:lang w:val="fr-FR"/>
        </w:rPr>
        <w:t xml:space="preserve"> coopération avec les autorités et services chypriotes </w:t>
      </w:r>
      <w:r w:rsidR="0049691D">
        <w:rPr>
          <w:lang w:val="fr-FR"/>
        </w:rPr>
        <w:t>quelles que soient</w:t>
      </w:r>
      <w:r w:rsidRPr="00C819AD">
        <w:rPr>
          <w:lang w:val="fr-FR"/>
        </w:rPr>
        <w:t xml:space="preserve"> les questions</w:t>
      </w:r>
      <w:r w:rsidR="0049691D">
        <w:rPr>
          <w:lang w:val="fr-FR"/>
        </w:rPr>
        <w:t xml:space="preserve"> considérées</w:t>
      </w:r>
      <w:r w:rsidRPr="00C819AD">
        <w:rPr>
          <w:lang w:val="fr-FR"/>
        </w:rPr>
        <w:t xml:space="preserve">, </w:t>
      </w:r>
      <w:r w:rsidR="00D76C92">
        <w:rPr>
          <w:lang w:val="fr-FR"/>
        </w:rPr>
        <w:t>y compris</w:t>
      </w:r>
      <w:r w:rsidRPr="00C819AD">
        <w:rPr>
          <w:lang w:val="fr-FR"/>
        </w:rPr>
        <w:t xml:space="preserve"> celles </w:t>
      </w:r>
      <w:r w:rsidR="0049691D">
        <w:rPr>
          <w:lang w:val="fr-FR"/>
        </w:rPr>
        <w:t>examinées au sein</w:t>
      </w:r>
      <w:r w:rsidRPr="00C819AD">
        <w:rPr>
          <w:lang w:val="fr-FR"/>
        </w:rPr>
        <w:t xml:space="preserve"> de l</w:t>
      </w:r>
      <w:r w:rsidR="00D76C92">
        <w:rPr>
          <w:lang w:val="fr-FR"/>
        </w:rPr>
        <w:t>’</w:t>
      </w:r>
      <w:r w:rsidRPr="00C819AD">
        <w:rPr>
          <w:lang w:val="fr-FR"/>
        </w:rPr>
        <w:t>O</w:t>
      </w:r>
      <w:r w:rsidR="003008DF" w:rsidRPr="00C819AD">
        <w:rPr>
          <w:lang w:val="fr-FR"/>
        </w:rPr>
        <w:t>MPI</w:t>
      </w:r>
      <w:r w:rsidR="003008DF">
        <w:rPr>
          <w:lang w:val="fr-FR"/>
        </w:rPr>
        <w:t xml:space="preserve">.  </w:t>
      </w:r>
      <w:r w:rsidR="003008DF" w:rsidRPr="00C819AD">
        <w:rPr>
          <w:lang w:val="fr-FR"/>
        </w:rPr>
        <w:t>To</w:t>
      </w:r>
      <w:r w:rsidRPr="00C819AD">
        <w:rPr>
          <w:lang w:val="fr-FR"/>
        </w:rPr>
        <w:t>ute décision relative à la</w:t>
      </w:r>
      <w:r w:rsidRPr="00C819AD">
        <w:t xml:space="preserve"> </w:t>
      </w:r>
      <w:r w:rsidRPr="00C819AD">
        <w:rPr>
          <w:lang w:val="fr-FR"/>
        </w:rPr>
        <w:t>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devait être envisagée et interprétée à la lumière des résolutions du Conseil de sécurité de l</w:t>
      </w:r>
      <w:r w:rsidR="00D76C92">
        <w:rPr>
          <w:lang w:val="fr-FR"/>
        </w:rPr>
        <w:t>’</w:t>
      </w:r>
      <w:r w:rsidRPr="00C819AD">
        <w:rPr>
          <w:lang w:val="fr-FR"/>
        </w:rPr>
        <w:t>ONU au sujet de Chypre, notamment des résolutions 541 (1983) et 550 (1984).  À ce titre, Chypre ne s</w:t>
      </w:r>
      <w:r w:rsidR="00D76C92">
        <w:rPr>
          <w:lang w:val="fr-FR"/>
        </w:rPr>
        <w:t>’</w:t>
      </w:r>
      <w:r w:rsidRPr="00C819AD">
        <w:rPr>
          <w:lang w:val="fr-FR"/>
        </w:rPr>
        <w:t>associait pas au consensus concernant l</w:t>
      </w:r>
      <w:r w:rsidR="00D76C92">
        <w:rPr>
          <w:lang w:val="fr-FR"/>
        </w:rPr>
        <w:t>’</w:t>
      </w:r>
      <w:r w:rsidRPr="00C819AD">
        <w:rPr>
          <w:lang w:val="fr-FR"/>
        </w:rPr>
        <w:t>approbation du projet d</w:t>
      </w:r>
      <w:r w:rsidR="00D76C92">
        <w:rPr>
          <w:lang w:val="fr-FR"/>
        </w:rPr>
        <w:t>’</w:t>
      </w:r>
      <w:r w:rsidRPr="00C819AD">
        <w:rPr>
          <w:lang w:val="fr-FR"/>
        </w:rPr>
        <w:t>accord entre l</w:t>
      </w:r>
      <w:r w:rsidR="00D76C92">
        <w:rPr>
          <w:lang w:val="fr-FR"/>
        </w:rPr>
        <w:t>’</w:t>
      </w:r>
      <w:r w:rsidRPr="00C819AD">
        <w:rPr>
          <w:lang w:val="fr-FR"/>
        </w:rPr>
        <w:t>Institut turc des brevets et le Bureau international de l</w:t>
      </w:r>
      <w:r w:rsidR="00D76C92">
        <w:rPr>
          <w:lang w:val="fr-FR"/>
        </w:rPr>
        <w:t>’</w:t>
      </w:r>
      <w:r w:rsidRPr="00C819AD">
        <w:rPr>
          <w:lang w:val="fr-FR"/>
        </w:rPr>
        <w:t>OMPI</w:t>
      </w:r>
      <w:r w:rsidRPr="00C819AD">
        <w:t xml:space="preserve"> </w:t>
      </w:r>
      <w:r w:rsidRPr="00C819AD">
        <w:rPr>
          <w:lang w:val="fr-FR"/>
        </w:rPr>
        <w:t>relatif au fonctionnement de l</w:t>
      </w:r>
      <w:r w:rsidR="00D76C92">
        <w:rPr>
          <w:lang w:val="fr-FR"/>
        </w:rPr>
        <w:t>’</w:t>
      </w:r>
      <w:r w:rsidRPr="00C819AD">
        <w:rPr>
          <w:lang w:val="fr-FR"/>
        </w:rPr>
        <w:t>institut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 xml:space="preserve">examen préliminaire international selon le </w:t>
      </w:r>
      <w:r w:rsidRPr="00C819AD">
        <w:t>Traité de coopération en matière de breve</w:t>
      </w:r>
      <w:r w:rsidR="003008DF" w:rsidRPr="00C819AD">
        <w:t>ts</w:t>
      </w:r>
      <w:r w:rsidR="003008DF">
        <w:t xml:space="preserve">.  </w:t>
      </w:r>
      <w:r w:rsidR="003008DF" w:rsidRPr="00C819AD">
        <w:t>Pa</w:t>
      </w:r>
      <w:r w:rsidRPr="00C819AD">
        <w:t>r conséquent, Chypre n</w:t>
      </w:r>
      <w:r w:rsidR="00D76C92">
        <w:t>’</w:t>
      </w:r>
      <w:r w:rsidRPr="00C819AD">
        <w:t>était pas d</w:t>
      </w:r>
      <w:r w:rsidR="00D76C92">
        <w:t>’</w:t>
      </w:r>
      <w:r w:rsidRPr="00C819AD">
        <w:t>accord avec la nomination de l</w:t>
      </w:r>
      <w:r w:rsidR="00D76C92">
        <w:t>’</w:t>
      </w:r>
      <w:r w:rsidRPr="00C819AD">
        <w:t>Institut turc des brevets en qualité d</w:t>
      </w:r>
      <w:r w:rsidR="00D76C92">
        <w:t>’</w:t>
      </w:r>
      <w:r w:rsidRPr="00C819AD">
        <w:t>administration chargée de la recherche internationale et de l</w:t>
      </w:r>
      <w:r w:rsidR="00D76C92">
        <w:t>’</w:t>
      </w:r>
      <w:r w:rsidRPr="00C819AD">
        <w:t>examen préliminaire internation</w:t>
      </w:r>
      <w:r w:rsidR="003008DF" w:rsidRPr="00C819AD">
        <w:t>al</w:t>
      </w:r>
      <w:r w:rsidR="003008DF">
        <w:t xml:space="preserve">.  </w:t>
      </w:r>
      <w:r w:rsidR="003008DF" w:rsidRPr="00C819AD">
        <w:t>La</w:t>
      </w:r>
      <w:r w:rsidRPr="00C819AD">
        <w:t xml:space="preserve"> délégation a conclu en demandant à ce que ces objections soient consignées dans le rapport de réunion.</w:t>
      </w:r>
    </w:p>
    <w:p w:rsidR="00C819AD" w:rsidRPr="00C819AD" w:rsidRDefault="00C819AD" w:rsidP="00C819AD">
      <w:pPr>
        <w:pStyle w:val="ONUMFS"/>
        <w:numPr>
          <w:ilvl w:val="0"/>
          <w:numId w:val="6"/>
        </w:numPr>
        <w:ind w:left="567"/>
        <w:rPr>
          <w:lang w:val="fr-FR"/>
        </w:rPr>
      </w:pPr>
      <w:r w:rsidRPr="00C819AD">
        <w:lastRenderedPageBreak/>
        <w:t>Conformément aux articles 16.3) et 32.3) du PCT, l</w:t>
      </w:r>
      <w:r w:rsidR="00D76C92">
        <w:t>’</w:t>
      </w:r>
      <w:r w:rsidRPr="00C819AD">
        <w:t>Assemblée,</w:t>
      </w:r>
      <w:r w:rsidRPr="00C819AD">
        <w:rPr>
          <w:lang w:val="fr-FR"/>
        </w:rPr>
        <w:t xml:space="preserve"> ayant entendu </w:t>
      </w:r>
      <w:r w:rsidRPr="00C819AD">
        <w:t>le représentant de l</w:t>
      </w:r>
      <w:r w:rsidR="00D76C92">
        <w:t>’</w:t>
      </w:r>
      <w:r w:rsidRPr="00C819AD">
        <w:t>Institut turc des brevets</w:t>
      </w:r>
      <w:r w:rsidRPr="00C819AD">
        <w:rPr>
          <w:lang w:val="fr-FR"/>
        </w:rPr>
        <w:t xml:space="preserve"> et </w:t>
      </w:r>
      <w:r w:rsidRPr="00C819AD">
        <w:t>tenant compte de l</w:t>
      </w:r>
      <w:r w:rsidR="00D76C92">
        <w:t>’</w:t>
      </w:r>
      <w:r w:rsidRPr="00C819AD">
        <w:t>avis du Comité de coopération technique du PCT figurant au paragraphe 5 du document</w:t>
      </w:r>
      <w:r w:rsidRPr="00C819AD">
        <w:rPr>
          <w:lang w:val="fr-FR"/>
        </w:rPr>
        <w:t xml:space="preserve"> PCT/A/48/4, et prenant note des réserves exprimées par la délégation de Chypre</w:t>
      </w:r>
    </w:p>
    <w:p w:rsidR="00C819AD" w:rsidRPr="00C819AD" w:rsidRDefault="00C819AD" w:rsidP="00C819AD">
      <w:pPr>
        <w:pStyle w:val="ONUMFS"/>
        <w:numPr>
          <w:ilvl w:val="2"/>
          <w:numId w:val="6"/>
        </w:numPr>
        <w:rPr>
          <w:lang w:val="fr-FR"/>
        </w:rPr>
      </w:pPr>
      <w:r w:rsidRPr="00C819AD">
        <w:rPr>
          <w:lang w:val="fr-FR"/>
        </w:rPr>
        <w:t>a approuvé le texte du projet d</w:t>
      </w:r>
      <w:r w:rsidR="00D76C92">
        <w:rPr>
          <w:lang w:val="fr-FR"/>
        </w:rPr>
        <w:t>’</w:t>
      </w:r>
      <w:r w:rsidRPr="00C819AD">
        <w:rPr>
          <w:lang w:val="fr-FR"/>
        </w:rPr>
        <w:t>accord entre l</w:t>
      </w:r>
      <w:r w:rsidR="00D76C92">
        <w:rPr>
          <w:lang w:val="fr-FR"/>
        </w:rPr>
        <w:t>’</w:t>
      </w:r>
      <w:r w:rsidRPr="00C819AD">
        <w:rPr>
          <w:lang w:val="fr-FR"/>
        </w:rPr>
        <w:t>Institut turc des brevets et le Bureau international figurant à l</w:t>
      </w:r>
      <w:r w:rsidR="00D76C92">
        <w:rPr>
          <w:lang w:val="fr-FR"/>
        </w:rPr>
        <w:t>’</w:t>
      </w:r>
      <w:r w:rsidRPr="00C819AD">
        <w:rPr>
          <w:lang w:val="fr-FR"/>
        </w:rPr>
        <w:t>annexe du document PCT/A/48/4 et</w:t>
      </w:r>
    </w:p>
    <w:p w:rsidR="00C819AD" w:rsidRPr="00C819AD" w:rsidRDefault="00C819AD" w:rsidP="00C819AD">
      <w:pPr>
        <w:pStyle w:val="ONUMFS"/>
        <w:numPr>
          <w:ilvl w:val="2"/>
          <w:numId w:val="6"/>
        </w:numPr>
        <w:rPr>
          <w:lang w:val="fr-FR"/>
        </w:rPr>
      </w:pPr>
      <w:r w:rsidRPr="00C819AD">
        <w:rPr>
          <w:lang w:val="fr-FR"/>
        </w:rPr>
        <w:t>a nommé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w:t>
      </w:r>
      <w:r w:rsidR="00D76C92">
        <w:rPr>
          <w:lang w:val="fr-FR"/>
        </w:rPr>
        <w:t>’</w:t>
      </w:r>
      <w:r w:rsidRPr="00C819AD">
        <w:rPr>
          <w:lang w:val="fr-FR"/>
        </w:rPr>
        <w:t>administration chargée de l</w:t>
      </w:r>
      <w:r w:rsidR="00D76C92">
        <w:rPr>
          <w:lang w:val="fr-FR"/>
        </w:rPr>
        <w:t>’</w:t>
      </w:r>
      <w:r w:rsidRPr="00C819AD">
        <w:rPr>
          <w:lang w:val="fr-FR"/>
        </w:rPr>
        <w:t>examen préliminaire international pour la période comprise entre l</w:t>
      </w:r>
      <w:r w:rsidR="00D76C92">
        <w:rPr>
          <w:lang w:val="fr-FR"/>
        </w:rPr>
        <w:t>’</w:t>
      </w:r>
      <w:r w:rsidRPr="00C819AD">
        <w:rPr>
          <w:lang w:val="fr-FR"/>
        </w:rPr>
        <w:t>entrée en vigueur dudit accord et le 31 décembre 2017.</w:t>
      </w:r>
    </w:p>
    <w:p w:rsidR="00C819AD" w:rsidRPr="00C819AD" w:rsidRDefault="00C819AD" w:rsidP="00C819AD">
      <w:pPr>
        <w:pStyle w:val="ONUMFS"/>
        <w:numPr>
          <w:ilvl w:val="0"/>
          <w:numId w:val="6"/>
        </w:numPr>
        <w:rPr>
          <w:lang w:val="fr-FR"/>
        </w:rPr>
      </w:pPr>
      <w:r w:rsidRPr="00C819AD">
        <w:rPr>
          <w:lang w:val="fr-FR"/>
        </w:rPr>
        <w:t>Le Directeur général de l</w:t>
      </w:r>
      <w:r w:rsidR="00D76C92">
        <w:rPr>
          <w:lang w:val="fr-FR"/>
        </w:rPr>
        <w:t>’</w:t>
      </w:r>
      <w:r w:rsidRPr="00C819AD">
        <w:rPr>
          <w:lang w:val="fr-FR"/>
        </w:rPr>
        <w:t>OMPI, M. Francis Gurry, parlant au nom du Bureau international, a félicité la délégation de la Turquie pour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 et a indiqué que le Bureau international se réjouissait du début des activités</w:t>
      </w:r>
      <w:r w:rsidR="0049691D">
        <w:rPr>
          <w:lang w:val="fr-FR"/>
        </w:rPr>
        <w:t xml:space="preserve"> de l’institut</w:t>
      </w:r>
      <w:r w:rsidRPr="00C819AD">
        <w:rPr>
          <w:lang w:val="fr-FR"/>
        </w:rPr>
        <w:t xml:space="preserve"> et de travailler avec l</w:t>
      </w:r>
      <w:r w:rsidR="0049691D">
        <w:rPr>
          <w:lang w:val="fr-FR"/>
        </w:rPr>
        <w:t>ui</w:t>
      </w:r>
      <w:r w:rsidRPr="00C819AD">
        <w:rPr>
          <w:lang w:val="fr-FR"/>
        </w:rPr>
        <w:t xml:space="preserve"> dans le cadre de ses nouvelles fonctions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w:t>
      </w:r>
    </w:p>
    <w:p w:rsidR="00C819AD" w:rsidRPr="00C819AD" w:rsidRDefault="00C819AD" w:rsidP="00C819AD">
      <w:pPr>
        <w:pStyle w:val="ONUMFS"/>
        <w:numPr>
          <w:ilvl w:val="0"/>
          <w:numId w:val="6"/>
        </w:numPr>
        <w:rPr>
          <w:lang w:val="fr-FR"/>
        </w:rPr>
      </w:pPr>
      <w:r w:rsidRPr="00C819AD">
        <w:rPr>
          <w:lang w:val="fr-FR"/>
        </w:rPr>
        <w:t>La délégation de la Turquie a indiqué qu</w:t>
      </w:r>
      <w:r w:rsidR="00D76C92">
        <w:rPr>
          <w:lang w:val="fr-FR"/>
        </w:rPr>
        <w:t>’</w:t>
      </w:r>
      <w:r w:rsidRPr="00C819AD">
        <w:rPr>
          <w:lang w:val="fr-FR"/>
        </w:rPr>
        <w:t>elle appréciait les déclarations positives des États membres de l</w:t>
      </w:r>
      <w:r w:rsidR="00D76C92">
        <w:rPr>
          <w:lang w:val="fr-FR"/>
        </w:rPr>
        <w:t>’</w:t>
      </w:r>
      <w:r w:rsidRPr="00C819AD">
        <w:rPr>
          <w:lang w:val="fr-FR"/>
        </w:rPr>
        <w:t>Union du PCT et a remercié chaleureusement tous les États membres pour leur évaluation objective de la proposition visant à nommer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w:t>
      </w:r>
      <w:r w:rsidR="003008DF" w:rsidRPr="00C819AD">
        <w:rPr>
          <w:lang w:val="fr-FR"/>
        </w:rPr>
        <w:t>al</w:t>
      </w:r>
      <w:r w:rsidR="003008DF">
        <w:rPr>
          <w:lang w:val="fr-FR"/>
        </w:rPr>
        <w:t xml:space="preserve">.  </w:t>
      </w:r>
      <w:r w:rsidR="003008DF" w:rsidRPr="00C819AD">
        <w:rPr>
          <w:lang w:val="fr-FR"/>
        </w:rPr>
        <w:t>Il</w:t>
      </w:r>
      <w:r w:rsidRPr="00C819AD">
        <w:rPr>
          <w:lang w:val="fr-FR"/>
        </w:rPr>
        <w:t xml:space="preserve"> a remercié en particulier le KIPO et</w:t>
      </w:r>
      <w:r w:rsidRPr="00C819AD">
        <w:t xml:space="preserve"> </w:t>
      </w:r>
      <w:r w:rsidRPr="00C819AD">
        <w:rPr>
          <w:lang w:val="fr-FR"/>
        </w:rPr>
        <w:t>l</w:t>
      </w:r>
      <w:r w:rsidR="00D76C92">
        <w:rPr>
          <w:lang w:val="fr-FR"/>
        </w:rPr>
        <w:t>’</w:t>
      </w:r>
      <w:r w:rsidRPr="00C819AD">
        <w:rPr>
          <w:lang w:val="fr-FR"/>
        </w:rPr>
        <w:t>Office espagnol des brevets et des marques, qui avaient adopté une approche totalement professionnelle et impartiale dans leur évaluation de la capacité de l</w:t>
      </w:r>
      <w:r w:rsidR="00D76C92">
        <w:rPr>
          <w:lang w:val="fr-FR"/>
        </w:rPr>
        <w:t>’</w:t>
      </w:r>
      <w:r w:rsidRPr="00C819AD">
        <w:rPr>
          <w:lang w:val="fr-FR"/>
        </w:rPr>
        <w:t>Institut turc des brevets à accomplir cette foncti</w:t>
      </w:r>
      <w:r w:rsidR="003008DF" w:rsidRPr="00C819AD">
        <w:rPr>
          <w:lang w:val="fr-FR"/>
        </w:rPr>
        <w:t>on</w:t>
      </w:r>
      <w:r w:rsidR="003008DF">
        <w:rPr>
          <w:lang w:val="fr-FR"/>
        </w:rPr>
        <w:t xml:space="preserve">.  </w:t>
      </w:r>
      <w:r w:rsidR="003008DF" w:rsidRPr="00C819AD">
        <w:rPr>
          <w:lang w:val="fr-FR"/>
        </w:rPr>
        <w:t>Gr</w:t>
      </w:r>
      <w:r w:rsidRPr="00C819AD">
        <w:rPr>
          <w:lang w:val="fr-FR"/>
        </w:rPr>
        <w:t>âce à l</w:t>
      </w:r>
      <w:r w:rsidR="00D76C92">
        <w:rPr>
          <w:lang w:val="fr-FR"/>
        </w:rPr>
        <w:t>’</w:t>
      </w:r>
      <w:r w:rsidRPr="00C819AD">
        <w:rPr>
          <w:lang w:val="fr-FR"/>
        </w:rPr>
        <w:t>impartialité dont ils avaient fait preuve en mettant l</w:t>
      </w:r>
      <w:r w:rsidR="00D76C92">
        <w:rPr>
          <w:lang w:val="fr-FR"/>
        </w:rPr>
        <w:t>’</w:t>
      </w:r>
      <w:r w:rsidRPr="00C819AD">
        <w:rPr>
          <w:lang w:val="fr-FR"/>
        </w:rPr>
        <w:t>accent sur plusieurs domaines, l</w:t>
      </w:r>
      <w:r w:rsidR="00D76C92">
        <w:rPr>
          <w:lang w:val="fr-FR"/>
        </w:rPr>
        <w:t>’</w:t>
      </w:r>
      <w:r w:rsidRPr="00C819AD">
        <w:rPr>
          <w:lang w:val="fr-FR"/>
        </w:rPr>
        <w:t xml:space="preserve">institut avait eu </w:t>
      </w:r>
      <w:r w:rsidR="0049691D">
        <w:rPr>
          <w:lang w:val="fr-FR"/>
        </w:rPr>
        <w:t>la possibilité</w:t>
      </w:r>
      <w:r w:rsidRPr="00C819AD">
        <w:rPr>
          <w:lang w:val="fr-FR"/>
        </w:rPr>
        <w:t xml:space="preserve"> de s</w:t>
      </w:r>
      <w:r w:rsidR="00D76C92">
        <w:rPr>
          <w:lang w:val="fr-FR"/>
        </w:rPr>
        <w:t>’</w:t>
      </w:r>
      <w:r w:rsidRPr="00C819AD">
        <w:rPr>
          <w:lang w:val="fr-FR"/>
        </w:rPr>
        <w:t>améliorer avant même de déposer sa candidatu</w:t>
      </w:r>
      <w:r w:rsidR="003008DF" w:rsidRPr="00C819AD">
        <w:rPr>
          <w:lang w:val="fr-FR"/>
        </w:rPr>
        <w:t>re</w:t>
      </w:r>
      <w:r w:rsidR="003008DF">
        <w:rPr>
          <w:lang w:val="fr-FR"/>
        </w:rPr>
        <w:t xml:space="preserve">.  </w:t>
      </w:r>
      <w:r w:rsidR="003008DF" w:rsidRPr="00C819AD">
        <w:rPr>
          <w:lang w:val="fr-FR"/>
        </w:rPr>
        <w:t xml:space="preserve">À </w:t>
      </w:r>
      <w:r w:rsidRPr="00C819AD">
        <w:rPr>
          <w:lang w:val="fr-FR"/>
        </w:rPr>
        <w:t>cet égard, l</w:t>
      </w:r>
      <w:r w:rsidR="00D76C92">
        <w:rPr>
          <w:lang w:val="fr-FR"/>
        </w:rPr>
        <w:t>’</w:t>
      </w:r>
      <w:r w:rsidRPr="00C819AD">
        <w:rPr>
          <w:lang w:val="fr-FR"/>
        </w:rPr>
        <w:t>engagement de l</w:t>
      </w:r>
      <w:r w:rsidR="00D76C92">
        <w:rPr>
          <w:lang w:val="fr-FR"/>
        </w:rPr>
        <w:t>’</w:t>
      </w:r>
      <w:r w:rsidRPr="00C819AD">
        <w:rPr>
          <w:lang w:val="fr-FR"/>
        </w:rPr>
        <w:t>institut et sa détermination à</w:t>
      </w:r>
      <w:r w:rsidRPr="00C819AD">
        <w:t xml:space="preserve"> fournir des </w:t>
      </w:r>
      <w:r w:rsidRPr="00C819AD">
        <w:rPr>
          <w:lang w:val="fr-FR"/>
        </w:rPr>
        <w:t>services de grande qualité en matière de recherche et d</w:t>
      </w:r>
      <w:r w:rsidR="00D76C92">
        <w:rPr>
          <w:lang w:val="fr-FR"/>
        </w:rPr>
        <w:t>’</w:t>
      </w:r>
      <w:r w:rsidRPr="00C819AD">
        <w:rPr>
          <w:lang w:val="fr-FR"/>
        </w:rPr>
        <w:t>examen étaient plus forts que jama</w:t>
      </w:r>
      <w:r w:rsidR="003008DF" w:rsidRPr="00C819AD">
        <w:rPr>
          <w:lang w:val="fr-FR"/>
        </w:rPr>
        <w:t>is</w:t>
      </w:r>
      <w:r w:rsidR="003008DF">
        <w:rPr>
          <w:lang w:val="fr-FR"/>
        </w:rPr>
        <w:t xml:space="preserve">.  </w:t>
      </w:r>
      <w:r w:rsidR="003008DF" w:rsidRPr="00C819AD">
        <w:rPr>
          <w:lang w:val="fr-FR"/>
        </w:rPr>
        <w:t>La</w:t>
      </w:r>
      <w:r w:rsidRPr="00C819AD">
        <w:rPr>
          <w:lang w:val="fr-FR"/>
        </w:rPr>
        <w:t xml:space="preserve"> délégation souhaitait profiter de cette occasion pour informer les membres de l</w:t>
      </w:r>
      <w:r w:rsidR="00D76C92">
        <w:rPr>
          <w:lang w:val="fr-FR"/>
        </w:rPr>
        <w:t>’</w:t>
      </w:r>
      <w:r w:rsidRPr="00C819AD">
        <w:rPr>
          <w:lang w:val="fr-FR"/>
        </w:rPr>
        <w:t>Union du PCT que l</w:t>
      </w:r>
      <w:r w:rsidR="00D76C92">
        <w:rPr>
          <w:lang w:val="fr-FR"/>
        </w:rPr>
        <w:t>’</w:t>
      </w:r>
      <w:r w:rsidRPr="00C819AD">
        <w:rPr>
          <w:lang w:val="fr-FR"/>
        </w:rPr>
        <w:t>Institut turc des brevets avait déjà conclu des accords bilatéraux en vue de mettre en place une</w:t>
      </w:r>
      <w:r w:rsidRPr="00C819AD">
        <w:t xml:space="preserve"> </w:t>
      </w:r>
      <w:r w:rsidRPr="00C819AD">
        <w:rPr>
          <w:lang w:val="fr-FR"/>
        </w:rPr>
        <w:t>procédure accélérée d</w:t>
      </w:r>
      <w:r w:rsidR="00D76C92">
        <w:rPr>
          <w:lang w:val="fr-FR"/>
        </w:rPr>
        <w:t>’</w:t>
      </w:r>
      <w:r w:rsidRPr="00C819AD">
        <w:rPr>
          <w:lang w:val="fr-FR"/>
        </w:rPr>
        <w:t>examen de demandes de brevet avec les offices de brevets de la Chine, du Japon et de l</w:t>
      </w:r>
      <w:r w:rsidR="00D76C92">
        <w:rPr>
          <w:lang w:val="fr-FR"/>
        </w:rPr>
        <w:t>’</w:t>
      </w:r>
      <w:r w:rsidRPr="00C819AD">
        <w:rPr>
          <w:lang w:val="fr-FR"/>
        </w:rPr>
        <w:t>Espagne, et qu</w:t>
      </w:r>
      <w:r w:rsidR="00D76C92">
        <w:rPr>
          <w:lang w:val="fr-FR"/>
        </w:rPr>
        <w:t>’</w:t>
      </w:r>
      <w:r w:rsidRPr="00C819AD">
        <w:rPr>
          <w:lang w:val="fr-FR"/>
        </w:rPr>
        <w:t>il poursuivait ses négociations avec l</w:t>
      </w:r>
      <w:r w:rsidR="00D76C92">
        <w:rPr>
          <w:lang w:val="fr-FR"/>
        </w:rPr>
        <w:t>’</w:t>
      </w:r>
      <w:r w:rsidRPr="00C819AD">
        <w:rPr>
          <w:lang w:val="fr-FR"/>
        </w:rPr>
        <w:t>office de brevets de la République de Cor</w:t>
      </w:r>
      <w:r w:rsidR="003008DF" w:rsidRPr="00C819AD">
        <w:rPr>
          <w:lang w:val="fr-FR"/>
        </w:rPr>
        <w:t>ée</w:t>
      </w:r>
      <w:r w:rsidR="003008DF">
        <w:rPr>
          <w:lang w:val="fr-FR"/>
        </w:rPr>
        <w:t xml:space="preserve">.  </w:t>
      </w:r>
      <w:r w:rsidR="003008DF" w:rsidRPr="00C819AD">
        <w:rPr>
          <w:lang w:val="fr-FR"/>
        </w:rPr>
        <w:t>El</w:t>
      </w:r>
      <w:r w:rsidRPr="00C819AD">
        <w:rPr>
          <w:lang w:val="fr-FR"/>
        </w:rPr>
        <w:t>le ne doutait pas que l</w:t>
      </w:r>
      <w:r w:rsidR="00D76C92">
        <w:rPr>
          <w:lang w:val="fr-FR"/>
        </w:rPr>
        <w:t>’</w:t>
      </w:r>
      <w:r w:rsidRPr="00C819AD">
        <w:rPr>
          <w:lang w:val="fr-FR"/>
        </w:rPr>
        <w:t>institut profiterait considérablement de sa collaboration avec ces offices et qu</w:t>
      </w:r>
      <w:r w:rsidR="00D76C92">
        <w:rPr>
          <w:lang w:val="fr-FR"/>
        </w:rPr>
        <w:t>’</w:t>
      </w:r>
      <w:r w:rsidRPr="00C819AD">
        <w:rPr>
          <w:lang w:val="fr-FR"/>
        </w:rPr>
        <w:t>il participerait au fonctionnement du système mondial des breve</w:t>
      </w:r>
      <w:r w:rsidR="003008DF" w:rsidRPr="00C819AD">
        <w:rPr>
          <w:lang w:val="fr-FR"/>
        </w:rPr>
        <w:t>ts</w:t>
      </w:r>
      <w:r w:rsidR="003008DF">
        <w:rPr>
          <w:lang w:val="fr-FR"/>
        </w:rPr>
        <w:t xml:space="preserve">.  </w:t>
      </w:r>
      <w:r w:rsidR="003008DF" w:rsidRPr="00C819AD">
        <w:rPr>
          <w:lang w:val="fr-FR"/>
        </w:rPr>
        <w:t>La</w:t>
      </w:r>
      <w:r w:rsidRPr="00C819AD">
        <w:rPr>
          <w:lang w:val="fr-FR"/>
        </w:rPr>
        <w:t xml:space="preserve"> délégation a conclu en disant que, selon elle, la confiance accordée à l</w:t>
      </w:r>
      <w:r w:rsidR="00D76C92">
        <w:rPr>
          <w:lang w:val="fr-FR"/>
        </w:rPr>
        <w:t>’</w:t>
      </w:r>
      <w:r w:rsidRPr="00C819AD">
        <w:rPr>
          <w:lang w:val="fr-FR"/>
        </w:rPr>
        <w:t>Institut turc des brevets en ce jour serait un moteur continu pour améliorer encore ses services, et en remerciant de nouveau les États membres</w:t>
      </w:r>
      <w:r w:rsidRPr="00C819AD">
        <w:t xml:space="preserve"> </w:t>
      </w:r>
      <w:r w:rsidRPr="00C819AD">
        <w:rPr>
          <w:lang w:val="fr-FR"/>
        </w:rPr>
        <w:t>pour leur attitude constructive.</w:t>
      </w:r>
    </w:p>
    <w:p w:rsidR="00C819AD" w:rsidRPr="00C819AD" w:rsidRDefault="00C819AD" w:rsidP="00C819AD">
      <w:pPr>
        <w:pStyle w:val="ONUMFS"/>
        <w:numPr>
          <w:ilvl w:val="0"/>
          <w:numId w:val="6"/>
        </w:numPr>
        <w:rPr>
          <w:lang w:val="fr-FR"/>
        </w:rPr>
      </w:pPr>
      <w:r w:rsidRPr="00C819AD">
        <w:rPr>
          <w:lang w:val="fr-FR"/>
        </w:rPr>
        <w:t>La délégation des États</w:t>
      </w:r>
      <w:r w:rsidR="00E4676F">
        <w:rPr>
          <w:lang w:val="fr-FR"/>
        </w:rPr>
        <w:noBreakHyphen/>
      </w:r>
      <w:r w:rsidRPr="00C819AD">
        <w:rPr>
          <w:lang w:val="fr-FR"/>
        </w:rPr>
        <w:t>Unis d</w:t>
      </w:r>
      <w:r w:rsidR="00D76C92">
        <w:rPr>
          <w:lang w:val="fr-FR"/>
        </w:rPr>
        <w:t>’</w:t>
      </w:r>
      <w:r w:rsidRPr="00C819AD">
        <w:rPr>
          <w:lang w:val="fr-FR"/>
        </w:rPr>
        <w:t>Amérique a salué la nomination de l</w:t>
      </w:r>
      <w:r w:rsidR="00D76C92">
        <w:rPr>
          <w:lang w:val="fr-FR"/>
        </w:rPr>
        <w:t>’</w:t>
      </w:r>
      <w:r w:rsidRPr="00C819AD">
        <w:rPr>
          <w:lang w:val="fr-FR"/>
        </w:rPr>
        <w:t>Institut turc des brevets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 et félicité l</w:t>
      </w:r>
      <w:r w:rsidR="00D76C92">
        <w:rPr>
          <w:lang w:val="fr-FR"/>
        </w:rPr>
        <w:t>’</w:t>
      </w:r>
      <w:r w:rsidRPr="00C819AD">
        <w:rPr>
          <w:lang w:val="fr-FR"/>
        </w:rPr>
        <w:t>institut pour ce succès.</w:t>
      </w:r>
    </w:p>
    <w:p w:rsidR="00C819AD" w:rsidRPr="00C819AD" w:rsidRDefault="00C819AD" w:rsidP="00C819AD">
      <w:pPr>
        <w:pStyle w:val="ONUMFS"/>
        <w:numPr>
          <w:ilvl w:val="0"/>
          <w:numId w:val="6"/>
        </w:numPr>
        <w:rPr>
          <w:lang w:val="fr-FR"/>
        </w:rPr>
      </w:pPr>
      <w:r w:rsidRPr="00C819AD">
        <w:rPr>
          <w:lang w:val="fr-FR"/>
        </w:rPr>
        <w:t>La délégation de la Suède a félicité l</w:t>
      </w:r>
      <w:r w:rsidR="00D76C92">
        <w:rPr>
          <w:lang w:val="fr-FR"/>
        </w:rPr>
        <w:t>’</w:t>
      </w:r>
      <w:r w:rsidRPr="00C819AD">
        <w:rPr>
          <w:lang w:val="fr-FR"/>
        </w:rPr>
        <w:t>Institut turc des brevets pour sa nomination en qualité d</w:t>
      </w:r>
      <w:r w:rsidR="00D76C92">
        <w:rPr>
          <w:lang w:val="fr-FR"/>
        </w:rPr>
        <w:t>’</w:t>
      </w:r>
      <w:r w:rsidRPr="00C819AD">
        <w:rPr>
          <w:lang w:val="fr-FR"/>
        </w:rPr>
        <w:t>administration chargée de la recherche internationale et de l</w:t>
      </w:r>
      <w:r w:rsidR="00D76C92">
        <w:rPr>
          <w:lang w:val="fr-FR"/>
        </w:rPr>
        <w:t>’</w:t>
      </w:r>
      <w:r w:rsidRPr="00C819AD">
        <w:rPr>
          <w:lang w:val="fr-FR"/>
        </w:rPr>
        <w:t>examen préliminaire international selon le PCT.  L</w:t>
      </w:r>
      <w:r w:rsidR="00D76C92">
        <w:rPr>
          <w:lang w:val="fr-FR"/>
        </w:rPr>
        <w:t>’</w:t>
      </w:r>
      <w:r w:rsidRPr="00C819AD">
        <w:rPr>
          <w:lang w:val="fr-FR"/>
        </w:rPr>
        <w:t>Office suédois des brevets et de l</w:t>
      </w:r>
      <w:r w:rsidR="00D76C92">
        <w:rPr>
          <w:lang w:val="fr-FR"/>
        </w:rPr>
        <w:t>’</w:t>
      </w:r>
      <w:r w:rsidRPr="00C819AD">
        <w:rPr>
          <w:lang w:val="fr-FR"/>
        </w:rPr>
        <w:t>enregistrement maintenait une collaboration fructueuse avec l</w:t>
      </w:r>
      <w:r w:rsidR="00D76C92">
        <w:rPr>
          <w:lang w:val="fr-FR"/>
        </w:rPr>
        <w:t>’</w:t>
      </w:r>
      <w:r w:rsidRPr="00C819AD">
        <w:rPr>
          <w:lang w:val="fr-FR"/>
        </w:rPr>
        <w:t>institut depuis près de 20 ans, et il attendait avec intérêt et impatience de poursuivre cette coopération dans le cadre des administrations internationales du PCT.</w:t>
      </w:r>
    </w:p>
    <w:p w:rsidR="00C819AD" w:rsidRPr="00C819AD" w:rsidRDefault="00C819AD" w:rsidP="00C819AD">
      <w:pPr>
        <w:pStyle w:val="ONUMFS"/>
        <w:numPr>
          <w:ilvl w:val="0"/>
          <w:numId w:val="6"/>
        </w:numPr>
        <w:rPr>
          <w:lang w:val="fr-FR"/>
        </w:rPr>
      </w:pPr>
      <w:r w:rsidRPr="00C819AD">
        <w:rPr>
          <w:lang w:val="fr-FR"/>
        </w:rPr>
        <w:t>La délégation de la Roumanie s</w:t>
      </w:r>
      <w:r w:rsidR="00D76C92">
        <w:rPr>
          <w:lang w:val="fr-FR"/>
        </w:rPr>
        <w:t>’</w:t>
      </w:r>
      <w:r w:rsidRPr="00C819AD">
        <w:rPr>
          <w:lang w:val="fr-FR"/>
        </w:rPr>
        <w:t>est associée aux délégations des États</w:t>
      </w:r>
      <w:r w:rsidR="00E4676F">
        <w:rPr>
          <w:lang w:val="fr-FR"/>
        </w:rPr>
        <w:noBreakHyphen/>
      </w:r>
      <w:r w:rsidRPr="00C819AD">
        <w:rPr>
          <w:lang w:val="fr-FR"/>
        </w:rPr>
        <w:t>Unis d</w:t>
      </w:r>
      <w:r w:rsidR="00D76C92">
        <w:rPr>
          <w:lang w:val="fr-FR"/>
        </w:rPr>
        <w:t>’</w:t>
      </w:r>
      <w:r w:rsidRPr="00C819AD">
        <w:rPr>
          <w:lang w:val="fr-FR"/>
        </w:rPr>
        <w:t>Amérique et de la Suède pour féliciter l</w:t>
      </w:r>
      <w:r w:rsidR="00D76C92">
        <w:rPr>
          <w:lang w:val="fr-FR"/>
        </w:rPr>
        <w:t>’</w:t>
      </w:r>
      <w:r w:rsidRPr="00C819AD">
        <w:rPr>
          <w:lang w:val="fr-FR"/>
        </w:rPr>
        <w:t>Institut turc des brevets de sa nomination en qualité d</w:t>
      </w:r>
      <w:r w:rsidR="00D76C92">
        <w:rPr>
          <w:lang w:val="fr-FR"/>
        </w:rPr>
        <w:t>’</w:t>
      </w:r>
      <w:r w:rsidRPr="00C819AD">
        <w:rPr>
          <w:lang w:val="fr-FR"/>
        </w:rPr>
        <w:t>administration internationale.</w:t>
      </w:r>
    </w:p>
    <w:p w:rsidR="00C819AD" w:rsidRPr="00C819AD" w:rsidRDefault="00E4676F" w:rsidP="004C71F5">
      <w:pPr>
        <w:pStyle w:val="Heading1"/>
        <w:rPr>
          <w:lang w:val="fr-FR"/>
        </w:rPr>
      </w:pPr>
      <w:r>
        <w:rPr>
          <w:lang w:val="fr-FR"/>
        </w:rPr>
        <w:lastRenderedPageBreak/>
        <w:t xml:space="preserve">Système </w:t>
      </w:r>
      <w:proofErr w:type="spellStart"/>
      <w:r w:rsidR="00C819AD" w:rsidRPr="00E4676F">
        <w:rPr>
          <w:caps w:val="0"/>
          <w:lang w:val="fr-FR"/>
        </w:rPr>
        <w:t>e</w:t>
      </w:r>
      <w:r w:rsidR="00C819AD" w:rsidRPr="00C819AD">
        <w:rPr>
          <w:lang w:val="fr-FR"/>
        </w:rPr>
        <w:t>PCT</w:t>
      </w:r>
      <w:proofErr w:type="spellEnd"/>
    </w:p>
    <w:p w:rsidR="00C819AD" w:rsidRPr="00C819AD" w:rsidRDefault="00C819AD" w:rsidP="00AE6C72">
      <w:pPr>
        <w:rPr>
          <w:lang w:val="fr-FR"/>
        </w:rPr>
      </w:pPr>
    </w:p>
    <w:p w:rsidR="00C819AD" w:rsidRPr="00C819AD" w:rsidRDefault="00C819AD" w:rsidP="00C819AD">
      <w:pPr>
        <w:pStyle w:val="ONUMFS"/>
        <w:numPr>
          <w:ilvl w:val="0"/>
          <w:numId w:val="6"/>
        </w:numPr>
        <w:rPr>
          <w:lang w:val="fr-FR"/>
        </w:rPr>
      </w:pPr>
      <w:r w:rsidRPr="00C819AD">
        <w:rPr>
          <w:lang w:val="fr-FR"/>
        </w:rPr>
        <w:t>Le Directeur général de l</w:t>
      </w:r>
      <w:r w:rsidR="00D76C92">
        <w:rPr>
          <w:lang w:val="fr-FR"/>
        </w:rPr>
        <w:t>’</w:t>
      </w:r>
      <w:r w:rsidRPr="00C819AD">
        <w:rPr>
          <w:lang w:val="fr-FR"/>
        </w:rPr>
        <w:t>OMPI, M. Francis Gurry, a présenté une courte vidéo expliquant la</w:t>
      </w:r>
      <w:r w:rsidRPr="00C819AD">
        <w:t xml:space="preserve"> </w:t>
      </w:r>
      <w:r w:rsidRPr="00C819AD">
        <w:rPr>
          <w:lang w:val="fr-FR"/>
        </w:rPr>
        <w:t>nouvelle interface du système ePCT, qui serait lancée au début de 2017.  La nouvelle interface constituait une amélioration notable à l</w:t>
      </w:r>
      <w:r w:rsidR="00D76C92">
        <w:rPr>
          <w:lang w:val="fr-FR"/>
        </w:rPr>
        <w:t>’</w:t>
      </w:r>
      <w:r w:rsidRPr="00C819AD">
        <w:rPr>
          <w:lang w:val="fr-FR"/>
        </w:rPr>
        <w:t>environnement du système ePCT et au système du PCT, offrant aux utilisateurs une interface plus pratique et accessible;  une période de transition vers la nouvelle version serait prévue.</w:t>
      </w:r>
    </w:p>
    <w:p w:rsidR="00C819AD" w:rsidRPr="00C819AD" w:rsidRDefault="00C819AD" w:rsidP="00AE6C72">
      <w:pPr>
        <w:rPr>
          <w:lang w:val="fr-FR"/>
        </w:rPr>
      </w:pPr>
    </w:p>
    <w:p w:rsidR="00C819AD" w:rsidRPr="00C819AD" w:rsidRDefault="00C819AD" w:rsidP="00AE6C72">
      <w:pPr>
        <w:rPr>
          <w:lang w:val="fr-FR"/>
        </w:rPr>
      </w:pPr>
    </w:p>
    <w:p w:rsidR="00C819AD" w:rsidRPr="00C819AD" w:rsidRDefault="00C819AD">
      <w:pPr>
        <w:pStyle w:val="Endofdocument-Annex"/>
        <w:rPr>
          <w:lang w:val="fr-FR"/>
        </w:rPr>
      </w:pPr>
      <w:r w:rsidRPr="00C819AD">
        <w:rPr>
          <w:lang w:val="fr-FR"/>
        </w:rPr>
        <w:t>[L</w:t>
      </w:r>
      <w:r w:rsidR="00D76C92">
        <w:rPr>
          <w:lang w:val="fr-FR"/>
        </w:rPr>
        <w:t>’</w:t>
      </w:r>
      <w:r w:rsidRPr="00C819AD">
        <w:rPr>
          <w:lang w:val="fr-FR"/>
        </w:rPr>
        <w:t>annexe I suit]</w:t>
      </w:r>
    </w:p>
    <w:p w:rsidR="00C819AD" w:rsidRPr="00C819AD" w:rsidRDefault="00C819AD" w:rsidP="00AE6C72">
      <w:pPr>
        <w:rPr>
          <w:lang w:val="fr-FR"/>
        </w:rPr>
      </w:pPr>
    </w:p>
    <w:p w:rsidR="00C819AD" w:rsidRPr="00C819AD" w:rsidRDefault="00C819AD" w:rsidP="00AE6C72">
      <w:pPr>
        <w:rPr>
          <w:lang w:val="fr-FR"/>
        </w:rPr>
        <w:sectPr w:rsidR="00C819AD" w:rsidRPr="00C819AD" w:rsidSect="00FD3FC1">
          <w:headerReference w:type="default" r:id="rId10"/>
          <w:endnotePr>
            <w:numFmt w:val="decimal"/>
          </w:endnotePr>
          <w:pgSz w:w="11907" w:h="16840" w:code="9"/>
          <w:pgMar w:top="567" w:right="1134" w:bottom="1418" w:left="1418" w:header="510" w:footer="1021" w:gutter="0"/>
          <w:cols w:space="720"/>
          <w:titlePg/>
          <w:docGrid w:linePitch="299"/>
        </w:sectPr>
      </w:pPr>
    </w:p>
    <w:p w:rsidR="00C819AD" w:rsidRPr="00C819AD" w:rsidRDefault="00C819AD" w:rsidP="004C71F5">
      <w:pPr>
        <w:jc w:val="center"/>
        <w:rPr>
          <w:lang w:val="fr-FR"/>
        </w:rPr>
      </w:pPr>
      <w:r w:rsidRPr="00C819AD">
        <w:rPr>
          <w:lang w:val="fr-FR"/>
        </w:rPr>
        <w:lastRenderedPageBreak/>
        <w:t>MODIFICATIONS DU RÈGLEMENT D</w:t>
      </w:r>
      <w:r w:rsidR="00D76C92">
        <w:rPr>
          <w:lang w:val="fr-FR"/>
        </w:rPr>
        <w:t>’</w:t>
      </w:r>
      <w:r w:rsidRPr="00C819AD">
        <w:rPr>
          <w:lang w:val="fr-FR"/>
        </w:rPr>
        <w:t>EXÉCUTION DU PCT</w:t>
      </w:r>
      <w:r w:rsidRPr="00C819AD">
        <w:rPr>
          <w:lang w:val="fr-FR"/>
        </w:rPr>
        <w:br/>
        <w:t>DONT L</w:t>
      </w:r>
      <w:r w:rsidR="00D76C92">
        <w:rPr>
          <w:lang w:val="fr-FR"/>
        </w:rPr>
        <w:t>’</w:t>
      </w:r>
      <w:r w:rsidRPr="00C819AD">
        <w:rPr>
          <w:lang w:val="fr-FR"/>
        </w:rPr>
        <w:t>ENTRÉE EN VIGUEUR EST FIXÉE AU 1</w:t>
      </w:r>
      <w:r w:rsidRPr="00C819AD">
        <w:rPr>
          <w:vertAlign w:val="superscript"/>
          <w:lang w:val="fr-FR"/>
        </w:rPr>
        <w:t>ER</w:t>
      </w:r>
      <w:r w:rsidRPr="00C819AD">
        <w:rPr>
          <w:lang w:val="fr-FR"/>
        </w:rPr>
        <w:t> JUILLET 2017</w:t>
      </w:r>
    </w:p>
    <w:p w:rsidR="00C819AD" w:rsidRPr="00C819AD" w:rsidRDefault="00C819AD" w:rsidP="00FA3BBE">
      <w:pPr>
        <w:rPr>
          <w:lang w:val="fr-FR"/>
        </w:rPr>
      </w:pPr>
    </w:p>
    <w:p w:rsidR="00C819AD" w:rsidRPr="00C819AD" w:rsidRDefault="00C819AD" w:rsidP="00FA3BBE">
      <w:pPr>
        <w:rPr>
          <w:lang w:val="fr-FR"/>
        </w:rPr>
      </w:pPr>
    </w:p>
    <w:p w:rsidR="00C819AD" w:rsidRPr="00C819AD" w:rsidRDefault="00C819AD" w:rsidP="004C71F5">
      <w:pPr>
        <w:jc w:val="center"/>
        <w:rPr>
          <w:lang w:val="fr-FR"/>
        </w:rPr>
      </w:pPr>
      <w:r w:rsidRPr="00C819AD">
        <w:rPr>
          <w:lang w:val="fr-FR"/>
        </w:rPr>
        <w:t>TABLE DES MATIÈRES</w:t>
      </w:r>
    </w:p>
    <w:p w:rsidR="00C819AD" w:rsidRPr="00C819AD" w:rsidRDefault="00C819AD" w:rsidP="00FA3BBE">
      <w:pPr>
        <w:rPr>
          <w:lang w:val="fr-FR"/>
        </w:rPr>
      </w:pPr>
    </w:p>
    <w:p w:rsidR="00C819AD" w:rsidRPr="00C819AD" w:rsidRDefault="00C819AD" w:rsidP="00FA3BBE">
      <w:pPr>
        <w:rPr>
          <w:lang w:val="fr-FR"/>
        </w:rPr>
      </w:pPr>
    </w:p>
    <w:p w:rsidR="00C819AD" w:rsidRPr="00C819AD" w:rsidRDefault="00C819AD" w:rsidP="00FA3BBE">
      <w:pPr>
        <w:rPr>
          <w:lang w:val="fr-FR"/>
        </w:rPr>
      </w:pPr>
    </w:p>
    <w:p w:rsidR="00E4676F" w:rsidRDefault="00C819AD">
      <w:pPr>
        <w:pStyle w:val="TOC1"/>
        <w:rPr>
          <w:rFonts w:asciiTheme="minorHAnsi" w:eastAsiaTheme="minorEastAsia" w:hAnsiTheme="minorHAnsi" w:cstheme="minorBidi"/>
          <w:noProof/>
          <w:szCs w:val="22"/>
          <w:lang w:val="fr-FR" w:eastAsia="fr-FR"/>
        </w:rPr>
      </w:pPr>
      <w:r w:rsidRPr="00C819AD">
        <w:rPr>
          <w:lang w:val="fr-FR"/>
        </w:rPr>
        <w:fldChar w:fldCharType="begin"/>
      </w:r>
      <w:r w:rsidRPr="00C819AD">
        <w:rPr>
          <w:lang w:val="fr-FR"/>
        </w:rPr>
        <w:instrText xml:space="preserve"> TOC \h \z \t "Leg # Title;1;Leg SubRule #;2" </w:instrText>
      </w:r>
      <w:r w:rsidRPr="00C819AD">
        <w:rPr>
          <w:lang w:val="fr-FR"/>
        </w:rPr>
        <w:fldChar w:fldCharType="separate"/>
      </w:r>
      <w:hyperlink w:anchor="_Toc465059231" w:history="1">
        <w:r w:rsidR="00E4676F" w:rsidRPr="00441E0E">
          <w:rPr>
            <w:rStyle w:val="Hyperlink"/>
            <w:noProof/>
            <w:lang w:val="fr-FR"/>
          </w:rPr>
          <w:t>Règle 4  Requête (contenu)</w:t>
        </w:r>
        <w:r w:rsidR="00E4676F">
          <w:rPr>
            <w:noProof/>
            <w:webHidden/>
          </w:rPr>
          <w:tab/>
        </w:r>
        <w:r w:rsidR="00E4676F">
          <w:rPr>
            <w:noProof/>
            <w:webHidden/>
          </w:rPr>
          <w:fldChar w:fldCharType="begin"/>
        </w:r>
        <w:r w:rsidR="00E4676F">
          <w:rPr>
            <w:noProof/>
            <w:webHidden/>
          </w:rPr>
          <w:instrText xml:space="preserve"> PAGEREF _Toc465059231 \h </w:instrText>
        </w:r>
        <w:r w:rsidR="00E4676F">
          <w:rPr>
            <w:noProof/>
            <w:webHidden/>
          </w:rPr>
        </w:r>
        <w:r w:rsidR="00E4676F">
          <w:rPr>
            <w:noProof/>
            <w:webHidden/>
          </w:rPr>
          <w:fldChar w:fldCharType="separate"/>
        </w:r>
        <w:r w:rsidR="000F087F">
          <w:rPr>
            <w:noProof/>
            <w:webHidden/>
          </w:rPr>
          <w:t>2</w:t>
        </w:r>
        <w:r w:rsidR="00E4676F">
          <w:rPr>
            <w:noProof/>
            <w:webHidden/>
          </w:rPr>
          <w:fldChar w:fldCharType="end"/>
        </w:r>
      </w:hyperlink>
    </w:p>
    <w:p w:rsidR="00E4676F" w:rsidRDefault="000F087F">
      <w:pPr>
        <w:pStyle w:val="TOC2"/>
        <w:tabs>
          <w:tab w:val="right" w:leader="dot" w:pos="9345"/>
        </w:tabs>
        <w:rPr>
          <w:rFonts w:asciiTheme="minorHAnsi" w:eastAsiaTheme="minorEastAsia" w:hAnsiTheme="minorHAnsi" w:cstheme="minorBidi"/>
          <w:noProof/>
          <w:szCs w:val="22"/>
          <w:lang w:val="fr-FR" w:eastAsia="fr-FR"/>
        </w:rPr>
      </w:pPr>
      <w:hyperlink w:anchor="_Toc465059232" w:history="1">
        <w:r w:rsidR="00E4676F" w:rsidRPr="00441E0E">
          <w:rPr>
            <w:rStyle w:val="Hyperlink"/>
            <w:noProof/>
            <w:lang w:val="fr-FR"/>
          </w:rPr>
          <w:t>4.1 à 4.9   </w:t>
        </w:r>
        <w:r w:rsidR="00E4676F" w:rsidRPr="00441E0E">
          <w:rPr>
            <w:rStyle w:val="Hyperlink"/>
            <w:i/>
            <w:noProof/>
            <w:lang w:val="fr-FR"/>
          </w:rPr>
          <w:t>[Sans changement]</w:t>
        </w:r>
        <w:r w:rsidR="00E4676F">
          <w:rPr>
            <w:noProof/>
            <w:webHidden/>
          </w:rPr>
          <w:tab/>
        </w:r>
        <w:r w:rsidR="00E4676F">
          <w:rPr>
            <w:noProof/>
            <w:webHidden/>
          </w:rPr>
          <w:fldChar w:fldCharType="begin"/>
        </w:r>
        <w:r w:rsidR="00E4676F">
          <w:rPr>
            <w:noProof/>
            <w:webHidden/>
          </w:rPr>
          <w:instrText xml:space="preserve"> PAGEREF _Toc465059232 \h </w:instrText>
        </w:r>
        <w:r w:rsidR="00E4676F">
          <w:rPr>
            <w:noProof/>
            <w:webHidden/>
          </w:rPr>
        </w:r>
        <w:r w:rsidR="00E4676F">
          <w:rPr>
            <w:noProof/>
            <w:webHidden/>
          </w:rPr>
          <w:fldChar w:fldCharType="separate"/>
        </w:r>
        <w:r>
          <w:rPr>
            <w:noProof/>
            <w:webHidden/>
          </w:rPr>
          <w:t>2</w:t>
        </w:r>
        <w:r w:rsidR="00E4676F">
          <w:rPr>
            <w:noProof/>
            <w:webHidden/>
          </w:rPr>
          <w:fldChar w:fldCharType="end"/>
        </w:r>
      </w:hyperlink>
    </w:p>
    <w:p w:rsidR="00E4676F" w:rsidRDefault="000F087F">
      <w:pPr>
        <w:pStyle w:val="TOC2"/>
        <w:tabs>
          <w:tab w:val="right" w:leader="dot" w:pos="9345"/>
        </w:tabs>
        <w:rPr>
          <w:rFonts w:asciiTheme="minorHAnsi" w:eastAsiaTheme="minorEastAsia" w:hAnsiTheme="minorHAnsi" w:cstheme="minorBidi"/>
          <w:noProof/>
          <w:szCs w:val="22"/>
          <w:lang w:val="fr-FR" w:eastAsia="fr-FR"/>
        </w:rPr>
      </w:pPr>
      <w:hyperlink w:anchor="_Toc465059233" w:history="1">
        <w:r w:rsidR="00E4676F" w:rsidRPr="00441E0E">
          <w:rPr>
            <w:rStyle w:val="Hyperlink"/>
            <w:iCs/>
            <w:noProof/>
            <w:lang w:val="fr-FR"/>
          </w:rPr>
          <w:t>4.10   </w:t>
        </w:r>
        <w:r w:rsidR="00E4676F" w:rsidRPr="00441E0E">
          <w:rPr>
            <w:rStyle w:val="Hyperlink"/>
            <w:i/>
            <w:iCs/>
            <w:noProof/>
            <w:lang w:val="fr-FR"/>
          </w:rPr>
          <w:t>Revendication de priorité</w:t>
        </w:r>
        <w:r w:rsidR="00E4676F">
          <w:rPr>
            <w:noProof/>
            <w:webHidden/>
          </w:rPr>
          <w:tab/>
        </w:r>
        <w:r w:rsidR="00E4676F">
          <w:rPr>
            <w:noProof/>
            <w:webHidden/>
          </w:rPr>
          <w:fldChar w:fldCharType="begin"/>
        </w:r>
        <w:r w:rsidR="00E4676F">
          <w:rPr>
            <w:noProof/>
            <w:webHidden/>
          </w:rPr>
          <w:instrText xml:space="preserve"> PAGEREF _Toc465059233 \h </w:instrText>
        </w:r>
        <w:r w:rsidR="00E4676F">
          <w:rPr>
            <w:noProof/>
            <w:webHidden/>
          </w:rPr>
        </w:r>
        <w:r w:rsidR="00E4676F">
          <w:rPr>
            <w:noProof/>
            <w:webHidden/>
          </w:rPr>
          <w:fldChar w:fldCharType="separate"/>
        </w:r>
        <w:r>
          <w:rPr>
            <w:noProof/>
            <w:webHidden/>
          </w:rPr>
          <w:t>2</w:t>
        </w:r>
        <w:r w:rsidR="00E4676F">
          <w:rPr>
            <w:noProof/>
            <w:webHidden/>
          </w:rPr>
          <w:fldChar w:fldCharType="end"/>
        </w:r>
      </w:hyperlink>
    </w:p>
    <w:p w:rsidR="00E4676F" w:rsidRDefault="000F087F">
      <w:pPr>
        <w:pStyle w:val="TOC2"/>
        <w:tabs>
          <w:tab w:val="right" w:leader="dot" w:pos="9345"/>
        </w:tabs>
        <w:rPr>
          <w:rFonts w:asciiTheme="minorHAnsi" w:eastAsiaTheme="minorEastAsia" w:hAnsiTheme="minorHAnsi" w:cstheme="minorBidi"/>
          <w:noProof/>
          <w:szCs w:val="22"/>
          <w:lang w:val="fr-FR" w:eastAsia="fr-FR"/>
        </w:rPr>
      </w:pPr>
      <w:hyperlink w:anchor="_Toc465059234" w:history="1">
        <w:r w:rsidR="00E4676F" w:rsidRPr="00441E0E">
          <w:rPr>
            <w:rStyle w:val="Hyperlink"/>
            <w:noProof/>
            <w:lang w:val="fr-FR"/>
          </w:rPr>
          <w:t>4.11 à 4.19   </w:t>
        </w:r>
        <w:r w:rsidR="00E4676F" w:rsidRPr="00441E0E">
          <w:rPr>
            <w:rStyle w:val="Hyperlink"/>
            <w:i/>
            <w:noProof/>
            <w:lang w:val="fr-FR"/>
          </w:rPr>
          <w:t>[Sans changement]</w:t>
        </w:r>
        <w:r w:rsidR="00E4676F">
          <w:rPr>
            <w:noProof/>
            <w:webHidden/>
          </w:rPr>
          <w:tab/>
        </w:r>
        <w:r w:rsidR="00E4676F">
          <w:rPr>
            <w:noProof/>
            <w:webHidden/>
          </w:rPr>
          <w:fldChar w:fldCharType="begin"/>
        </w:r>
        <w:r w:rsidR="00E4676F">
          <w:rPr>
            <w:noProof/>
            <w:webHidden/>
          </w:rPr>
          <w:instrText xml:space="preserve"> PAGEREF _Toc465059234 \h </w:instrText>
        </w:r>
        <w:r w:rsidR="00E4676F">
          <w:rPr>
            <w:noProof/>
            <w:webHidden/>
          </w:rPr>
        </w:r>
        <w:r w:rsidR="00E4676F">
          <w:rPr>
            <w:noProof/>
            <w:webHidden/>
          </w:rPr>
          <w:fldChar w:fldCharType="separate"/>
        </w:r>
        <w:r>
          <w:rPr>
            <w:noProof/>
            <w:webHidden/>
          </w:rPr>
          <w:t>2</w:t>
        </w:r>
        <w:r w:rsidR="00E4676F">
          <w:rPr>
            <w:noProof/>
            <w:webHidden/>
          </w:rPr>
          <w:fldChar w:fldCharType="end"/>
        </w:r>
      </w:hyperlink>
    </w:p>
    <w:p w:rsidR="00E4676F" w:rsidRDefault="000F087F">
      <w:pPr>
        <w:pStyle w:val="TOC1"/>
        <w:rPr>
          <w:rFonts w:asciiTheme="minorHAnsi" w:eastAsiaTheme="minorEastAsia" w:hAnsiTheme="minorHAnsi" w:cstheme="minorBidi"/>
          <w:noProof/>
          <w:szCs w:val="22"/>
          <w:lang w:val="fr-FR" w:eastAsia="fr-FR"/>
        </w:rPr>
      </w:pPr>
      <w:hyperlink w:anchor="_Toc465059235" w:history="1">
        <w:r w:rsidR="00E4676F" w:rsidRPr="00441E0E">
          <w:rPr>
            <w:rStyle w:val="Hyperlink"/>
            <w:noProof/>
            <w:lang w:val="fr-FR"/>
          </w:rPr>
          <w:t>Règle 23</w:t>
        </w:r>
        <w:r w:rsidR="00E4676F" w:rsidRPr="00441E0E">
          <w:rPr>
            <w:rStyle w:val="Hyperlink"/>
            <w:i/>
            <w:noProof/>
            <w:lang w:val="fr-FR"/>
          </w:rPr>
          <w:t xml:space="preserve">bis  </w:t>
        </w:r>
        <w:r w:rsidR="00E4676F" w:rsidRPr="00441E0E">
          <w:rPr>
            <w:rStyle w:val="Hyperlink"/>
            <w:noProof/>
            <w:lang w:val="fr-FR"/>
          </w:rPr>
          <w:t>Transmission de documents relatifs à une recherche ou un classement antérieurs</w:t>
        </w:r>
        <w:r w:rsidR="00E4676F">
          <w:rPr>
            <w:noProof/>
            <w:webHidden/>
          </w:rPr>
          <w:tab/>
        </w:r>
        <w:r w:rsidR="00E4676F">
          <w:rPr>
            <w:noProof/>
            <w:webHidden/>
          </w:rPr>
          <w:fldChar w:fldCharType="begin"/>
        </w:r>
        <w:r w:rsidR="00E4676F">
          <w:rPr>
            <w:noProof/>
            <w:webHidden/>
          </w:rPr>
          <w:instrText xml:space="preserve"> PAGEREF _Toc465059235 \h </w:instrText>
        </w:r>
        <w:r w:rsidR="00E4676F">
          <w:rPr>
            <w:noProof/>
            <w:webHidden/>
          </w:rPr>
        </w:r>
        <w:r w:rsidR="00E4676F">
          <w:rPr>
            <w:noProof/>
            <w:webHidden/>
          </w:rPr>
          <w:fldChar w:fldCharType="separate"/>
        </w:r>
        <w:r>
          <w:rPr>
            <w:noProof/>
            <w:webHidden/>
          </w:rPr>
          <w:t>3</w:t>
        </w:r>
        <w:r w:rsidR="00E4676F">
          <w:rPr>
            <w:noProof/>
            <w:webHidden/>
          </w:rPr>
          <w:fldChar w:fldCharType="end"/>
        </w:r>
      </w:hyperlink>
    </w:p>
    <w:p w:rsidR="00E4676F" w:rsidRDefault="000F087F">
      <w:pPr>
        <w:pStyle w:val="TOC2"/>
        <w:tabs>
          <w:tab w:val="right" w:leader="dot" w:pos="9345"/>
        </w:tabs>
        <w:rPr>
          <w:rFonts w:asciiTheme="minorHAnsi" w:eastAsiaTheme="minorEastAsia" w:hAnsiTheme="minorHAnsi" w:cstheme="minorBidi"/>
          <w:noProof/>
          <w:szCs w:val="22"/>
          <w:lang w:val="fr-FR" w:eastAsia="fr-FR"/>
        </w:rPr>
      </w:pPr>
      <w:hyperlink w:anchor="_Toc465059236" w:history="1">
        <w:r w:rsidR="00E4676F" w:rsidRPr="00441E0E">
          <w:rPr>
            <w:rStyle w:val="Hyperlink"/>
            <w:noProof/>
            <w:lang w:val="fr-FR"/>
          </w:rPr>
          <w:t>23</w:t>
        </w:r>
        <w:r w:rsidR="00E4676F" w:rsidRPr="00441E0E">
          <w:rPr>
            <w:rStyle w:val="Hyperlink"/>
            <w:i/>
            <w:noProof/>
            <w:lang w:val="fr-FR"/>
          </w:rPr>
          <w:t>bis.</w:t>
        </w:r>
        <w:r w:rsidR="00E4676F" w:rsidRPr="00441E0E">
          <w:rPr>
            <w:rStyle w:val="Hyperlink"/>
            <w:noProof/>
            <w:lang w:val="fr-FR"/>
          </w:rPr>
          <w:t>1   </w:t>
        </w:r>
        <w:r w:rsidR="00E4676F" w:rsidRPr="00441E0E">
          <w:rPr>
            <w:rStyle w:val="Hyperlink"/>
            <w:i/>
            <w:noProof/>
            <w:lang w:val="fr-FR"/>
          </w:rPr>
          <w:t>[Sans changement]</w:t>
        </w:r>
        <w:r w:rsidR="00E4676F">
          <w:rPr>
            <w:noProof/>
            <w:webHidden/>
          </w:rPr>
          <w:tab/>
        </w:r>
        <w:r w:rsidR="00E4676F">
          <w:rPr>
            <w:noProof/>
            <w:webHidden/>
          </w:rPr>
          <w:fldChar w:fldCharType="begin"/>
        </w:r>
        <w:r w:rsidR="00E4676F">
          <w:rPr>
            <w:noProof/>
            <w:webHidden/>
          </w:rPr>
          <w:instrText xml:space="preserve"> PAGEREF _Toc465059236 \h </w:instrText>
        </w:r>
        <w:r w:rsidR="00E4676F">
          <w:rPr>
            <w:noProof/>
            <w:webHidden/>
          </w:rPr>
        </w:r>
        <w:r w:rsidR="00E4676F">
          <w:rPr>
            <w:noProof/>
            <w:webHidden/>
          </w:rPr>
          <w:fldChar w:fldCharType="separate"/>
        </w:r>
        <w:r>
          <w:rPr>
            <w:noProof/>
            <w:webHidden/>
          </w:rPr>
          <w:t>3</w:t>
        </w:r>
        <w:r w:rsidR="00E4676F">
          <w:rPr>
            <w:noProof/>
            <w:webHidden/>
          </w:rPr>
          <w:fldChar w:fldCharType="end"/>
        </w:r>
      </w:hyperlink>
    </w:p>
    <w:p w:rsidR="00E4676F" w:rsidRDefault="000F087F">
      <w:pPr>
        <w:pStyle w:val="TOC2"/>
        <w:tabs>
          <w:tab w:val="right" w:leader="dot" w:pos="9345"/>
        </w:tabs>
        <w:rPr>
          <w:rFonts w:asciiTheme="minorHAnsi" w:eastAsiaTheme="minorEastAsia" w:hAnsiTheme="minorHAnsi" w:cstheme="minorBidi"/>
          <w:noProof/>
          <w:szCs w:val="22"/>
          <w:lang w:val="fr-FR" w:eastAsia="fr-FR"/>
        </w:rPr>
      </w:pPr>
      <w:hyperlink w:anchor="_Toc465059237" w:history="1">
        <w:r w:rsidR="00E4676F" w:rsidRPr="00441E0E">
          <w:rPr>
            <w:rStyle w:val="Hyperlink"/>
            <w:noProof/>
            <w:lang w:val="fr-FR"/>
          </w:rPr>
          <w:t>23</w:t>
        </w:r>
        <w:r w:rsidR="00E4676F" w:rsidRPr="00441E0E">
          <w:rPr>
            <w:rStyle w:val="Hyperlink"/>
            <w:i/>
            <w:noProof/>
            <w:lang w:val="fr-FR"/>
          </w:rPr>
          <w:t>bis</w:t>
        </w:r>
        <w:r w:rsidR="00E4676F" w:rsidRPr="00441E0E">
          <w:rPr>
            <w:rStyle w:val="Hyperlink"/>
            <w:noProof/>
            <w:lang w:val="fr-FR"/>
          </w:rPr>
          <w:t>.2   </w:t>
        </w:r>
        <w:r w:rsidR="00E4676F" w:rsidRPr="00441E0E">
          <w:rPr>
            <w:rStyle w:val="Hyperlink"/>
            <w:i/>
            <w:noProof/>
            <w:lang w:val="fr-FR"/>
          </w:rPr>
          <w:t>Transmission de documents relatifs à une recherche ou un classement antérieurs aux fins de la règle 41.2</w:t>
        </w:r>
        <w:r w:rsidR="00E4676F">
          <w:rPr>
            <w:noProof/>
            <w:webHidden/>
          </w:rPr>
          <w:tab/>
        </w:r>
        <w:r w:rsidR="00E4676F">
          <w:rPr>
            <w:noProof/>
            <w:webHidden/>
          </w:rPr>
          <w:fldChar w:fldCharType="begin"/>
        </w:r>
        <w:r w:rsidR="00E4676F">
          <w:rPr>
            <w:noProof/>
            <w:webHidden/>
          </w:rPr>
          <w:instrText xml:space="preserve"> PAGEREF _Toc465059237 \h </w:instrText>
        </w:r>
        <w:r w:rsidR="00E4676F">
          <w:rPr>
            <w:noProof/>
            <w:webHidden/>
          </w:rPr>
        </w:r>
        <w:r w:rsidR="00E4676F">
          <w:rPr>
            <w:noProof/>
            <w:webHidden/>
          </w:rPr>
          <w:fldChar w:fldCharType="separate"/>
        </w:r>
        <w:r>
          <w:rPr>
            <w:noProof/>
            <w:webHidden/>
          </w:rPr>
          <w:t>3</w:t>
        </w:r>
        <w:r w:rsidR="00E4676F">
          <w:rPr>
            <w:noProof/>
            <w:webHidden/>
          </w:rPr>
          <w:fldChar w:fldCharType="end"/>
        </w:r>
      </w:hyperlink>
    </w:p>
    <w:p w:rsidR="00E4676F" w:rsidRDefault="000F087F">
      <w:pPr>
        <w:pStyle w:val="TOC1"/>
        <w:rPr>
          <w:rFonts w:asciiTheme="minorHAnsi" w:eastAsiaTheme="minorEastAsia" w:hAnsiTheme="minorHAnsi" w:cstheme="minorBidi"/>
          <w:noProof/>
          <w:szCs w:val="22"/>
          <w:lang w:val="fr-FR" w:eastAsia="fr-FR"/>
        </w:rPr>
      </w:pPr>
      <w:hyperlink w:anchor="_Toc465059238" w:history="1">
        <w:r w:rsidR="00E4676F" w:rsidRPr="00441E0E">
          <w:rPr>
            <w:rStyle w:val="Hyperlink"/>
            <w:noProof/>
            <w:lang w:val="fr-FR"/>
          </w:rPr>
          <w:t>Règle 45</w:t>
        </w:r>
        <w:r w:rsidR="00E4676F" w:rsidRPr="00441E0E">
          <w:rPr>
            <w:rStyle w:val="Hyperlink"/>
            <w:i/>
            <w:noProof/>
            <w:lang w:val="fr-FR"/>
          </w:rPr>
          <w:t xml:space="preserve">bis </w:t>
        </w:r>
        <w:r w:rsidR="00E4676F" w:rsidRPr="00441E0E">
          <w:rPr>
            <w:rStyle w:val="Hyperlink"/>
            <w:noProof/>
            <w:lang w:val="fr-FR"/>
          </w:rPr>
          <w:t xml:space="preserve"> Recherches internationales supplémentaires</w:t>
        </w:r>
        <w:r w:rsidR="00E4676F">
          <w:rPr>
            <w:noProof/>
            <w:webHidden/>
          </w:rPr>
          <w:tab/>
        </w:r>
        <w:r w:rsidR="00E4676F">
          <w:rPr>
            <w:noProof/>
            <w:webHidden/>
          </w:rPr>
          <w:fldChar w:fldCharType="begin"/>
        </w:r>
        <w:r w:rsidR="00E4676F">
          <w:rPr>
            <w:noProof/>
            <w:webHidden/>
          </w:rPr>
          <w:instrText xml:space="preserve"> PAGEREF _Toc465059238 \h </w:instrText>
        </w:r>
        <w:r w:rsidR="00E4676F">
          <w:rPr>
            <w:noProof/>
            <w:webHidden/>
          </w:rPr>
        </w:r>
        <w:r w:rsidR="00E4676F">
          <w:rPr>
            <w:noProof/>
            <w:webHidden/>
          </w:rPr>
          <w:fldChar w:fldCharType="separate"/>
        </w:r>
        <w:r>
          <w:rPr>
            <w:noProof/>
            <w:webHidden/>
          </w:rPr>
          <w:t>4</w:t>
        </w:r>
        <w:r w:rsidR="00E4676F">
          <w:rPr>
            <w:noProof/>
            <w:webHidden/>
          </w:rPr>
          <w:fldChar w:fldCharType="end"/>
        </w:r>
      </w:hyperlink>
    </w:p>
    <w:p w:rsidR="00E4676F" w:rsidRDefault="000F087F">
      <w:pPr>
        <w:pStyle w:val="TOC2"/>
        <w:tabs>
          <w:tab w:val="right" w:leader="dot" w:pos="9345"/>
        </w:tabs>
        <w:rPr>
          <w:rFonts w:asciiTheme="minorHAnsi" w:eastAsiaTheme="minorEastAsia" w:hAnsiTheme="minorHAnsi" w:cstheme="minorBidi"/>
          <w:noProof/>
          <w:szCs w:val="22"/>
          <w:lang w:val="fr-FR" w:eastAsia="fr-FR"/>
        </w:rPr>
      </w:pPr>
      <w:hyperlink w:anchor="_Toc465059239" w:history="1">
        <w:r w:rsidR="00E4676F" w:rsidRPr="00441E0E">
          <w:rPr>
            <w:rStyle w:val="Hyperlink"/>
            <w:noProof/>
            <w:lang w:val="fr-FR"/>
          </w:rPr>
          <w:t>45</w:t>
        </w:r>
        <w:r w:rsidR="00E4676F" w:rsidRPr="00441E0E">
          <w:rPr>
            <w:rStyle w:val="Hyperlink"/>
            <w:i/>
            <w:noProof/>
            <w:lang w:val="fr-FR"/>
          </w:rPr>
          <w:t>bis</w:t>
        </w:r>
        <w:r w:rsidR="00E4676F" w:rsidRPr="00441E0E">
          <w:rPr>
            <w:rStyle w:val="Hyperlink"/>
            <w:noProof/>
            <w:lang w:val="fr-FR"/>
          </w:rPr>
          <w:t>.1   </w:t>
        </w:r>
        <w:r w:rsidR="00E4676F" w:rsidRPr="00441E0E">
          <w:rPr>
            <w:rStyle w:val="Hyperlink"/>
            <w:i/>
            <w:noProof/>
            <w:lang w:val="fr-FR"/>
          </w:rPr>
          <w:t>Demande de recherche supplémentaire</w:t>
        </w:r>
        <w:r w:rsidR="00E4676F">
          <w:rPr>
            <w:noProof/>
            <w:webHidden/>
          </w:rPr>
          <w:tab/>
        </w:r>
        <w:r w:rsidR="00E4676F">
          <w:rPr>
            <w:noProof/>
            <w:webHidden/>
          </w:rPr>
          <w:fldChar w:fldCharType="begin"/>
        </w:r>
        <w:r w:rsidR="00E4676F">
          <w:rPr>
            <w:noProof/>
            <w:webHidden/>
          </w:rPr>
          <w:instrText xml:space="preserve"> PAGEREF _Toc465059239 \h </w:instrText>
        </w:r>
        <w:r w:rsidR="00E4676F">
          <w:rPr>
            <w:noProof/>
            <w:webHidden/>
          </w:rPr>
        </w:r>
        <w:r w:rsidR="00E4676F">
          <w:rPr>
            <w:noProof/>
            <w:webHidden/>
          </w:rPr>
          <w:fldChar w:fldCharType="separate"/>
        </w:r>
        <w:r>
          <w:rPr>
            <w:noProof/>
            <w:webHidden/>
          </w:rPr>
          <w:t>4</w:t>
        </w:r>
        <w:r w:rsidR="00E4676F">
          <w:rPr>
            <w:noProof/>
            <w:webHidden/>
          </w:rPr>
          <w:fldChar w:fldCharType="end"/>
        </w:r>
      </w:hyperlink>
    </w:p>
    <w:p w:rsidR="00E4676F" w:rsidRDefault="000F087F">
      <w:pPr>
        <w:pStyle w:val="TOC2"/>
        <w:tabs>
          <w:tab w:val="right" w:leader="dot" w:pos="9345"/>
        </w:tabs>
        <w:rPr>
          <w:rFonts w:asciiTheme="minorHAnsi" w:eastAsiaTheme="minorEastAsia" w:hAnsiTheme="minorHAnsi" w:cstheme="minorBidi"/>
          <w:noProof/>
          <w:szCs w:val="22"/>
          <w:lang w:val="fr-FR" w:eastAsia="fr-FR"/>
        </w:rPr>
      </w:pPr>
      <w:hyperlink w:anchor="_Toc465059240" w:history="1">
        <w:r w:rsidR="00E4676F" w:rsidRPr="00441E0E">
          <w:rPr>
            <w:rStyle w:val="Hyperlink"/>
            <w:noProof/>
            <w:lang w:val="fr-FR"/>
          </w:rPr>
          <w:t>45</w:t>
        </w:r>
        <w:r w:rsidR="00E4676F" w:rsidRPr="00441E0E">
          <w:rPr>
            <w:rStyle w:val="Hyperlink"/>
            <w:i/>
            <w:noProof/>
            <w:lang w:val="fr-FR"/>
          </w:rPr>
          <w:t>bis</w:t>
        </w:r>
        <w:r w:rsidR="00E4676F" w:rsidRPr="00441E0E">
          <w:rPr>
            <w:rStyle w:val="Hyperlink"/>
            <w:noProof/>
            <w:lang w:val="fr-FR"/>
          </w:rPr>
          <w:t>.2 à 9   </w:t>
        </w:r>
        <w:r w:rsidR="00E4676F" w:rsidRPr="00441E0E">
          <w:rPr>
            <w:rStyle w:val="Hyperlink"/>
            <w:i/>
            <w:noProof/>
            <w:lang w:val="fr-FR"/>
          </w:rPr>
          <w:t>[Sans changement]</w:t>
        </w:r>
        <w:r w:rsidR="00E4676F">
          <w:rPr>
            <w:noProof/>
            <w:webHidden/>
          </w:rPr>
          <w:tab/>
        </w:r>
        <w:r w:rsidR="00E4676F">
          <w:rPr>
            <w:noProof/>
            <w:webHidden/>
          </w:rPr>
          <w:fldChar w:fldCharType="begin"/>
        </w:r>
        <w:r w:rsidR="00E4676F">
          <w:rPr>
            <w:noProof/>
            <w:webHidden/>
          </w:rPr>
          <w:instrText xml:space="preserve"> PAGEREF _Toc465059240 \h </w:instrText>
        </w:r>
        <w:r w:rsidR="00E4676F">
          <w:rPr>
            <w:noProof/>
            <w:webHidden/>
          </w:rPr>
        </w:r>
        <w:r w:rsidR="00E4676F">
          <w:rPr>
            <w:noProof/>
            <w:webHidden/>
          </w:rPr>
          <w:fldChar w:fldCharType="separate"/>
        </w:r>
        <w:r>
          <w:rPr>
            <w:noProof/>
            <w:webHidden/>
          </w:rPr>
          <w:t>4</w:t>
        </w:r>
        <w:r w:rsidR="00E4676F">
          <w:rPr>
            <w:noProof/>
            <w:webHidden/>
          </w:rPr>
          <w:fldChar w:fldCharType="end"/>
        </w:r>
      </w:hyperlink>
    </w:p>
    <w:p w:rsidR="00E4676F" w:rsidRDefault="000F087F">
      <w:pPr>
        <w:pStyle w:val="TOC1"/>
        <w:rPr>
          <w:rFonts w:asciiTheme="minorHAnsi" w:eastAsiaTheme="minorEastAsia" w:hAnsiTheme="minorHAnsi" w:cstheme="minorBidi"/>
          <w:noProof/>
          <w:szCs w:val="22"/>
          <w:lang w:val="fr-FR" w:eastAsia="fr-FR"/>
        </w:rPr>
      </w:pPr>
      <w:hyperlink w:anchor="_Toc465059241" w:history="1">
        <w:r w:rsidR="00E4676F" w:rsidRPr="00441E0E">
          <w:rPr>
            <w:rStyle w:val="Hyperlink"/>
            <w:noProof/>
            <w:lang w:val="fr-FR"/>
          </w:rPr>
          <w:t>Règle 51</w:t>
        </w:r>
        <w:r w:rsidR="00E4676F" w:rsidRPr="00441E0E">
          <w:rPr>
            <w:rStyle w:val="Hyperlink"/>
            <w:i/>
            <w:noProof/>
            <w:lang w:val="fr-FR"/>
          </w:rPr>
          <w:t xml:space="preserve">bis </w:t>
        </w:r>
        <w:r w:rsidR="00E4676F" w:rsidRPr="00441E0E">
          <w:rPr>
            <w:rStyle w:val="Hyperlink"/>
            <w:noProof/>
            <w:lang w:val="fr-FR"/>
          </w:rPr>
          <w:t xml:space="preserve"> Certaines exigences nationales admises en vertu de l’article 27</w:t>
        </w:r>
        <w:r w:rsidR="00E4676F">
          <w:rPr>
            <w:noProof/>
            <w:webHidden/>
          </w:rPr>
          <w:tab/>
        </w:r>
        <w:r w:rsidR="00E4676F">
          <w:rPr>
            <w:noProof/>
            <w:webHidden/>
          </w:rPr>
          <w:fldChar w:fldCharType="begin"/>
        </w:r>
        <w:r w:rsidR="00E4676F">
          <w:rPr>
            <w:noProof/>
            <w:webHidden/>
          </w:rPr>
          <w:instrText xml:space="preserve"> PAGEREF _Toc465059241 \h </w:instrText>
        </w:r>
        <w:r w:rsidR="00E4676F">
          <w:rPr>
            <w:noProof/>
            <w:webHidden/>
          </w:rPr>
        </w:r>
        <w:r w:rsidR="00E4676F">
          <w:rPr>
            <w:noProof/>
            <w:webHidden/>
          </w:rPr>
          <w:fldChar w:fldCharType="separate"/>
        </w:r>
        <w:r>
          <w:rPr>
            <w:noProof/>
            <w:webHidden/>
          </w:rPr>
          <w:t>5</w:t>
        </w:r>
        <w:r w:rsidR="00E4676F">
          <w:rPr>
            <w:noProof/>
            <w:webHidden/>
          </w:rPr>
          <w:fldChar w:fldCharType="end"/>
        </w:r>
      </w:hyperlink>
    </w:p>
    <w:p w:rsidR="00E4676F" w:rsidRDefault="000F087F">
      <w:pPr>
        <w:pStyle w:val="TOC2"/>
        <w:tabs>
          <w:tab w:val="right" w:leader="dot" w:pos="9345"/>
        </w:tabs>
        <w:rPr>
          <w:rFonts w:asciiTheme="minorHAnsi" w:eastAsiaTheme="minorEastAsia" w:hAnsiTheme="minorHAnsi" w:cstheme="minorBidi"/>
          <w:noProof/>
          <w:szCs w:val="22"/>
          <w:lang w:val="fr-FR" w:eastAsia="fr-FR"/>
        </w:rPr>
      </w:pPr>
      <w:hyperlink w:anchor="_Toc465059242" w:history="1">
        <w:r w:rsidR="00E4676F" w:rsidRPr="00441E0E">
          <w:rPr>
            <w:rStyle w:val="Hyperlink"/>
            <w:iCs/>
            <w:noProof/>
            <w:lang w:val="fr-FR"/>
          </w:rPr>
          <w:t>51</w:t>
        </w:r>
        <w:r w:rsidR="00E4676F" w:rsidRPr="00441E0E">
          <w:rPr>
            <w:rStyle w:val="Hyperlink"/>
            <w:i/>
            <w:iCs/>
            <w:noProof/>
            <w:lang w:val="fr-FR"/>
          </w:rPr>
          <w:t>bis</w:t>
        </w:r>
        <w:r w:rsidR="00E4676F" w:rsidRPr="00441E0E">
          <w:rPr>
            <w:rStyle w:val="Hyperlink"/>
            <w:iCs/>
            <w:noProof/>
            <w:lang w:val="fr-FR"/>
          </w:rPr>
          <w:t>.1   </w:t>
        </w:r>
        <w:r w:rsidR="00E4676F" w:rsidRPr="00441E0E">
          <w:rPr>
            <w:rStyle w:val="Hyperlink"/>
            <w:i/>
            <w:iCs/>
            <w:noProof/>
            <w:lang w:val="fr-FR"/>
          </w:rPr>
          <w:t>Certaines exigences nationales admises</w:t>
        </w:r>
        <w:r w:rsidR="00E4676F">
          <w:rPr>
            <w:noProof/>
            <w:webHidden/>
          </w:rPr>
          <w:tab/>
        </w:r>
        <w:r w:rsidR="00E4676F">
          <w:rPr>
            <w:noProof/>
            <w:webHidden/>
          </w:rPr>
          <w:fldChar w:fldCharType="begin"/>
        </w:r>
        <w:r w:rsidR="00E4676F">
          <w:rPr>
            <w:noProof/>
            <w:webHidden/>
          </w:rPr>
          <w:instrText xml:space="preserve"> PAGEREF _Toc465059242 \h </w:instrText>
        </w:r>
        <w:r w:rsidR="00E4676F">
          <w:rPr>
            <w:noProof/>
            <w:webHidden/>
          </w:rPr>
        </w:r>
        <w:r w:rsidR="00E4676F">
          <w:rPr>
            <w:noProof/>
            <w:webHidden/>
          </w:rPr>
          <w:fldChar w:fldCharType="separate"/>
        </w:r>
        <w:r>
          <w:rPr>
            <w:noProof/>
            <w:webHidden/>
          </w:rPr>
          <w:t>5</w:t>
        </w:r>
        <w:r w:rsidR="00E4676F">
          <w:rPr>
            <w:noProof/>
            <w:webHidden/>
          </w:rPr>
          <w:fldChar w:fldCharType="end"/>
        </w:r>
      </w:hyperlink>
    </w:p>
    <w:p w:rsidR="00E4676F" w:rsidRDefault="000F087F">
      <w:pPr>
        <w:pStyle w:val="TOC2"/>
        <w:tabs>
          <w:tab w:val="right" w:leader="dot" w:pos="9345"/>
        </w:tabs>
        <w:rPr>
          <w:rFonts w:asciiTheme="minorHAnsi" w:eastAsiaTheme="minorEastAsia" w:hAnsiTheme="minorHAnsi" w:cstheme="minorBidi"/>
          <w:noProof/>
          <w:szCs w:val="22"/>
          <w:lang w:val="fr-FR" w:eastAsia="fr-FR"/>
        </w:rPr>
      </w:pPr>
      <w:hyperlink w:anchor="_Toc465059243" w:history="1">
        <w:r w:rsidR="00E4676F" w:rsidRPr="00441E0E">
          <w:rPr>
            <w:rStyle w:val="Hyperlink"/>
            <w:iCs/>
            <w:noProof/>
            <w:lang w:val="fr-FR"/>
          </w:rPr>
          <w:t>51</w:t>
        </w:r>
        <w:r w:rsidR="00E4676F" w:rsidRPr="00441E0E">
          <w:rPr>
            <w:rStyle w:val="Hyperlink"/>
            <w:i/>
            <w:iCs/>
            <w:noProof/>
            <w:lang w:val="fr-FR"/>
          </w:rPr>
          <w:t>bis</w:t>
        </w:r>
        <w:r w:rsidR="00E4676F" w:rsidRPr="00441E0E">
          <w:rPr>
            <w:rStyle w:val="Hyperlink"/>
            <w:iCs/>
            <w:noProof/>
            <w:lang w:val="fr-FR"/>
          </w:rPr>
          <w:t>.2 et 51</w:t>
        </w:r>
        <w:r w:rsidR="00E4676F" w:rsidRPr="00441E0E">
          <w:rPr>
            <w:rStyle w:val="Hyperlink"/>
            <w:i/>
            <w:iCs/>
            <w:noProof/>
            <w:lang w:val="fr-FR"/>
          </w:rPr>
          <w:t>bis</w:t>
        </w:r>
        <w:r w:rsidR="00E4676F" w:rsidRPr="00441E0E">
          <w:rPr>
            <w:rStyle w:val="Hyperlink"/>
            <w:iCs/>
            <w:noProof/>
            <w:lang w:val="fr-FR"/>
          </w:rPr>
          <w:t>.3   </w:t>
        </w:r>
        <w:r w:rsidR="00E4676F" w:rsidRPr="00441E0E">
          <w:rPr>
            <w:rStyle w:val="Hyperlink"/>
            <w:i/>
            <w:iCs/>
            <w:noProof/>
            <w:lang w:val="fr-FR"/>
          </w:rPr>
          <w:t>[Sans changement]</w:t>
        </w:r>
        <w:r w:rsidR="00E4676F">
          <w:rPr>
            <w:noProof/>
            <w:webHidden/>
          </w:rPr>
          <w:tab/>
        </w:r>
        <w:r w:rsidR="00E4676F">
          <w:rPr>
            <w:noProof/>
            <w:webHidden/>
          </w:rPr>
          <w:fldChar w:fldCharType="begin"/>
        </w:r>
        <w:r w:rsidR="00E4676F">
          <w:rPr>
            <w:noProof/>
            <w:webHidden/>
          </w:rPr>
          <w:instrText xml:space="preserve"> PAGEREF _Toc465059243 \h </w:instrText>
        </w:r>
        <w:r w:rsidR="00E4676F">
          <w:rPr>
            <w:noProof/>
            <w:webHidden/>
          </w:rPr>
        </w:r>
        <w:r w:rsidR="00E4676F">
          <w:rPr>
            <w:noProof/>
            <w:webHidden/>
          </w:rPr>
          <w:fldChar w:fldCharType="separate"/>
        </w:r>
        <w:r>
          <w:rPr>
            <w:noProof/>
            <w:webHidden/>
          </w:rPr>
          <w:t>5</w:t>
        </w:r>
        <w:r w:rsidR="00E4676F">
          <w:rPr>
            <w:noProof/>
            <w:webHidden/>
          </w:rPr>
          <w:fldChar w:fldCharType="end"/>
        </w:r>
      </w:hyperlink>
    </w:p>
    <w:p w:rsidR="00C819AD" w:rsidRPr="00C819AD" w:rsidRDefault="00C819AD" w:rsidP="00BE5F33">
      <w:pPr>
        <w:pStyle w:val="TOC1"/>
        <w:rPr>
          <w:lang w:val="fr-FR"/>
        </w:rPr>
      </w:pPr>
      <w:r w:rsidRPr="00C819AD">
        <w:rPr>
          <w:lang w:val="fr-FR"/>
        </w:rPr>
        <w:fldChar w:fldCharType="end"/>
      </w:r>
    </w:p>
    <w:p w:rsidR="00C819AD" w:rsidRPr="00C819AD" w:rsidRDefault="00C819AD" w:rsidP="00FA3BBE">
      <w:pPr>
        <w:rPr>
          <w:lang w:val="fr-FR"/>
        </w:rPr>
      </w:pPr>
    </w:p>
    <w:p w:rsidR="00C819AD" w:rsidRPr="00C819AD" w:rsidRDefault="00C819AD" w:rsidP="00FA3BBE">
      <w:pPr>
        <w:rPr>
          <w:lang w:val="fr-FR"/>
        </w:rPr>
      </w:pPr>
    </w:p>
    <w:p w:rsidR="00C819AD" w:rsidRPr="00C819AD" w:rsidRDefault="00C819AD" w:rsidP="004C71F5">
      <w:pPr>
        <w:pStyle w:val="LegTitle"/>
        <w:rPr>
          <w:lang w:val="fr-FR"/>
        </w:rPr>
      </w:pPr>
      <w:bookmarkStart w:id="7" w:name="_Toc465059231"/>
      <w:bookmarkStart w:id="8" w:name="_Toc429384161"/>
      <w:r w:rsidRPr="00C819AD">
        <w:rPr>
          <w:lang w:val="fr-FR"/>
        </w:rPr>
        <w:lastRenderedPageBreak/>
        <w:t>Règle 4</w:t>
      </w:r>
      <w:r w:rsidR="00E4676F">
        <w:rPr>
          <w:lang w:val="fr-FR"/>
        </w:rPr>
        <w:t xml:space="preserve"> </w:t>
      </w:r>
      <w:r w:rsidRPr="00C819AD">
        <w:rPr>
          <w:lang w:val="fr-FR"/>
        </w:rPr>
        <w:br/>
        <w:t>Requête (contenu)</w:t>
      </w:r>
      <w:bookmarkEnd w:id="7"/>
    </w:p>
    <w:p w:rsidR="00C819AD" w:rsidRPr="00C819AD" w:rsidRDefault="00C819AD" w:rsidP="004C71F5">
      <w:pPr>
        <w:pStyle w:val="LegSubRule"/>
        <w:rPr>
          <w:rFonts w:eastAsia="SimSun"/>
          <w:lang w:val="fr-FR"/>
        </w:rPr>
      </w:pPr>
      <w:bookmarkStart w:id="9" w:name="_Toc465059232"/>
      <w:r w:rsidRPr="00C819AD">
        <w:rPr>
          <w:rFonts w:eastAsia="SimSun"/>
          <w:lang w:val="fr-FR"/>
        </w:rPr>
        <w:t>4.1 à 4.9   </w:t>
      </w:r>
      <w:r w:rsidRPr="00C819AD">
        <w:rPr>
          <w:rFonts w:eastAsia="SimSun"/>
          <w:i/>
          <w:lang w:val="fr-FR"/>
        </w:rPr>
        <w:t>[Sans changement]</w:t>
      </w:r>
      <w:bookmarkEnd w:id="9"/>
    </w:p>
    <w:p w:rsidR="00C819AD" w:rsidRPr="00C819AD" w:rsidRDefault="00C819AD" w:rsidP="004C71F5">
      <w:pPr>
        <w:pStyle w:val="LegSubRule"/>
        <w:rPr>
          <w:rFonts w:eastAsia="SimSun"/>
          <w:i/>
          <w:iCs/>
          <w:lang w:val="fr-FR"/>
        </w:rPr>
      </w:pPr>
      <w:bookmarkStart w:id="10" w:name="_Toc465059233"/>
      <w:r w:rsidRPr="00C819AD">
        <w:rPr>
          <w:rFonts w:eastAsia="SimSun"/>
          <w:iCs/>
          <w:lang w:val="fr-FR"/>
        </w:rPr>
        <w:t>4.10   </w:t>
      </w:r>
      <w:r w:rsidRPr="00C819AD">
        <w:rPr>
          <w:rFonts w:eastAsia="SimSun"/>
          <w:i/>
          <w:iCs/>
          <w:lang w:val="fr-FR"/>
        </w:rPr>
        <w:t>Revendication de priorité</w:t>
      </w:r>
      <w:bookmarkEnd w:id="10"/>
    </w:p>
    <w:p w:rsidR="00C819AD" w:rsidRPr="00C819AD" w:rsidRDefault="00C819AD" w:rsidP="004C71F5">
      <w:pPr>
        <w:pStyle w:val="Lega"/>
        <w:rPr>
          <w:i/>
          <w:lang w:val="fr-FR"/>
        </w:rPr>
      </w:pPr>
      <w:r w:rsidRPr="00C819AD">
        <w:rPr>
          <w:lang w:val="fr-FR"/>
        </w:rPr>
        <w:tab/>
        <w:t>a) à c)   </w:t>
      </w:r>
      <w:r w:rsidRPr="00C819AD">
        <w:rPr>
          <w:i/>
          <w:lang w:val="fr-FR"/>
        </w:rPr>
        <w:t>[Sans changement]</w:t>
      </w:r>
    </w:p>
    <w:p w:rsidR="00C819AD" w:rsidRPr="00C819AD" w:rsidRDefault="00C819AD" w:rsidP="004C71F5">
      <w:pPr>
        <w:pStyle w:val="Lega"/>
        <w:rPr>
          <w:rFonts w:eastAsia="SimSun"/>
          <w:lang w:val="fr-FR"/>
        </w:rPr>
      </w:pPr>
      <w:r w:rsidRPr="00C819AD">
        <w:rPr>
          <w:lang w:val="fr-FR"/>
        </w:rPr>
        <w:tab/>
        <w:t>d)   </w:t>
      </w:r>
      <w:r w:rsidRPr="00C819AD">
        <w:rPr>
          <w:i/>
          <w:lang w:val="fr-FR"/>
        </w:rPr>
        <w:t>[Supprimé]</w:t>
      </w:r>
    </w:p>
    <w:p w:rsidR="00C819AD" w:rsidRPr="00C819AD" w:rsidRDefault="00C819AD" w:rsidP="004C71F5">
      <w:pPr>
        <w:pStyle w:val="LegSubRule"/>
        <w:rPr>
          <w:rFonts w:eastAsia="SimSun"/>
          <w:lang w:val="fr-FR"/>
        </w:rPr>
      </w:pPr>
      <w:bookmarkStart w:id="11" w:name="_Toc465059234"/>
      <w:r w:rsidRPr="00C819AD">
        <w:rPr>
          <w:rFonts w:eastAsia="SimSun"/>
          <w:lang w:val="fr-FR"/>
        </w:rPr>
        <w:t>4.11 à 4.19   </w:t>
      </w:r>
      <w:r w:rsidRPr="00C819AD">
        <w:rPr>
          <w:rFonts w:eastAsia="SimSun"/>
          <w:i/>
          <w:lang w:val="fr-FR"/>
        </w:rPr>
        <w:t>[Sans changement]</w:t>
      </w:r>
      <w:bookmarkEnd w:id="11"/>
    </w:p>
    <w:p w:rsidR="00C819AD" w:rsidRPr="00C819AD" w:rsidRDefault="00C819AD" w:rsidP="004C71F5">
      <w:pPr>
        <w:pStyle w:val="LegTitle"/>
        <w:rPr>
          <w:lang w:val="fr-FR"/>
        </w:rPr>
      </w:pPr>
      <w:bookmarkStart w:id="12" w:name="_Toc465059235"/>
      <w:r w:rsidRPr="00C819AD">
        <w:rPr>
          <w:lang w:val="fr-FR"/>
        </w:rPr>
        <w:lastRenderedPageBreak/>
        <w:t>Règle 23</w:t>
      </w:r>
      <w:r w:rsidRPr="00C819AD">
        <w:rPr>
          <w:i/>
          <w:lang w:val="fr-FR"/>
        </w:rPr>
        <w:t>bis</w:t>
      </w:r>
      <w:r w:rsidR="00E4676F">
        <w:rPr>
          <w:i/>
          <w:lang w:val="fr-FR"/>
        </w:rPr>
        <w:t xml:space="preserve"> </w:t>
      </w:r>
      <w:r w:rsidRPr="00C819AD">
        <w:rPr>
          <w:i/>
          <w:lang w:val="fr-FR"/>
        </w:rPr>
        <w:br/>
      </w:r>
      <w:r w:rsidRPr="00C819AD">
        <w:rPr>
          <w:lang w:val="fr-FR"/>
        </w:rPr>
        <w:t>Transmission de documents relatifs à une recherche ou un classement antérieurs</w:t>
      </w:r>
      <w:bookmarkEnd w:id="12"/>
    </w:p>
    <w:p w:rsidR="00C819AD" w:rsidRPr="00C819AD" w:rsidRDefault="00C819AD" w:rsidP="004C71F5">
      <w:pPr>
        <w:pStyle w:val="LegSubRule"/>
        <w:tabs>
          <w:tab w:val="clear" w:pos="510"/>
          <w:tab w:val="left" w:pos="720"/>
        </w:tabs>
        <w:ind w:left="0" w:firstLine="0"/>
        <w:rPr>
          <w:rFonts w:eastAsia="SimSun"/>
          <w:lang w:val="fr-FR"/>
        </w:rPr>
      </w:pPr>
      <w:bookmarkStart w:id="13" w:name="_Toc465059236"/>
      <w:r w:rsidRPr="00C819AD">
        <w:rPr>
          <w:rFonts w:eastAsia="SimSun"/>
          <w:lang w:val="fr-FR"/>
        </w:rPr>
        <w:t>23</w:t>
      </w:r>
      <w:r w:rsidRPr="00C819AD">
        <w:rPr>
          <w:rFonts w:eastAsia="SimSun"/>
          <w:i/>
          <w:lang w:val="fr-FR"/>
        </w:rPr>
        <w:t>bis.</w:t>
      </w:r>
      <w:r w:rsidRPr="00C819AD">
        <w:rPr>
          <w:rFonts w:eastAsia="SimSun"/>
          <w:lang w:val="fr-FR"/>
        </w:rPr>
        <w:t>1   </w:t>
      </w:r>
      <w:r w:rsidRPr="00C819AD">
        <w:rPr>
          <w:rFonts w:eastAsia="SimSun"/>
          <w:i/>
          <w:lang w:val="fr-FR"/>
        </w:rPr>
        <w:t>[Sans changement]</w:t>
      </w:r>
      <w:bookmarkEnd w:id="13"/>
    </w:p>
    <w:p w:rsidR="00C819AD" w:rsidRPr="00C819AD" w:rsidRDefault="00C819AD" w:rsidP="004C71F5">
      <w:pPr>
        <w:pStyle w:val="LegSubRule"/>
        <w:rPr>
          <w:rFonts w:eastAsia="SimSun"/>
          <w:i/>
          <w:lang w:val="fr-FR"/>
        </w:rPr>
      </w:pPr>
      <w:bookmarkStart w:id="14" w:name="_Toc465059237"/>
      <w:r w:rsidRPr="00C819AD">
        <w:rPr>
          <w:rFonts w:eastAsia="SimSun"/>
          <w:lang w:val="fr-FR"/>
        </w:rPr>
        <w:t>23</w:t>
      </w:r>
      <w:r w:rsidRPr="00C819AD">
        <w:rPr>
          <w:rFonts w:eastAsia="SimSun"/>
          <w:i/>
          <w:lang w:val="fr-FR"/>
        </w:rPr>
        <w:t>bis</w:t>
      </w:r>
      <w:r w:rsidRPr="00C819AD">
        <w:rPr>
          <w:rFonts w:eastAsia="SimSun"/>
          <w:lang w:val="fr-FR"/>
        </w:rPr>
        <w:t>.2   </w:t>
      </w:r>
      <w:r w:rsidRPr="00C819AD">
        <w:rPr>
          <w:rFonts w:eastAsia="SimSun"/>
          <w:i/>
          <w:lang w:val="fr-FR"/>
        </w:rPr>
        <w:t>Transmission de documents relatifs à une recherche ou un classement antérieurs aux fins de la règle 41.2</w:t>
      </w:r>
      <w:bookmarkEnd w:id="14"/>
    </w:p>
    <w:p w:rsidR="00C819AD" w:rsidRPr="00C819AD" w:rsidRDefault="00C819AD" w:rsidP="008571E5">
      <w:pPr>
        <w:pStyle w:val="Lega"/>
        <w:keepLines/>
        <w:rPr>
          <w:rFonts w:eastAsia="SimSun"/>
          <w:lang w:val="fr-FR"/>
        </w:rPr>
      </w:pPr>
      <w:r w:rsidRPr="00C819AD">
        <w:rPr>
          <w:lang w:val="fr-FR"/>
        </w:rPr>
        <w:tab/>
        <w:t>a)  Aux fins de la règle 41.2, lorsque la demande internationale revendique la priorité d</w:t>
      </w:r>
      <w:r w:rsidR="00D76C92">
        <w:rPr>
          <w:lang w:val="fr-FR"/>
        </w:rPr>
        <w:t>’</w:t>
      </w:r>
      <w:r w:rsidRPr="00C819AD">
        <w:rPr>
          <w:lang w:val="fr-FR"/>
        </w:rPr>
        <w:t>une ou plusieurs demandes antérieures déposées auprès de l</w:t>
      </w:r>
      <w:r w:rsidR="00D76C92">
        <w:rPr>
          <w:lang w:val="fr-FR"/>
        </w:rPr>
        <w:t>’</w:t>
      </w:r>
      <w:r w:rsidRPr="00C819AD">
        <w:rPr>
          <w:lang w:val="fr-FR"/>
        </w:rPr>
        <w:t>office agissant en qualité d</w:t>
      </w:r>
      <w:r w:rsidR="00D76C92">
        <w:rPr>
          <w:lang w:val="fr-FR"/>
        </w:rPr>
        <w:t>’</w:t>
      </w:r>
      <w:r w:rsidRPr="00C819AD">
        <w:rPr>
          <w:lang w:val="fr-FR"/>
        </w:rPr>
        <w:t xml:space="preserve">office récepteur et que ledit office a effectué antérieurement une recherche ou un classement </w:t>
      </w:r>
      <w:r w:rsidR="00D76C92">
        <w:rPr>
          <w:lang w:val="fr-FR"/>
        </w:rPr>
        <w:t>à l’égard</w:t>
      </w:r>
      <w:r w:rsidRPr="00C819AD">
        <w:rPr>
          <w:lang w:val="fr-FR"/>
        </w:rPr>
        <w:t xml:space="preserve"> d</w:t>
      </w:r>
      <w:r w:rsidR="00D76C92">
        <w:rPr>
          <w:lang w:val="fr-FR"/>
        </w:rPr>
        <w:t>’</w:t>
      </w:r>
      <w:r w:rsidRPr="00C819AD">
        <w:rPr>
          <w:lang w:val="fr-FR"/>
        </w:rPr>
        <w:t>une telle demande antérieure, l</w:t>
      </w:r>
      <w:r w:rsidR="00D76C92">
        <w:rPr>
          <w:lang w:val="fr-FR"/>
        </w:rPr>
        <w:t>’</w:t>
      </w:r>
      <w:r w:rsidRPr="00C819AD">
        <w:rPr>
          <w:lang w:val="fr-FR"/>
        </w:rPr>
        <w:t>office récepteur transmet à l</w:t>
      </w:r>
      <w:r w:rsidR="00D76C92">
        <w:rPr>
          <w:lang w:val="fr-FR"/>
        </w:rPr>
        <w:t>’</w:t>
      </w:r>
      <w:r w:rsidRPr="00C819AD">
        <w:rPr>
          <w:lang w:val="fr-FR"/>
        </w:rPr>
        <w:t>administration chargée de la recherche internationale, sous réserve de l</w:t>
      </w:r>
      <w:r w:rsidR="00D76C92">
        <w:rPr>
          <w:lang w:val="fr-FR"/>
        </w:rPr>
        <w:t>’</w:t>
      </w:r>
      <w:r w:rsidRPr="00C819AD">
        <w:rPr>
          <w:lang w:val="fr-FR"/>
        </w:rPr>
        <w:t>article 30.2)a) applicable en vertu de l</w:t>
      </w:r>
      <w:r w:rsidR="00D76C92">
        <w:rPr>
          <w:lang w:val="fr-FR"/>
        </w:rPr>
        <w:t>’</w:t>
      </w:r>
      <w:r w:rsidRPr="00C819AD">
        <w:rPr>
          <w:lang w:val="fr-FR"/>
        </w:rPr>
        <w:t>article 30.3) et des alinéas b), d) et e), en même temps que la copie de recherche, une copie des résultats de cette recherche antérieure, quelle que soit la forme sous laquelle ils sont à la disposition de l</w:t>
      </w:r>
      <w:r w:rsidR="00D76C92">
        <w:rPr>
          <w:lang w:val="fr-FR"/>
        </w:rPr>
        <w:t>’</w:t>
      </w:r>
      <w:r w:rsidRPr="00C819AD">
        <w:rPr>
          <w:lang w:val="fr-FR"/>
        </w:rPr>
        <w:t>office (par exemple, sous la forme d</w:t>
      </w:r>
      <w:r w:rsidR="00D76C92">
        <w:rPr>
          <w:lang w:val="fr-FR"/>
        </w:rPr>
        <w:t>’</w:t>
      </w:r>
      <w:r w:rsidRPr="00C819AD">
        <w:rPr>
          <w:lang w:val="fr-FR"/>
        </w:rPr>
        <w:t>un rapport de recherche, d</w:t>
      </w:r>
      <w:r w:rsidR="00D76C92">
        <w:rPr>
          <w:lang w:val="fr-FR"/>
        </w:rPr>
        <w:t>’</w:t>
      </w:r>
      <w:r w:rsidRPr="00C819AD">
        <w:rPr>
          <w:lang w:val="fr-FR"/>
        </w:rPr>
        <w:t>une liste des éléments cités compris dans l</w:t>
      </w:r>
      <w:r w:rsidR="00D76C92">
        <w:rPr>
          <w:lang w:val="fr-FR"/>
        </w:rPr>
        <w:t>’</w:t>
      </w:r>
      <w:r w:rsidRPr="00C819AD">
        <w:rPr>
          <w:lang w:val="fr-FR"/>
        </w:rPr>
        <w:t>état de la technique ou d</w:t>
      </w:r>
      <w:r w:rsidR="00D76C92">
        <w:rPr>
          <w:lang w:val="fr-FR"/>
        </w:rPr>
        <w:t>’</w:t>
      </w:r>
      <w:r w:rsidRPr="00C819AD">
        <w:rPr>
          <w:lang w:val="fr-FR"/>
        </w:rPr>
        <w:t>un rapport d</w:t>
      </w:r>
      <w:r w:rsidR="00D76C92">
        <w:rPr>
          <w:lang w:val="fr-FR"/>
        </w:rPr>
        <w:t>’</w:t>
      </w:r>
      <w:r w:rsidRPr="00C819AD">
        <w:rPr>
          <w:lang w:val="fr-FR"/>
        </w:rPr>
        <w:t>examen), ainsi qu</w:t>
      </w:r>
      <w:r w:rsidR="00D76C92">
        <w:rPr>
          <w:lang w:val="fr-FR"/>
        </w:rPr>
        <w:t>’</w:t>
      </w:r>
      <w:r w:rsidRPr="00C819AD">
        <w:rPr>
          <w:lang w:val="fr-FR"/>
        </w:rPr>
        <w:t>une copie des résultats du classement antérieur effectué par ledit office, si ces derniers sont déjà disponibl</w:t>
      </w:r>
      <w:r w:rsidR="003008DF" w:rsidRPr="00C819AD">
        <w:rPr>
          <w:lang w:val="fr-FR"/>
        </w:rPr>
        <w:t>es</w:t>
      </w:r>
      <w:r w:rsidR="003008DF">
        <w:rPr>
          <w:lang w:val="fr-FR"/>
        </w:rPr>
        <w:t xml:space="preserve">.  </w:t>
      </w:r>
      <w:r w:rsidR="003008DF" w:rsidRPr="00C819AD">
        <w:rPr>
          <w:rFonts w:eastAsia="SimSun"/>
          <w:lang w:val="fr-FR"/>
        </w:rPr>
        <w:t>L</w:t>
      </w:r>
      <w:r w:rsidR="003008DF">
        <w:rPr>
          <w:rFonts w:eastAsia="SimSun"/>
          <w:lang w:val="fr-FR"/>
        </w:rPr>
        <w:t>’</w:t>
      </w:r>
      <w:r w:rsidR="003008DF" w:rsidRPr="00C819AD">
        <w:rPr>
          <w:rFonts w:eastAsia="SimSun"/>
          <w:lang w:val="fr-FR"/>
        </w:rPr>
        <w:t>o</w:t>
      </w:r>
      <w:r w:rsidRPr="00C819AD">
        <w:rPr>
          <w:rFonts w:eastAsia="SimSun"/>
          <w:lang w:val="fr-FR"/>
        </w:rPr>
        <w:t>ffice récepteur peut également, sous réserve de l</w:t>
      </w:r>
      <w:r w:rsidR="00D76C92">
        <w:rPr>
          <w:rFonts w:eastAsia="SimSun"/>
          <w:lang w:val="fr-FR"/>
        </w:rPr>
        <w:t>’</w:t>
      </w:r>
      <w:r w:rsidRPr="00C819AD">
        <w:rPr>
          <w:rFonts w:eastAsia="SimSun"/>
          <w:lang w:val="fr-FR"/>
        </w:rPr>
        <w:t>article 30.2)a) applicable en vertu de l</w:t>
      </w:r>
      <w:r w:rsidR="00D76C92">
        <w:rPr>
          <w:rFonts w:eastAsia="SimSun"/>
          <w:lang w:val="fr-FR"/>
        </w:rPr>
        <w:t>’</w:t>
      </w:r>
      <w:r w:rsidRPr="00C819AD">
        <w:rPr>
          <w:rFonts w:eastAsia="SimSun"/>
          <w:lang w:val="fr-FR"/>
        </w:rPr>
        <w:t>article 30.3), transmettre à l</w:t>
      </w:r>
      <w:r w:rsidR="00D76C92">
        <w:rPr>
          <w:rFonts w:eastAsia="SimSun"/>
          <w:lang w:val="fr-FR"/>
        </w:rPr>
        <w:t>’</w:t>
      </w:r>
      <w:r w:rsidRPr="00C819AD">
        <w:rPr>
          <w:rFonts w:eastAsia="SimSun"/>
          <w:lang w:val="fr-FR"/>
        </w:rPr>
        <w:t>administration chargée de la recherche internationale tout autre document relatif à une telle recherche antérieure qu</w:t>
      </w:r>
      <w:r w:rsidR="00D76C92">
        <w:rPr>
          <w:rFonts w:eastAsia="SimSun"/>
          <w:lang w:val="fr-FR"/>
        </w:rPr>
        <w:t>’</w:t>
      </w:r>
      <w:r w:rsidRPr="00C819AD">
        <w:rPr>
          <w:rFonts w:eastAsia="SimSun"/>
          <w:lang w:val="fr-FR"/>
        </w:rPr>
        <w:t>il considère utile à ladite administration aux fins de la recherche internationale.</w:t>
      </w:r>
    </w:p>
    <w:p w:rsidR="00C819AD" w:rsidRPr="00C819AD" w:rsidRDefault="00C819AD" w:rsidP="008571E5">
      <w:pPr>
        <w:pStyle w:val="Lega"/>
        <w:rPr>
          <w:rFonts w:eastAsia="SimSun"/>
          <w:i/>
          <w:lang w:val="fr-FR"/>
        </w:rPr>
      </w:pPr>
      <w:r w:rsidRPr="00C819AD">
        <w:rPr>
          <w:rFonts w:eastAsia="SimSun"/>
          <w:lang w:val="fr-FR"/>
        </w:rPr>
        <w:tab/>
        <w:t>b) à e)  </w:t>
      </w:r>
      <w:r w:rsidRPr="00C819AD">
        <w:rPr>
          <w:rFonts w:eastAsia="SimSun"/>
          <w:i/>
          <w:lang w:val="fr-FR"/>
        </w:rPr>
        <w:t>[Sans changement]</w:t>
      </w:r>
    </w:p>
    <w:p w:rsidR="00C819AD" w:rsidRPr="00C819AD" w:rsidRDefault="00C819AD" w:rsidP="00FA3BBE">
      <w:pPr>
        <w:pStyle w:val="Lega"/>
        <w:rPr>
          <w:rFonts w:eastAsia="SimSun"/>
          <w:lang w:val="fr-FR"/>
        </w:rPr>
      </w:pPr>
    </w:p>
    <w:p w:rsidR="00C819AD" w:rsidRPr="00C819AD" w:rsidRDefault="00C819AD" w:rsidP="008571E5">
      <w:pPr>
        <w:pStyle w:val="LegTitle"/>
        <w:rPr>
          <w:lang w:val="fr-FR"/>
        </w:rPr>
      </w:pPr>
      <w:bookmarkStart w:id="15" w:name="_Toc465059238"/>
      <w:r w:rsidRPr="00C819AD">
        <w:rPr>
          <w:lang w:val="fr-FR"/>
        </w:rPr>
        <w:lastRenderedPageBreak/>
        <w:t>Règle 45</w:t>
      </w:r>
      <w:r w:rsidRPr="00C819AD">
        <w:rPr>
          <w:i/>
          <w:lang w:val="fr-FR"/>
        </w:rPr>
        <w:t xml:space="preserve">bis </w:t>
      </w:r>
      <w:r w:rsidRPr="00C819AD">
        <w:rPr>
          <w:lang w:val="fr-FR"/>
        </w:rPr>
        <w:br/>
        <w:t>Recherches internationales supplémentaires</w:t>
      </w:r>
      <w:bookmarkEnd w:id="15"/>
    </w:p>
    <w:p w:rsidR="00C819AD" w:rsidRPr="00C819AD" w:rsidRDefault="00C819AD" w:rsidP="008571E5">
      <w:pPr>
        <w:pStyle w:val="LegSubRule"/>
        <w:rPr>
          <w:i/>
          <w:lang w:val="fr-FR"/>
        </w:rPr>
      </w:pPr>
      <w:bookmarkStart w:id="16" w:name="_Toc465059239"/>
      <w:r w:rsidRPr="00C819AD">
        <w:rPr>
          <w:lang w:val="fr-FR"/>
        </w:rPr>
        <w:t>45</w:t>
      </w:r>
      <w:r w:rsidRPr="00C819AD">
        <w:rPr>
          <w:i/>
          <w:lang w:val="fr-FR"/>
        </w:rPr>
        <w:t>bis</w:t>
      </w:r>
      <w:r w:rsidRPr="00C819AD">
        <w:rPr>
          <w:lang w:val="fr-FR"/>
        </w:rPr>
        <w:t>.1   </w:t>
      </w:r>
      <w:r w:rsidRPr="00C819AD">
        <w:rPr>
          <w:i/>
          <w:lang w:val="fr-FR"/>
        </w:rPr>
        <w:t>Demande de recherche supplémentaire</w:t>
      </w:r>
      <w:bookmarkEnd w:id="16"/>
    </w:p>
    <w:p w:rsidR="00C819AD" w:rsidRPr="00C819AD" w:rsidRDefault="00C819AD" w:rsidP="008571E5">
      <w:pPr>
        <w:pStyle w:val="Lega"/>
        <w:rPr>
          <w:lang w:val="fr-FR"/>
        </w:rPr>
      </w:pPr>
      <w:r w:rsidRPr="00C819AD">
        <w:rPr>
          <w:lang w:val="fr-FR"/>
        </w:rPr>
        <w:tab/>
        <w:t>a)  Le déposant peut, à tout moment avant l</w:t>
      </w:r>
      <w:r w:rsidR="00D76C92">
        <w:rPr>
          <w:lang w:val="fr-FR"/>
        </w:rPr>
        <w:t>’</w:t>
      </w:r>
      <w:r w:rsidRPr="00C819AD">
        <w:rPr>
          <w:lang w:val="fr-FR"/>
        </w:rPr>
        <w:t>expiration d</w:t>
      </w:r>
      <w:r w:rsidR="00D76C92">
        <w:rPr>
          <w:lang w:val="fr-FR"/>
        </w:rPr>
        <w:t>’</w:t>
      </w:r>
      <w:r w:rsidRPr="00C819AD">
        <w:rPr>
          <w:lang w:val="fr-FR"/>
        </w:rPr>
        <w:t>un délai de 22 mois à compter de la date de priorité, demander qu</w:t>
      </w:r>
      <w:r w:rsidR="00D76C92">
        <w:rPr>
          <w:lang w:val="fr-FR"/>
        </w:rPr>
        <w:t>’</w:t>
      </w:r>
      <w:r w:rsidRPr="00C819AD">
        <w:rPr>
          <w:lang w:val="fr-FR"/>
        </w:rPr>
        <w:t xml:space="preserve">une recherche internationale supplémentaire soit effectuée </w:t>
      </w:r>
      <w:r w:rsidR="00D76C92">
        <w:rPr>
          <w:lang w:val="fr-FR"/>
        </w:rPr>
        <w:t>à l’égard</w:t>
      </w:r>
      <w:r w:rsidRPr="00C819AD">
        <w:rPr>
          <w:lang w:val="fr-FR"/>
        </w:rPr>
        <w:t xml:space="preserve"> de la demande internationale par une administration chargée de la recherche internationale qui est compétente à cet effet en vertu de la règle 45</w:t>
      </w:r>
      <w:r w:rsidRPr="00C819AD">
        <w:rPr>
          <w:i/>
          <w:lang w:val="fr-FR"/>
        </w:rPr>
        <w:t>bis</w:t>
      </w:r>
      <w:r w:rsidRPr="00C819AD">
        <w:rPr>
          <w:lang w:val="fr-FR"/>
        </w:rPr>
        <w:t xml:space="preserve">.9.  Cette demande peut être présentée </w:t>
      </w:r>
      <w:r w:rsidR="00D76C92">
        <w:rPr>
          <w:lang w:val="fr-FR"/>
        </w:rPr>
        <w:t>à l’égard</w:t>
      </w:r>
      <w:r w:rsidRPr="00C819AD">
        <w:rPr>
          <w:lang w:val="fr-FR"/>
        </w:rPr>
        <w:t xml:space="preserve"> de plusieurs de ces administrations.</w:t>
      </w:r>
    </w:p>
    <w:p w:rsidR="00C819AD" w:rsidRPr="00C819AD" w:rsidRDefault="00C819AD" w:rsidP="008571E5">
      <w:pPr>
        <w:pStyle w:val="Lega"/>
        <w:rPr>
          <w:lang w:val="fr-FR"/>
        </w:rPr>
      </w:pPr>
      <w:r w:rsidRPr="00C819AD">
        <w:rPr>
          <w:lang w:val="fr-FR"/>
        </w:rPr>
        <w:tab/>
        <w:t>b) à e)  </w:t>
      </w:r>
      <w:r w:rsidRPr="00C819AD">
        <w:rPr>
          <w:i/>
          <w:lang w:val="fr-FR"/>
        </w:rPr>
        <w:t>[Sans changement]</w:t>
      </w:r>
    </w:p>
    <w:p w:rsidR="00C819AD" w:rsidRPr="00C819AD" w:rsidRDefault="00C819AD" w:rsidP="008571E5">
      <w:pPr>
        <w:pStyle w:val="LegSubRule"/>
        <w:rPr>
          <w:lang w:val="fr-FR"/>
        </w:rPr>
      </w:pPr>
      <w:bookmarkStart w:id="17" w:name="_Toc465059240"/>
      <w:r w:rsidRPr="00C819AD">
        <w:rPr>
          <w:lang w:val="fr-FR"/>
        </w:rPr>
        <w:t>45</w:t>
      </w:r>
      <w:r w:rsidRPr="00C819AD">
        <w:rPr>
          <w:i/>
          <w:lang w:val="fr-FR"/>
        </w:rPr>
        <w:t>bis</w:t>
      </w:r>
      <w:r w:rsidRPr="00C819AD">
        <w:rPr>
          <w:lang w:val="fr-FR"/>
        </w:rPr>
        <w:t>.2 à 9   </w:t>
      </w:r>
      <w:r w:rsidRPr="00C819AD">
        <w:rPr>
          <w:i/>
          <w:lang w:val="fr-FR"/>
        </w:rPr>
        <w:t>[Sans changement]</w:t>
      </w:r>
      <w:bookmarkEnd w:id="17"/>
    </w:p>
    <w:p w:rsidR="00C819AD" w:rsidRPr="00C819AD" w:rsidRDefault="00C819AD" w:rsidP="008571E5">
      <w:pPr>
        <w:pStyle w:val="LegTitle"/>
        <w:rPr>
          <w:lang w:val="fr-FR"/>
        </w:rPr>
      </w:pPr>
      <w:bookmarkStart w:id="18" w:name="_Toc465059241"/>
      <w:r w:rsidRPr="00C819AD">
        <w:rPr>
          <w:lang w:val="fr-FR"/>
        </w:rPr>
        <w:lastRenderedPageBreak/>
        <w:t>Règle 51</w:t>
      </w:r>
      <w:r w:rsidRPr="00C819AD">
        <w:rPr>
          <w:i/>
          <w:lang w:val="fr-FR"/>
        </w:rPr>
        <w:t xml:space="preserve">bis </w:t>
      </w:r>
      <w:r w:rsidRPr="00C819AD">
        <w:rPr>
          <w:lang w:val="fr-FR"/>
        </w:rPr>
        <w:br/>
        <w:t>Certaines exigences nationales admises en vertu de l</w:t>
      </w:r>
      <w:r w:rsidR="00D76C92">
        <w:rPr>
          <w:lang w:val="fr-FR"/>
        </w:rPr>
        <w:t>’</w:t>
      </w:r>
      <w:r w:rsidRPr="00C819AD">
        <w:rPr>
          <w:lang w:val="fr-FR"/>
        </w:rPr>
        <w:t>article 27</w:t>
      </w:r>
      <w:bookmarkEnd w:id="18"/>
    </w:p>
    <w:p w:rsidR="00C819AD" w:rsidRPr="00C819AD" w:rsidRDefault="00C819AD" w:rsidP="008571E5">
      <w:pPr>
        <w:pStyle w:val="LegSubRule"/>
        <w:rPr>
          <w:rFonts w:eastAsia="SimSun"/>
          <w:i/>
          <w:iCs/>
          <w:lang w:val="fr-FR"/>
        </w:rPr>
      </w:pPr>
      <w:bookmarkStart w:id="19" w:name="_Toc465059242"/>
      <w:r w:rsidRPr="00C819AD">
        <w:rPr>
          <w:rFonts w:eastAsia="SimSun"/>
          <w:iCs/>
          <w:lang w:val="fr-FR"/>
        </w:rPr>
        <w:t>51</w:t>
      </w:r>
      <w:r w:rsidRPr="00C819AD">
        <w:rPr>
          <w:rFonts w:eastAsia="SimSun"/>
          <w:i/>
          <w:iCs/>
          <w:lang w:val="fr-FR"/>
        </w:rPr>
        <w:t>bis</w:t>
      </w:r>
      <w:r w:rsidRPr="00C819AD">
        <w:rPr>
          <w:rFonts w:eastAsia="SimSun"/>
          <w:iCs/>
          <w:lang w:val="fr-FR"/>
        </w:rPr>
        <w:t>.1   </w:t>
      </w:r>
      <w:r w:rsidRPr="00C819AD">
        <w:rPr>
          <w:rFonts w:eastAsia="SimSun"/>
          <w:i/>
          <w:iCs/>
          <w:lang w:val="fr-FR"/>
        </w:rPr>
        <w:t>Certaines exigences nationales admises</w:t>
      </w:r>
      <w:bookmarkEnd w:id="19"/>
    </w:p>
    <w:p w:rsidR="00C819AD" w:rsidRPr="00C819AD" w:rsidRDefault="00C819AD" w:rsidP="008571E5">
      <w:pPr>
        <w:pStyle w:val="Lega"/>
        <w:rPr>
          <w:rFonts w:eastAsia="SimSun"/>
          <w:lang w:val="fr-FR"/>
        </w:rPr>
      </w:pPr>
      <w:r w:rsidRPr="00C819AD">
        <w:rPr>
          <w:lang w:val="fr-FR"/>
        </w:rPr>
        <w:tab/>
        <w:t>a) à e)   </w:t>
      </w:r>
      <w:r w:rsidRPr="00C819AD">
        <w:rPr>
          <w:i/>
          <w:lang w:val="fr-FR"/>
        </w:rPr>
        <w:t>[Sans changement]</w:t>
      </w:r>
    </w:p>
    <w:p w:rsidR="00C819AD" w:rsidRPr="00C819AD" w:rsidRDefault="00C819AD" w:rsidP="008571E5">
      <w:pPr>
        <w:pStyle w:val="Lega"/>
        <w:rPr>
          <w:rFonts w:eastAsia="SimSun"/>
          <w:strike/>
          <w:lang w:val="fr-FR"/>
        </w:rPr>
      </w:pPr>
      <w:r w:rsidRPr="00C819AD">
        <w:rPr>
          <w:lang w:val="fr-FR"/>
        </w:rPr>
        <w:tab/>
        <w:t>f)   </w:t>
      </w:r>
      <w:r w:rsidRPr="00C819AD">
        <w:rPr>
          <w:i/>
          <w:lang w:val="fr-FR"/>
        </w:rPr>
        <w:t>[Supprimé]</w:t>
      </w:r>
    </w:p>
    <w:p w:rsidR="00C819AD" w:rsidRPr="00C819AD" w:rsidRDefault="00C819AD" w:rsidP="008571E5">
      <w:pPr>
        <w:pStyle w:val="LegSubRule"/>
        <w:rPr>
          <w:rFonts w:eastAsia="SimSun"/>
          <w:i/>
          <w:iCs/>
          <w:lang w:val="fr-FR"/>
        </w:rPr>
      </w:pPr>
      <w:bookmarkStart w:id="20" w:name="_Toc465059243"/>
      <w:r w:rsidRPr="00C819AD">
        <w:rPr>
          <w:rFonts w:eastAsia="SimSun"/>
          <w:iCs/>
          <w:lang w:val="fr-FR"/>
        </w:rPr>
        <w:t>51</w:t>
      </w:r>
      <w:r w:rsidRPr="00C819AD">
        <w:rPr>
          <w:rFonts w:eastAsia="SimSun"/>
          <w:i/>
          <w:iCs/>
          <w:lang w:val="fr-FR"/>
        </w:rPr>
        <w:t>bis</w:t>
      </w:r>
      <w:r w:rsidRPr="00C819AD">
        <w:rPr>
          <w:rFonts w:eastAsia="SimSun"/>
          <w:iCs/>
          <w:lang w:val="fr-FR"/>
        </w:rPr>
        <w:t>.2 et 51</w:t>
      </w:r>
      <w:r w:rsidRPr="00C819AD">
        <w:rPr>
          <w:rFonts w:eastAsia="SimSun"/>
          <w:i/>
          <w:iCs/>
          <w:lang w:val="fr-FR"/>
        </w:rPr>
        <w:t>bis</w:t>
      </w:r>
      <w:r w:rsidRPr="00C819AD">
        <w:rPr>
          <w:rFonts w:eastAsia="SimSun"/>
          <w:iCs/>
          <w:lang w:val="fr-FR"/>
        </w:rPr>
        <w:t>.3   </w:t>
      </w:r>
      <w:r w:rsidRPr="00C819AD">
        <w:rPr>
          <w:rFonts w:eastAsia="SimSun"/>
          <w:i/>
          <w:iCs/>
          <w:lang w:val="fr-FR"/>
        </w:rPr>
        <w:t>[Sans changement]</w:t>
      </w:r>
      <w:bookmarkEnd w:id="20"/>
    </w:p>
    <w:bookmarkEnd w:id="8"/>
    <w:p w:rsidR="00C819AD" w:rsidRPr="00C819AD" w:rsidRDefault="00C819AD" w:rsidP="00FA3BBE">
      <w:pPr>
        <w:pStyle w:val="Lega"/>
        <w:spacing w:line="240" w:lineRule="auto"/>
        <w:rPr>
          <w:rFonts w:eastAsia="SimSun"/>
          <w:lang w:val="fr-FR"/>
        </w:rPr>
      </w:pPr>
    </w:p>
    <w:p w:rsidR="00C819AD" w:rsidRPr="00C819AD" w:rsidRDefault="00C819AD" w:rsidP="00FA3BBE">
      <w:pPr>
        <w:pStyle w:val="ONUME"/>
        <w:numPr>
          <w:ilvl w:val="0"/>
          <w:numId w:val="0"/>
        </w:numPr>
        <w:ind w:left="5533"/>
        <w:rPr>
          <w:lang w:val="fr-FR"/>
        </w:rPr>
      </w:pPr>
      <w:r w:rsidRPr="00C819AD">
        <w:rPr>
          <w:lang w:val="fr-FR"/>
        </w:rPr>
        <w:t>[L</w:t>
      </w:r>
      <w:r w:rsidR="00D76C92">
        <w:rPr>
          <w:lang w:val="fr-FR"/>
        </w:rPr>
        <w:t>’</w:t>
      </w:r>
      <w:r w:rsidRPr="00C819AD">
        <w:rPr>
          <w:lang w:val="fr-FR"/>
        </w:rPr>
        <w:t>annexe II suit]</w:t>
      </w:r>
    </w:p>
    <w:p w:rsidR="00C819AD" w:rsidRPr="00C819AD" w:rsidRDefault="00C819AD" w:rsidP="00AE6C72">
      <w:pPr>
        <w:rPr>
          <w:lang w:val="fr-FR"/>
        </w:rPr>
      </w:pPr>
    </w:p>
    <w:p w:rsidR="00C819AD" w:rsidRPr="00C819AD" w:rsidRDefault="00C819AD" w:rsidP="00FA3BBE">
      <w:pPr>
        <w:pStyle w:val="ONUME"/>
        <w:numPr>
          <w:ilvl w:val="0"/>
          <w:numId w:val="0"/>
        </w:numPr>
        <w:ind w:left="5533"/>
        <w:rPr>
          <w:lang w:val="fr-FR"/>
        </w:rPr>
        <w:sectPr w:rsidR="00C819AD" w:rsidRPr="00C819AD" w:rsidSect="00C96976">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C819AD" w:rsidRPr="00C819AD" w:rsidRDefault="00C819AD" w:rsidP="004F61AC">
      <w:pPr>
        <w:pStyle w:val="Heading2"/>
        <w:jc w:val="center"/>
        <w:rPr>
          <w:lang w:val="fr-FR"/>
        </w:rPr>
      </w:pPr>
      <w:r w:rsidRPr="00C819AD">
        <w:rPr>
          <w:lang w:val="fr-FR"/>
        </w:rPr>
        <w:lastRenderedPageBreak/>
        <w:t>décisions relatives à l</w:t>
      </w:r>
      <w:r w:rsidR="00D76C92">
        <w:rPr>
          <w:lang w:val="fr-FR"/>
        </w:rPr>
        <w:t>’</w:t>
      </w:r>
      <w:r w:rsidRPr="00C819AD">
        <w:rPr>
          <w:lang w:val="fr-FR"/>
        </w:rPr>
        <w:t xml:space="preserve">entrée en vigueur des modifications </w:t>
      </w:r>
      <w:r w:rsidR="0049691D">
        <w:rPr>
          <w:lang w:val="fr-FR"/>
        </w:rPr>
        <w:br/>
      </w:r>
      <w:r w:rsidRPr="00C819AD">
        <w:rPr>
          <w:lang w:val="fr-FR"/>
        </w:rPr>
        <w:t>figurant à l</w:t>
      </w:r>
      <w:r w:rsidR="00D76C92">
        <w:rPr>
          <w:lang w:val="fr-FR"/>
        </w:rPr>
        <w:t>’</w:t>
      </w:r>
      <w:r w:rsidRPr="00C819AD">
        <w:rPr>
          <w:lang w:val="fr-FR"/>
        </w:rPr>
        <w:t>annexe I</w:t>
      </w:r>
    </w:p>
    <w:p w:rsidR="00C819AD" w:rsidRPr="00C819AD" w:rsidRDefault="00C819AD" w:rsidP="004F61AC">
      <w:pPr>
        <w:rPr>
          <w:lang w:val="fr-FR"/>
        </w:rPr>
      </w:pPr>
    </w:p>
    <w:p w:rsidR="00C819AD" w:rsidRPr="00C819AD" w:rsidRDefault="00C819AD" w:rsidP="004F61AC">
      <w:pPr>
        <w:rPr>
          <w:lang w:val="fr-FR"/>
        </w:rPr>
      </w:pPr>
    </w:p>
    <w:p w:rsidR="00C819AD" w:rsidRPr="00C819AD" w:rsidRDefault="00C819AD" w:rsidP="00C819AD">
      <w:pPr>
        <w:pStyle w:val="ONUME"/>
        <w:numPr>
          <w:ilvl w:val="0"/>
          <w:numId w:val="0"/>
        </w:numPr>
        <w:ind w:left="720" w:hanging="11"/>
        <w:rPr>
          <w:lang w:val="fr-FR"/>
        </w:rPr>
      </w:pPr>
      <w:r w:rsidRPr="00C819AD">
        <w:rPr>
          <w:lang w:val="fr-FR"/>
        </w:rPr>
        <w:t>“La modification de la règle 45</w:t>
      </w:r>
      <w:r w:rsidRPr="00C819AD">
        <w:rPr>
          <w:i/>
          <w:lang w:val="fr-FR"/>
        </w:rPr>
        <w:t>bis</w:t>
      </w:r>
      <w:r w:rsidRPr="00C819AD">
        <w:rPr>
          <w:lang w:val="fr-FR"/>
        </w:rPr>
        <w:t>.1.a) entrera en vigueur le</w:t>
      </w:r>
      <w:r w:rsidR="00D76C92">
        <w:rPr>
          <w:lang w:val="fr-FR"/>
        </w:rPr>
        <w:t xml:space="preserve"> 1</w:t>
      </w:r>
      <w:r w:rsidR="00D76C92" w:rsidRPr="00D76C92">
        <w:rPr>
          <w:vertAlign w:val="superscript"/>
          <w:lang w:val="fr-FR"/>
        </w:rPr>
        <w:t>er</w:t>
      </w:r>
      <w:r w:rsidR="00D76C92">
        <w:rPr>
          <w:lang w:val="fr-FR"/>
        </w:rPr>
        <w:t> </w:t>
      </w:r>
      <w:r w:rsidRPr="00C819AD">
        <w:rPr>
          <w:lang w:val="fr-FR"/>
        </w:rPr>
        <w:t>juillet 2017 et s</w:t>
      </w:r>
      <w:r w:rsidR="00D76C92">
        <w:rPr>
          <w:lang w:val="fr-FR"/>
        </w:rPr>
        <w:t>’</w:t>
      </w:r>
      <w:r w:rsidRPr="00C819AD">
        <w:rPr>
          <w:lang w:val="fr-FR"/>
        </w:rPr>
        <w:t xml:space="preserve">appliquera à toute demande internationale, quelle que soit sa date de dépôt international, </w:t>
      </w:r>
      <w:r w:rsidR="00D76C92">
        <w:rPr>
          <w:lang w:val="fr-FR"/>
        </w:rPr>
        <w:t>à l’égard</w:t>
      </w:r>
      <w:r w:rsidRPr="00C819AD">
        <w:rPr>
          <w:lang w:val="fr-FR"/>
        </w:rPr>
        <w:t xml:space="preserve"> de laquelle le délai prévu pour présenter une demande de recherche internationale supplémentaire selon la règle 45</w:t>
      </w:r>
      <w:r w:rsidRPr="00C819AD">
        <w:rPr>
          <w:i/>
          <w:lang w:val="fr-FR"/>
        </w:rPr>
        <w:t>bis</w:t>
      </w:r>
      <w:r w:rsidRPr="00C819AD">
        <w:rPr>
          <w:lang w:val="fr-FR"/>
        </w:rPr>
        <w:t>.1.a), telle qu</w:t>
      </w:r>
      <w:r w:rsidR="00D76C92">
        <w:rPr>
          <w:lang w:val="fr-FR"/>
        </w:rPr>
        <w:t>’</w:t>
      </w:r>
      <w:r w:rsidRPr="00C819AD">
        <w:rPr>
          <w:lang w:val="fr-FR"/>
        </w:rPr>
        <w:t>elle est en vigueur jusqu</w:t>
      </w:r>
      <w:r w:rsidR="00D76C92">
        <w:rPr>
          <w:lang w:val="fr-FR"/>
        </w:rPr>
        <w:t>’</w:t>
      </w:r>
      <w:r w:rsidRPr="00C819AD">
        <w:rPr>
          <w:lang w:val="fr-FR"/>
        </w:rPr>
        <w:t>au 30 juin 2017, n</w:t>
      </w:r>
      <w:r w:rsidR="00D76C92">
        <w:rPr>
          <w:lang w:val="fr-FR"/>
        </w:rPr>
        <w:t>’</w:t>
      </w:r>
      <w:r w:rsidRPr="00C819AD">
        <w:rPr>
          <w:lang w:val="fr-FR"/>
        </w:rPr>
        <w:t>a pas encore expiré au</w:t>
      </w:r>
      <w:r w:rsidR="00D76C92">
        <w:rPr>
          <w:lang w:val="fr-FR"/>
        </w:rPr>
        <w:t xml:space="preserve"> 1</w:t>
      </w:r>
      <w:r w:rsidR="00D76C92" w:rsidRPr="00D76C92">
        <w:rPr>
          <w:vertAlign w:val="superscript"/>
          <w:lang w:val="fr-FR"/>
        </w:rPr>
        <w:t>er</w:t>
      </w:r>
      <w:r w:rsidR="00D76C92">
        <w:rPr>
          <w:lang w:val="fr-FR"/>
        </w:rPr>
        <w:t> </w:t>
      </w:r>
      <w:r w:rsidRPr="00C819AD">
        <w:rPr>
          <w:lang w:val="fr-FR"/>
        </w:rPr>
        <w:t>juillet 2017.”</w:t>
      </w:r>
    </w:p>
    <w:p w:rsidR="00C819AD" w:rsidRPr="00C819AD" w:rsidRDefault="00C819AD" w:rsidP="00C819AD">
      <w:pPr>
        <w:pStyle w:val="ONUME"/>
        <w:numPr>
          <w:ilvl w:val="0"/>
          <w:numId w:val="0"/>
        </w:numPr>
        <w:ind w:left="720" w:hanging="11"/>
        <w:rPr>
          <w:lang w:val="fr-FR"/>
        </w:rPr>
      </w:pPr>
      <w:r w:rsidRPr="00C819AD">
        <w:rPr>
          <w:lang w:val="fr-FR"/>
        </w:rPr>
        <w:t>“Les modifications de la règle 23</w:t>
      </w:r>
      <w:r w:rsidRPr="00C819AD">
        <w:rPr>
          <w:i/>
          <w:lang w:val="fr-FR"/>
        </w:rPr>
        <w:t>bis</w:t>
      </w:r>
      <w:r w:rsidRPr="00C819AD">
        <w:rPr>
          <w:lang w:val="fr-FR"/>
        </w:rPr>
        <w:t>.2 entreront en vigueur le</w:t>
      </w:r>
      <w:r w:rsidR="00D76C92">
        <w:rPr>
          <w:lang w:val="fr-FR"/>
        </w:rPr>
        <w:t xml:space="preserve"> 1</w:t>
      </w:r>
      <w:r w:rsidR="00D76C92" w:rsidRPr="00D76C92">
        <w:rPr>
          <w:vertAlign w:val="superscript"/>
          <w:lang w:val="fr-FR"/>
        </w:rPr>
        <w:t>er</w:t>
      </w:r>
      <w:r w:rsidR="00D76C92">
        <w:rPr>
          <w:lang w:val="fr-FR"/>
        </w:rPr>
        <w:t> </w:t>
      </w:r>
      <w:r w:rsidRPr="00C819AD">
        <w:rPr>
          <w:lang w:val="fr-FR"/>
        </w:rPr>
        <w:t>juillet 2017 et s</w:t>
      </w:r>
      <w:r w:rsidR="00D76C92">
        <w:rPr>
          <w:lang w:val="fr-FR"/>
        </w:rPr>
        <w:t>’</w:t>
      </w:r>
      <w:r w:rsidRPr="00C819AD">
        <w:rPr>
          <w:lang w:val="fr-FR"/>
        </w:rPr>
        <w:t>appliqueront à toute demande internationale dont la date de dépôt international est le</w:t>
      </w:r>
      <w:r w:rsidR="00D76C92">
        <w:rPr>
          <w:lang w:val="fr-FR"/>
        </w:rPr>
        <w:t xml:space="preserve"> 1</w:t>
      </w:r>
      <w:r w:rsidR="00D76C92" w:rsidRPr="00D76C92">
        <w:rPr>
          <w:vertAlign w:val="superscript"/>
          <w:lang w:val="fr-FR"/>
        </w:rPr>
        <w:t>er</w:t>
      </w:r>
      <w:r w:rsidR="00D76C92">
        <w:rPr>
          <w:lang w:val="fr-FR"/>
        </w:rPr>
        <w:t> </w:t>
      </w:r>
      <w:r w:rsidRPr="00C819AD">
        <w:rPr>
          <w:lang w:val="fr-FR"/>
        </w:rPr>
        <w:t>juillet 2017 ou une date postérieure.”</w:t>
      </w:r>
    </w:p>
    <w:p w:rsidR="00C819AD" w:rsidRPr="00C819AD" w:rsidRDefault="00C819AD" w:rsidP="00C819AD">
      <w:pPr>
        <w:pStyle w:val="ONUME"/>
        <w:numPr>
          <w:ilvl w:val="0"/>
          <w:numId w:val="0"/>
        </w:numPr>
        <w:ind w:left="720" w:hanging="11"/>
        <w:rPr>
          <w:lang w:val="fr-FR"/>
        </w:rPr>
      </w:pPr>
      <w:r w:rsidRPr="00C819AD">
        <w:rPr>
          <w:lang w:val="fr-FR"/>
        </w:rPr>
        <w:t>“Les modifications des règles 4.10 et 51</w:t>
      </w:r>
      <w:r w:rsidRPr="00C819AD">
        <w:rPr>
          <w:i/>
          <w:lang w:val="fr-FR"/>
        </w:rPr>
        <w:t>bis</w:t>
      </w:r>
      <w:r w:rsidRPr="00C819AD">
        <w:rPr>
          <w:lang w:val="fr-FR"/>
        </w:rPr>
        <w:t>.1) entreront en vigueur le</w:t>
      </w:r>
      <w:r w:rsidR="00D76C92">
        <w:rPr>
          <w:lang w:val="fr-FR"/>
        </w:rPr>
        <w:t xml:space="preserve"> 1</w:t>
      </w:r>
      <w:r w:rsidR="00D76C92" w:rsidRPr="00D76C92">
        <w:rPr>
          <w:vertAlign w:val="superscript"/>
          <w:lang w:val="fr-FR"/>
        </w:rPr>
        <w:t>er</w:t>
      </w:r>
      <w:r w:rsidR="00D76C92">
        <w:rPr>
          <w:lang w:val="fr-FR"/>
        </w:rPr>
        <w:t> </w:t>
      </w:r>
      <w:r w:rsidRPr="00C819AD">
        <w:rPr>
          <w:lang w:val="fr-FR"/>
        </w:rPr>
        <w:t>juillet 2017.”</w:t>
      </w:r>
    </w:p>
    <w:p w:rsidR="00C819AD" w:rsidRPr="00C819AD" w:rsidRDefault="00C819AD" w:rsidP="00AE6C72">
      <w:pPr>
        <w:rPr>
          <w:lang w:val="fr-FR"/>
        </w:rPr>
      </w:pPr>
    </w:p>
    <w:p w:rsidR="00C819AD" w:rsidRPr="00C819AD" w:rsidRDefault="00C819AD" w:rsidP="00AE6C72">
      <w:pPr>
        <w:rPr>
          <w:lang w:val="fr-FR"/>
        </w:rPr>
      </w:pPr>
    </w:p>
    <w:p w:rsidR="00C819AD" w:rsidRPr="00C819AD" w:rsidRDefault="00C819AD" w:rsidP="00700BED">
      <w:pPr>
        <w:pStyle w:val="Endofdocument-Annex"/>
        <w:rPr>
          <w:lang w:val="fr-FR"/>
        </w:rPr>
      </w:pPr>
      <w:r w:rsidRPr="00C819AD">
        <w:rPr>
          <w:lang w:val="fr-FR"/>
        </w:rPr>
        <w:t>[Fin de l</w:t>
      </w:r>
      <w:r w:rsidR="00D76C92">
        <w:rPr>
          <w:lang w:val="fr-FR"/>
        </w:rPr>
        <w:t>’</w:t>
      </w:r>
      <w:r w:rsidRPr="00C819AD">
        <w:rPr>
          <w:lang w:val="fr-FR"/>
        </w:rPr>
        <w:t>annexe II et du document]</w:t>
      </w:r>
    </w:p>
    <w:sectPr w:rsidR="00C819AD" w:rsidRPr="00C819AD" w:rsidSect="00911676">
      <w:head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FE" w:rsidRDefault="002932FE">
      <w:r>
        <w:separator/>
      </w:r>
    </w:p>
  </w:endnote>
  <w:endnote w:type="continuationSeparator" w:id="0">
    <w:p w:rsidR="002932FE" w:rsidRDefault="002932FE" w:rsidP="003B38C1">
      <w:r>
        <w:separator/>
      </w:r>
    </w:p>
    <w:p w:rsidR="002932FE" w:rsidRPr="000F087F" w:rsidRDefault="002932FE" w:rsidP="003B38C1">
      <w:pPr>
        <w:spacing w:after="60"/>
        <w:rPr>
          <w:sz w:val="17"/>
          <w:lang w:val="en-US"/>
        </w:rPr>
      </w:pPr>
      <w:r w:rsidRPr="000F087F">
        <w:rPr>
          <w:sz w:val="17"/>
          <w:lang w:val="en-US"/>
        </w:rPr>
        <w:t>[Endnote continued from previous page]</w:t>
      </w:r>
    </w:p>
  </w:endnote>
  <w:endnote w:type="continuationNotice" w:id="1">
    <w:p w:rsidR="002932FE" w:rsidRPr="000F087F" w:rsidRDefault="002932FE" w:rsidP="003B38C1">
      <w:pPr>
        <w:spacing w:before="60"/>
        <w:jc w:val="right"/>
        <w:rPr>
          <w:sz w:val="17"/>
          <w:szCs w:val="17"/>
          <w:lang w:val="en-US"/>
        </w:rPr>
      </w:pPr>
      <w:r w:rsidRPr="000F087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AD" w:rsidRPr="00A720B2" w:rsidRDefault="00C819AD" w:rsidP="00A72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76" w:rsidRPr="003008DF" w:rsidRDefault="00911676" w:rsidP="00300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FE" w:rsidRDefault="002932FE">
      <w:r>
        <w:separator/>
      </w:r>
    </w:p>
  </w:footnote>
  <w:footnote w:type="continuationSeparator" w:id="0">
    <w:p w:rsidR="002932FE" w:rsidRDefault="002932FE" w:rsidP="008B60B2">
      <w:r>
        <w:separator/>
      </w:r>
    </w:p>
    <w:p w:rsidR="002932FE" w:rsidRPr="000F087F" w:rsidRDefault="002932FE" w:rsidP="008B60B2">
      <w:pPr>
        <w:spacing w:after="60"/>
        <w:rPr>
          <w:sz w:val="17"/>
          <w:szCs w:val="17"/>
          <w:lang w:val="en-US"/>
        </w:rPr>
      </w:pPr>
      <w:r w:rsidRPr="000F087F">
        <w:rPr>
          <w:sz w:val="17"/>
          <w:szCs w:val="17"/>
          <w:lang w:val="en-US"/>
        </w:rPr>
        <w:t>[Footnote continued from previous page]</w:t>
      </w:r>
    </w:p>
  </w:footnote>
  <w:footnote w:type="continuationNotice" w:id="1">
    <w:p w:rsidR="002932FE" w:rsidRPr="000F087F" w:rsidRDefault="002932FE" w:rsidP="008B60B2">
      <w:pPr>
        <w:spacing w:before="60"/>
        <w:jc w:val="right"/>
        <w:rPr>
          <w:sz w:val="17"/>
          <w:szCs w:val="17"/>
          <w:lang w:val="en-US"/>
        </w:rPr>
      </w:pPr>
      <w:r w:rsidRPr="000F087F">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AD" w:rsidRDefault="00C819AD" w:rsidP="00E4676F">
    <w:pPr>
      <w:jc w:val="right"/>
    </w:pPr>
    <w:bookmarkStart w:id="6" w:name="Code2"/>
    <w:bookmarkEnd w:id="6"/>
    <w:r>
      <w:t>PCT/A/48/5</w:t>
    </w:r>
  </w:p>
  <w:p w:rsidR="00C819AD" w:rsidRDefault="00E4676F" w:rsidP="00477D6B">
    <w:pPr>
      <w:jc w:val="right"/>
    </w:pPr>
    <w:proofErr w:type="gramStart"/>
    <w:r>
      <w:t>p</w:t>
    </w:r>
    <w:r w:rsidR="00C819AD">
      <w:t>age</w:t>
    </w:r>
    <w:proofErr w:type="gramEnd"/>
    <w:r>
      <w:t> </w:t>
    </w:r>
    <w:r w:rsidR="00C819AD">
      <w:fldChar w:fldCharType="begin"/>
    </w:r>
    <w:r w:rsidR="00C819AD">
      <w:instrText xml:space="preserve"> PAGE  \* MERGEFORMAT </w:instrText>
    </w:r>
    <w:r w:rsidR="00C819AD">
      <w:fldChar w:fldCharType="separate"/>
    </w:r>
    <w:r w:rsidR="000F087F">
      <w:rPr>
        <w:noProof/>
      </w:rPr>
      <w:t>13</w:t>
    </w:r>
    <w:r w:rsidR="00C819AD">
      <w:fldChar w:fldCharType="end"/>
    </w:r>
  </w:p>
  <w:p w:rsidR="00C819AD" w:rsidRDefault="00C819A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AD" w:rsidRPr="004F61AC" w:rsidRDefault="00C819AD" w:rsidP="00477D6B">
    <w:pPr>
      <w:jc w:val="right"/>
    </w:pPr>
    <w:r w:rsidRPr="004F61AC">
      <w:t>PCT/A/48/5</w:t>
    </w:r>
  </w:p>
  <w:p w:rsidR="00C819AD" w:rsidRPr="004F61AC" w:rsidRDefault="00C819AD" w:rsidP="00477D6B">
    <w:pPr>
      <w:jc w:val="right"/>
    </w:pPr>
    <w:r w:rsidRPr="004F61AC">
      <w:t>Annex</w:t>
    </w:r>
    <w:r>
      <w:t>e</w:t>
    </w:r>
    <w:r w:rsidRPr="004F61AC">
      <w:t> I, page</w:t>
    </w:r>
    <w:r w:rsidR="00E4676F">
      <w:t> </w:t>
    </w:r>
    <w:r>
      <w:fldChar w:fldCharType="begin"/>
    </w:r>
    <w:r w:rsidRPr="004F61AC">
      <w:instrText xml:space="preserve"> PAGE  \* MERGEFORMAT </w:instrText>
    </w:r>
    <w:r>
      <w:fldChar w:fldCharType="separate"/>
    </w:r>
    <w:r w:rsidR="000F087F">
      <w:rPr>
        <w:noProof/>
      </w:rPr>
      <w:t>5</w:t>
    </w:r>
    <w:r>
      <w:fldChar w:fldCharType="end"/>
    </w:r>
  </w:p>
  <w:p w:rsidR="00C819AD" w:rsidRPr="004F61AC" w:rsidRDefault="00C819A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9AD" w:rsidRDefault="00C819AD" w:rsidP="00AE6C72">
    <w:pPr>
      <w:jc w:val="right"/>
    </w:pPr>
    <w:r>
      <w:t>PCT/A/48/5</w:t>
    </w:r>
  </w:p>
  <w:p w:rsidR="00C819AD" w:rsidRDefault="00C819AD" w:rsidP="00AE6C72">
    <w:pPr>
      <w:jc w:val="right"/>
    </w:pPr>
    <w:r>
      <w:t>ANNEXE I</w:t>
    </w:r>
  </w:p>
  <w:p w:rsidR="00C819AD" w:rsidRDefault="00C819AD" w:rsidP="00AE6C7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184" w:rsidRDefault="00C84184" w:rsidP="00C84184">
    <w:pPr>
      <w:pStyle w:val="Header"/>
      <w:jc w:val="right"/>
    </w:pPr>
    <w:r>
      <w:t xml:space="preserve">PCT/A/48/5 </w:t>
    </w:r>
    <w:proofErr w:type="spellStart"/>
    <w:r>
      <w:t>Prov</w:t>
    </w:r>
    <w:proofErr w:type="spellEnd"/>
    <w:r>
      <w:t>.</w:t>
    </w:r>
  </w:p>
  <w:p w:rsidR="00C84184" w:rsidRDefault="00C84184" w:rsidP="00C84184">
    <w:pPr>
      <w:pStyle w:val="Header"/>
      <w:jc w:val="right"/>
    </w:pPr>
    <w:proofErr w:type="gramStart"/>
    <w:r>
      <w:t>page</w:t>
    </w:r>
    <w:proofErr w:type="gramEnd"/>
    <w:r>
      <w:t xml:space="preserve"> </w:t>
    </w:r>
    <w:r>
      <w:fldChar w:fldCharType="begin"/>
    </w:r>
    <w:r>
      <w:instrText>PAGE   \* MERGEFORMAT</w:instrText>
    </w:r>
    <w:r>
      <w:fldChar w:fldCharType="separate"/>
    </w:r>
    <w:r w:rsidR="002A7E54">
      <w:rPr>
        <w:noProof/>
      </w:rPr>
      <w:t>5</w:t>
    </w:r>
    <w:r>
      <w:fldChar w:fldCharType="end"/>
    </w:r>
  </w:p>
  <w:p w:rsidR="00C84184" w:rsidRDefault="00C84184" w:rsidP="00C84184">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C92" w:rsidRDefault="00D76C92" w:rsidP="00AE6C72">
    <w:pPr>
      <w:jc w:val="right"/>
    </w:pPr>
    <w:r>
      <w:t>PCT/A/48/5</w:t>
    </w:r>
  </w:p>
  <w:p w:rsidR="00D76C92" w:rsidRDefault="00D76C92" w:rsidP="00AE6C72">
    <w:pPr>
      <w:jc w:val="right"/>
    </w:pPr>
    <w:r>
      <w:t>ANNEXE II</w:t>
    </w:r>
  </w:p>
  <w:p w:rsidR="00D76C92" w:rsidRDefault="00D76C92" w:rsidP="00AE6C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IP in General\Academy|TextBase TMs\IP in General\Arbitration and Mediation|TextBase TMs\IP in General\Meetings|TextBase TMs\IP in General\Other|TextBase TMs\IP in General\Press Room|TextBase TMs\IP in General\Publications|TextBase TMs\IP in General\SpeechDG2014|TextBase TMs\Copyright\Meetings|TextBase TMs\Copyright\Other|TextBase TMs\Copyright\Publications|TextBase TMs\Budget and Finance\Meetings|TextBase TMs\Budget and Finance\Other|TextBase TMs\Budget and Finance\Publications|TextBase TMs\Administrative\Meetings|TextBase TMs\Administrative\Other|TextBase TMs\Administrative\Publications|TextBase TMs\Trademarks\Meetings|TextBase TMs\Trademarks\Other|TextBase TMs\Trademarks\Publications|TextBase TMs\Patents\Meetings|TextBase TMs\Patents\Other|TextBase TMs\Patents\Publications|TextBase TMs\Treaties\Model Laws|TextBase TMs\Treaties\Other Laws and Agreements|TextBase TMs\Treaties\WIPO-administered"/>
    <w:docVar w:name="TextBaseURL" w:val="empty"/>
    <w:docVar w:name="UILng" w:val="en"/>
  </w:docVars>
  <w:rsids>
    <w:rsidRoot w:val="004D0739"/>
    <w:rsid w:val="00023345"/>
    <w:rsid w:val="00026C2E"/>
    <w:rsid w:val="00043CAA"/>
    <w:rsid w:val="00075432"/>
    <w:rsid w:val="00087D01"/>
    <w:rsid w:val="0009423C"/>
    <w:rsid w:val="000968ED"/>
    <w:rsid w:val="00097292"/>
    <w:rsid w:val="000A2446"/>
    <w:rsid w:val="000B6D50"/>
    <w:rsid w:val="000C5D89"/>
    <w:rsid w:val="000C7E49"/>
    <w:rsid w:val="000F087F"/>
    <w:rsid w:val="000F5E56"/>
    <w:rsid w:val="00111F8E"/>
    <w:rsid w:val="00122FC5"/>
    <w:rsid w:val="001362EE"/>
    <w:rsid w:val="00153EB7"/>
    <w:rsid w:val="00170809"/>
    <w:rsid w:val="001832A6"/>
    <w:rsid w:val="001B325F"/>
    <w:rsid w:val="001C0AC5"/>
    <w:rsid w:val="001C1EF3"/>
    <w:rsid w:val="001F4B62"/>
    <w:rsid w:val="002222A5"/>
    <w:rsid w:val="00224D0F"/>
    <w:rsid w:val="0025106A"/>
    <w:rsid w:val="002533C8"/>
    <w:rsid w:val="00260F57"/>
    <w:rsid w:val="00262645"/>
    <w:rsid w:val="002634C4"/>
    <w:rsid w:val="0028213F"/>
    <w:rsid w:val="00284842"/>
    <w:rsid w:val="00291E66"/>
    <w:rsid w:val="002928D3"/>
    <w:rsid w:val="002932FE"/>
    <w:rsid w:val="00295A60"/>
    <w:rsid w:val="002A1FF8"/>
    <w:rsid w:val="002A7E54"/>
    <w:rsid w:val="002B3EAE"/>
    <w:rsid w:val="002C5DE3"/>
    <w:rsid w:val="002D2E9A"/>
    <w:rsid w:val="002E1E3D"/>
    <w:rsid w:val="002E2003"/>
    <w:rsid w:val="002F1FE6"/>
    <w:rsid w:val="002F4E68"/>
    <w:rsid w:val="003008DF"/>
    <w:rsid w:val="00312F7F"/>
    <w:rsid w:val="00317E0C"/>
    <w:rsid w:val="00321D59"/>
    <w:rsid w:val="003228B7"/>
    <w:rsid w:val="00325AB4"/>
    <w:rsid w:val="00363563"/>
    <w:rsid w:val="003673CF"/>
    <w:rsid w:val="003730DF"/>
    <w:rsid w:val="00375F17"/>
    <w:rsid w:val="003845C1"/>
    <w:rsid w:val="00391F22"/>
    <w:rsid w:val="003A6F89"/>
    <w:rsid w:val="003B38C1"/>
    <w:rsid w:val="003D7999"/>
    <w:rsid w:val="003F2628"/>
    <w:rsid w:val="003F5629"/>
    <w:rsid w:val="004133DC"/>
    <w:rsid w:val="004149D3"/>
    <w:rsid w:val="00414ACC"/>
    <w:rsid w:val="0042040D"/>
    <w:rsid w:val="00423E3E"/>
    <w:rsid w:val="00427AF4"/>
    <w:rsid w:val="004400E2"/>
    <w:rsid w:val="004647DA"/>
    <w:rsid w:val="00474062"/>
    <w:rsid w:val="00477D6B"/>
    <w:rsid w:val="00482618"/>
    <w:rsid w:val="0049691D"/>
    <w:rsid w:val="004C71F5"/>
    <w:rsid w:val="004D0739"/>
    <w:rsid w:val="004D74B1"/>
    <w:rsid w:val="004F61AC"/>
    <w:rsid w:val="00505C1B"/>
    <w:rsid w:val="00527719"/>
    <w:rsid w:val="0053057A"/>
    <w:rsid w:val="00554540"/>
    <w:rsid w:val="005604E6"/>
    <w:rsid w:val="00560A29"/>
    <w:rsid w:val="005D39A4"/>
    <w:rsid w:val="005E221F"/>
    <w:rsid w:val="005F1F64"/>
    <w:rsid w:val="00605827"/>
    <w:rsid w:val="00607176"/>
    <w:rsid w:val="0061018C"/>
    <w:rsid w:val="00646050"/>
    <w:rsid w:val="00652B7E"/>
    <w:rsid w:val="006556C0"/>
    <w:rsid w:val="006713CA"/>
    <w:rsid w:val="00675A19"/>
    <w:rsid w:val="00676C5C"/>
    <w:rsid w:val="006816C4"/>
    <w:rsid w:val="00686599"/>
    <w:rsid w:val="006951CA"/>
    <w:rsid w:val="00697194"/>
    <w:rsid w:val="006B4CC2"/>
    <w:rsid w:val="006D3EE3"/>
    <w:rsid w:val="007058FB"/>
    <w:rsid w:val="00711A69"/>
    <w:rsid w:val="0073249C"/>
    <w:rsid w:val="0074087E"/>
    <w:rsid w:val="00741610"/>
    <w:rsid w:val="0077544E"/>
    <w:rsid w:val="0078041D"/>
    <w:rsid w:val="00780B97"/>
    <w:rsid w:val="007956CB"/>
    <w:rsid w:val="007B6A58"/>
    <w:rsid w:val="007D1613"/>
    <w:rsid w:val="007D2A90"/>
    <w:rsid w:val="007D3C00"/>
    <w:rsid w:val="007E0363"/>
    <w:rsid w:val="00800EAA"/>
    <w:rsid w:val="00820C6F"/>
    <w:rsid w:val="00821F42"/>
    <w:rsid w:val="00841B8A"/>
    <w:rsid w:val="00851C89"/>
    <w:rsid w:val="00855670"/>
    <w:rsid w:val="0085702C"/>
    <w:rsid w:val="008571E5"/>
    <w:rsid w:val="00867252"/>
    <w:rsid w:val="00897C4C"/>
    <w:rsid w:val="008B2CC1"/>
    <w:rsid w:val="008B5F45"/>
    <w:rsid w:val="008B60B2"/>
    <w:rsid w:val="008C67CA"/>
    <w:rsid w:val="008D3878"/>
    <w:rsid w:val="0090731E"/>
    <w:rsid w:val="0091040F"/>
    <w:rsid w:val="00911676"/>
    <w:rsid w:val="00912972"/>
    <w:rsid w:val="00916EE2"/>
    <w:rsid w:val="00931688"/>
    <w:rsid w:val="00960D23"/>
    <w:rsid w:val="00962341"/>
    <w:rsid w:val="00966A22"/>
    <w:rsid w:val="0096722F"/>
    <w:rsid w:val="00970211"/>
    <w:rsid w:val="0097184C"/>
    <w:rsid w:val="00971BCF"/>
    <w:rsid w:val="00980843"/>
    <w:rsid w:val="00990320"/>
    <w:rsid w:val="00994D69"/>
    <w:rsid w:val="009A60C7"/>
    <w:rsid w:val="009B2503"/>
    <w:rsid w:val="009D32D6"/>
    <w:rsid w:val="009D4FCB"/>
    <w:rsid w:val="009E2791"/>
    <w:rsid w:val="009E3F6F"/>
    <w:rsid w:val="009F499F"/>
    <w:rsid w:val="00A153DA"/>
    <w:rsid w:val="00A16A63"/>
    <w:rsid w:val="00A42DAF"/>
    <w:rsid w:val="00A45BD8"/>
    <w:rsid w:val="00A57AE4"/>
    <w:rsid w:val="00A80952"/>
    <w:rsid w:val="00A84AD0"/>
    <w:rsid w:val="00A85B8E"/>
    <w:rsid w:val="00A968F1"/>
    <w:rsid w:val="00AC205C"/>
    <w:rsid w:val="00AE3C6B"/>
    <w:rsid w:val="00AE4546"/>
    <w:rsid w:val="00AE5C2C"/>
    <w:rsid w:val="00AE6C72"/>
    <w:rsid w:val="00AF1269"/>
    <w:rsid w:val="00AF794E"/>
    <w:rsid w:val="00B03381"/>
    <w:rsid w:val="00B03F85"/>
    <w:rsid w:val="00B05A69"/>
    <w:rsid w:val="00B124F8"/>
    <w:rsid w:val="00B2095E"/>
    <w:rsid w:val="00B3775A"/>
    <w:rsid w:val="00B4238F"/>
    <w:rsid w:val="00B43442"/>
    <w:rsid w:val="00B45716"/>
    <w:rsid w:val="00B61FDE"/>
    <w:rsid w:val="00B8292D"/>
    <w:rsid w:val="00B92181"/>
    <w:rsid w:val="00B9734B"/>
    <w:rsid w:val="00BA654A"/>
    <w:rsid w:val="00BE5F33"/>
    <w:rsid w:val="00C11BFE"/>
    <w:rsid w:val="00C139FF"/>
    <w:rsid w:val="00C47AAB"/>
    <w:rsid w:val="00C7168A"/>
    <w:rsid w:val="00C819AD"/>
    <w:rsid w:val="00C84184"/>
    <w:rsid w:val="00C94629"/>
    <w:rsid w:val="00C9618F"/>
    <w:rsid w:val="00CA06D9"/>
    <w:rsid w:val="00CA2B00"/>
    <w:rsid w:val="00CB500E"/>
    <w:rsid w:val="00CE4DF6"/>
    <w:rsid w:val="00CF2A22"/>
    <w:rsid w:val="00D01CBE"/>
    <w:rsid w:val="00D02669"/>
    <w:rsid w:val="00D11DAF"/>
    <w:rsid w:val="00D27970"/>
    <w:rsid w:val="00D3409C"/>
    <w:rsid w:val="00D45252"/>
    <w:rsid w:val="00D6022B"/>
    <w:rsid w:val="00D71B4D"/>
    <w:rsid w:val="00D76C92"/>
    <w:rsid w:val="00D90D6C"/>
    <w:rsid w:val="00D93D55"/>
    <w:rsid w:val="00D94DA5"/>
    <w:rsid w:val="00D9790D"/>
    <w:rsid w:val="00DA77D4"/>
    <w:rsid w:val="00DB5730"/>
    <w:rsid w:val="00DE631B"/>
    <w:rsid w:val="00DF5DB7"/>
    <w:rsid w:val="00E335FE"/>
    <w:rsid w:val="00E40B03"/>
    <w:rsid w:val="00E43A67"/>
    <w:rsid w:val="00E44CC8"/>
    <w:rsid w:val="00E4676F"/>
    <w:rsid w:val="00E4699E"/>
    <w:rsid w:val="00E5021F"/>
    <w:rsid w:val="00E525C0"/>
    <w:rsid w:val="00E5268C"/>
    <w:rsid w:val="00E613E0"/>
    <w:rsid w:val="00E661D7"/>
    <w:rsid w:val="00E717DA"/>
    <w:rsid w:val="00E72E38"/>
    <w:rsid w:val="00EA05F9"/>
    <w:rsid w:val="00EA0E4D"/>
    <w:rsid w:val="00EC4E49"/>
    <w:rsid w:val="00ED1BD9"/>
    <w:rsid w:val="00ED481F"/>
    <w:rsid w:val="00ED77FB"/>
    <w:rsid w:val="00EF323A"/>
    <w:rsid w:val="00F021A6"/>
    <w:rsid w:val="00F06AFE"/>
    <w:rsid w:val="00F10210"/>
    <w:rsid w:val="00F305F5"/>
    <w:rsid w:val="00F331B5"/>
    <w:rsid w:val="00F66152"/>
    <w:rsid w:val="00F80CFF"/>
    <w:rsid w:val="00F85CC0"/>
    <w:rsid w:val="00FA3BBE"/>
    <w:rsid w:val="00FA42CF"/>
    <w:rsid w:val="00FB1117"/>
    <w:rsid w:val="00FE1894"/>
    <w:rsid w:val="00FE79B1"/>
    <w:rsid w:val="00FF02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C72"/>
    <w:rPr>
      <w:rFonts w:ascii="Arial" w:eastAsia="SimSun" w:hAnsi="Arial" w:cs="Arial"/>
      <w:sz w:val="22"/>
      <w:lang w:val="fr-CH" w:eastAsia="zh-CN"/>
    </w:rPr>
  </w:style>
  <w:style w:type="paragraph" w:styleId="Heading1">
    <w:name w:val="heading 1"/>
    <w:basedOn w:val="Normal"/>
    <w:next w:val="Normal"/>
    <w:link w:val="Heading1Char"/>
    <w:qFormat/>
    <w:rsid w:val="00AE6C72"/>
    <w:pPr>
      <w:keepNext/>
      <w:spacing w:before="240" w:after="60"/>
      <w:outlineLvl w:val="0"/>
    </w:pPr>
    <w:rPr>
      <w:b/>
      <w:bCs/>
      <w:caps/>
      <w:kern w:val="32"/>
      <w:szCs w:val="32"/>
    </w:rPr>
  </w:style>
  <w:style w:type="paragraph" w:styleId="Heading2">
    <w:name w:val="heading 2"/>
    <w:basedOn w:val="Normal"/>
    <w:next w:val="Normal"/>
    <w:link w:val="Heading2Char"/>
    <w:qFormat/>
    <w:rsid w:val="00AE6C72"/>
    <w:pPr>
      <w:keepNext/>
      <w:spacing w:before="240" w:after="60"/>
      <w:outlineLvl w:val="1"/>
    </w:pPr>
    <w:rPr>
      <w:bCs/>
      <w:iCs/>
      <w:caps/>
      <w:szCs w:val="28"/>
    </w:rPr>
  </w:style>
  <w:style w:type="paragraph" w:styleId="Heading3">
    <w:name w:val="heading 3"/>
    <w:basedOn w:val="Normal"/>
    <w:next w:val="Normal"/>
    <w:link w:val="Heading3Char"/>
    <w:qFormat/>
    <w:rsid w:val="00AE6C72"/>
    <w:pPr>
      <w:keepNext/>
      <w:spacing w:before="240" w:after="60"/>
      <w:outlineLvl w:val="2"/>
    </w:pPr>
    <w:rPr>
      <w:bCs/>
      <w:szCs w:val="26"/>
      <w:u w:val="single"/>
    </w:rPr>
  </w:style>
  <w:style w:type="paragraph" w:styleId="Heading4">
    <w:name w:val="heading 4"/>
    <w:basedOn w:val="Normal"/>
    <w:next w:val="Normal"/>
    <w:link w:val="Heading4Char"/>
    <w:qFormat/>
    <w:rsid w:val="00AE6C7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E6C72"/>
    <w:pPr>
      <w:ind w:left="5534"/>
    </w:pPr>
    <w:rPr>
      <w:lang w:val="en-US"/>
    </w:rPr>
  </w:style>
  <w:style w:type="paragraph" w:styleId="BodyText">
    <w:name w:val="Body Text"/>
    <w:basedOn w:val="Normal"/>
    <w:link w:val="BodyTextChar"/>
    <w:rsid w:val="00AE6C72"/>
    <w:pPr>
      <w:spacing w:after="220"/>
    </w:pPr>
  </w:style>
  <w:style w:type="paragraph" w:styleId="Caption">
    <w:name w:val="caption"/>
    <w:basedOn w:val="Normal"/>
    <w:next w:val="Normal"/>
    <w:qFormat/>
    <w:rsid w:val="00AE6C72"/>
    <w:rPr>
      <w:b/>
      <w:bCs/>
      <w:sz w:val="18"/>
    </w:rPr>
  </w:style>
  <w:style w:type="paragraph" w:styleId="CommentText">
    <w:name w:val="annotation text"/>
    <w:basedOn w:val="Normal"/>
    <w:link w:val="CommentTextChar"/>
    <w:semiHidden/>
    <w:rsid w:val="00AE6C72"/>
    <w:rPr>
      <w:sz w:val="18"/>
    </w:rPr>
  </w:style>
  <w:style w:type="paragraph" w:styleId="EndnoteText">
    <w:name w:val="endnote text"/>
    <w:basedOn w:val="Normal"/>
    <w:link w:val="EndnoteTextChar"/>
    <w:semiHidden/>
    <w:rsid w:val="00AE6C72"/>
    <w:rPr>
      <w:sz w:val="18"/>
    </w:rPr>
  </w:style>
  <w:style w:type="paragraph" w:styleId="Footer">
    <w:name w:val="footer"/>
    <w:basedOn w:val="Normal"/>
    <w:link w:val="FooterChar"/>
    <w:semiHidden/>
    <w:rsid w:val="00AE6C72"/>
    <w:pPr>
      <w:tabs>
        <w:tab w:val="center" w:pos="4320"/>
        <w:tab w:val="right" w:pos="8640"/>
      </w:tabs>
    </w:pPr>
  </w:style>
  <w:style w:type="paragraph" w:styleId="FootnoteText">
    <w:name w:val="footnote text"/>
    <w:basedOn w:val="Normal"/>
    <w:link w:val="FootnoteTextChar"/>
    <w:semiHidden/>
    <w:rsid w:val="00AE6C72"/>
    <w:rPr>
      <w:sz w:val="18"/>
    </w:rPr>
  </w:style>
  <w:style w:type="paragraph" w:styleId="Header">
    <w:name w:val="header"/>
    <w:basedOn w:val="Normal"/>
    <w:link w:val="HeaderChar"/>
    <w:rsid w:val="00AE6C72"/>
    <w:pPr>
      <w:tabs>
        <w:tab w:val="center" w:pos="4536"/>
        <w:tab w:val="right" w:pos="9072"/>
      </w:tabs>
    </w:pPr>
  </w:style>
  <w:style w:type="paragraph" w:styleId="ListNumber">
    <w:name w:val="List Number"/>
    <w:basedOn w:val="Normal"/>
    <w:semiHidden/>
    <w:rsid w:val="00AE6C72"/>
    <w:pPr>
      <w:numPr>
        <w:numId w:val="9"/>
      </w:numPr>
    </w:pPr>
  </w:style>
  <w:style w:type="paragraph" w:customStyle="1" w:styleId="ONUME">
    <w:name w:val="ONUM E"/>
    <w:basedOn w:val="BodyText"/>
    <w:rsid w:val="00AE6C72"/>
    <w:pPr>
      <w:numPr>
        <w:numId w:val="10"/>
      </w:numPr>
    </w:pPr>
  </w:style>
  <w:style w:type="paragraph" w:customStyle="1" w:styleId="ONUMFS">
    <w:name w:val="ONUM FS"/>
    <w:basedOn w:val="BodyText"/>
    <w:rsid w:val="00AE6C72"/>
    <w:pPr>
      <w:numPr>
        <w:numId w:val="11"/>
      </w:numPr>
    </w:pPr>
  </w:style>
  <w:style w:type="paragraph" w:styleId="Salutation">
    <w:name w:val="Salutation"/>
    <w:basedOn w:val="Normal"/>
    <w:next w:val="Normal"/>
    <w:link w:val="SalutationChar"/>
    <w:semiHidden/>
    <w:rsid w:val="00AE6C72"/>
  </w:style>
  <w:style w:type="paragraph" w:styleId="Signature">
    <w:name w:val="Signature"/>
    <w:basedOn w:val="Normal"/>
    <w:link w:val="SignatureChar"/>
    <w:semiHidden/>
    <w:rsid w:val="00AE6C72"/>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styleId="Hyperlink">
    <w:name w:val="Hyperlink"/>
    <w:basedOn w:val="DefaultParagraphFont"/>
    <w:uiPriority w:val="99"/>
    <w:unhideWhenUsed/>
    <w:rsid w:val="00FA3BBE"/>
    <w:rPr>
      <w:color w:val="0000FF" w:themeColor="hyperlink"/>
      <w:u w:val="single"/>
    </w:rPr>
  </w:style>
  <w:style w:type="paragraph" w:styleId="TOC1">
    <w:name w:val="toc 1"/>
    <w:basedOn w:val="Normal"/>
    <w:next w:val="Normal"/>
    <w:autoRedefine/>
    <w:uiPriority w:val="39"/>
    <w:unhideWhenUsed/>
    <w:rsid w:val="00BE5F33"/>
    <w:pPr>
      <w:keepLines/>
      <w:tabs>
        <w:tab w:val="right" w:leader="dot" w:pos="9345"/>
      </w:tabs>
      <w:spacing w:before="240" w:after="100"/>
      <w:ind w:right="567"/>
    </w:pPr>
  </w:style>
  <w:style w:type="paragraph" w:styleId="TOC2">
    <w:name w:val="toc 2"/>
    <w:basedOn w:val="Normal"/>
    <w:next w:val="Normal"/>
    <w:autoRedefine/>
    <w:uiPriority w:val="39"/>
    <w:unhideWhenUsed/>
    <w:rsid w:val="00FA3BBE"/>
    <w:pPr>
      <w:spacing w:after="100"/>
      <w:ind w:left="1072" w:right="567" w:hanging="851"/>
    </w:pPr>
  </w:style>
  <w:style w:type="paragraph" w:customStyle="1" w:styleId="LegTitle">
    <w:name w:val="Leg # Title"/>
    <w:basedOn w:val="Normal"/>
    <w:next w:val="Normal"/>
    <w:rsid w:val="00FA3BBE"/>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Normal"/>
    <w:rsid w:val="00FA3BBE"/>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Normal"/>
    <w:rsid w:val="00FA3BBE"/>
    <w:pPr>
      <w:tabs>
        <w:tab w:val="left" w:pos="454"/>
      </w:tabs>
      <w:snapToGrid w:val="0"/>
      <w:spacing w:before="119" w:after="480" w:line="480" w:lineRule="auto"/>
    </w:pPr>
    <w:rPr>
      <w:rFonts w:eastAsia="Times New Roman"/>
      <w:szCs w:val="22"/>
      <w:lang w:eastAsia="en-US"/>
    </w:rPr>
  </w:style>
  <w:style w:type="character" w:customStyle="1" w:styleId="RDeletedText">
    <w:name w:val="RDeletedText"/>
    <w:basedOn w:val="DefaultParagraphFont"/>
    <w:rsid w:val="00FA3BBE"/>
    <w:rPr>
      <w:strike/>
      <w:color w:val="FF0000"/>
    </w:rPr>
  </w:style>
  <w:style w:type="character" w:styleId="CommentReference">
    <w:name w:val="annotation reference"/>
    <w:basedOn w:val="DefaultParagraphFont"/>
    <w:rsid w:val="00317E0C"/>
    <w:rPr>
      <w:sz w:val="16"/>
      <w:szCs w:val="16"/>
    </w:rPr>
  </w:style>
  <w:style w:type="paragraph" w:styleId="CommentSubject">
    <w:name w:val="annotation subject"/>
    <w:basedOn w:val="CommentText"/>
    <w:next w:val="CommentText"/>
    <w:link w:val="CommentSubjectChar"/>
    <w:rsid w:val="00317E0C"/>
    <w:rPr>
      <w:b/>
      <w:bCs/>
      <w:sz w:val="20"/>
    </w:rPr>
  </w:style>
  <w:style w:type="character" w:customStyle="1" w:styleId="CommentTextChar">
    <w:name w:val="Comment Text Char"/>
    <w:basedOn w:val="DefaultParagraphFont"/>
    <w:link w:val="CommentText"/>
    <w:semiHidden/>
    <w:rsid w:val="00AE6C72"/>
    <w:rPr>
      <w:rFonts w:ascii="Arial" w:eastAsia="SimSun" w:hAnsi="Arial" w:cs="Arial"/>
      <w:sz w:val="18"/>
      <w:lang w:val="fr-CH" w:eastAsia="zh-CN"/>
    </w:rPr>
  </w:style>
  <w:style w:type="character" w:customStyle="1" w:styleId="CommentSubjectChar">
    <w:name w:val="Comment Subject Char"/>
    <w:basedOn w:val="CommentTextChar"/>
    <w:link w:val="CommentSubject"/>
    <w:rsid w:val="00317E0C"/>
    <w:rPr>
      <w:rFonts w:ascii="Arial" w:eastAsia="SimSun" w:hAnsi="Arial" w:cs="Arial"/>
      <w:b/>
      <w:bCs/>
      <w:sz w:val="18"/>
      <w:lang w:val="fr-CH" w:eastAsia="zh-CN"/>
    </w:rPr>
  </w:style>
  <w:style w:type="character" w:customStyle="1" w:styleId="BodyTextChar">
    <w:name w:val="Body Text Char"/>
    <w:basedOn w:val="DefaultParagraphFont"/>
    <w:link w:val="BodyText"/>
    <w:rsid w:val="00AE6C72"/>
    <w:rPr>
      <w:rFonts w:ascii="Arial" w:eastAsia="SimSun" w:hAnsi="Arial" w:cs="Arial"/>
      <w:sz w:val="22"/>
      <w:lang w:val="fr-CH" w:eastAsia="zh-CN"/>
    </w:rPr>
  </w:style>
  <w:style w:type="character" w:customStyle="1" w:styleId="EndnoteTextChar">
    <w:name w:val="Endnote Text Char"/>
    <w:basedOn w:val="DefaultParagraphFont"/>
    <w:link w:val="EndnoteText"/>
    <w:semiHidden/>
    <w:rsid w:val="00AE6C72"/>
    <w:rPr>
      <w:rFonts w:ascii="Arial" w:eastAsia="SimSun" w:hAnsi="Arial" w:cs="Arial"/>
      <w:sz w:val="18"/>
      <w:lang w:val="fr-CH" w:eastAsia="zh-CN"/>
    </w:rPr>
  </w:style>
  <w:style w:type="character" w:customStyle="1" w:styleId="FooterChar">
    <w:name w:val="Footer Char"/>
    <w:basedOn w:val="DefaultParagraphFont"/>
    <w:link w:val="Footer"/>
    <w:semiHidden/>
    <w:rsid w:val="00AE6C72"/>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AE6C72"/>
    <w:rPr>
      <w:rFonts w:ascii="Arial" w:eastAsia="SimSun" w:hAnsi="Arial" w:cs="Arial"/>
      <w:sz w:val="18"/>
      <w:lang w:val="fr-CH" w:eastAsia="zh-CN"/>
    </w:rPr>
  </w:style>
  <w:style w:type="character" w:customStyle="1" w:styleId="HeaderChar">
    <w:name w:val="Header Char"/>
    <w:basedOn w:val="DefaultParagraphFont"/>
    <w:link w:val="Header"/>
    <w:rsid w:val="00AE6C72"/>
    <w:rPr>
      <w:rFonts w:ascii="Arial" w:eastAsia="SimSun" w:hAnsi="Arial" w:cs="Arial"/>
      <w:sz w:val="22"/>
      <w:lang w:val="fr-CH" w:eastAsia="zh-CN"/>
    </w:rPr>
  </w:style>
  <w:style w:type="character" w:customStyle="1" w:styleId="Heading1Char">
    <w:name w:val="Heading 1 Char"/>
    <w:basedOn w:val="DefaultParagraphFont"/>
    <w:link w:val="Heading1"/>
    <w:rsid w:val="00AE6C72"/>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AE6C72"/>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AE6C72"/>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AE6C72"/>
    <w:rPr>
      <w:rFonts w:ascii="Arial" w:eastAsia="SimSun" w:hAnsi="Arial" w:cs="Arial"/>
      <w:bCs/>
      <w:i/>
      <w:sz w:val="22"/>
      <w:szCs w:val="28"/>
      <w:lang w:val="fr-CH" w:eastAsia="zh-CN"/>
    </w:rPr>
  </w:style>
  <w:style w:type="paragraph" w:styleId="ListParagraph">
    <w:name w:val="List Paragraph"/>
    <w:basedOn w:val="Normal"/>
    <w:uiPriority w:val="34"/>
    <w:qFormat/>
    <w:rsid w:val="00AE6C72"/>
    <w:pPr>
      <w:ind w:left="720"/>
      <w:contextualSpacing/>
    </w:pPr>
  </w:style>
  <w:style w:type="paragraph" w:customStyle="1" w:styleId="Meetingplacedate">
    <w:name w:val="Meeting place &amp; date"/>
    <w:basedOn w:val="Normal"/>
    <w:next w:val="Normal"/>
    <w:rsid w:val="00AE6C7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E6C72"/>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AE6C72"/>
    <w:rPr>
      <w:rFonts w:ascii="Arial" w:eastAsia="SimSun" w:hAnsi="Arial" w:cs="Arial"/>
      <w:sz w:val="22"/>
      <w:lang w:val="fr-CH" w:eastAsia="zh-CN"/>
    </w:rPr>
  </w:style>
  <w:style w:type="character" w:customStyle="1" w:styleId="SignatureChar">
    <w:name w:val="Signature Char"/>
    <w:basedOn w:val="DefaultParagraphFont"/>
    <w:link w:val="Signature"/>
    <w:semiHidden/>
    <w:rsid w:val="00AE6C72"/>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C72"/>
    <w:rPr>
      <w:rFonts w:ascii="Arial" w:eastAsia="SimSun" w:hAnsi="Arial" w:cs="Arial"/>
      <w:sz w:val="22"/>
      <w:lang w:val="fr-CH" w:eastAsia="zh-CN"/>
    </w:rPr>
  </w:style>
  <w:style w:type="paragraph" w:styleId="Heading1">
    <w:name w:val="heading 1"/>
    <w:basedOn w:val="Normal"/>
    <w:next w:val="Normal"/>
    <w:link w:val="Heading1Char"/>
    <w:qFormat/>
    <w:rsid w:val="00AE6C72"/>
    <w:pPr>
      <w:keepNext/>
      <w:spacing w:before="240" w:after="60"/>
      <w:outlineLvl w:val="0"/>
    </w:pPr>
    <w:rPr>
      <w:b/>
      <w:bCs/>
      <w:caps/>
      <w:kern w:val="32"/>
      <w:szCs w:val="32"/>
    </w:rPr>
  </w:style>
  <w:style w:type="paragraph" w:styleId="Heading2">
    <w:name w:val="heading 2"/>
    <w:basedOn w:val="Normal"/>
    <w:next w:val="Normal"/>
    <w:link w:val="Heading2Char"/>
    <w:qFormat/>
    <w:rsid w:val="00AE6C72"/>
    <w:pPr>
      <w:keepNext/>
      <w:spacing w:before="240" w:after="60"/>
      <w:outlineLvl w:val="1"/>
    </w:pPr>
    <w:rPr>
      <w:bCs/>
      <w:iCs/>
      <w:caps/>
      <w:szCs w:val="28"/>
    </w:rPr>
  </w:style>
  <w:style w:type="paragraph" w:styleId="Heading3">
    <w:name w:val="heading 3"/>
    <w:basedOn w:val="Normal"/>
    <w:next w:val="Normal"/>
    <w:link w:val="Heading3Char"/>
    <w:qFormat/>
    <w:rsid w:val="00AE6C72"/>
    <w:pPr>
      <w:keepNext/>
      <w:spacing w:before="240" w:after="60"/>
      <w:outlineLvl w:val="2"/>
    </w:pPr>
    <w:rPr>
      <w:bCs/>
      <w:szCs w:val="26"/>
      <w:u w:val="single"/>
    </w:rPr>
  </w:style>
  <w:style w:type="paragraph" w:styleId="Heading4">
    <w:name w:val="heading 4"/>
    <w:basedOn w:val="Normal"/>
    <w:next w:val="Normal"/>
    <w:link w:val="Heading4Char"/>
    <w:qFormat/>
    <w:rsid w:val="00AE6C7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E6C72"/>
    <w:pPr>
      <w:ind w:left="5534"/>
    </w:pPr>
    <w:rPr>
      <w:lang w:val="en-US"/>
    </w:rPr>
  </w:style>
  <w:style w:type="paragraph" w:styleId="BodyText">
    <w:name w:val="Body Text"/>
    <w:basedOn w:val="Normal"/>
    <w:link w:val="BodyTextChar"/>
    <w:rsid w:val="00AE6C72"/>
    <w:pPr>
      <w:spacing w:after="220"/>
    </w:pPr>
  </w:style>
  <w:style w:type="paragraph" w:styleId="Caption">
    <w:name w:val="caption"/>
    <w:basedOn w:val="Normal"/>
    <w:next w:val="Normal"/>
    <w:qFormat/>
    <w:rsid w:val="00AE6C72"/>
    <w:rPr>
      <w:b/>
      <w:bCs/>
      <w:sz w:val="18"/>
    </w:rPr>
  </w:style>
  <w:style w:type="paragraph" w:styleId="CommentText">
    <w:name w:val="annotation text"/>
    <w:basedOn w:val="Normal"/>
    <w:link w:val="CommentTextChar"/>
    <w:semiHidden/>
    <w:rsid w:val="00AE6C72"/>
    <w:rPr>
      <w:sz w:val="18"/>
    </w:rPr>
  </w:style>
  <w:style w:type="paragraph" w:styleId="EndnoteText">
    <w:name w:val="endnote text"/>
    <w:basedOn w:val="Normal"/>
    <w:link w:val="EndnoteTextChar"/>
    <w:semiHidden/>
    <w:rsid w:val="00AE6C72"/>
    <w:rPr>
      <w:sz w:val="18"/>
    </w:rPr>
  </w:style>
  <w:style w:type="paragraph" w:styleId="Footer">
    <w:name w:val="footer"/>
    <w:basedOn w:val="Normal"/>
    <w:link w:val="FooterChar"/>
    <w:semiHidden/>
    <w:rsid w:val="00AE6C72"/>
    <w:pPr>
      <w:tabs>
        <w:tab w:val="center" w:pos="4320"/>
        <w:tab w:val="right" w:pos="8640"/>
      </w:tabs>
    </w:pPr>
  </w:style>
  <w:style w:type="paragraph" w:styleId="FootnoteText">
    <w:name w:val="footnote text"/>
    <w:basedOn w:val="Normal"/>
    <w:link w:val="FootnoteTextChar"/>
    <w:semiHidden/>
    <w:rsid w:val="00AE6C72"/>
    <w:rPr>
      <w:sz w:val="18"/>
    </w:rPr>
  </w:style>
  <w:style w:type="paragraph" w:styleId="Header">
    <w:name w:val="header"/>
    <w:basedOn w:val="Normal"/>
    <w:link w:val="HeaderChar"/>
    <w:rsid w:val="00AE6C72"/>
    <w:pPr>
      <w:tabs>
        <w:tab w:val="center" w:pos="4536"/>
        <w:tab w:val="right" w:pos="9072"/>
      </w:tabs>
    </w:pPr>
  </w:style>
  <w:style w:type="paragraph" w:styleId="ListNumber">
    <w:name w:val="List Number"/>
    <w:basedOn w:val="Normal"/>
    <w:semiHidden/>
    <w:rsid w:val="00AE6C72"/>
    <w:pPr>
      <w:numPr>
        <w:numId w:val="9"/>
      </w:numPr>
    </w:pPr>
  </w:style>
  <w:style w:type="paragraph" w:customStyle="1" w:styleId="ONUME">
    <w:name w:val="ONUM E"/>
    <w:basedOn w:val="BodyText"/>
    <w:rsid w:val="00AE6C72"/>
    <w:pPr>
      <w:numPr>
        <w:numId w:val="10"/>
      </w:numPr>
    </w:pPr>
  </w:style>
  <w:style w:type="paragraph" w:customStyle="1" w:styleId="ONUMFS">
    <w:name w:val="ONUM FS"/>
    <w:basedOn w:val="BodyText"/>
    <w:rsid w:val="00AE6C72"/>
    <w:pPr>
      <w:numPr>
        <w:numId w:val="11"/>
      </w:numPr>
    </w:pPr>
  </w:style>
  <w:style w:type="paragraph" w:styleId="Salutation">
    <w:name w:val="Salutation"/>
    <w:basedOn w:val="Normal"/>
    <w:next w:val="Normal"/>
    <w:link w:val="SalutationChar"/>
    <w:semiHidden/>
    <w:rsid w:val="00AE6C72"/>
  </w:style>
  <w:style w:type="paragraph" w:styleId="Signature">
    <w:name w:val="Signature"/>
    <w:basedOn w:val="Normal"/>
    <w:link w:val="SignatureChar"/>
    <w:semiHidden/>
    <w:rsid w:val="00AE6C72"/>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styleId="Hyperlink">
    <w:name w:val="Hyperlink"/>
    <w:basedOn w:val="DefaultParagraphFont"/>
    <w:uiPriority w:val="99"/>
    <w:unhideWhenUsed/>
    <w:rsid w:val="00FA3BBE"/>
    <w:rPr>
      <w:color w:val="0000FF" w:themeColor="hyperlink"/>
      <w:u w:val="single"/>
    </w:rPr>
  </w:style>
  <w:style w:type="paragraph" w:styleId="TOC1">
    <w:name w:val="toc 1"/>
    <w:basedOn w:val="Normal"/>
    <w:next w:val="Normal"/>
    <w:autoRedefine/>
    <w:uiPriority w:val="39"/>
    <w:unhideWhenUsed/>
    <w:rsid w:val="00BE5F33"/>
    <w:pPr>
      <w:keepLines/>
      <w:tabs>
        <w:tab w:val="right" w:leader="dot" w:pos="9345"/>
      </w:tabs>
      <w:spacing w:before="240" w:after="100"/>
      <w:ind w:right="567"/>
    </w:pPr>
  </w:style>
  <w:style w:type="paragraph" w:styleId="TOC2">
    <w:name w:val="toc 2"/>
    <w:basedOn w:val="Normal"/>
    <w:next w:val="Normal"/>
    <w:autoRedefine/>
    <w:uiPriority w:val="39"/>
    <w:unhideWhenUsed/>
    <w:rsid w:val="00FA3BBE"/>
    <w:pPr>
      <w:spacing w:after="100"/>
      <w:ind w:left="1072" w:right="567" w:hanging="851"/>
    </w:pPr>
  </w:style>
  <w:style w:type="paragraph" w:customStyle="1" w:styleId="LegTitle">
    <w:name w:val="Leg # Title"/>
    <w:basedOn w:val="Normal"/>
    <w:next w:val="Normal"/>
    <w:rsid w:val="00FA3BBE"/>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Normal"/>
    <w:rsid w:val="00FA3BBE"/>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Normal"/>
    <w:rsid w:val="00FA3BBE"/>
    <w:pPr>
      <w:tabs>
        <w:tab w:val="left" w:pos="454"/>
      </w:tabs>
      <w:snapToGrid w:val="0"/>
      <w:spacing w:before="119" w:after="480" w:line="480" w:lineRule="auto"/>
    </w:pPr>
    <w:rPr>
      <w:rFonts w:eastAsia="Times New Roman"/>
      <w:szCs w:val="22"/>
      <w:lang w:eastAsia="en-US"/>
    </w:rPr>
  </w:style>
  <w:style w:type="character" w:customStyle="1" w:styleId="RDeletedText">
    <w:name w:val="RDeletedText"/>
    <w:basedOn w:val="DefaultParagraphFont"/>
    <w:rsid w:val="00FA3BBE"/>
    <w:rPr>
      <w:strike/>
      <w:color w:val="FF0000"/>
    </w:rPr>
  </w:style>
  <w:style w:type="character" w:styleId="CommentReference">
    <w:name w:val="annotation reference"/>
    <w:basedOn w:val="DefaultParagraphFont"/>
    <w:rsid w:val="00317E0C"/>
    <w:rPr>
      <w:sz w:val="16"/>
      <w:szCs w:val="16"/>
    </w:rPr>
  </w:style>
  <w:style w:type="paragraph" w:styleId="CommentSubject">
    <w:name w:val="annotation subject"/>
    <w:basedOn w:val="CommentText"/>
    <w:next w:val="CommentText"/>
    <w:link w:val="CommentSubjectChar"/>
    <w:rsid w:val="00317E0C"/>
    <w:rPr>
      <w:b/>
      <w:bCs/>
      <w:sz w:val="20"/>
    </w:rPr>
  </w:style>
  <w:style w:type="character" w:customStyle="1" w:styleId="CommentTextChar">
    <w:name w:val="Comment Text Char"/>
    <w:basedOn w:val="DefaultParagraphFont"/>
    <w:link w:val="CommentText"/>
    <w:semiHidden/>
    <w:rsid w:val="00AE6C72"/>
    <w:rPr>
      <w:rFonts w:ascii="Arial" w:eastAsia="SimSun" w:hAnsi="Arial" w:cs="Arial"/>
      <w:sz w:val="18"/>
      <w:lang w:val="fr-CH" w:eastAsia="zh-CN"/>
    </w:rPr>
  </w:style>
  <w:style w:type="character" w:customStyle="1" w:styleId="CommentSubjectChar">
    <w:name w:val="Comment Subject Char"/>
    <w:basedOn w:val="CommentTextChar"/>
    <w:link w:val="CommentSubject"/>
    <w:rsid w:val="00317E0C"/>
    <w:rPr>
      <w:rFonts w:ascii="Arial" w:eastAsia="SimSun" w:hAnsi="Arial" w:cs="Arial"/>
      <w:b/>
      <w:bCs/>
      <w:sz w:val="18"/>
      <w:lang w:val="fr-CH" w:eastAsia="zh-CN"/>
    </w:rPr>
  </w:style>
  <w:style w:type="character" w:customStyle="1" w:styleId="BodyTextChar">
    <w:name w:val="Body Text Char"/>
    <w:basedOn w:val="DefaultParagraphFont"/>
    <w:link w:val="BodyText"/>
    <w:rsid w:val="00AE6C72"/>
    <w:rPr>
      <w:rFonts w:ascii="Arial" w:eastAsia="SimSun" w:hAnsi="Arial" w:cs="Arial"/>
      <w:sz w:val="22"/>
      <w:lang w:val="fr-CH" w:eastAsia="zh-CN"/>
    </w:rPr>
  </w:style>
  <w:style w:type="character" w:customStyle="1" w:styleId="EndnoteTextChar">
    <w:name w:val="Endnote Text Char"/>
    <w:basedOn w:val="DefaultParagraphFont"/>
    <w:link w:val="EndnoteText"/>
    <w:semiHidden/>
    <w:rsid w:val="00AE6C72"/>
    <w:rPr>
      <w:rFonts w:ascii="Arial" w:eastAsia="SimSun" w:hAnsi="Arial" w:cs="Arial"/>
      <w:sz w:val="18"/>
      <w:lang w:val="fr-CH" w:eastAsia="zh-CN"/>
    </w:rPr>
  </w:style>
  <w:style w:type="character" w:customStyle="1" w:styleId="FooterChar">
    <w:name w:val="Footer Char"/>
    <w:basedOn w:val="DefaultParagraphFont"/>
    <w:link w:val="Footer"/>
    <w:semiHidden/>
    <w:rsid w:val="00AE6C72"/>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AE6C72"/>
    <w:rPr>
      <w:rFonts w:ascii="Arial" w:eastAsia="SimSun" w:hAnsi="Arial" w:cs="Arial"/>
      <w:sz w:val="18"/>
      <w:lang w:val="fr-CH" w:eastAsia="zh-CN"/>
    </w:rPr>
  </w:style>
  <w:style w:type="character" w:customStyle="1" w:styleId="HeaderChar">
    <w:name w:val="Header Char"/>
    <w:basedOn w:val="DefaultParagraphFont"/>
    <w:link w:val="Header"/>
    <w:rsid w:val="00AE6C72"/>
    <w:rPr>
      <w:rFonts w:ascii="Arial" w:eastAsia="SimSun" w:hAnsi="Arial" w:cs="Arial"/>
      <w:sz w:val="22"/>
      <w:lang w:val="fr-CH" w:eastAsia="zh-CN"/>
    </w:rPr>
  </w:style>
  <w:style w:type="character" w:customStyle="1" w:styleId="Heading1Char">
    <w:name w:val="Heading 1 Char"/>
    <w:basedOn w:val="DefaultParagraphFont"/>
    <w:link w:val="Heading1"/>
    <w:rsid w:val="00AE6C72"/>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AE6C72"/>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AE6C72"/>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AE6C72"/>
    <w:rPr>
      <w:rFonts w:ascii="Arial" w:eastAsia="SimSun" w:hAnsi="Arial" w:cs="Arial"/>
      <w:bCs/>
      <w:i/>
      <w:sz w:val="22"/>
      <w:szCs w:val="28"/>
      <w:lang w:val="fr-CH" w:eastAsia="zh-CN"/>
    </w:rPr>
  </w:style>
  <w:style w:type="paragraph" w:styleId="ListParagraph">
    <w:name w:val="List Paragraph"/>
    <w:basedOn w:val="Normal"/>
    <w:uiPriority w:val="34"/>
    <w:qFormat/>
    <w:rsid w:val="00AE6C72"/>
    <w:pPr>
      <w:ind w:left="720"/>
      <w:contextualSpacing/>
    </w:pPr>
  </w:style>
  <w:style w:type="paragraph" w:customStyle="1" w:styleId="Meetingplacedate">
    <w:name w:val="Meeting place &amp; date"/>
    <w:basedOn w:val="Normal"/>
    <w:next w:val="Normal"/>
    <w:rsid w:val="00AE6C7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E6C72"/>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AE6C72"/>
    <w:rPr>
      <w:rFonts w:ascii="Arial" w:eastAsia="SimSun" w:hAnsi="Arial" w:cs="Arial"/>
      <w:sz w:val="22"/>
      <w:lang w:val="fr-CH" w:eastAsia="zh-CN"/>
    </w:rPr>
  </w:style>
  <w:style w:type="character" w:customStyle="1" w:styleId="SignatureChar">
    <w:name w:val="Signature Char"/>
    <w:basedOn w:val="DefaultParagraphFont"/>
    <w:link w:val="Signature"/>
    <w:semiHidden/>
    <w:rsid w:val="00AE6C72"/>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22647">
      <w:bodyDiv w:val="1"/>
      <w:marLeft w:val="0"/>
      <w:marRight w:val="0"/>
      <w:marTop w:val="0"/>
      <w:marBottom w:val="0"/>
      <w:divBdr>
        <w:top w:val="none" w:sz="0" w:space="0" w:color="auto"/>
        <w:left w:val="none" w:sz="0" w:space="0" w:color="auto"/>
        <w:bottom w:val="none" w:sz="0" w:space="0" w:color="auto"/>
        <w:right w:val="none" w:sz="0" w:space="0" w:color="auto"/>
      </w:divBdr>
    </w:div>
    <w:div w:id="18847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035F-E130-4769-A5E8-7D954756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48 (E)</Template>
  <TotalTime>3</TotalTime>
  <Pages>19</Pages>
  <Words>8186</Words>
  <Characters>46663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54740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dc:title>
  <dc:subject>Draft Report</dc:subject>
  <dc:creator>MARLOW Thomas</dc:creator>
  <cp:keywords>LC/NGG/sc/ko</cp:keywords>
  <cp:lastModifiedBy>MARIN-CUDRAZ DAVI Nicoletta</cp:lastModifiedBy>
  <cp:revision>5</cp:revision>
  <cp:lastPrinted>2016-12-07T14:32:00Z</cp:lastPrinted>
  <dcterms:created xsi:type="dcterms:W3CDTF">2016-12-07T14:29:00Z</dcterms:created>
  <dcterms:modified xsi:type="dcterms:W3CDTF">2016-12-07T15:56:00Z</dcterms:modified>
</cp:coreProperties>
</file>