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22E19" w:rsidRPr="007D7E88" w:rsidTr="00E517B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7030E" w:rsidRPr="007D7E88" w:rsidRDefault="0097030E" w:rsidP="00F30474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7030E" w:rsidRPr="007D7E88" w:rsidRDefault="0097030E" w:rsidP="00F30474">
            <w:pPr>
              <w:rPr>
                <w:lang w:val="fr-FR"/>
              </w:rPr>
            </w:pPr>
            <w:r w:rsidRPr="007D7E88">
              <w:rPr>
                <w:noProof/>
                <w:lang w:eastAsia="en-US"/>
              </w:rPr>
              <w:drawing>
                <wp:inline distT="0" distB="0" distL="0" distR="0" wp14:anchorId="739CFB3A" wp14:editId="685EE7FD">
                  <wp:extent cx="1857375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7030E" w:rsidRPr="007D7E88" w:rsidRDefault="0097030E" w:rsidP="00F30474">
            <w:pPr>
              <w:jc w:val="right"/>
              <w:rPr>
                <w:lang w:val="fr-FR"/>
              </w:rPr>
            </w:pPr>
            <w:r w:rsidRPr="007D7E8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22E19" w:rsidRPr="007D7E88" w:rsidTr="00F3047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7030E" w:rsidRPr="007D7E88" w:rsidRDefault="0097030E" w:rsidP="00F3047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D7E88">
              <w:rPr>
                <w:rFonts w:ascii="Arial Black" w:hAnsi="Arial Black"/>
                <w:caps/>
                <w:sz w:val="15"/>
                <w:lang w:val="fr-FR"/>
              </w:rPr>
              <w:t>PCT/A/48/</w:t>
            </w:r>
            <w:bookmarkStart w:id="0" w:name="Code"/>
            <w:bookmarkEnd w:id="0"/>
            <w:r w:rsidRPr="007D7E88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</w:p>
        </w:tc>
      </w:tr>
      <w:tr w:rsidR="00B22E19" w:rsidRPr="007D7E88" w:rsidTr="00F3047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7030E" w:rsidRPr="007D7E88" w:rsidRDefault="0097030E" w:rsidP="00F3047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D7E8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90837" w:rsidRPr="007D7E8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7D7E8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7D7E8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7030E" w:rsidRPr="007D7E88" w:rsidTr="00F3047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7030E" w:rsidRPr="007D7E88" w:rsidRDefault="0097030E" w:rsidP="00E323F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D7E8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90837" w:rsidRPr="007D7E8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7D7E8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7D7E88">
              <w:rPr>
                <w:rFonts w:ascii="Arial Black" w:hAnsi="Arial Black"/>
                <w:caps/>
                <w:sz w:val="15"/>
                <w:lang w:val="fr-FR"/>
              </w:rPr>
              <w:t>4 </w:t>
            </w:r>
            <w:r w:rsidR="00E323F4">
              <w:rPr>
                <w:rFonts w:ascii="Arial Black" w:hAnsi="Arial Black"/>
                <w:caps/>
                <w:sz w:val="15"/>
                <w:lang w:val="fr-FR"/>
              </w:rPr>
              <w:t>juillet</w:t>
            </w:r>
            <w:r w:rsidRPr="007D7E88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b/>
          <w:sz w:val="28"/>
          <w:szCs w:val="28"/>
          <w:lang w:val="fr-FR"/>
        </w:rPr>
      </w:pPr>
      <w:r w:rsidRPr="007D7E88">
        <w:rPr>
          <w:b/>
          <w:sz w:val="28"/>
          <w:szCs w:val="28"/>
          <w:lang w:val="fr-FR"/>
        </w:rPr>
        <w:t xml:space="preserve">Union internationale de coopération en matière de brevets </w:t>
      </w:r>
      <w:r w:rsidRPr="007D7E88">
        <w:rPr>
          <w:b/>
          <w:sz w:val="28"/>
          <w:szCs w:val="28"/>
          <w:lang w:val="fr-FR"/>
        </w:rPr>
        <w:br/>
        <w:t>(Union</w:t>
      </w:r>
      <w:r w:rsidR="00E517BB" w:rsidRPr="007D7E88">
        <w:rPr>
          <w:b/>
          <w:sz w:val="28"/>
          <w:szCs w:val="28"/>
          <w:lang w:val="fr-FR"/>
        </w:rPr>
        <w:t xml:space="preserve"> du PCT</w:t>
      </w:r>
      <w:r w:rsidRPr="007D7E88">
        <w:rPr>
          <w:b/>
          <w:sz w:val="28"/>
          <w:szCs w:val="28"/>
          <w:lang w:val="fr-FR"/>
        </w:rPr>
        <w:t>)</w:t>
      </w: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b/>
          <w:sz w:val="28"/>
          <w:szCs w:val="28"/>
          <w:lang w:val="fr-FR"/>
        </w:rPr>
      </w:pPr>
      <w:r w:rsidRPr="007D7E88">
        <w:rPr>
          <w:b/>
          <w:sz w:val="28"/>
          <w:szCs w:val="28"/>
          <w:lang w:val="fr-FR"/>
        </w:rPr>
        <w:t>Assemblée</w:t>
      </w: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b/>
          <w:sz w:val="24"/>
          <w:szCs w:val="24"/>
          <w:lang w:val="fr-FR"/>
        </w:rPr>
      </w:pPr>
      <w:r w:rsidRPr="007D7E88">
        <w:rPr>
          <w:b/>
          <w:sz w:val="24"/>
          <w:szCs w:val="24"/>
          <w:lang w:val="fr-FR"/>
        </w:rPr>
        <w:t>Quarante</w:t>
      </w:r>
      <w:r w:rsidR="00B22E19" w:rsidRPr="007D7E88">
        <w:rPr>
          <w:b/>
          <w:sz w:val="24"/>
          <w:szCs w:val="24"/>
          <w:lang w:val="fr-FR"/>
        </w:rPr>
        <w:t>-</w:t>
      </w:r>
      <w:r w:rsidRPr="007D7E88">
        <w:rPr>
          <w:b/>
          <w:sz w:val="24"/>
          <w:szCs w:val="24"/>
          <w:lang w:val="fr-FR"/>
        </w:rPr>
        <w:t>huitième</w:t>
      </w:r>
      <w:r w:rsidR="00090837" w:rsidRPr="007D7E88">
        <w:rPr>
          <w:b/>
          <w:sz w:val="24"/>
          <w:szCs w:val="24"/>
          <w:lang w:val="fr-FR"/>
        </w:rPr>
        <w:t> </w:t>
      </w:r>
      <w:r w:rsidRPr="007D7E88">
        <w:rPr>
          <w:b/>
          <w:sz w:val="24"/>
          <w:szCs w:val="24"/>
          <w:lang w:val="fr-FR"/>
        </w:rPr>
        <w:t>session (28</w:t>
      </w:r>
      <w:r w:rsidRPr="007D7E88">
        <w:rPr>
          <w:b/>
          <w:sz w:val="24"/>
          <w:szCs w:val="24"/>
          <w:vertAlign w:val="superscript"/>
          <w:lang w:val="fr-FR"/>
        </w:rPr>
        <w:t>e</w:t>
      </w:r>
      <w:r w:rsidR="00B22E19" w:rsidRPr="007D7E88">
        <w:rPr>
          <w:b/>
          <w:sz w:val="24"/>
          <w:szCs w:val="24"/>
          <w:lang w:val="fr-FR"/>
        </w:rPr>
        <w:t> </w:t>
      </w:r>
      <w:r w:rsidRPr="007D7E88">
        <w:rPr>
          <w:b/>
          <w:sz w:val="24"/>
          <w:szCs w:val="24"/>
          <w:lang w:val="fr-FR"/>
        </w:rPr>
        <w:t>session extraordinaire)</w:t>
      </w:r>
    </w:p>
    <w:p w:rsidR="0097030E" w:rsidRPr="007D7E88" w:rsidRDefault="0097030E" w:rsidP="0097030E">
      <w:pPr>
        <w:rPr>
          <w:b/>
          <w:sz w:val="24"/>
          <w:szCs w:val="24"/>
          <w:lang w:val="fr-FR"/>
        </w:rPr>
      </w:pPr>
      <w:r w:rsidRPr="007D7E88">
        <w:rPr>
          <w:b/>
          <w:sz w:val="24"/>
          <w:szCs w:val="24"/>
          <w:lang w:val="fr-FR"/>
        </w:rPr>
        <w:t>Genève, 3 − 1</w:t>
      </w:r>
      <w:r w:rsidR="00E517BB" w:rsidRPr="007D7E88">
        <w:rPr>
          <w:b/>
          <w:sz w:val="24"/>
          <w:szCs w:val="24"/>
          <w:lang w:val="fr-FR"/>
        </w:rPr>
        <w:t>1 octobre 20</w:t>
      </w:r>
      <w:r w:rsidRPr="007D7E88">
        <w:rPr>
          <w:b/>
          <w:sz w:val="24"/>
          <w:szCs w:val="24"/>
          <w:lang w:val="fr-FR"/>
        </w:rPr>
        <w:t>16</w:t>
      </w: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lang w:val="fr-FR"/>
        </w:rPr>
      </w:pPr>
    </w:p>
    <w:p w:rsidR="0097030E" w:rsidRPr="007D7E88" w:rsidRDefault="0097030E" w:rsidP="0097030E">
      <w:pPr>
        <w:rPr>
          <w:lang w:val="fr-FR"/>
        </w:rPr>
      </w:pPr>
    </w:p>
    <w:p w:rsidR="009B0460" w:rsidRPr="007D7E88" w:rsidRDefault="009B0460" w:rsidP="009B0460">
      <w:pPr>
        <w:rPr>
          <w:caps/>
          <w:sz w:val="24"/>
          <w:lang w:val="fr-FR"/>
        </w:rPr>
      </w:pPr>
      <w:r w:rsidRPr="007D7E88">
        <w:rPr>
          <w:caps/>
          <w:sz w:val="24"/>
          <w:lang w:val="fr-FR"/>
        </w:rPr>
        <w:t>Travaux des administrations internationales relatifs à la qualité</w:t>
      </w:r>
    </w:p>
    <w:p w:rsidR="009B0460" w:rsidRPr="007D7E88" w:rsidRDefault="009B0460" w:rsidP="008B2CC1">
      <w:pPr>
        <w:rPr>
          <w:lang w:val="fr-FR"/>
        </w:rPr>
      </w:pPr>
    </w:p>
    <w:p w:rsidR="009B0460" w:rsidRPr="007D7E88" w:rsidRDefault="009B0460" w:rsidP="009B0460">
      <w:pPr>
        <w:rPr>
          <w:i/>
          <w:lang w:val="fr-FR"/>
        </w:rPr>
      </w:pPr>
      <w:bookmarkStart w:id="3" w:name="Prepared"/>
      <w:bookmarkEnd w:id="3"/>
      <w:r w:rsidRPr="007D7E88">
        <w:rPr>
          <w:i/>
          <w:lang w:val="fr-FR"/>
        </w:rPr>
        <w:t>Document établi par le Bureau international</w:t>
      </w:r>
    </w:p>
    <w:p w:rsidR="009B0460" w:rsidRPr="007D7E88" w:rsidRDefault="009B0460">
      <w:pPr>
        <w:rPr>
          <w:lang w:val="fr-FR"/>
        </w:rPr>
      </w:pPr>
    </w:p>
    <w:p w:rsidR="009B0460" w:rsidRPr="007D7E88" w:rsidRDefault="009B0460">
      <w:pPr>
        <w:rPr>
          <w:lang w:val="fr-FR"/>
        </w:rPr>
      </w:pPr>
    </w:p>
    <w:p w:rsidR="009B0460" w:rsidRPr="007D7E88" w:rsidRDefault="009B0460" w:rsidP="0053057A">
      <w:pPr>
        <w:rPr>
          <w:lang w:val="fr-FR"/>
        </w:rPr>
      </w:pPr>
    </w:p>
    <w:p w:rsidR="009B0460" w:rsidRDefault="009B0460" w:rsidP="00E323F4">
      <w:pPr>
        <w:pStyle w:val="Heading1"/>
        <w:rPr>
          <w:lang w:val="fr-FR"/>
        </w:rPr>
      </w:pPr>
      <w:r w:rsidRPr="007D7E88">
        <w:rPr>
          <w:lang w:val="fr-FR"/>
        </w:rPr>
        <w:t>Résumé</w:t>
      </w:r>
    </w:p>
    <w:p w:rsidR="009B0460" w:rsidRPr="007D7E88" w:rsidRDefault="009B0460" w:rsidP="00E323F4">
      <w:pPr>
        <w:pStyle w:val="ONUMFS"/>
        <w:rPr>
          <w:lang w:val="fr-FR"/>
        </w:rPr>
      </w:pPr>
      <w:r w:rsidRPr="007D7E88">
        <w:rPr>
          <w:lang w:val="fr-FR"/>
        </w:rPr>
        <w:t>Le présent document contient un rapport succinct sur les travaux relatifs à la qualité menés par les administrations chargées de la recherche internationale et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examen préliminaire international selon</w:t>
      </w:r>
      <w:r w:rsidR="00E517BB" w:rsidRPr="007D7E88">
        <w:rPr>
          <w:lang w:val="fr-FR"/>
        </w:rPr>
        <w:t xml:space="preserve"> le PCT</w:t>
      </w:r>
      <w:r w:rsidRPr="007D7E88">
        <w:rPr>
          <w:lang w:val="fr-FR"/>
        </w:rPr>
        <w:t xml:space="preserve"> (ci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après dénommées “administrations internationales”), principalement dans le cadre du Sous</w:t>
      </w:r>
      <w:r w:rsidR="007D7E88" w:rsidRPr="007D7E88">
        <w:rPr>
          <w:lang w:val="fr-FR"/>
        </w:rPr>
        <w:noBreakHyphen/>
      </w:r>
      <w:r w:rsidR="00E323F4">
        <w:rPr>
          <w:lang w:val="fr-FR"/>
        </w:rPr>
        <w:t>g</w:t>
      </w:r>
      <w:r w:rsidRPr="007D7E88">
        <w:rPr>
          <w:lang w:val="fr-FR"/>
        </w:rPr>
        <w:t>roupe chargé de la qualité établi, en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2009, à la dix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septième</w:t>
      </w:r>
      <w:r w:rsidR="00E323F4">
        <w:rPr>
          <w:lang w:val="fr-FR"/>
        </w:rPr>
        <w:t> </w:t>
      </w:r>
      <w:r w:rsidRPr="007D7E88">
        <w:rPr>
          <w:lang w:val="fr-FR"/>
        </w:rPr>
        <w:t>Réunion des administrations internationales (ci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après dénommé “sous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groupe”).</w:t>
      </w:r>
    </w:p>
    <w:p w:rsidR="009B0460" w:rsidRDefault="009B0460" w:rsidP="00E323F4">
      <w:pPr>
        <w:pStyle w:val="Heading1"/>
        <w:rPr>
          <w:lang w:val="fr-FR"/>
        </w:rPr>
      </w:pPr>
      <w:r w:rsidRPr="007D7E88">
        <w:rPr>
          <w:lang w:val="fr-FR"/>
        </w:rPr>
        <w:t>Travaux en cours relatifs à la qualité</w:t>
      </w:r>
    </w:p>
    <w:p w:rsidR="009B0460" w:rsidRPr="007D7E88" w:rsidRDefault="009B0460" w:rsidP="00E323F4">
      <w:pPr>
        <w:pStyle w:val="ONUMFS"/>
        <w:rPr>
          <w:lang w:val="fr-FR"/>
        </w:rPr>
      </w:pPr>
      <w:r w:rsidRPr="007D7E88">
        <w:rPr>
          <w:lang w:val="fr-FR"/>
        </w:rPr>
        <w:t>Le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a tenu une sixième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 xml:space="preserve">session informelle à Santiago en </w:t>
      </w:r>
      <w:r w:rsidR="00E517BB" w:rsidRPr="007D7E88">
        <w:rPr>
          <w:lang w:val="fr-FR"/>
        </w:rPr>
        <w:t>janvier 20</w:t>
      </w:r>
      <w:r w:rsidRPr="007D7E88">
        <w:rPr>
          <w:lang w:val="fr-FR"/>
        </w:rPr>
        <w:t>16, juste avant la vingt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troisième</w:t>
      </w:r>
      <w:r w:rsidR="00E323F4">
        <w:rPr>
          <w:lang w:val="fr-FR"/>
        </w:rPr>
        <w:t> </w:t>
      </w:r>
      <w:r w:rsidRPr="007D7E88">
        <w:rPr>
          <w:lang w:val="fr-FR"/>
        </w:rPr>
        <w:t>Réunion des administrations international</w:t>
      </w:r>
      <w:r w:rsidR="00B22E19" w:rsidRPr="007D7E88">
        <w:rPr>
          <w:lang w:val="fr-FR"/>
        </w:rPr>
        <w:t>es.  Le</w:t>
      </w:r>
      <w:r w:rsidRPr="007D7E88">
        <w:rPr>
          <w:lang w:val="fr-FR"/>
        </w:rPr>
        <w:t>s résumés établis par le président pour les deux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réunions sont reproduits dans le document PCT/MIA/23/14</w:t>
      </w:r>
      <w:r w:rsidRPr="007D7E88">
        <w:rPr>
          <w:rStyle w:val="FootnoteReference"/>
          <w:lang w:val="fr-FR"/>
        </w:rPr>
        <w:footnoteReference w:id="2"/>
      </w:r>
      <w:r w:rsidRPr="007D7E88">
        <w:rPr>
          <w:lang w:val="fr-FR"/>
        </w:rPr>
        <w:t>.</w:t>
      </w:r>
    </w:p>
    <w:p w:rsidR="009B0460" w:rsidRPr="007D7E88" w:rsidRDefault="009B0460" w:rsidP="00E323F4">
      <w:pPr>
        <w:pStyle w:val="ONUMFS"/>
        <w:rPr>
          <w:lang w:val="fr-FR"/>
        </w:rPr>
      </w:pPr>
      <w:r w:rsidRPr="007D7E88">
        <w:rPr>
          <w:lang w:val="fr-FR"/>
        </w:rPr>
        <w:t>Parmi les questions examinées par le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à sa sixième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session informelle figuraient diverses tâches en rapport avec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amélioration de la qualité assumées par le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à la demande de la Réunion des administrations internationales.</w:t>
      </w:r>
    </w:p>
    <w:p w:rsidR="00E517BB" w:rsidRPr="007D7E88" w:rsidRDefault="00C62739" w:rsidP="00CE5FFE">
      <w:pPr>
        <w:pStyle w:val="ONUMFS"/>
        <w:keepLines/>
        <w:rPr>
          <w:lang w:val="fr-FR"/>
        </w:rPr>
      </w:pPr>
      <w:r w:rsidRPr="007D7E88">
        <w:rPr>
          <w:lang w:val="fr-FR"/>
        </w:rPr>
        <w:lastRenderedPageBreak/>
        <w:t xml:space="preserve">Sous le </w:t>
      </w:r>
      <w:bookmarkStart w:id="4" w:name="_GoBack"/>
      <w:r w:rsidRPr="007D7E88">
        <w:rPr>
          <w:lang w:val="fr-FR"/>
        </w:rPr>
        <w:t>point intitulé “Systèmes de gestion de la qualité”, le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a examiné les rapports annuels sur les systèmes de gestion de la qualité</w:t>
      </w:r>
      <w:r w:rsidRPr="007D7E88">
        <w:rPr>
          <w:rStyle w:val="FootnoteReference"/>
          <w:lang w:val="fr-FR"/>
        </w:rPr>
        <w:footnoteReference w:id="3"/>
      </w:r>
      <w:r w:rsidRPr="007D7E88">
        <w:rPr>
          <w:lang w:val="fr-FR"/>
        </w:rPr>
        <w:t xml:space="preserve"> et étudié plusieurs domaines dans lesquels un examen </w:t>
      </w:r>
      <w:bookmarkEnd w:id="4"/>
      <w:r w:rsidRPr="007D7E88">
        <w:rPr>
          <w:lang w:val="fr-FR"/>
        </w:rPr>
        <w:t>et un échange d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informations plus approfondis pourraient se révéler particulièrement utiles, conformément à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accord passé entre les administrations, selon lequel les délibérations ne devraient plus se limiter à des rapports sur les systèmes de gestion de la qualité existants et traite</w:t>
      </w:r>
      <w:r w:rsidR="00E323F4">
        <w:rPr>
          <w:lang w:val="fr-FR"/>
        </w:rPr>
        <w:t xml:space="preserve">r </w:t>
      </w:r>
      <w:r w:rsidRPr="007D7E88">
        <w:rPr>
          <w:lang w:val="fr-FR"/>
        </w:rPr>
        <w:t>plutôt d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activités précises de gestion de la qualité réalisées par les administrations, afin que chacune puisse tirer des leçons des expériences des autr</w:t>
      </w:r>
      <w:r w:rsidR="00B22E19" w:rsidRPr="007D7E88">
        <w:rPr>
          <w:lang w:val="fr-FR"/>
        </w:rPr>
        <w:t>es.  Pa</w:t>
      </w:r>
      <w:r w:rsidRPr="007D7E88">
        <w:rPr>
          <w:lang w:val="fr-FR"/>
        </w:rPr>
        <w:t>rmi les thèmes abordés figuraient</w:t>
      </w:r>
      <w:r w:rsidR="00E323F4">
        <w:rPr>
          <w:lang w:val="fr-FR"/>
        </w:rPr>
        <w:t xml:space="preserve"> les points suivants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:</w:t>
      </w:r>
    </w:p>
    <w:p w:rsidR="009B0460" w:rsidRPr="007D7E88" w:rsidRDefault="00E517BB" w:rsidP="00E323F4">
      <w:pPr>
        <w:pStyle w:val="ONUMFS"/>
        <w:numPr>
          <w:ilvl w:val="1"/>
          <w:numId w:val="6"/>
        </w:numPr>
        <w:rPr>
          <w:lang w:val="fr-FR"/>
        </w:rPr>
      </w:pPr>
      <w:r w:rsidRPr="007D7E88">
        <w:rPr>
          <w:lang w:val="fr-FR"/>
        </w:rPr>
        <w:t>p</w:t>
      </w:r>
      <w:r w:rsidR="00C62739" w:rsidRPr="007D7E88">
        <w:rPr>
          <w:lang w:val="fr-FR"/>
        </w:rPr>
        <w:t>artage des politiques et directives en matière de qualité, de l</w:t>
      </w:r>
      <w:r w:rsidRPr="007D7E88">
        <w:rPr>
          <w:lang w:val="fr-FR"/>
        </w:rPr>
        <w:t>’</w:t>
      </w:r>
      <w:r w:rsidR="00C62739" w:rsidRPr="007D7E88">
        <w:rPr>
          <w:lang w:val="fr-FR"/>
        </w:rPr>
        <w:t>information r</w:t>
      </w:r>
      <w:r w:rsidR="00444234">
        <w:rPr>
          <w:lang w:val="fr-FR"/>
        </w:rPr>
        <w:t>e</w:t>
      </w:r>
      <w:r w:rsidR="00C62739" w:rsidRPr="007D7E88">
        <w:rPr>
          <w:lang w:val="fr-FR"/>
        </w:rPr>
        <w:t>lative à l</w:t>
      </w:r>
      <w:r w:rsidRPr="007D7E88">
        <w:rPr>
          <w:lang w:val="fr-FR"/>
        </w:rPr>
        <w:t>’</w:t>
      </w:r>
      <w:r w:rsidR="00C62739" w:rsidRPr="007D7E88">
        <w:rPr>
          <w:lang w:val="fr-FR"/>
        </w:rPr>
        <w:t>échantillonnage dans les processus de contrôle de qualité et des listes de points à vérifier dans le cadre de ces processus (paragraphes</w:t>
      </w:r>
      <w:r w:rsidR="00090837" w:rsidRPr="007D7E88">
        <w:rPr>
          <w:lang w:val="fr-FR"/>
        </w:rPr>
        <w:t> </w:t>
      </w:r>
      <w:r w:rsidR="00C62739" w:rsidRPr="007D7E88">
        <w:rPr>
          <w:lang w:val="fr-FR"/>
        </w:rPr>
        <w:t>7 et</w:t>
      </w:r>
      <w:r w:rsidR="00B22E19" w:rsidRPr="007D7E88">
        <w:rPr>
          <w:lang w:val="fr-FR"/>
        </w:rPr>
        <w:t> </w:t>
      </w:r>
      <w:r w:rsidR="00C62739" w:rsidRPr="007D7E88">
        <w:rPr>
          <w:lang w:val="fr-FR"/>
        </w:rPr>
        <w:t>8 de l</w:t>
      </w:r>
      <w:r w:rsidRPr="007D7E88">
        <w:rPr>
          <w:lang w:val="fr-FR"/>
        </w:rPr>
        <w:t>’</w:t>
      </w:r>
      <w:r w:rsidR="00C62739" w:rsidRPr="007D7E88">
        <w:rPr>
          <w:lang w:val="fr-FR"/>
        </w:rPr>
        <w:t>annexe</w:t>
      </w:r>
      <w:r w:rsidR="00090837" w:rsidRPr="007D7E88">
        <w:rPr>
          <w:lang w:val="fr-FR"/>
        </w:rPr>
        <w:t> </w:t>
      </w:r>
      <w:r w:rsidR="00C62739" w:rsidRPr="007D7E88">
        <w:rPr>
          <w:lang w:val="fr-FR"/>
        </w:rPr>
        <w:t>II du document PCT/MIA/23/14);</w:t>
      </w:r>
    </w:p>
    <w:p w:rsidR="009B0460" w:rsidRPr="007D7E88" w:rsidRDefault="00C62739" w:rsidP="00E323F4">
      <w:pPr>
        <w:pStyle w:val="ONUMFS"/>
        <w:numPr>
          <w:ilvl w:val="1"/>
          <w:numId w:val="6"/>
        </w:numPr>
        <w:rPr>
          <w:lang w:val="fr-FR"/>
        </w:rPr>
      </w:pPr>
      <w:r w:rsidRPr="007D7E88">
        <w:rPr>
          <w:lang w:val="fr-FR"/>
        </w:rPr>
        <w:t>utilisation de critères quantitatifs sur la qualité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examen des demandes de brevet (paragraphes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9 et</w:t>
      </w:r>
      <w:r w:rsidR="00B22E19" w:rsidRPr="007D7E88">
        <w:rPr>
          <w:lang w:val="fr-FR"/>
        </w:rPr>
        <w:t> </w:t>
      </w:r>
      <w:r w:rsidRPr="007D7E88">
        <w:rPr>
          <w:lang w:val="fr-FR"/>
        </w:rPr>
        <w:t>10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annexe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II du document PCT/MIA/23/14);</w:t>
      </w:r>
    </w:p>
    <w:p w:rsidR="009B0460" w:rsidRPr="007D7E88" w:rsidRDefault="00C62739" w:rsidP="00E323F4">
      <w:pPr>
        <w:pStyle w:val="ONUMFS"/>
        <w:numPr>
          <w:ilvl w:val="1"/>
          <w:numId w:val="6"/>
        </w:numPr>
        <w:rPr>
          <w:lang w:val="fr-FR"/>
        </w:rPr>
      </w:pPr>
      <w:r w:rsidRPr="007D7E88">
        <w:rPr>
          <w:lang w:val="fr-FR"/>
        </w:rPr>
        <w:t>méthodes de collecte du retour d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information des utilisateurs à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Office européen des brevets (OEB) (paragraphes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11 à</w:t>
      </w:r>
      <w:r w:rsidR="00B22E19" w:rsidRPr="007D7E88">
        <w:rPr>
          <w:lang w:val="fr-FR"/>
        </w:rPr>
        <w:t> </w:t>
      </w:r>
      <w:r w:rsidRPr="007D7E88">
        <w:rPr>
          <w:lang w:val="fr-FR"/>
        </w:rPr>
        <w:t>13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annexe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II du document PCT/MIA/23/14);</w:t>
      </w:r>
    </w:p>
    <w:p w:rsidR="009B0460" w:rsidRPr="007D7E88" w:rsidRDefault="00004C3C" w:rsidP="00E323F4">
      <w:pPr>
        <w:pStyle w:val="ONUMFS"/>
        <w:numPr>
          <w:ilvl w:val="1"/>
          <w:numId w:val="6"/>
        </w:numPr>
        <w:rPr>
          <w:lang w:val="fr-FR"/>
        </w:rPr>
      </w:pPr>
      <w:r w:rsidRPr="007D7E88">
        <w:rPr>
          <w:lang w:val="fr-FR"/>
        </w:rPr>
        <w:t>mécanismes de retour d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information et d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analyse sur les rapports de recherche internationale et les opinions écrites des administrations chargées de la recherche internationale (paragraphes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14 à</w:t>
      </w:r>
      <w:r w:rsidR="00B22E19" w:rsidRPr="007D7E88">
        <w:rPr>
          <w:lang w:val="fr-FR"/>
        </w:rPr>
        <w:t> </w:t>
      </w:r>
      <w:r w:rsidRPr="007D7E88">
        <w:rPr>
          <w:lang w:val="fr-FR"/>
        </w:rPr>
        <w:t>18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annexe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II du document PCT/MIA/23/14);</w:t>
      </w:r>
    </w:p>
    <w:p w:rsidR="009B0460" w:rsidRPr="007D7E88" w:rsidRDefault="00004C3C" w:rsidP="00E323F4">
      <w:pPr>
        <w:pStyle w:val="ONUMFS"/>
        <w:numPr>
          <w:ilvl w:val="1"/>
          <w:numId w:val="6"/>
        </w:numPr>
        <w:rPr>
          <w:lang w:val="fr-FR"/>
        </w:rPr>
      </w:pPr>
      <w:r w:rsidRPr="007D7E88">
        <w:rPr>
          <w:lang w:val="fr-FR"/>
        </w:rPr>
        <w:t>utilisation d</w:t>
      </w:r>
      <w:r w:rsidR="00E517BB" w:rsidRPr="007D7E88">
        <w:rPr>
          <w:lang w:val="fr-FR"/>
        </w:rPr>
        <w:t>’</w:t>
      </w:r>
      <w:r w:rsidR="00444234">
        <w:rPr>
          <w:lang w:val="fr-FR"/>
        </w:rPr>
        <w:t>indicateurs</w:t>
      </w:r>
      <w:r w:rsidRPr="007D7E88">
        <w:rPr>
          <w:lang w:val="fr-FR"/>
        </w:rPr>
        <w:t xml:space="preserve"> de qualité dans les processus de contrôle de qualité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OEB (paragraphes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19 à</w:t>
      </w:r>
      <w:r w:rsidR="00B22E19" w:rsidRPr="007D7E88">
        <w:rPr>
          <w:lang w:val="fr-FR"/>
        </w:rPr>
        <w:t> </w:t>
      </w:r>
      <w:r w:rsidRPr="007D7E88">
        <w:rPr>
          <w:lang w:val="fr-FR"/>
        </w:rPr>
        <w:t>21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annexe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II du document PCT/MIA/23/14);</w:t>
      </w:r>
    </w:p>
    <w:p w:rsidR="009B0460" w:rsidRPr="007D7E88" w:rsidRDefault="00004C3C" w:rsidP="00E323F4">
      <w:pPr>
        <w:pStyle w:val="ONUMFS"/>
        <w:numPr>
          <w:ilvl w:val="1"/>
          <w:numId w:val="6"/>
        </w:numPr>
        <w:rPr>
          <w:lang w:val="fr-FR"/>
        </w:rPr>
      </w:pPr>
      <w:r w:rsidRPr="007D7E88">
        <w:rPr>
          <w:lang w:val="fr-FR"/>
        </w:rPr>
        <w:t>contrôle de qualité au sein de la division des opérations</w:t>
      </w:r>
      <w:r w:rsidR="00E517BB" w:rsidRPr="007D7E88">
        <w:rPr>
          <w:lang w:val="fr-FR"/>
        </w:rPr>
        <w:t xml:space="preserve"> du PCT</w:t>
      </w:r>
      <w:r w:rsidRPr="007D7E88">
        <w:rPr>
          <w:lang w:val="fr-FR"/>
        </w:rPr>
        <w:t xml:space="preserve"> du Bureau international (paragraphes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22 et</w:t>
      </w:r>
      <w:r w:rsidR="00B22E19" w:rsidRPr="007D7E88">
        <w:rPr>
          <w:lang w:val="fr-FR"/>
        </w:rPr>
        <w:t> </w:t>
      </w:r>
      <w:r w:rsidRPr="007D7E88">
        <w:rPr>
          <w:lang w:val="fr-FR"/>
        </w:rPr>
        <w:t>23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annexe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II du document PCT/MIA/23/14).</w:t>
      </w:r>
    </w:p>
    <w:p w:rsidR="009B0460" w:rsidRPr="007D7E88" w:rsidRDefault="00004C3C" w:rsidP="00E323F4">
      <w:pPr>
        <w:pStyle w:val="ONUMFS"/>
        <w:rPr>
          <w:lang w:val="fr-FR"/>
        </w:rPr>
      </w:pPr>
      <w:r w:rsidRPr="007D7E88">
        <w:rPr>
          <w:szCs w:val="22"/>
          <w:lang w:val="fr-FR"/>
        </w:rPr>
        <w:t xml:space="preserve">Sous le point consacré aux “Indicateurs de qualité”, les administrations ont reconfirmé la valeur des rapports annuels, établis par le Bureau international, sur les caractéristiques des rapports de </w:t>
      </w:r>
      <w:r w:rsidR="00E323F4">
        <w:rPr>
          <w:szCs w:val="22"/>
          <w:lang w:val="fr-FR"/>
        </w:rPr>
        <w:t>r</w:t>
      </w:r>
      <w:r w:rsidRPr="007D7E88">
        <w:rPr>
          <w:szCs w:val="22"/>
          <w:lang w:val="fr-FR"/>
        </w:rPr>
        <w:t>echerche internationale, en particulier comme “outil</w:t>
      </w:r>
      <w:r w:rsidR="00E323F4">
        <w:rPr>
          <w:szCs w:val="22"/>
          <w:lang w:val="fr-FR"/>
        </w:rPr>
        <w:t>s</w:t>
      </w:r>
      <w:r w:rsidRPr="007D7E88">
        <w:rPr>
          <w:szCs w:val="22"/>
          <w:lang w:val="fr-FR"/>
        </w:rPr>
        <w:t xml:space="preserve"> d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auto</w:t>
      </w:r>
      <w:r w:rsidR="007D7E88" w:rsidRPr="007D7E88">
        <w:rPr>
          <w:szCs w:val="22"/>
          <w:lang w:val="fr-FR"/>
        </w:rPr>
        <w:noBreakHyphen/>
      </w:r>
      <w:r w:rsidRPr="007D7E88">
        <w:rPr>
          <w:szCs w:val="22"/>
          <w:lang w:val="fr-FR"/>
        </w:rPr>
        <w:t>évaluation”, et ont examiné la possibilité d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ajouter de nouveaux indicateurs au rapport (paragraphes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25 à</w:t>
      </w:r>
      <w:r w:rsidR="00B22E19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27 de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annexe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II du document PCT/MIA/23/14).</w:t>
      </w:r>
      <w:r w:rsidR="00CA5B27" w:rsidRPr="007D7E88">
        <w:rPr>
          <w:szCs w:val="22"/>
          <w:lang w:val="fr-FR"/>
        </w:rPr>
        <w:t xml:space="preserve">  </w:t>
      </w:r>
      <w:r w:rsidR="00AF20DC" w:rsidRPr="007D7E88">
        <w:rPr>
          <w:szCs w:val="22"/>
          <w:lang w:val="fr-FR"/>
        </w:rPr>
        <w:t>Le sous</w:t>
      </w:r>
      <w:r w:rsidR="007D7E88" w:rsidRPr="007D7E88">
        <w:rPr>
          <w:szCs w:val="22"/>
          <w:lang w:val="fr-FR"/>
        </w:rPr>
        <w:noBreakHyphen/>
      </w:r>
      <w:r w:rsidR="00AF20DC" w:rsidRPr="007D7E88">
        <w:rPr>
          <w:szCs w:val="22"/>
          <w:lang w:val="fr-FR"/>
        </w:rPr>
        <w:t>groupe s</w:t>
      </w:r>
      <w:r w:rsidR="00E517BB" w:rsidRPr="007D7E88">
        <w:rPr>
          <w:szCs w:val="22"/>
          <w:lang w:val="fr-FR"/>
        </w:rPr>
        <w:t>’</w:t>
      </w:r>
      <w:r w:rsidR="00AF20DC" w:rsidRPr="007D7E88">
        <w:rPr>
          <w:szCs w:val="22"/>
          <w:lang w:val="fr-FR"/>
        </w:rPr>
        <w:t>est en outre félicité des évolutions récentes destinées à fournir en temps u</w:t>
      </w:r>
      <w:r w:rsidR="00E323F4">
        <w:rPr>
          <w:szCs w:val="22"/>
          <w:lang w:val="fr-FR"/>
        </w:rPr>
        <w:t>tile</w:t>
      </w:r>
      <w:r w:rsidR="00AF20DC" w:rsidRPr="007D7E88">
        <w:rPr>
          <w:szCs w:val="22"/>
          <w:lang w:val="fr-FR"/>
        </w:rPr>
        <w:t xml:space="preserve"> des informations fiables aux offices sur leurs performances dans l</w:t>
      </w:r>
      <w:r w:rsidR="00E517BB" w:rsidRPr="007D7E88">
        <w:rPr>
          <w:szCs w:val="22"/>
          <w:lang w:val="fr-FR"/>
        </w:rPr>
        <w:t>’</w:t>
      </w:r>
      <w:r w:rsidR="00AF20DC" w:rsidRPr="007D7E88">
        <w:rPr>
          <w:szCs w:val="22"/>
          <w:lang w:val="fr-FR"/>
        </w:rPr>
        <w:t>exercice de leurs différentes fonctions au sein</w:t>
      </w:r>
      <w:r w:rsidR="00E517BB" w:rsidRPr="007D7E88">
        <w:rPr>
          <w:szCs w:val="22"/>
          <w:lang w:val="fr-FR"/>
        </w:rPr>
        <w:t xml:space="preserve"> du PCT</w:t>
      </w:r>
      <w:r w:rsidR="00AF20DC" w:rsidRPr="007D7E88">
        <w:rPr>
          <w:szCs w:val="22"/>
          <w:lang w:val="fr-FR"/>
        </w:rPr>
        <w:t>, en particulier l</w:t>
      </w:r>
      <w:r w:rsidR="00E517BB" w:rsidRPr="007D7E88">
        <w:rPr>
          <w:szCs w:val="22"/>
          <w:lang w:val="fr-FR"/>
        </w:rPr>
        <w:t>’</w:t>
      </w:r>
      <w:r w:rsidR="00AF20DC" w:rsidRPr="007D7E88">
        <w:rPr>
          <w:szCs w:val="22"/>
          <w:lang w:val="fr-FR"/>
        </w:rPr>
        <w:t>adjonction de nouveaux outils d</w:t>
      </w:r>
      <w:r w:rsidR="00E517BB" w:rsidRPr="007D7E88">
        <w:rPr>
          <w:szCs w:val="22"/>
          <w:lang w:val="fr-FR"/>
        </w:rPr>
        <w:t>’</w:t>
      </w:r>
      <w:r w:rsidR="00AF20DC" w:rsidRPr="007D7E88">
        <w:rPr>
          <w:szCs w:val="22"/>
          <w:lang w:val="fr-FR"/>
        </w:rPr>
        <w:t xml:space="preserve">établissement de rapports dans le système </w:t>
      </w:r>
      <w:proofErr w:type="spellStart"/>
      <w:r w:rsidR="00AF20DC" w:rsidRPr="007D7E88">
        <w:rPr>
          <w:szCs w:val="22"/>
          <w:lang w:val="fr-FR"/>
        </w:rPr>
        <w:t>ePCT</w:t>
      </w:r>
      <w:proofErr w:type="spellEnd"/>
      <w:r w:rsidR="00AF20DC" w:rsidRPr="007D7E88">
        <w:rPr>
          <w:szCs w:val="22"/>
          <w:lang w:val="fr-FR"/>
        </w:rPr>
        <w:t xml:space="preserve"> et de données supplémentaires sur les indicateurs disponibles par l</w:t>
      </w:r>
      <w:r w:rsidR="00E517BB" w:rsidRPr="007D7E88">
        <w:rPr>
          <w:szCs w:val="22"/>
          <w:lang w:val="fr-FR"/>
        </w:rPr>
        <w:t>’</w:t>
      </w:r>
      <w:r w:rsidR="00AF20DC" w:rsidRPr="007D7E88">
        <w:rPr>
          <w:szCs w:val="22"/>
          <w:lang w:val="fr-FR"/>
        </w:rPr>
        <w:t>intermédiaire du Centre de données statistiques sur la propriété intellectuelle de l</w:t>
      </w:r>
      <w:r w:rsidR="00E517BB" w:rsidRPr="007D7E88">
        <w:rPr>
          <w:szCs w:val="22"/>
          <w:lang w:val="fr-FR"/>
        </w:rPr>
        <w:t>’</w:t>
      </w:r>
      <w:r w:rsidR="00AF20DC" w:rsidRPr="007D7E88">
        <w:rPr>
          <w:szCs w:val="22"/>
          <w:lang w:val="fr-FR"/>
        </w:rPr>
        <w:t>OMPI (paragraphes</w:t>
      </w:r>
      <w:r w:rsidR="00090837" w:rsidRPr="007D7E88">
        <w:rPr>
          <w:szCs w:val="22"/>
          <w:lang w:val="fr-FR"/>
        </w:rPr>
        <w:t> </w:t>
      </w:r>
      <w:r w:rsidR="00AF20DC" w:rsidRPr="007D7E88">
        <w:rPr>
          <w:szCs w:val="22"/>
          <w:lang w:val="fr-FR"/>
        </w:rPr>
        <w:t>28 à</w:t>
      </w:r>
      <w:r w:rsidR="00B22E19" w:rsidRPr="007D7E88">
        <w:rPr>
          <w:szCs w:val="22"/>
          <w:lang w:val="fr-FR"/>
        </w:rPr>
        <w:t> </w:t>
      </w:r>
      <w:r w:rsidR="00AF20DC" w:rsidRPr="007D7E88">
        <w:rPr>
          <w:szCs w:val="22"/>
          <w:lang w:val="fr-FR"/>
        </w:rPr>
        <w:t>31 de l</w:t>
      </w:r>
      <w:r w:rsidR="00E517BB" w:rsidRPr="007D7E88">
        <w:rPr>
          <w:szCs w:val="22"/>
          <w:lang w:val="fr-FR"/>
        </w:rPr>
        <w:t>’</w:t>
      </w:r>
      <w:r w:rsidR="00AF20DC" w:rsidRPr="007D7E88">
        <w:rPr>
          <w:szCs w:val="22"/>
          <w:lang w:val="fr-FR"/>
        </w:rPr>
        <w:t>annexe</w:t>
      </w:r>
      <w:r w:rsidR="00090837" w:rsidRPr="007D7E88">
        <w:rPr>
          <w:szCs w:val="22"/>
          <w:lang w:val="fr-FR"/>
        </w:rPr>
        <w:t> </w:t>
      </w:r>
      <w:r w:rsidR="00AF20DC" w:rsidRPr="007D7E88">
        <w:rPr>
          <w:szCs w:val="22"/>
          <w:lang w:val="fr-FR"/>
        </w:rPr>
        <w:t>II du document PCT/MIA/23/14).</w:t>
      </w:r>
    </w:p>
    <w:p w:rsidR="009B0460" w:rsidRPr="007D7E88" w:rsidRDefault="00AF20DC" w:rsidP="00E323F4">
      <w:pPr>
        <w:pStyle w:val="ONUMFS"/>
        <w:rPr>
          <w:lang w:val="fr-FR"/>
        </w:rPr>
      </w:pPr>
      <w:r w:rsidRPr="007D7E88">
        <w:rPr>
          <w:szCs w:val="22"/>
          <w:lang w:val="fr-FR"/>
        </w:rPr>
        <w:t>Sous le point intitulé “Meilleure compréhension des travaux menés par les autres offices”, le sous</w:t>
      </w:r>
      <w:r w:rsidR="007D7E88" w:rsidRPr="007D7E88">
        <w:rPr>
          <w:szCs w:val="22"/>
          <w:lang w:val="fr-FR"/>
        </w:rPr>
        <w:noBreakHyphen/>
      </w:r>
      <w:r w:rsidRPr="007D7E88">
        <w:rPr>
          <w:szCs w:val="22"/>
          <w:lang w:val="fr-FR"/>
        </w:rPr>
        <w:t>groupe a poursuivi ses délibérations sur les trois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pistes arrêtées pour le partage des stratégies de recherche, convenues à sa cinquième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session (projet pilote en matière de publication des données relatives aux stratégies de recherche;  utilisation des procédures existantes de consignation de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information dans le formulaire PCT/ISA/210 et communication des dossiers de recherche complets dans tout format dans lequel ils sont établis par les administrations aux fins de publication sur le portail PATENTSCOPE) (paragraphes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32 à</w:t>
      </w:r>
      <w:r w:rsidR="00B22E19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36 de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annexe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II du document PCT/MIA/23/14).</w:t>
      </w:r>
      <w:r w:rsidR="005F50DA" w:rsidRPr="007D7E88">
        <w:rPr>
          <w:lang w:val="fr-FR"/>
        </w:rPr>
        <w:t xml:space="preserve"> </w:t>
      </w:r>
      <w:r w:rsidR="00CA5B27" w:rsidRPr="007D7E88">
        <w:rPr>
          <w:lang w:val="fr-FR"/>
        </w:rPr>
        <w:t xml:space="preserve"> </w:t>
      </w:r>
      <w:r w:rsidRPr="007D7E88">
        <w:rPr>
          <w:lang w:val="fr-FR"/>
        </w:rPr>
        <w:t>En outre, le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a poursuivi ses échanges de vues sur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utilisation (facultative) par les administrations de clauses normalisées dans les opinions écrites et sur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expérience des administrations ayant commencé à utiliser ces clauses (paragraphes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 xml:space="preserve">37 </w:t>
      </w:r>
      <w:r w:rsidR="00E517BB" w:rsidRPr="007D7E88">
        <w:rPr>
          <w:lang w:val="fr-FR"/>
        </w:rPr>
        <w:t>à 41 de l’annexe </w:t>
      </w:r>
      <w:r w:rsidRPr="007D7E88">
        <w:rPr>
          <w:lang w:val="fr-FR"/>
        </w:rPr>
        <w:t>II du document PCT/MIA/23/14).</w:t>
      </w:r>
    </w:p>
    <w:p w:rsidR="009B0460" w:rsidRPr="007D7E88" w:rsidRDefault="00E4391A" w:rsidP="00E323F4">
      <w:pPr>
        <w:pStyle w:val="ONUMFS"/>
        <w:rPr>
          <w:lang w:val="fr-FR"/>
        </w:rPr>
      </w:pPr>
      <w:r w:rsidRPr="007D7E88">
        <w:rPr>
          <w:lang w:val="fr-FR"/>
        </w:rPr>
        <w:lastRenderedPageBreak/>
        <w:t>En ce qui concerne les “Mesures d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améliorations de la qualité”, le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a examiné une proposition visant à améliorer les explications et les exemples portant sur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absence d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unité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invention actuellement fournis dans les Directives concernant la recherche internationale et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examen préliminaire international (paragraphes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42 à</w:t>
      </w:r>
      <w:r w:rsidR="00B22E19" w:rsidRPr="007D7E88">
        <w:rPr>
          <w:lang w:val="fr-FR"/>
        </w:rPr>
        <w:t> </w:t>
      </w:r>
      <w:r w:rsidRPr="007D7E88">
        <w:rPr>
          <w:lang w:val="fr-FR"/>
        </w:rPr>
        <w:t>45 de l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annexe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II du document PCT/MIA/23/14).</w:t>
      </w:r>
    </w:p>
    <w:p w:rsidR="009B0460" w:rsidRPr="007D7E88" w:rsidRDefault="00E4391A" w:rsidP="00E323F4">
      <w:pPr>
        <w:pStyle w:val="ONUMFS"/>
        <w:rPr>
          <w:lang w:val="fr-FR"/>
        </w:rPr>
      </w:pPr>
      <w:r w:rsidRPr="007D7E88">
        <w:rPr>
          <w:szCs w:val="22"/>
          <w:lang w:val="fr-FR"/>
        </w:rPr>
        <w:t>S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agissant des “Critères de nomination d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une administration internationale”, le sous</w:t>
      </w:r>
      <w:r w:rsidR="007D7E88" w:rsidRPr="007D7E88">
        <w:rPr>
          <w:szCs w:val="22"/>
          <w:lang w:val="fr-FR"/>
        </w:rPr>
        <w:noBreakHyphen/>
      </w:r>
      <w:r w:rsidRPr="007D7E88">
        <w:rPr>
          <w:szCs w:val="22"/>
          <w:lang w:val="fr-FR"/>
        </w:rPr>
        <w:t>groupe a examiné des propositions visant à renforcer les exigences relatives aux systèmes de gestion de la qualité prévues au chapitre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 xml:space="preserve">21 des </w:t>
      </w:r>
      <w:r w:rsidR="00E323F4">
        <w:rPr>
          <w:szCs w:val="22"/>
          <w:lang w:val="fr-FR"/>
        </w:rPr>
        <w:t>D</w:t>
      </w:r>
      <w:r w:rsidRPr="007D7E88">
        <w:rPr>
          <w:szCs w:val="22"/>
          <w:lang w:val="fr-FR"/>
        </w:rPr>
        <w:t>irectives concernant la recherche internationale et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examen préliminaire international et dans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accord de principe sur les procédures de nomination des administrations internationales adopté par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Assemblée de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Union du PCT en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2014.</w:t>
      </w:r>
      <w:r w:rsidR="00B917E2" w:rsidRPr="007D7E88">
        <w:rPr>
          <w:lang w:val="fr-FR"/>
        </w:rPr>
        <w:t xml:space="preserve">  </w:t>
      </w:r>
      <w:r w:rsidRPr="007D7E88">
        <w:rPr>
          <w:szCs w:val="22"/>
          <w:lang w:val="fr-FR"/>
        </w:rPr>
        <w:t>Compte tenu de la nécessité de poursuivre les discussions et de prévoir des dispositions transitoires pour les administrations existantes, les délibérations sur cette question se poursuivront au sein du sous</w:t>
      </w:r>
      <w:r w:rsidR="007D7E88" w:rsidRPr="007D7E88">
        <w:rPr>
          <w:szCs w:val="22"/>
          <w:lang w:val="fr-FR"/>
        </w:rPr>
        <w:noBreakHyphen/>
      </w:r>
      <w:r w:rsidRPr="007D7E88">
        <w:rPr>
          <w:szCs w:val="22"/>
          <w:lang w:val="fr-FR"/>
        </w:rPr>
        <w:t>groupe à sa prochaine session (paragraphes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46 à</w:t>
      </w:r>
      <w:r w:rsidR="00B22E19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51 de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annexe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II du document PCT/MIA/23/14).</w:t>
      </w:r>
      <w:r w:rsidR="00B917E2" w:rsidRPr="007D7E88">
        <w:rPr>
          <w:lang w:val="fr-FR"/>
        </w:rPr>
        <w:t xml:space="preserve">  </w:t>
      </w:r>
      <w:r w:rsidRPr="007D7E88">
        <w:rPr>
          <w:szCs w:val="22"/>
          <w:lang w:val="fr-FR"/>
        </w:rPr>
        <w:t>Le sous</w:t>
      </w:r>
      <w:r w:rsidR="007D7E88" w:rsidRPr="007D7E88">
        <w:rPr>
          <w:szCs w:val="22"/>
          <w:lang w:val="fr-FR"/>
        </w:rPr>
        <w:noBreakHyphen/>
      </w:r>
      <w:r w:rsidRPr="007D7E88">
        <w:rPr>
          <w:szCs w:val="22"/>
          <w:lang w:val="fr-FR"/>
        </w:rPr>
        <w:t>groupe a en outre examiné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 xml:space="preserve">utilisation </w:t>
      </w:r>
      <w:r w:rsidR="00E323F4">
        <w:rPr>
          <w:szCs w:val="22"/>
          <w:lang w:val="fr-FR"/>
        </w:rPr>
        <w:t xml:space="preserve">possible </w:t>
      </w:r>
      <w:r w:rsidRPr="007D7E88">
        <w:rPr>
          <w:szCs w:val="22"/>
          <w:lang w:val="fr-FR"/>
        </w:rPr>
        <w:t>et le contenu envisageable d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un formulaire de candidature type pour la désignation d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un office en qualité d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administration chargée de la recherche internationale;  les délibérations sur cette question se poursuivront à la prochaine session du sous</w:t>
      </w:r>
      <w:r w:rsidR="007D7E88" w:rsidRPr="007D7E88">
        <w:rPr>
          <w:szCs w:val="22"/>
          <w:lang w:val="fr-FR"/>
        </w:rPr>
        <w:noBreakHyphen/>
      </w:r>
      <w:r w:rsidRPr="007D7E88">
        <w:rPr>
          <w:szCs w:val="22"/>
          <w:lang w:val="fr-FR"/>
        </w:rPr>
        <w:t>groupe (paragraphes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 xml:space="preserve">52 </w:t>
      </w:r>
      <w:r w:rsidR="00B22E19" w:rsidRPr="007D7E88">
        <w:rPr>
          <w:szCs w:val="22"/>
          <w:lang w:val="fr-FR"/>
        </w:rPr>
        <w:t>à </w:t>
      </w:r>
      <w:r w:rsidRPr="007D7E88">
        <w:rPr>
          <w:szCs w:val="22"/>
          <w:lang w:val="fr-FR"/>
        </w:rPr>
        <w:t>56 de l</w:t>
      </w:r>
      <w:r w:rsidR="00E517BB" w:rsidRPr="007D7E88">
        <w:rPr>
          <w:szCs w:val="22"/>
          <w:lang w:val="fr-FR"/>
        </w:rPr>
        <w:t>’</w:t>
      </w:r>
      <w:r w:rsidRPr="007D7E88">
        <w:rPr>
          <w:szCs w:val="22"/>
          <w:lang w:val="fr-FR"/>
        </w:rPr>
        <w:t>annexe</w:t>
      </w:r>
      <w:r w:rsidR="00090837" w:rsidRPr="007D7E88">
        <w:rPr>
          <w:szCs w:val="22"/>
          <w:lang w:val="fr-FR"/>
        </w:rPr>
        <w:t> </w:t>
      </w:r>
      <w:r w:rsidRPr="007D7E88">
        <w:rPr>
          <w:szCs w:val="22"/>
          <w:lang w:val="fr-FR"/>
        </w:rPr>
        <w:t>II du document PCT/MIA/23/14).</w:t>
      </w:r>
    </w:p>
    <w:p w:rsidR="009B0460" w:rsidRPr="007D7E88" w:rsidRDefault="00A34237" w:rsidP="00E323F4">
      <w:pPr>
        <w:pStyle w:val="ONUMFS"/>
        <w:rPr>
          <w:lang w:val="fr-FR"/>
        </w:rPr>
      </w:pPr>
      <w:r w:rsidRPr="007D7E88">
        <w:rPr>
          <w:lang w:val="fr-FR"/>
        </w:rPr>
        <w:t>À leur vingt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 xml:space="preserve">troisième </w:t>
      </w:r>
      <w:r w:rsidR="00E323F4">
        <w:rPr>
          <w:lang w:val="fr-FR"/>
        </w:rPr>
        <w:t>r</w:t>
      </w:r>
      <w:r w:rsidRPr="007D7E88">
        <w:rPr>
          <w:lang w:val="fr-FR"/>
        </w:rPr>
        <w:t xml:space="preserve">éunion, tenue à Santiago en </w:t>
      </w:r>
      <w:r w:rsidR="00E517BB" w:rsidRPr="007D7E88">
        <w:rPr>
          <w:lang w:val="fr-FR"/>
        </w:rPr>
        <w:t>janvier 20</w:t>
      </w:r>
      <w:r w:rsidRPr="007D7E88">
        <w:rPr>
          <w:lang w:val="fr-FR"/>
        </w:rPr>
        <w:t>16, les administrations internationales</w:t>
      </w:r>
      <w:r w:rsidR="00E517BB" w:rsidRPr="007D7E88">
        <w:rPr>
          <w:lang w:val="fr-FR"/>
        </w:rPr>
        <w:t xml:space="preserve"> du PCT</w:t>
      </w:r>
      <w:r w:rsidRPr="007D7E88">
        <w:rPr>
          <w:lang w:val="fr-FR"/>
        </w:rPr>
        <w:t xml:space="preserve"> ont pris note avec satisfaction du résumé présenté par le président de la sixième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session informelle du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et ont approuvé toutes les recommandations du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</w:t>
      </w:r>
      <w:r w:rsidR="00B22E19" w:rsidRPr="007D7E88">
        <w:rPr>
          <w:lang w:val="fr-FR"/>
        </w:rPr>
        <w:t>pe.  Pa</w:t>
      </w:r>
      <w:r w:rsidRPr="007D7E88">
        <w:rPr>
          <w:lang w:val="fr-FR"/>
        </w:rPr>
        <w:t>r ailleurs, la Réunion des administrations internationales a approuvé la poursuite du mandat du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et la convocation d</w:t>
      </w:r>
      <w:r w:rsidR="00E517BB" w:rsidRPr="007D7E88">
        <w:rPr>
          <w:lang w:val="fr-FR"/>
        </w:rPr>
        <w:t>’</w:t>
      </w:r>
      <w:r w:rsidRPr="007D7E88">
        <w:rPr>
          <w:lang w:val="fr-FR"/>
        </w:rPr>
        <w:t>une nouvelle session informelle avec la présence physique des participants du sous</w:t>
      </w:r>
      <w:r w:rsidR="007D7E88" w:rsidRPr="007D7E88">
        <w:rPr>
          <w:lang w:val="fr-FR"/>
        </w:rPr>
        <w:noBreakHyphen/>
      </w:r>
      <w:r w:rsidRPr="007D7E88">
        <w:rPr>
          <w:lang w:val="fr-FR"/>
        </w:rPr>
        <w:t>groupe en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2017 (paragraphes</w:t>
      </w:r>
      <w:r w:rsidR="00090837" w:rsidRPr="007D7E88">
        <w:rPr>
          <w:lang w:val="fr-FR"/>
        </w:rPr>
        <w:t> </w:t>
      </w:r>
      <w:r w:rsidRPr="007D7E88">
        <w:rPr>
          <w:lang w:val="fr-FR"/>
        </w:rPr>
        <w:t>10 à</w:t>
      </w:r>
      <w:r w:rsidR="00B22E19" w:rsidRPr="007D7E88">
        <w:rPr>
          <w:lang w:val="fr-FR"/>
        </w:rPr>
        <w:t> </w:t>
      </w:r>
      <w:r w:rsidRPr="007D7E88">
        <w:rPr>
          <w:lang w:val="fr-FR"/>
        </w:rPr>
        <w:t>13 du document PCT/MIA/23/14).</w:t>
      </w:r>
    </w:p>
    <w:p w:rsidR="009B0460" w:rsidRPr="007D7E88" w:rsidRDefault="00A34237" w:rsidP="00E323F4">
      <w:pPr>
        <w:pStyle w:val="ONUMFS"/>
        <w:ind w:left="5533"/>
        <w:rPr>
          <w:i/>
          <w:lang w:val="fr-FR"/>
        </w:rPr>
      </w:pPr>
      <w:r w:rsidRPr="007D7E88">
        <w:rPr>
          <w:i/>
          <w:lang w:val="fr-FR"/>
        </w:rPr>
        <w:t>L</w:t>
      </w:r>
      <w:r w:rsidR="00E517BB" w:rsidRPr="007D7E88">
        <w:rPr>
          <w:i/>
          <w:lang w:val="fr-FR"/>
        </w:rPr>
        <w:t>’</w:t>
      </w:r>
      <w:r w:rsidRPr="007D7E88">
        <w:rPr>
          <w:i/>
          <w:lang w:val="fr-FR"/>
        </w:rPr>
        <w:t>Assemblée de l</w:t>
      </w:r>
      <w:r w:rsidR="00E517BB" w:rsidRPr="007D7E88">
        <w:rPr>
          <w:i/>
          <w:lang w:val="fr-FR"/>
        </w:rPr>
        <w:t>’</w:t>
      </w:r>
      <w:r w:rsidRPr="007D7E88">
        <w:rPr>
          <w:i/>
          <w:lang w:val="fr-FR"/>
        </w:rPr>
        <w:t>Union</w:t>
      </w:r>
      <w:r w:rsidR="00E517BB" w:rsidRPr="007D7E88">
        <w:rPr>
          <w:i/>
          <w:lang w:val="fr-FR"/>
        </w:rPr>
        <w:t xml:space="preserve"> du PCT</w:t>
      </w:r>
      <w:r w:rsidRPr="007D7E88">
        <w:rPr>
          <w:i/>
          <w:lang w:val="fr-FR"/>
        </w:rPr>
        <w:t xml:space="preserve"> est invitée à prendre note des “Travaux des administrations internationales relatifs à la qualité” (document PCT/A/48/2).</w:t>
      </w:r>
    </w:p>
    <w:p w:rsidR="009B0460" w:rsidRPr="007D7E88" w:rsidRDefault="009B0460" w:rsidP="00E323F4">
      <w:pPr>
        <w:rPr>
          <w:lang w:val="fr-FR"/>
        </w:rPr>
      </w:pPr>
    </w:p>
    <w:p w:rsidR="00E517BB" w:rsidRPr="007D7E88" w:rsidRDefault="00E517BB" w:rsidP="00E323F4">
      <w:pPr>
        <w:rPr>
          <w:lang w:val="fr-FR"/>
        </w:rPr>
      </w:pPr>
    </w:p>
    <w:p w:rsidR="002928D3" w:rsidRPr="007D7E88" w:rsidRDefault="00A34237" w:rsidP="00E323F4">
      <w:pPr>
        <w:pStyle w:val="Endofdocument-Annex"/>
        <w:rPr>
          <w:lang w:val="fr-FR"/>
        </w:rPr>
      </w:pPr>
      <w:r w:rsidRPr="007D7E88">
        <w:rPr>
          <w:lang w:val="fr-FR"/>
        </w:rPr>
        <w:t>[Fin du document]</w:t>
      </w:r>
    </w:p>
    <w:sectPr w:rsidR="002928D3" w:rsidRPr="007D7E88" w:rsidSect="00E517BB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8A" w:rsidRDefault="008F048A">
      <w:r>
        <w:separator/>
      </w:r>
    </w:p>
  </w:endnote>
  <w:endnote w:type="continuationSeparator" w:id="0">
    <w:p w:rsidR="008F048A" w:rsidRDefault="008F048A" w:rsidP="003B38C1">
      <w:r>
        <w:separator/>
      </w:r>
    </w:p>
    <w:p w:rsidR="008F048A" w:rsidRPr="003B38C1" w:rsidRDefault="008F04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F048A" w:rsidRPr="003B38C1" w:rsidRDefault="008F04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BB" w:rsidRPr="00E517BB" w:rsidRDefault="00E517BB" w:rsidP="00EB6F06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8A" w:rsidRDefault="008F048A">
      <w:r>
        <w:separator/>
      </w:r>
    </w:p>
  </w:footnote>
  <w:footnote w:type="continuationSeparator" w:id="0">
    <w:p w:rsidR="008F048A" w:rsidRDefault="008F048A" w:rsidP="008B60B2">
      <w:r>
        <w:separator/>
      </w:r>
    </w:p>
    <w:p w:rsidR="008F048A" w:rsidRPr="00ED77FB" w:rsidRDefault="008F04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F048A" w:rsidRPr="00ED77FB" w:rsidRDefault="008F04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B0460" w:rsidRPr="007D7E88" w:rsidRDefault="009B0460" w:rsidP="009B0460">
      <w:pPr>
        <w:pStyle w:val="FootnoteText"/>
        <w:rPr>
          <w:lang w:val="fr-FR"/>
        </w:rPr>
      </w:pPr>
      <w:r w:rsidRPr="007D7E88">
        <w:rPr>
          <w:rStyle w:val="FootnoteReference"/>
          <w:lang w:val="fr-FR"/>
        </w:rPr>
        <w:footnoteRef/>
      </w:r>
      <w:r w:rsidRPr="007D7E88">
        <w:rPr>
          <w:lang w:val="fr-FR"/>
        </w:rPr>
        <w:t xml:space="preserve"> </w:t>
      </w:r>
      <w:r w:rsidRPr="007D7E88">
        <w:rPr>
          <w:lang w:val="fr-FR"/>
        </w:rPr>
        <w:tab/>
        <w:t>Voir le lien http://www.wipo.int/meetings/fr/doc_details.jsp?doc_id=327676</w:t>
      </w:r>
      <w:r w:rsidR="00E517BB" w:rsidRPr="007D7E88">
        <w:rPr>
          <w:lang w:val="fr-FR"/>
        </w:rPr>
        <w:t>.</w:t>
      </w:r>
    </w:p>
  </w:footnote>
  <w:footnote w:id="3">
    <w:p w:rsidR="00C62739" w:rsidRPr="007D7E88" w:rsidRDefault="00C62739" w:rsidP="00C62739">
      <w:pPr>
        <w:pStyle w:val="FootnoteText"/>
        <w:rPr>
          <w:lang w:val="fr-FR"/>
        </w:rPr>
      </w:pPr>
      <w:r w:rsidRPr="007D7E88">
        <w:rPr>
          <w:rStyle w:val="FootnoteReference"/>
          <w:lang w:val="fr-FR"/>
        </w:rPr>
        <w:footnoteRef/>
      </w:r>
      <w:r w:rsidRPr="007D7E88">
        <w:rPr>
          <w:lang w:val="fr-FR"/>
        </w:rPr>
        <w:t xml:space="preserve"> </w:t>
      </w:r>
      <w:r w:rsidRPr="007D7E88">
        <w:rPr>
          <w:lang w:val="fr-FR"/>
        </w:rPr>
        <w:tab/>
      </w:r>
      <w:r w:rsidRPr="007D7E88">
        <w:rPr>
          <w:spacing w:val="-4"/>
          <w:lang w:val="fr-FR"/>
        </w:rPr>
        <w:t>Les rapports sont disponibles sur le site</w:t>
      </w:r>
      <w:r w:rsidR="002A46B8" w:rsidRPr="007D7E88">
        <w:rPr>
          <w:spacing w:val="-4"/>
          <w:lang w:val="fr-FR"/>
        </w:rPr>
        <w:t> </w:t>
      </w:r>
      <w:r w:rsidR="00E517BB" w:rsidRPr="007D7E88">
        <w:rPr>
          <w:spacing w:val="-4"/>
          <w:lang w:val="fr-FR"/>
        </w:rPr>
        <w:t>Web de l</w:t>
      </w:r>
      <w:r w:rsidR="00B22E19" w:rsidRPr="007D7E88">
        <w:rPr>
          <w:spacing w:val="-4"/>
          <w:lang w:val="fr-FR"/>
        </w:rPr>
        <w:t>’</w:t>
      </w:r>
      <w:r w:rsidR="00E517BB" w:rsidRPr="007D7E88">
        <w:rPr>
          <w:spacing w:val="-4"/>
          <w:lang w:val="fr-FR"/>
        </w:rPr>
        <w:t>OMPI à l</w:t>
      </w:r>
      <w:r w:rsidR="00B22E19" w:rsidRPr="007D7E88">
        <w:rPr>
          <w:spacing w:val="-4"/>
          <w:lang w:val="fr-FR"/>
        </w:rPr>
        <w:t>’</w:t>
      </w:r>
      <w:r w:rsidRPr="007D7E88">
        <w:rPr>
          <w:spacing w:val="-4"/>
          <w:lang w:val="fr-FR"/>
        </w:rPr>
        <w:t>adresse http://www.wipo.int/pct/fr/quality/authorities.html.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F048A" w:rsidP="00477D6B">
    <w:pPr>
      <w:jc w:val="right"/>
    </w:pPr>
    <w:bookmarkStart w:id="5" w:name="Code2"/>
    <w:bookmarkEnd w:id="5"/>
    <w:r>
      <w:t>PCT/A/48/2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44423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E5FFE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8F048A"/>
    <w:rsid w:val="00004C3C"/>
    <w:rsid w:val="00017350"/>
    <w:rsid w:val="00043CAA"/>
    <w:rsid w:val="00075432"/>
    <w:rsid w:val="00090837"/>
    <w:rsid w:val="000968ED"/>
    <w:rsid w:val="000F5E56"/>
    <w:rsid w:val="00135832"/>
    <w:rsid w:val="001362EE"/>
    <w:rsid w:val="001832A6"/>
    <w:rsid w:val="002634C4"/>
    <w:rsid w:val="002928D3"/>
    <w:rsid w:val="002A46B8"/>
    <w:rsid w:val="002F1FE6"/>
    <w:rsid w:val="002F4E68"/>
    <w:rsid w:val="00312F7F"/>
    <w:rsid w:val="003228B7"/>
    <w:rsid w:val="00325AB4"/>
    <w:rsid w:val="003673CF"/>
    <w:rsid w:val="003845C1"/>
    <w:rsid w:val="003A0176"/>
    <w:rsid w:val="003A6F89"/>
    <w:rsid w:val="003B20A5"/>
    <w:rsid w:val="003B38C1"/>
    <w:rsid w:val="00423E3E"/>
    <w:rsid w:val="00427AF4"/>
    <w:rsid w:val="004400E2"/>
    <w:rsid w:val="00444234"/>
    <w:rsid w:val="00451AE5"/>
    <w:rsid w:val="004647DA"/>
    <w:rsid w:val="00474062"/>
    <w:rsid w:val="00477D6B"/>
    <w:rsid w:val="0053057A"/>
    <w:rsid w:val="0054451A"/>
    <w:rsid w:val="0055390E"/>
    <w:rsid w:val="00560A29"/>
    <w:rsid w:val="005A209D"/>
    <w:rsid w:val="005F50DA"/>
    <w:rsid w:val="00605827"/>
    <w:rsid w:val="00646050"/>
    <w:rsid w:val="0065350F"/>
    <w:rsid w:val="006713CA"/>
    <w:rsid w:val="00676C5C"/>
    <w:rsid w:val="00697194"/>
    <w:rsid w:val="006F1841"/>
    <w:rsid w:val="007058FB"/>
    <w:rsid w:val="00711F85"/>
    <w:rsid w:val="00773773"/>
    <w:rsid w:val="007B6A58"/>
    <w:rsid w:val="007D1613"/>
    <w:rsid w:val="007D7E88"/>
    <w:rsid w:val="00863446"/>
    <w:rsid w:val="00887962"/>
    <w:rsid w:val="008B2CC1"/>
    <w:rsid w:val="008B60B2"/>
    <w:rsid w:val="008F048A"/>
    <w:rsid w:val="0090731E"/>
    <w:rsid w:val="00916EE2"/>
    <w:rsid w:val="00965389"/>
    <w:rsid w:val="00966A22"/>
    <w:rsid w:val="0096722F"/>
    <w:rsid w:val="0097030E"/>
    <w:rsid w:val="00980843"/>
    <w:rsid w:val="009840E6"/>
    <w:rsid w:val="009B0460"/>
    <w:rsid w:val="009E2791"/>
    <w:rsid w:val="009E3F6F"/>
    <w:rsid w:val="009F499F"/>
    <w:rsid w:val="00A33CA5"/>
    <w:rsid w:val="00A34237"/>
    <w:rsid w:val="00A42DAF"/>
    <w:rsid w:val="00A45BD8"/>
    <w:rsid w:val="00A748FE"/>
    <w:rsid w:val="00A85B8E"/>
    <w:rsid w:val="00AC205C"/>
    <w:rsid w:val="00AE433B"/>
    <w:rsid w:val="00AF20DC"/>
    <w:rsid w:val="00B05A69"/>
    <w:rsid w:val="00B22E19"/>
    <w:rsid w:val="00B917E2"/>
    <w:rsid w:val="00B9734B"/>
    <w:rsid w:val="00BA654A"/>
    <w:rsid w:val="00BA7CB2"/>
    <w:rsid w:val="00BC6F72"/>
    <w:rsid w:val="00C11BFE"/>
    <w:rsid w:val="00C62739"/>
    <w:rsid w:val="00C94629"/>
    <w:rsid w:val="00CA5B27"/>
    <w:rsid w:val="00CE5FFE"/>
    <w:rsid w:val="00D01CBE"/>
    <w:rsid w:val="00D0700C"/>
    <w:rsid w:val="00D45252"/>
    <w:rsid w:val="00D6022B"/>
    <w:rsid w:val="00D71B4D"/>
    <w:rsid w:val="00D93D55"/>
    <w:rsid w:val="00D970F4"/>
    <w:rsid w:val="00E323F4"/>
    <w:rsid w:val="00E335FE"/>
    <w:rsid w:val="00E4391A"/>
    <w:rsid w:val="00E5021F"/>
    <w:rsid w:val="00E517BB"/>
    <w:rsid w:val="00EB6F06"/>
    <w:rsid w:val="00EC10F6"/>
    <w:rsid w:val="00EC4E49"/>
    <w:rsid w:val="00ED77FB"/>
    <w:rsid w:val="00F021A6"/>
    <w:rsid w:val="00F305F5"/>
    <w:rsid w:val="00F66152"/>
    <w:rsid w:val="00F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01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CB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F048A"/>
    <w:rPr>
      <w:color w:val="auto"/>
      <w:u w:val="none"/>
    </w:rPr>
  </w:style>
  <w:style w:type="character" w:styleId="FootnoteReference">
    <w:name w:val="footnote reference"/>
    <w:basedOn w:val="DefaultParagraphFont"/>
    <w:rsid w:val="008F048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F048A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uiPriority w:val="99"/>
    <w:rsid w:val="008F048A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8F048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01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CB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F048A"/>
    <w:rPr>
      <w:color w:val="auto"/>
      <w:u w:val="none"/>
    </w:rPr>
  </w:style>
  <w:style w:type="character" w:styleId="FootnoteReference">
    <w:name w:val="footnote reference"/>
    <w:basedOn w:val="DefaultParagraphFont"/>
    <w:rsid w:val="008F048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F048A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uiPriority w:val="99"/>
    <w:rsid w:val="008F048A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8F048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A0DF-0B76-475B-8675-5E3B9B99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48 (E)</Template>
  <TotalTime>2</TotalTime>
  <Pages>3</Pages>
  <Words>1071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PCT/A/48/</vt:lpstr>
    </vt:vector>
  </TitlesOfParts>
  <Company>WIPO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PCT/A/48/</dc:title>
  <dc:subject>Quality-Related Work by International  Authorities</dc:subject>
  <dc:creator>MATTHES Claus</dc:creator>
  <cp:keywords>NGG/ko</cp:keywords>
  <cp:lastModifiedBy>MARLOW Thomas</cp:lastModifiedBy>
  <cp:revision>4</cp:revision>
  <cp:lastPrinted>2016-06-13T06:05:00Z</cp:lastPrinted>
  <dcterms:created xsi:type="dcterms:W3CDTF">2016-06-13T12:04:00Z</dcterms:created>
  <dcterms:modified xsi:type="dcterms:W3CDTF">2016-06-13T12:05:00Z</dcterms:modified>
</cp:coreProperties>
</file>