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67E4" w:rsidRPr="008B2CC1" w:rsidTr="001052EA">
        <w:tc>
          <w:tcPr>
            <w:tcW w:w="4513" w:type="dxa"/>
            <w:tcBorders>
              <w:bottom w:val="single" w:sz="4" w:space="0" w:color="auto"/>
            </w:tcBorders>
            <w:tcMar>
              <w:bottom w:w="170" w:type="dxa"/>
            </w:tcMar>
          </w:tcPr>
          <w:p w:rsidR="001667E4" w:rsidRPr="008B2CC1" w:rsidRDefault="001667E4" w:rsidP="009E5CBD"/>
        </w:tc>
        <w:tc>
          <w:tcPr>
            <w:tcW w:w="4337" w:type="dxa"/>
            <w:tcBorders>
              <w:bottom w:val="single" w:sz="4" w:space="0" w:color="auto"/>
            </w:tcBorders>
            <w:tcMar>
              <w:left w:w="0" w:type="dxa"/>
              <w:right w:w="0" w:type="dxa"/>
            </w:tcMar>
          </w:tcPr>
          <w:p w:rsidR="001667E4" w:rsidRPr="008B2CC1" w:rsidRDefault="001667E4" w:rsidP="009E5CBD">
            <w:r>
              <w:rPr>
                <w:noProof/>
                <w:lang w:val="en-US" w:eastAsia="en-US"/>
              </w:rPr>
              <w:drawing>
                <wp:inline distT="0" distB="0" distL="0" distR="0" wp14:anchorId="6641EC9D" wp14:editId="0A1F2E43">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1667E4" w:rsidRPr="008B2CC1" w:rsidRDefault="001667E4" w:rsidP="009E5CBD">
            <w:pPr>
              <w:jc w:val="right"/>
            </w:pPr>
            <w:r>
              <w:rPr>
                <w:b/>
                <w:sz w:val="40"/>
                <w:szCs w:val="40"/>
              </w:rPr>
              <w:t>F</w:t>
            </w:r>
          </w:p>
        </w:tc>
      </w:tr>
      <w:tr w:rsidR="001667E4" w:rsidRPr="001832A6" w:rsidTr="009E5CBD">
        <w:trPr>
          <w:trHeight w:hRule="exact" w:val="340"/>
        </w:trPr>
        <w:tc>
          <w:tcPr>
            <w:tcW w:w="9356" w:type="dxa"/>
            <w:gridSpan w:val="3"/>
            <w:tcBorders>
              <w:top w:val="single" w:sz="4" w:space="0" w:color="auto"/>
            </w:tcBorders>
            <w:tcMar>
              <w:top w:w="170" w:type="dxa"/>
              <w:left w:w="0" w:type="dxa"/>
              <w:right w:w="0" w:type="dxa"/>
            </w:tcMar>
            <w:vAlign w:val="bottom"/>
          </w:tcPr>
          <w:p w:rsidR="001667E4" w:rsidRPr="0090731E" w:rsidRDefault="001667E4" w:rsidP="00FA1C09">
            <w:pPr>
              <w:jc w:val="right"/>
              <w:rPr>
                <w:rFonts w:ascii="Arial Black" w:hAnsi="Arial Black"/>
                <w:caps/>
                <w:sz w:val="15"/>
              </w:rPr>
            </w:pPr>
            <w:r w:rsidRPr="000047DB">
              <w:rPr>
                <w:rFonts w:ascii="Arial Black" w:hAnsi="Arial Black"/>
                <w:caps/>
                <w:sz w:val="15"/>
              </w:rPr>
              <w:t>PCT/A/47/</w:t>
            </w:r>
            <w:bookmarkStart w:id="0" w:name="Code"/>
            <w:bookmarkEnd w:id="0"/>
            <w:r>
              <w:rPr>
                <w:rFonts w:ascii="Arial Black" w:hAnsi="Arial Black"/>
                <w:caps/>
                <w:sz w:val="15"/>
              </w:rPr>
              <w:t>9</w:t>
            </w:r>
          </w:p>
        </w:tc>
      </w:tr>
      <w:tr w:rsidR="001667E4" w:rsidRPr="001832A6" w:rsidTr="009E5CBD">
        <w:trPr>
          <w:trHeight w:hRule="exact" w:val="170"/>
        </w:trPr>
        <w:tc>
          <w:tcPr>
            <w:tcW w:w="9356" w:type="dxa"/>
            <w:gridSpan w:val="3"/>
            <w:noWrap/>
            <w:tcMar>
              <w:left w:w="0" w:type="dxa"/>
              <w:right w:w="0" w:type="dxa"/>
            </w:tcMar>
            <w:vAlign w:val="bottom"/>
          </w:tcPr>
          <w:p w:rsidR="001667E4" w:rsidRPr="0090731E" w:rsidRDefault="001667E4" w:rsidP="009E5CBD">
            <w:pPr>
              <w:jc w:val="right"/>
              <w:rPr>
                <w:rFonts w:ascii="Arial Black" w:hAnsi="Arial Black"/>
                <w:caps/>
                <w:sz w:val="15"/>
              </w:rPr>
            </w:pPr>
            <w:r w:rsidRPr="0090731E">
              <w:rPr>
                <w:rFonts w:ascii="Arial Black" w:hAnsi="Arial Black"/>
                <w:caps/>
                <w:sz w:val="15"/>
              </w:rPr>
              <w:t>ORIGINAL</w:t>
            </w:r>
            <w:r w:rsidR="00D71C3F">
              <w:rPr>
                <w:rFonts w:ascii="Arial Black" w:hAnsi="Arial Black"/>
                <w:caps/>
                <w:sz w:val="15"/>
              </w:rPr>
              <w:t> </w:t>
            </w:r>
            <w:r w:rsidRPr="0090731E">
              <w:rPr>
                <w:rFonts w:ascii="Arial Black" w:hAnsi="Arial Black"/>
                <w:caps/>
                <w:sz w:val="15"/>
              </w:rPr>
              <w:t>:</w:t>
            </w:r>
            <w:r>
              <w:rPr>
                <w:rFonts w:ascii="Arial Black" w:hAnsi="Arial Black"/>
                <w:caps/>
                <w:sz w:val="15"/>
              </w:rPr>
              <w:t xml:space="preserve"> </w:t>
            </w:r>
            <w:bookmarkStart w:id="1" w:name="Original"/>
            <w:bookmarkEnd w:id="1"/>
            <w:r>
              <w:rPr>
                <w:rFonts w:ascii="Arial Black" w:hAnsi="Arial Black"/>
                <w:caps/>
                <w:sz w:val="15"/>
              </w:rPr>
              <w:t>anglais</w:t>
            </w:r>
          </w:p>
        </w:tc>
      </w:tr>
      <w:tr w:rsidR="001667E4" w:rsidRPr="001832A6" w:rsidTr="009E5CBD">
        <w:trPr>
          <w:trHeight w:hRule="exact" w:val="198"/>
        </w:trPr>
        <w:tc>
          <w:tcPr>
            <w:tcW w:w="9356" w:type="dxa"/>
            <w:gridSpan w:val="3"/>
            <w:tcMar>
              <w:left w:w="0" w:type="dxa"/>
              <w:right w:w="0" w:type="dxa"/>
            </w:tcMar>
            <w:vAlign w:val="bottom"/>
          </w:tcPr>
          <w:p w:rsidR="001667E4" w:rsidRPr="0090731E" w:rsidRDefault="001667E4" w:rsidP="00FA1C09">
            <w:pPr>
              <w:jc w:val="right"/>
              <w:rPr>
                <w:rFonts w:ascii="Arial Black" w:hAnsi="Arial Black"/>
                <w:caps/>
                <w:sz w:val="15"/>
              </w:rPr>
            </w:pPr>
            <w:r w:rsidRPr="0090731E">
              <w:rPr>
                <w:rFonts w:ascii="Arial Black" w:hAnsi="Arial Black"/>
                <w:caps/>
                <w:sz w:val="15"/>
              </w:rPr>
              <w:t>DATE</w:t>
            </w:r>
            <w:r w:rsidR="00D71C3F">
              <w:rPr>
                <w:rFonts w:ascii="Arial Black" w:hAnsi="Arial Black"/>
                <w:caps/>
                <w:sz w:val="15"/>
              </w:rPr>
              <w:t> </w:t>
            </w:r>
            <w:r w:rsidRPr="0090731E">
              <w:rPr>
                <w:rFonts w:ascii="Arial Black" w:hAnsi="Arial Black"/>
                <w:caps/>
                <w:sz w:val="15"/>
              </w:rPr>
              <w:t>:</w:t>
            </w:r>
            <w:r>
              <w:rPr>
                <w:rFonts w:ascii="Arial Black" w:hAnsi="Arial Black"/>
                <w:caps/>
                <w:sz w:val="15"/>
              </w:rPr>
              <w:t xml:space="preserve"> </w:t>
            </w:r>
            <w:r w:rsidR="00FA1C09">
              <w:rPr>
                <w:rFonts w:ascii="Arial Black" w:hAnsi="Arial Black"/>
                <w:caps/>
                <w:sz w:val="15"/>
              </w:rPr>
              <w:t>5</w:t>
            </w:r>
            <w:r w:rsidR="00807945">
              <w:rPr>
                <w:rFonts w:ascii="Arial Black" w:hAnsi="Arial Black"/>
                <w:caps/>
                <w:sz w:val="15"/>
              </w:rPr>
              <w:t xml:space="preserve"> </w:t>
            </w:r>
            <w:r w:rsidR="00FA1C09">
              <w:rPr>
                <w:rFonts w:ascii="Arial Black" w:hAnsi="Arial Black"/>
                <w:caps/>
                <w:sz w:val="15"/>
              </w:rPr>
              <w:t>fÉvrier</w:t>
            </w:r>
            <w:r w:rsidR="00E952E0">
              <w:rPr>
                <w:rFonts w:ascii="Arial Black" w:hAnsi="Arial Black"/>
                <w:caps/>
                <w:sz w:val="15"/>
              </w:rPr>
              <w:t> 20</w:t>
            </w:r>
            <w:r w:rsidR="00FA1C09">
              <w:rPr>
                <w:rFonts w:ascii="Arial Black" w:hAnsi="Arial Black"/>
                <w:caps/>
                <w:sz w:val="15"/>
              </w:rPr>
              <w:t>16</w:t>
            </w:r>
          </w:p>
        </w:tc>
      </w:tr>
    </w:tbl>
    <w:p w:rsidR="001667E4" w:rsidRPr="008B2CC1" w:rsidRDefault="001667E4" w:rsidP="001667E4"/>
    <w:p w:rsidR="001667E4" w:rsidRPr="008B2CC1" w:rsidRDefault="001667E4" w:rsidP="001667E4"/>
    <w:p w:rsidR="001667E4" w:rsidRPr="008B2CC1" w:rsidRDefault="001667E4" w:rsidP="001667E4"/>
    <w:p w:rsidR="001667E4" w:rsidRPr="008B2CC1" w:rsidRDefault="001667E4" w:rsidP="001667E4"/>
    <w:p w:rsidR="001667E4" w:rsidRPr="008B2CC1" w:rsidRDefault="001667E4" w:rsidP="001667E4"/>
    <w:p w:rsidR="001667E4" w:rsidRPr="003845C1" w:rsidRDefault="001667E4" w:rsidP="001667E4">
      <w:pPr>
        <w:rPr>
          <w:b/>
          <w:sz w:val="28"/>
          <w:szCs w:val="28"/>
        </w:rPr>
      </w:pPr>
      <w:r w:rsidRPr="000047DB">
        <w:rPr>
          <w:b/>
          <w:sz w:val="28"/>
          <w:szCs w:val="28"/>
        </w:rPr>
        <w:t>Union internationale de co</w:t>
      </w:r>
      <w:r>
        <w:rPr>
          <w:b/>
          <w:sz w:val="28"/>
          <w:szCs w:val="28"/>
        </w:rPr>
        <w:t xml:space="preserve">opération en matière de </w:t>
      </w:r>
      <w:proofErr w:type="gramStart"/>
      <w:r>
        <w:rPr>
          <w:b/>
          <w:sz w:val="28"/>
          <w:szCs w:val="28"/>
        </w:rPr>
        <w:t>brevets</w:t>
      </w:r>
      <w:proofErr w:type="gramEnd"/>
      <w:r>
        <w:rPr>
          <w:b/>
          <w:sz w:val="28"/>
          <w:szCs w:val="28"/>
        </w:rPr>
        <w:br/>
      </w:r>
      <w:r w:rsidRPr="000047DB">
        <w:rPr>
          <w:b/>
          <w:sz w:val="28"/>
          <w:szCs w:val="28"/>
        </w:rPr>
        <w:t>(Union</w:t>
      </w:r>
      <w:r w:rsidR="00E952E0" w:rsidRPr="000047DB">
        <w:rPr>
          <w:b/>
          <w:sz w:val="28"/>
          <w:szCs w:val="28"/>
        </w:rPr>
        <w:t xml:space="preserve"> du</w:t>
      </w:r>
      <w:r w:rsidR="00E952E0">
        <w:rPr>
          <w:b/>
          <w:sz w:val="28"/>
          <w:szCs w:val="28"/>
        </w:rPr>
        <w:t> </w:t>
      </w:r>
      <w:r w:rsidR="00E952E0" w:rsidRPr="000047DB">
        <w:rPr>
          <w:b/>
          <w:sz w:val="28"/>
          <w:szCs w:val="28"/>
        </w:rPr>
        <w:t>PCT</w:t>
      </w:r>
      <w:r w:rsidRPr="000047DB">
        <w:rPr>
          <w:b/>
          <w:sz w:val="28"/>
          <w:szCs w:val="28"/>
        </w:rPr>
        <w:t>)</w:t>
      </w:r>
    </w:p>
    <w:p w:rsidR="001667E4" w:rsidRDefault="001667E4" w:rsidP="001667E4"/>
    <w:p w:rsidR="001667E4" w:rsidRDefault="001667E4" w:rsidP="001667E4"/>
    <w:p w:rsidR="001667E4" w:rsidRPr="00C40E15" w:rsidRDefault="001667E4" w:rsidP="001667E4">
      <w:pPr>
        <w:rPr>
          <w:b/>
          <w:sz w:val="28"/>
          <w:szCs w:val="28"/>
        </w:rPr>
      </w:pPr>
      <w:r>
        <w:rPr>
          <w:b/>
          <w:sz w:val="28"/>
          <w:szCs w:val="28"/>
        </w:rPr>
        <w:t>Assemblée</w:t>
      </w:r>
    </w:p>
    <w:p w:rsidR="001667E4" w:rsidRDefault="001667E4" w:rsidP="001667E4"/>
    <w:p w:rsidR="001667E4" w:rsidRDefault="001667E4" w:rsidP="001667E4"/>
    <w:p w:rsidR="001667E4" w:rsidRPr="000047DB" w:rsidRDefault="001667E4" w:rsidP="001667E4">
      <w:pPr>
        <w:rPr>
          <w:b/>
          <w:sz w:val="24"/>
          <w:szCs w:val="24"/>
        </w:rPr>
      </w:pPr>
      <w:r w:rsidRPr="000047DB">
        <w:rPr>
          <w:b/>
          <w:sz w:val="24"/>
          <w:szCs w:val="24"/>
        </w:rPr>
        <w:t>Quarante</w:t>
      </w:r>
      <w:r w:rsidR="001D67E8">
        <w:rPr>
          <w:b/>
          <w:sz w:val="24"/>
          <w:szCs w:val="24"/>
        </w:rPr>
        <w:noBreakHyphen/>
      </w:r>
      <w:r w:rsidRPr="000047DB">
        <w:rPr>
          <w:b/>
          <w:sz w:val="24"/>
          <w:szCs w:val="24"/>
        </w:rPr>
        <w:t>septième</w:t>
      </w:r>
      <w:r w:rsidR="00D71C3F">
        <w:rPr>
          <w:b/>
          <w:sz w:val="24"/>
          <w:szCs w:val="24"/>
        </w:rPr>
        <w:t> </w:t>
      </w:r>
      <w:r w:rsidRPr="000047DB">
        <w:rPr>
          <w:b/>
          <w:sz w:val="24"/>
          <w:szCs w:val="24"/>
        </w:rPr>
        <w:t>session (20</w:t>
      </w:r>
      <w:r w:rsidRPr="000047DB">
        <w:rPr>
          <w:b/>
          <w:sz w:val="24"/>
          <w:szCs w:val="24"/>
          <w:vertAlign w:val="superscript"/>
        </w:rPr>
        <w:t>e</w:t>
      </w:r>
      <w:r>
        <w:rPr>
          <w:b/>
          <w:sz w:val="24"/>
          <w:szCs w:val="24"/>
        </w:rPr>
        <w:t xml:space="preserve"> </w:t>
      </w:r>
      <w:r w:rsidRPr="000047DB">
        <w:rPr>
          <w:b/>
          <w:sz w:val="24"/>
          <w:szCs w:val="24"/>
        </w:rPr>
        <w:t>session ordinaire)</w:t>
      </w:r>
    </w:p>
    <w:p w:rsidR="001667E4" w:rsidRPr="003845C1" w:rsidRDefault="001667E4" w:rsidP="001667E4">
      <w:pPr>
        <w:rPr>
          <w:b/>
          <w:sz w:val="24"/>
          <w:szCs w:val="24"/>
        </w:rPr>
      </w:pPr>
      <w:r w:rsidRPr="000047DB">
        <w:rPr>
          <w:b/>
          <w:sz w:val="24"/>
          <w:szCs w:val="24"/>
        </w:rPr>
        <w:t>Genève, 5 – 1</w:t>
      </w:r>
      <w:r w:rsidR="00E952E0" w:rsidRPr="000047DB">
        <w:rPr>
          <w:b/>
          <w:sz w:val="24"/>
          <w:szCs w:val="24"/>
        </w:rPr>
        <w:t>4</w:t>
      </w:r>
      <w:r w:rsidR="00E952E0">
        <w:rPr>
          <w:b/>
          <w:sz w:val="24"/>
          <w:szCs w:val="24"/>
        </w:rPr>
        <w:t> </w:t>
      </w:r>
      <w:r w:rsidR="00E952E0" w:rsidRPr="000047DB">
        <w:rPr>
          <w:b/>
          <w:sz w:val="24"/>
          <w:szCs w:val="24"/>
        </w:rPr>
        <w:t>octobre</w:t>
      </w:r>
      <w:r w:rsidR="00E952E0">
        <w:rPr>
          <w:b/>
          <w:sz w:val="24"/>
          <w:szCs w:val="24"/>
        </w:rPr>
        <w:t> </w:t>
      </w:r>
      <w:r w:rsidR="00E952E0" w:rsidRPr="000047DB">
        <w:rPr>
          <w:b/>
          <w:sz w:val="24"/>
          <w:szCs w:val="24"/>
        </w:rPr>
        <w:t>20</w:t>
      </w:r>
      <w:r w:rsidRPr="000047DB">
        <w:rPr>
          <w:b/>
          <w:sz w:val="24"/>
          <w:szCs w:val="24"/>
        </w:rPr>
        <w:t>15</w:t>
      </w:r>
    </w:p>
    <w:p w:rsidR="001667E4" w:rsidRPr="008B2CC1" w:rsidRDefault="001667E4" w:rsidP="001667E4"/>
    <w:p w:rsidR="001667E4" w:rsidRPr="008B2CC1" w:rsidRDefault="001667E4" w:rsidP="001667E4"/>
    <w:p w:rsidR="001667E4" w:rsidRPr="008B2CC1" w:rsidRDefault="001667E4" w:rsidP="001667E4"/>
    <w:p w:rsidR="008B2CC1" w:rsidRPr="003845C1" w:rsidRDefault="001667E4" w:rsidP="008B2CC1">
      <w:pPr>
        <w:rPr>
          <w:caps/>
          <w:sz w:val="24"/>
        </w:rPr>
      </w:pPr>
      <w:r>
        <w:rPr>
          <w:caps/>
          <w:sz w:val="24"/>
        </w:rPr>
        <w:t>rapport</w:t>
      </w:r>
    </w:p>
    <w:p w:rsidR="008B2CC1" w:rsidRPr="008B2CC1" w:rsidRDefault="008B2CC1" w:rsidP="008B2CC1"/>
    <w:p w:rsidR="008B2CC1" w:rsidRPr="008B2CC1" w:rsidRDefault="00FA1C09" w:rsidP="008B2CC1">
      <w:pPr>
        <w:rPr>
          <w:i/>
        </w:rPr>
      </w:pPr>
      <w:bookmarkStart w:id="2" w:name="Prepared"/>
      <w:bookmarkEnd w:id="2"/>
      <w:proofErr w:type="gramStart"/>
      <w:r>
        <w:rPr>
          <w:i/>
        </w:rPr>
        <w:t>adopté</w:t>
      </w:r>
      <w:proofErr w:type="gramEnd"/>
      <w:r w:rsidR="001667E4">
        <w:rPr>
          <w:i/>
        </w:rPr>
        <w:t xml:space="preserve"> par l</w:t>
      </w:r>
      <w:r>
        <w:rPr>
          <w:i/>
        </w:rPr>
        <w:t>’assemblée</w:t>
      </w:r>
    </w:p>
    <w:p w:rsidR="00AC205C" w:rsidRDefault="00AC205C"/>
    <w:p w:rsidR="000F5E56" w:rsidRDefault="000F5E56"/>
    <w:p w:rsidR="002928D3" w:rsidRDefault="002928D3"/>
    <w:p w:rsidR="002928D3" w:rsidRDefault="002928D3" w:rsidP="0053057A"/>
    <w:p w:rsidR="002928D3" w:rsidRPr="00E952E0" w:rsidRDefault="00E952E0" w:rsidP="00E952E0">
      <w:pPr>
        <w:pStyle w:val="ONUMFS"/>
      </w:pPr>
      <w:r w:rsidRPr="00E952E0">
        <w:t>L</w:t>
      </w:r>
      <w:r w:rsidR="00CE5FEC">
        <w:t>’</w:t>
      </w:r>
      <w:r w:rsidRPr="00E952E0">
        <w:t xml:space="preserve">assemblée avait à examiner les points suivants </w:t>
      </w:r>
      <w:r w:rsidR="00E01E73">
        <w:t>du projet d</w:t>
      </w:r>
      <w:r w:rsidR="00CE5FEC">
        <w:t>’</w:t>
      </w:r>
      <w:r w:rsidRPr="00E952E0">
        <w:t>ordre du jour unifié</w:t>
      </w:r>
      <w:r w:rsidR="00E92876" w:rsidRPr="00E952E0">
        <w:t xml:space="preserve"> (document</w:t>
      </w:r>
      <w:r w:rsidRPr="00E952E0">
        <w:t> </w:t>
      </w:r>
      <w:r w:rsidR="00E92876" w:rsidRPr="00E952E0">
        <w:t>A/55/1)</w:t>
      </w:r>
      <w:r w:rsidRPr="00E952E0">
        <w:t> </w:t>
      </w:r>
      <w:r w:rsidR="00E92876" w:rsidRPr="00E952E0">
        <w:t>: 1</w:t>
      </w:r>
      <w:r w:rsidR="009E534C" w:rsidRPr="00E952E0">
        <w:t xml:space="preserve"> </w:t>
      </w:r>
      <w:r w:rsidRPr="00E952E0">
        <w:t>à</w:t>
      </w:r>
      <w:r w:rsidR="009E534C" w:rsidRPr="00E952E0">
        <w:t xml:space="preserve"> 6, 10, 11, 19, 31 </w:t>
      </w:r>
      <w:r w:rsidRPr="00E952E0">
        <w:t xml:space="preserve">et </w:t>
      </w:r>
      <w:r w:rsidR="009E534C" w:rsidRPr="00E952E0">
        <w:t>32</w:t>
      </w:r>
      <w:r w:rsidR="00E92876" w:rsidRPr="00E952E0">
        <w:t>.</w:t>
      </w:r>
    </w:p>
    <w:p w:rsidR="00E92876" w:rsidRPr="00E952E0" w:rsidRDefault="00E952E0" w:rsidP="00E952E0">
      <w:pPr>
        <w:pStyle w:val="ONUMFS"/>
      </w:pPr>
      <w:r w:rsidRPr="00E952E0">
        <w:t>Le rapport sur ces points, à l</w:t>
      </w:r>
      <w:r w:rsidR="00CE5FEC">
        <w:t>’</w:t>
      </w:r>
      <w:r w:rsidRPr="00E952E0">
        <w:t>exception du point</w:t>
      </w:r>
      <w:r w:rsidR="00D71C3F">
        <w:t> </w:t>
      </w:r>
      <w:r w:rsidRPr="00E952E0">
        <w:t>19, figure dans le projet de rapport général</w:t>
      </w:r>
      <w:r w:rsidR="00E92876" w:rsidRPr="00E952E0">
        <w:t xml:space="preserve"> (document A/55/</w:t>
      </w:r>
      <w:r w:rsidR="00ED4A2B" w:rsidRPr="00E952E0">
        <w:t>13</w:t>
      </w:r>
      <w:r w:rsidR="00E92876" w:rsidRPr="00E952E0">
        <w:t>)</w:t>
      </w:r>
      <w:r w:rsidR="009E534C" w:rsidRPr="00E952E0">
        <w:t>.</w:t>
      </w:r>
    </w:p>
    <w:p w:rsidR="009E534C" w:rsidRPr="00E952E0" w:rsidRDefault="00E952E0" w:rsidP="00E952E0">
      <w:pPr>
        <w:pStyle w:val="ONUMFS"/>
      </w:pPr>
      <w:r w:rsidRPr="00E952E0">
        <w:t>Le rapport sur le point</w:t>
      </w:r>
      <w:r w:rsidR="00D71C3F">
        <w:t> </w:t>
      </w:r>
      <w:r w:rsidRPr="00E952E0">
        <w:t>19 figure dans le présent document</w:t>
      </w:r>
      <w:r w:rsidR="009E534C" w:rsidRPr="00E952E0">
        <w:t>.</w:t>
      </w:r>
    </w:p>
    <w:p w:rsidR="0023745E" w:rsidRDefault="009E534C" w:rsidP="00E952E0">
      <w:pPr>
        <w:pStyle w:val="ONUMFS"/>
      </w:pPr>
      <w:r w:rsidRPr="00E952E0">
        <w:t>M</w:t>
      </w:r>
      <w:r w:rsidR="00E952E0" w:rsidRPr="00E952E0">
        <w:t>me </w:t>
      </w:r>
      <w:r w:rsidR="00175C65">
        <w:t>Susanne </w:t>
      </w:r>
      <w:proofErr w:type="spellStart"/>
      <w:r w:rsidR="00175C65">
        <w:t>Ås</w:t>
      </w:r>
      <w:proofErr w:type="spellEnd"/>
      <w:r w:rsidR="00175C65">
        <w:t> </w:t>
      </w:r>
      <w:proofErr w:type="spellStart"/>
      <w:r w:rsidRPr="00E952E0">
        <w:t>Sivborg</w:t>
      </w:r>
      <w:proofErr w:type="spellEnd"/>
      <w:r w:rsidRPr="00E952E0">
        <w:t xml:space="preserve"> (</w:t>
      </w:r>
      <w:r w:rsidR="00E952E0" w:rsidRPr="00E952E0">
        <w:t>Suède</w:t>
      </w:r>
      <w:r w:rsidRPr="00E952E0">
        <w:t xml:space="preserve">) </w:t>
      </w:r>
      <w:r w:rsidR="00E952E0" w:rsidRPr="00E952E0">
        <w:t>a été réélue présidente de l</w:t>
      </w:r>
      <w:r w:rsidR="00CE5FEC">
        <w:t>’</w:t>
      </w:r>
      <w:r w:rsidR="00E952E0" w:rsidRPr="00E952E0">
        <w:t>assemblée</w:t>
      </w:r>
      <w:r w:rsidRPr="00E952E0">
        <w:t xml:space="preserve">; </w:t>
      </w:r>
      <w:r w:rsidR="00B87796" w:rsidRPr="00E952E0">
        <w:t xml:space="preserve"> M</w:t>
      </w:r>
      <w:r w:rsidR="00E01E73">
        <w:t>me</w:t>
      </w:r>
      <w:r w:rsidR="00E952E0" w:rsidRPr="00E952E0">
        <w:t> </w:t>
      </w:r>
      <w:r w:rsidR="00B87796" w:rsidRPr="00E952E0">
        <w:t>Zheng</w:t>
      </w:r>
      <w:r w:rsidR="00E952E0" w:rsidRPr="00E952E0">
        <w:t> </w:t>
      </w:r>
      <w:proofErr w:type="spellStart"/>
      <w:r w:rsidR="00B87796" w:rsidRPr="00E952E0">
        <w:t>Huifen</w:t>
      </w:r>
      <w:proofErr w:type="spellEnd"/>
      <w:r w:rsidR="00B87796" w:rsidRPr="00E952E0">
        <w:t xml:space="preserve"> (</w:t>
      </w:r>
      <w:r w:rsidR="00E952E0" w:rsidRPr="00E952E0">
        <w:t>Chine</w:t>
      </w:r>
      <w:r w:rsidR="00B87796" w:rsidRPr="00E952E0">
        <w:t xml:space="preserve">) </w:t>
      </w:r>
      <w:r w:rsidR="00E952E0" w:rsidRPr="00E952E0">
        <w:t xml:space="preserve">et </w:t>
      </w:r>
      <w:r w:rsidR="00B87796" w:rsidRPr="00E952E0">
        <w:t>M.</w:t>
      </w:r>
      <w:r w:rsidR="00E952E0" w:rsidRPr="00E952E0">
        <w:t> </w:t>
      </w:r>
      <w:proofErr w:type="spellStart"/>
      <w:r w:rsidR="00175C65">
        <w:t>Sandris</w:t>
      </w:r>
      <w:proofErr w:type="spellEnd"/>
      <w:r w:rsidR="00175C65">
        <w:t> </w:t>
      </w:r>
      <w:proofErr w:type="spellStart"/>
      <w:r w:rsidR="00B87796" w:rsidRPr="00E952E0">
        <w:t>Laganovskis</w:t>
      </w:r>
      <w:proofErr w:type="spellEnd"/>
      <w:r w:rsidR="00B87796" w:rsidRPr="00E952E0">
        <w:t xml:space="preserve"> (</w:t>
      </w:r>
      <w:r w:rsidR="00E952E0" w:rsidRPr="00E952E0">
        <w:t>Lettonie</w:t>
      </w:r>
      <w:r w:rsidR="00B87796" w:rsidRPr="00E952E0">
        <w:t>)</w:t>
      </w:r>
      <w:r w:rsidRPr="00E952E0">
        <w:t xml:space="preserve"> </w:t>
      </w:r>
      <w:r w:rsidR="00E952E0" w:rsidRPr="00E952E0">
        <w:t>ont été élus vice</w:t>
      </w:r>
      <w:r w:rsidR="001D67E8">
        <w:noBreakHyphen/>
      </w:r>
      <w:r w:rsidR="00E952E0" w:rsidRPr="00E952E0">
        <w:t>présidents</w:t>
      </w:r>
      <w:r w:rsidRPr="00E952E0">
        <w:t>.</w:t>
      </w:r>
      <w:r w:rsidR="00807945">
        <w:t xml:space="preserve"> </w:t>
      </w:r>
      <w:r w:rsidR="0023745E">
        <w:t xml:space="preserve"> En l’absence du président et des deux vice</w:t>
      </w:r>
      <w:r w:rsidR="0023745E">
        <w:noBreakHyphen/>
        <w:t>présidents, le président de l’Assemblée générale de l’OMPI, M. l’Ambassadeur Gabriel Duque (Colombie), a assuré à titre ad hoc la présidence et a présidé les parties des débats visées aux paragraphes 84 et 85.</w:t>
      </w:r>
    </w:p>
    <w:p w:rsidR="00175C65" w:rsidRDefault="00175C65">
      <w:pPr>
        <w:rPr>
          <w:b/>
          <w:bCs/>
          <w:caps/>
          <w:kern w:val="32"/>
          <w:szCs w:val="32"/>
        </w:rPr>
      </w:pPr>
      <w:r>
        <w:br w:type="page"/>
      </w:r>
    </w:p>
    <w:p w:rsidR="00175C65" w:rsidRDefault="00175C65" w:rsidP="00175C65">
      <w:pPr>
        <w:pStyle w:val="Heading2"/>
      </w:pPr>
      <w:r>
        <w:lastRenderedPageBreak/>
        <w:t>Point 19 de l’ordre du jour unifié</w:t>
      </w:r>
    </w:p>
    <w:p w:rsidR="00175C65" w:rsidRDefault="00175C65" w:rsidP="00175C65">
      <w:pPr>
        <w:pStyle w:val="Heading2"/>
      </w:pPr>
      <w:r>
        <w:t>système du PCT</w:t>
      </w:r>
    </w:p>
    <w:p w:rsidR="004A2672" w:rsidRDefault="004A2672" w:rsidP="00175C65">
      <w:pPr>
        <w:pStyle w:val="Heading3"/>
      </w:pPr>
      <w:r w:rsidRPr="006B06D3">
        <w:t>Rapport sur le Groupe de travail du PCT</w:t>
      </w:r>
    </w:p>
    <w:p w:rsidR="004A2672" w:rsidRPr="006B06D3" w:rsidRDefault="004A2672" w:rsidP="004A2672"/>
    <w:p w:rsidR="004A2672" w:rsidRPr="006B06D3" w:rsidRDefault="004A2672" w:rsidP="004A2672">
      <w:pPr>
        <w:pStyle w:val="ONUMFS"/>
      </w:pPr>
      <w:r w:rsidRPr="006B06D3">
        <w:t>Les délibérations ont eu lieu sur la base du document PCT/A/47/1.</w:t>
      </w:r>
    </w:p>
    <w:p w:rsidR="004A2672" w:rsidRPr="006B06D3" w:rsidRDefault="004A2672" w:rsidP="004A2672">
      <w:pPr>
        <w:pStyle w:val="ONUMFS"/>
      </w:pPr>
      <w:r w:rsidRPr="006B06D3">
        <w:t>Le Secrétariat a présenté le document, qui contenait un rapport sur la huitième session du Groupe de travail du PCT.  Le programme de travail de cette session était chargé, avec 30 points inscrits à l</w:t>
      </w:r>
      <w:r w:rsidR="00CE5FEC">
        <w:t>’</w:t>
      </w:r>
      <w:r w:rsidRPr="006B06D3">
        <w:t>ordre du jour et 24 documents à examin</w:t>
      </w:r>
      <w:r w:rsidR="001D67E8" w:rsidRPr="006B06D3">
        <w:t>er</w:t>
      </w:r>
      <w:r w:rsidR="001D67E8">
        <w:t xml:space="preserve">.  </w:t>
      </w:r>
      <w:r w:rsidR="001D67E8" w:rsidRPr="006B06D3">
        <w:t>Ce</w:t>
      </w:r>
      <w:r w:rsidRPr="006B06D3">
        <w:t>la confirmait une nouvelle fois l</w:t>
      </w:r>
      <w:r w:rsidR="00CE5FEC">
        <w:t>’</w:t>
      </w:r>
      <w:r w:rsidRPr="006B06D3">
        <w:t>intérêt majeur suscité par la poursuite du développement du système du PCT, qui constituait l</w:t>
      </w:r>
      <w:r w:rsidR="00CE5FEC">
        <w:t>’</w:t>
      </w:r>
      <w:r w:rsidRPr="006B06D3">
        <w:t>épine dorsale et le point névralgique du système international des breve</w:t>
      </w:r>
      <w:r w:rsidR="001D67E8" w:rsidRPr="006B06D3">
        <w:t>ts</w:t>
      </w:r>
      <w:r w:rsidR="001D67E8">
        <w:t xml:space="preserve">.  </w:t>
      </w:r>
      <w:r w:rsidR="001D67E8" w:rsidRPr="006B06D3">
        <w:t>Po</w:t>
      </w:r>
      <w:r w:rsidRPr="006B06D3">
        <w:t>ur un certain nombre de questions examinées et convenues par le groupe de travail, des documents de travail distincts avaient été présentés à l</w:t>
      </w:r>
      <w:r w:rsidR="00CE5FEC">
        <w:t>’</w:t>
      </w:r>
      <w:r w:rsidRPr="006B06D3">
        <w:t>assemblée, notamment les documents PCT/A/47/3, 4 </w:t>
      </w:r>
      <w:proofErr w:type="spellStart"/>
      <w:r w:rsidRPr="006B06D3">
        <w:t>Rev</w:t>
      </w:r>
      <w:proofErr w:type="spellEnd"/>
      <w:r w:rsidRPr="006B06D3">
        <w:t>. et 5 </w:t>
      </w:r>
      <w:proofErr w:type="spellStart"/>
      <w:r w:rsidRPr="006B06D3">
        <w:t>R</w:t>
      </w:r>
      <w:r w:rsidR="001D67E8" w:rsidRPr="006B06D3">
        <w:t>ev</w:t>
      </w:r>
      <w:proofErr w:type="spellEnd"/>
      <w:r w:rsidR="001D67E8">
        <w:t xml:space="preserve">.  </w:t>
      </w:r>
      <w:r w:rsidR="001D67E8" w:rsidRPr="006B06D3">
        <w:t>Le</w:t>
      </w:r>
      <w:r w:rsidRPr="006B06D3">
        <w:t xml:space="preserve"> résumé présenté par le président, faisant l</w:t>
      </w:r>
      <w:r w:rsidR="00CE5FEC">
        <w:t>’</w:t>
      </w:r>
      <w:r w:rsidRPr="006B06D3">
        <w:t>objet de l</w:t>
      </w:r>
      <w:r w:rsidR="00CE5FEC">
        <w:t>’</w:t>
      </w:r>
      <w:r w:rsidRPr="006B06D3">
        <w:t>annexe de ce document, contenait une synthèse des questions examinées et des points de convergence atteints au cours de la session.</w:t>
      </w:r>
    </w:p>
    <w:p w:rsidR="004A2672" w:rsidRPr="006B06D3" w:rsidRDefault="004A2672" w:rsidP="004A2672">
      <w:pPr>
        <w:pStyle w:val="ONUMFS"/>
        <w:ind w:left="567"/>
      </w:pPr>
      <w:r w:rsidRPr="006B06D3">
        <w:t>L</w:t>
      </w:r>
      <w:r w:rsidR="00CE5FEC">
        <w:t>’</w:t>
      </w:r>
      <w:r w:rsidRPr="006B06D3">
        <w:t>assemblée</w:t>
      </w:r>
    </w:p>
    <w:p w:rsidR="004A2672" w:rsidRPr="006B06D3" w:rsidRDefault="004A2672" w:rsidP="004A2672">
      <w:pPr>
        <w:pStyle w:val="ONUMFS"/>
        <w:numPr>
          <w:ilvl w:val="2"/>
          <w:numId w:val="6"/>
        </w:numPr>
      </w:pPr>
      <w:r w:rsidRPr="006B06D3">
        <w:t>a pris note du résumé présenté par le président de la huitième session du groupe de travail figurant dans le document PCT/WG/8/25, et</w:t>
      </w:r>
    </w:p>
    <w:p w:rsidR="004A2672" w:rsidRPr="006B06D3" w:rsidRDefault="004A2672" w:rsidP="004A2672">
      <w:pPr>
        <w:pStyle w:val="ONUMFS"/>
        <w:numPr>
          <w:ilvl w:val="2"/>
          <w:numId w:val="6"/>
        </w:numPr>
      </w:pPr>
      <w:r w:rsidRPr="006B06D3">
        <w:t>a approuvé la recommandation concernant les travaux futurs du Groupe de travail du PCT énoncée au paragraphe 5 du document PCT/A/47/1.</w:t>
      </w:r>
    </w:p>
    <w:p w:rsidR="004A2672" w:rsidRDefault="004A2672" w:rsidP="00510E51">
      <w:pPr>
        <w:pStyle w:val="Heading3"/>
      </w:pPr>
      <w:r w:rsidRPr="006B06D3">
        <w:t>Travaux des administrations internationales relatifs à la qualité</w:t>
      </w:r>
    </w:p>
    <w:p w:rsidR="004A2672" w:rsidRPr="006B06D3" w:rsidRDefault="004A2672" w:rsidP="004A2672"/>
    <w:p w:rsidR="004A2672" w:rsidRPr="006B06D3" w:rsidRDefault="004A2672" w:rsidP="004A2672">
      <w:pPr>
        <w:pStyle w:val="ONUMFS"/>
      </w:pPr>
      <w:r w:rsidRPr="006B06D3">
        <w:t>Les délibérations ont eu lieu sur la base du document PCT/A/47/2.</w:t>
      </w:r>
    </w:p>
    <w:p w:rsidR="004A2672" w:rsidRPr="006B06D3" w:rsidRDefault="004A2672" w:rsidP="004A2672">
      <w:pPr>
        <w:pStyle w:val="ONUMFS"/>
      </w:pPr>
      <w:r w:rsidRPr="006B06D3">
        <w:t>Le Secrétariat a expliqué que ce document contenait un rapport succinct sur les travaux relatifs à la qualité menés par les administrations chargées de la recherche internationale et de l</w:t>
      </w:r>
      <w:r w:rsidR="00CE5FEC">
        <w:t>’</w:t>
      </w:r>
      <w:r w:rsidRPr="006B06D3">
        <w:t>examen préliminaire international, principalement dans le cadre de la Réunion des administrations internationales et, notamment, du Sous</w:t>
      </w:r>
      <w:r w:rsidR="001D67E8">
        <w:noBreakHyphen/>
      </w:r>
      <w:r w:rsidRPr="006B06D3">
        <w:t>Groupe chargé de la quali</w:t>
      </w:r>
      <w:r w:rsidR="001D67E8" w:rsidRPr="006B06D3">
        <w:t>té</w:t>
      </w:r>
      <w:r w:rsidR="001D67E8">
        <w:t xml:space="preserve">.  </w:t>
      </w:r>
      <w:r w:rsidR="001D67E8" w:rsidRPr="006B06D3">
        <w:t>L</w:t>
      </w:r>
      <w:r w:rsidR="001D67E8">
        <w:t>’</w:t>
      </w:r>
      <w:r w:rsidR="001D67E8" w:rsidRPr="006B06D3">
        <w:t>o</w:t>
      </w:r>
      <w:r w:rsidRPr="006B06D3">
        <w:t>bjet de ce document était de présenter les résultats de la cinquième réunion informelle du Sous</w:t>
      </w:r>
      <w:r w:rsidR="001D67E8">
        <w:noBreakHyphen/>
      </w:r>
      <w:r w:rsidRPr="006B06D3">
        <w:t>Groupe chargé de la qualité tenue à Tokyo en février 2015.  Au cours de cette réunion, les administrations internationales avaient poursuivi les discussions sur les mesures à prendre pour améliorer la qualité globale et l</w:t>
      </w:r>
      <w:r w:rsidR="00CE5FEC">
        <w:t>’</w:t>
      </w:r>
      <w:r w:rsidRPr="006B06D3">
        <w:t>utilité des produits du travail du PCT, notamment les rapports de recherche internationale et les rapports préliminaires internationaux sur la brevetabilité établis par les administrations internationales.</w:t>
      </w:r>
    </w:p>
    <w:p w:rsidR="004A2672" w:rsidRPr="006B06D3" w:rsidRDefault="004A2672" w:rsidP="004A2672">
      <w:pPr>
        <w:pStyle w:val="ONUMFS"/>
      </w:pPr>
      <w:r w:rsidRPr="006B06D3">
        <w:t>La délégation du Japon, pays qui avait accueilli la Réunion des administrations internationales et du Sous</w:t>
      </w:r>
      <w:r w:rsidR="001D67E8">
        <w:noBreakHyphen/>
      </w:r>
      <w:r w:rsidRPr="006B06D3">
        <w:t>Groupe chargé de la qualité en 2015, a remercié les participants de ces deux réunio</w:t>
      </w:r>
      <w:r w:rsidR="001D67E8" w:rsidRPr="006B06D3">
        <w:t>ns</w:t>
      </w:r>
      <w:r w:rsidR="001D67E8">
        <w:t xml:space="preserve">.  </w:t>
      </w:r>
      <w:r w:rsidR="001D67E8" w:rsidRPr="006B06D3">
        <w:t>Af</w:t>
      </w:r>
      <w:r w:rsidRPr="006B06D3">
        <w:t>in d</w:t>
      </w:r>
      <w:r w:rsidR="00CE5FEC">
        <w:t>’</w:t>
      </w:r>
      <w:r w:rsidRPr="006B06D3">
        <w:t>améliorer la qualité des recherches et des examens préliminaires effectués par les administrations internationales, en 2014, l</w:t>
      </w:r>
      <w:r w:rsidR="00CE5FEC">
        <w:t>’</w:t>
      </w:r>
      <w:r w:rsidRPr="006B06D3">
        <w:t>Office des brevets du Japon</w:t>
      </w:r>
      <w:r w:rsidR="00AD22CA">
        <w:t xml:space="preserve"> (JPO)</w:t>
      </w:r>
      <w:r w:rsidRPr="006B06D3">
        <w:t xml:space="preserve"> avait mené une étude pilote avec l</w:t>
      </w:r>
      <w:r w:rsidR="00CE5FEC">
        <w:t>’</w:t>
      </w:r>
      <w:r w:rsidRPr="006B06D3">
        <w:t>Office suédois des brevets et de l</w:t>
      </w:r>
      <w:r w:rsidR="00CE5FEC">
        <w:t>’</w:t>
      </w:r>
      <w:r w:rsidRPr="006B06D3">
        <w:t>enregistreme</w:t>
      </w:r>
      <w:r w:rsidR="001D67E8" w:rsidRPr="006B06D3">
        <w:t>nt</w:t>
      </w:r>
      <w:r w:rsidR="001D67E8">
        <w:t xml:space="preserve">.  </w:t>
      </w:r>
      <w:r w:rsidR="001D67E8" w:rsidRPr="006B06D3">
        <w:t>Ce</w:t>
      </w:r>
      <w:r w:rsidRPr="006B06D3">
        <w:t>tte étude pilote avait été menée pour avoir un retour d</w:t>
      </w:r>
      <w:r w:rsidR="00CE5FEC">
        <w:t>’</w:t>
      </w:r>
      <w:r w:rsidRPr="006B06D3">
        <w:t>information des offices désignés sur les rapports de recherche internationale et les opinions écrites des administrations chargées de la recherche internationale, comme indiqué au paragraphe 6 de ce docume</w:t>
      </w:r>
      <w:r w:rsidR="001D67E8" w:rsidRPr="006B06D3">
        <w:t>nt</w:t>
      </w:r>
      <w:r w:rsidR="001D67E8">
        <w:t xml:space="preserve">.  </w:t>
      </w:r>
      <w:r w:rsidR="001D67E8" w:rsidRPr="006B06D3">
        <w:t>De</w:t>
      </w:r>
      <w:r w:rsidRPr="006B06D3">
        <w:t xml:space="preserve"> plus, </w:t>
      </w:r>
      <w:r w:rsidR="00AD22CA">
        <w:t xml:space="preserve">le JPO </w:t>
      </w:r>
      <w:r w:rsidRPr="006B06D3">
        <w:t xml:space="preserve">et </w:t>
      </w:r>
      <w:r w:rsidR="00AD22CA">
        <w:t xml:space="preserve">l’Office européen des brevets (OEB) </w:t>
      </w:r>
      <w:r w:rsidRPr="006B06D3">
        <w:t>avaient collaboré dans le cadre d</w:t>
      </w:r>
      <w:r w:rsidR="00CE5FEC">
        <w:t>’</w:t>
      </w:r>
      <w:r w:rsidRPr="006B06D3">
        <w:t>une analyse détaillée des dossiers dans lesquels les résultats d</w:t>
      </w:r>
      <w:r w:rsidR="00CE5FEC">
        <w:t>’</w:t>
      </w:r>
      <w:r w:rsidRPr="006B06D3">
        <w:t>examen des deux offices étaient différents des résultats de recherche afin de déterminer les facteurs à l</w:t>
      </w:r>
      <w:r w:rsidR="00CE5FEC">
        <w:t>’</w:t>
      </w:r>
      <w:r w:rsidRPr="006B06D3">
        <w:t>origine de ces divergenc</w:t>
      </w:r>
      <w:r w:rsidR="001D67E8" w:rsidRPr="006B06D3">
        <w:t>es</w:t>
      </w:r>
      <w:r w:rsidR="001D67E8">
        <w:t xml:space="preserve">.  </w:t>
      </w:r>
      <w:r w:rsidR="001D67E8" w:rsidRPr="006B06D3">
        <w:t>Ce</w:t>
      </w:r>
      <w:r w:rsidRPr="006B06D3">
        <w:t>tte analyse, qui s</w:t>
      </w:r>
      <w:r w:rsidR="00CE5FEC">
        <w:t>’</w:t>
      </w:r>
      <w:r w:rsidRPr="006B06D3">
        <w:t>inscrivait dans le cadre du projet de collaboration sur les indicateurs mentionné au paragraphe 7 de ce document, avait été réalisée en 2014 et serait répétée en 2015.  En conclusion, la délégation a formé le vœu que cette initiative permette d</w:t>
      </w:r>
      <w:r w:rsidR="00CE5FEC">
        <w:t>’</w:t>
      </w:r>
      <w:r w:rsidRPr="006B06D3">
        <w:t xml:space="preserve">améliorer la qualité de la </w:t>
      </w:r>
      <w:r w:rsidRPr="006B06D3">
        <w:lastRenderedPageBreak/>
        <w:t>recherche et de l</w:t>
      </w:r>
      <w:r w:rsidR="00CE5FEC">
        <w:t>’</w:t>
      </w:r>
      <w:r w:rsidRPr="006B06D3">
        <w:t>examen dans toutes les administrations chargées de la recherche internationale et de l</w:t>
      </w:r>
      <w:r w:rsidR="00CE5FEC">
        <w:t>’</w:t>
      </w:r>
      <w:r w:rsidRPr="006B06D3">
        <w:t>examen préliminaire international.</w:t>
      </w:r>
    </w:p>
    <w:p w:rsidR="004A2672" w:rsidRPr="006B06D3" w:rsidRDefault="004A2672" w:rsidP="004A2672">
      <w:pPr>
        <w:pStyle w:val="ONUMFS"/>
      </w:pPr>
      <w:r w:rsidRPr="006B06D3">
        <w:t>La délégation des États</w:t>
      </w:r>
      <w:r w:rsidR="001D67E8">
        <w:noBreakHyphen/>
      </w:r>
      <w:r w:rsidRPr="006B06D3">
        <w:t>Unis d</w:t>
      </w:r>
      <w:r w:rsidR="00CE5FEC">
        <w:t>’</w:t>
      </w:r>
      <w:r w:rsidRPr="006B06D3">
        <w:t>Amérique a déclaré qu</w:t>
      </w:r>
      <w:r w:rsidR="00CE5FEC">
        <w:t>’</w:t>
      </w:r>
      <w:r w:rsidRPr="006B06D3">
        <w:t>elle était satisfaite des travaux conduits par le Sous</w:t>
      </w:r>
      <w:r w:rsidR="001D67E8">
        <w:noBreakHyphen/>
      </w:r>
      <w:r w:rsidRPr="006B06D3">
        <w:t>Groupe chargé de la qualité à sa réunion tenue en février 2015 à Tokyo et qu</w:t>
      </w:r>
      <w:r w:rsidR="00CE5FEC">
        <w:t>’</w:t>
      </w:r>
      <w:r w:rsidRPr="006B06D3">
        <w:t>elle était convaincue que les résultats obtenus permettraient d</w:t>
      </w:r>
      <w:r w:rsidR="00CE5FEC">
        <w:t>’</w:t>
      </w:r>
      <w:r w:rsidRPr="006B06D3">
        <w:t>améliorer le système du PCT.  La délégation s</w:t>
      </w:r>
      <w:r w:rsidR="00CE5FEC">
        <w:t>’</w:t>
      </w:r>
      <w:r w:rsidRPr="006B06D3">
        <w:t>est dite satisfaite en particulier de ce que la démarche consistant à constituer trois groupes pour évaluer les options permettant de mettre à disposition les stratégies de recherche ait été approuvée, et a ajouté que celle</w:t>
      </w:r>
      <w:r w:rsidR="001D67E8">
        <w:noBreakHyphen/>
      </w:r>
      <w:r w:rsidRPr="006B06D3">
        <w:t>ci permettrait d</w:t>
      </w:r>
      <w:r w:rsidR="00CE5FEC">
        <w:t>’</w:t>
      </w:r>
      <w:r w:rsidRPr="006B06D3">
        <w:t>obtenir des données sur un moyen efficace de partager les informations entre les offic</w:t>
      </w:r>
      <w:r w:rsidR="001D67E8" w:rsidRPr="006B06D3">
        <w:t>es</w:t>
      </w:r>
      <w:r w:rsidR="001D67E8">
        <w:t xml:space="preserve">.  </w:t>
      </w:r>
      <w:r w:rsidR="001D67E8" w:rsidRPr="006B06D3">
        <w:t xml:space="preserve">À </w:t>
      </w:r>
      <w:r w:rsidRPr="006B06D3">
        <w:t>cet égard, la délégation a demandé au Bureau international de réaliser une enquête auprès de tous les utilisateurs (déposants, examinateurs de brevets et tiers) afin de faire la synthèse des formats de consignation des stratégies de recherche utilisés dans les trois groupes et ainsi mieux cerner leurs besoi</w:t>
      </w:r>
      <w:r w:rsidR="001D67E8" w:rsidRPr="006B06D3">
        <w:t>ns</w:t>
      </w:r>
      <w:r w:rsidR="001D67E8">
        <w:t xml:space="preserve">.  </w:t>
      </w:r>
      <w:r w:rsidR="001D67E8" w:rsidRPr="006B06D3">
        <w:t>La</w:t>
      </w:r>
      <w:r w:rsidRPr="006B06D3">
        <w:t xml:space="preserve"> délégation s</w:t>
      </w:r>
      <w:r w:rsidR="00CE5FEC">
        <w:t>’</w:t>
      </w:r>
      <w:r w:rsidRPr="006B06D3">
        <w:t>est déclarée favorable à l</w:t>
      </w:r>
      <w:r w:rsidR="00CE5FEC">
        <w:t>’</w:t>
      </w:r>
      <w:r w:rsidRPr="006B06D3">
        <w:t>idée de récolter des données d</w:t>
      </w:r>
      <w:r w:rsidR="00CE5FEC">
        <w:t>’</w:t>
      </w:r>
      <w:r w:rsidRPr="006B06D3">
        <w:t>expérience supplémentaires sur l</w:t>
      </w:r>
      <w:r w:rsidR="00CE5FEC">
        <w:t>’</w:t>
      </w:r>
      <w:r w:rsidRPr="006B06D3">
        <w:t>utilisation volontaire de clauses normalisées par les administrations internationales avant de procéder à une évaluation de leur efficaci</w:t>
      </w:r>
      <w:r w:rsidR="001D67E8" w:rsidRPr="006B06D3">
        <w:t>té</w:t>
      </w:r>
      <w:r w:rsidR="001D67E8">
        <w:t xml:space="preserve">.  </w:t>
      </w:r>
      <w:r w:rsidR="001D67E8" w:rsidRPr="006B06D3">
        <w:t>En</w:t>
      </w:r>
      <w:r w:rsidRPr="006B06D3">
        <w:t xml:space="preserve"> outre, la délégation était favorable à l</w:t>
      </w:r>
      <w:r w:rsidR="00CE5FEC">
        <w:t>’</w:t>
      </w:r>
      <w:r w:rsidRPr="006B06D3">
        <w:t>établissement d</w:t>
      </w:r>
      <w:r w:rsidR="00CE5FEC">
        <w:t>’</w:t>
      </w:r>
      <w:r w:rsidRPr="006B06D3">
        <w:t>indicateurs du PCT améliorés, pour autant qu</w:t>
      </w:r>
      <w:r w:rsidR="00CE5FEC">
        <w:t>’</w:t>
      </w:r>
      <w:r w:rsidRPr="006B06D3">
        <w:t>ils ne représentent pas une charge trop lourde à porter pour les offices et qu</w:t>
      </w:r>
      <w:r w:rsidR="00CE5FEC">
        <w:t>’</w:t>
      </w:r>
      <w:r w:rsidRPr="006B06D3">
        <w:t>ils reflètent de manière adéquate les questions intéressant les offices et les utilisateu</w:t>
      </w:r>
      <w:r w:rsidR="001D67E8" w:rsidRPr="006B06D3">
        <w:t>rs</w:t>
      </w:r>
      <w:r w:rsidR="001D67E8">
        <w:t xml:space="preserve">.  </w:t>
      </w:r>
      <w:r w:rsidR="001D67E8" w:rsidRPr="006B06D3">
        <w:t>En</w:t>
      </w:r>
      <w:r w:rsidRPr="006B06D3">
        <w:t>fin, en ce qui concerne les critères de fond pour la nomination des administrations internationales, la délégation a déclaré qu</w:t>
      </w:r>
      <w:r w:rsidR="00CE5FEC">
        <w:t>’</w:t>
      </w:r>
      <w:r w:rsidRPr="006B06D3">
        <w:t>elle appuyait les travaux futurs sur le renforcement des exigences relatives aux systèmes de gestion de la qualité et sur un formulaire de candidature type pour la nomination en qualité d</w:t>
      </w:r>
      <w:r w:rsidR="00CE5FEC">
        <w:t>’</w:t>
      </w:r>
      <w:r w:rsidRPr="006B06D3">
        <w:t>administration internationale.</w:t>
      </w:r>
    </w:p>
    <w:p w:rsidR="004A2672" w:rsidRPr="006B06D3" w:rsidRDefault="004A2672" w:rsidP="004A2672">
      <w:pPr>
        <w:pStyle w:val="ONUMFS"/>
        <w:ind w:left="567"/>
      </w:pPr>
      <w:r w:rsidRPr="006B06D3">
        <w:t>L</w:t>
      </w:r>
      <w:r w:rsidR="00CE5FEC">
        <w:t>’</w:t>
      </w:r>
      <w:r w:rsidRPr="006B06D3">
        <w:t>assemblée a pris note du rapport sur les “Travaux des administrations internationales relatifs à la qualité” figurant dans le document PCT/A/47/2.</w:t>
      </w:r>
    </w:p>
    <w:p w:rsidR="004A2672" w:rsidRDefault="004A2672" w:rsidP="00510E51">
      <w:pPr>
        <w:pStyle w:val="Heading3"/>
      </w:pPr>
      <w:r w:rsidRPr="006B06D3">
        <w:t>Réexamen du système de recherche internationale supplémentaire</w:t>
      </w:r>
    </w:p>
    <w:p w:rsidR="004A2672" w:rsidRPr="006B06D3" w:rsidRDefault="004A2672" w:rsidP="004A2672"/>
    <w:p w:rsidR="004A2672" w:rsidRPr="006B06D3" w:rsidRDefault="004A2672" w:rsidP="004A2672">
      <w:pPr>
        <w:pStyle w:val="ONUMFS"/>
      </w:pPr>
      <w:r w:rsidRPr="006B06D3">
        <w:t>Les délibérations ont eu lieu sur la base du document PCT/A/47/3.</w:t>
      </w:r>
    </w:p>
    <w:p w:rsidR="004A2672" w:rsidRPr="006B06D3" w:rsidRDefault="004A2672" w:rsidP="004A2672">
      <w:pPr>
        <w:pStyle w:val="ONUMFS"/>
      </w:pPr>
      <w:r w:rsidRPr="006B06D3">
        <w:t>Le Secrétariat a présenté le document, qui contenait un rapport du Bureau international sur le système de recherche internationale supplémentai</w:t>
      </w:r>
      <w:r w:rsidR="001D67E8" w:rsidRPr="006B06D3">
        <w:t>re</w:t>
      </w:r>
      <w:r w:rsidR="001D67E8">
        <w:t xml:space="preserve">.  </w:t>
      </w:r>
      <w:r w:rsidR="001D67E8" w:rsidRPr="006B06D3">
        <w:t>Ce</w:t>
      </w:r>
      <w:r w:rsidRPr="006B06D3">
        <w:t xml:space="preserve"> rapport devait servir de base au réexamen du système par l</w:t>
      </w:r>
      <w:r w:rsidR="00CE5FEC">
        <w:t>’</w:t>
      </w:r>
      <w:r w:rsidRPr="006B06D3">
        <w:t>assemblée, comme convenu par celle</w:t>
      </w:r>
      <w:r w:rsidR="001D67E8">
        <w:noBreakHyphen/>
      </w:r>
      <w:r w:rsidRPr="006B06D3">
        <w:t>ci en 2012, comme suite au premier réexamen du système par l</w:t>
      </w:r>
      <w:r w:rsidR="00CE5FEC">
        <w:t>’</w:t>
      </w:r>
      <w:r w:rsidRPr="006B06D3">
        <w:t>assemblée trois ans après l</w:t>
      </w:r>
      <w:r w:rsidR="00CE5FEC">
        <w:t>’</w:t>
      </w:r>
      <w:r w:rsidRPr="006B06D3">
        <w:t>entrée en vigueur de ce système en 2009.  Comme indiqué dans le rapport, le système de recherche internationale supplémentaire continuait d</w:t>
      </w:r>
      <w:r w:rsidR="00CE5FEC">
        <w:t>’</w:t>
      </w:r>
      <w:r w:rsidRPr="006B06D3">
        <w:t>être très peu utili</w:t>
      </w:r>
      <w:r w:rsidR="001D67E8" w:rsidRPr="006B06D3">
        <w:t>sé</w:t>
      </w:r>
      <w:r w:rsidR="001D67E8">
        <w:t xml:space="preserve">.  </w:t>
      </w:r>
      <w:r w:rsidR="001D67E8" w:rsidRPr="006B06D3">
        <w:t>Le</w:t>
      </w:r>
      <w:r w:rsidRPr="006B06D3">
        <w:t>s réponses au questionnaire mentionnaient un certain nombre de raisons au faible intérêt manifesté pour la recherche internationale supplémentaire, notamment la nécessité de traduire la demande internationale si elle n</w:t>
      </w:r>
      <w:r w:rsidR="00CE5FEC">
        <w:t>’</w:t>
      </w:r>
      <w:r w:rsidRPr="006B06D3">
        <w:t>était pas rédigée dans une des langues proposées par les administrations internationales pour la recherche internationale supplémentaire, le montant des taxes, l</w:t>
      </w:r>
      <w:r w:rsidR="00CE5FEC">
        <w:t>’</w:t>
      </w:r>
      <w:r w:rsidRPr="006B06D3">
        <w:t>absence d</w:t>
      </w:r>
      <w:r w:rsidR="00CE5FEC">
        <w:t>’</w:t>
      </w:r>
      <w:r w:rsidRPr="006B06D3">
        <w:t>administration internationale travaillant dans une langue asiatique parmi celles qui proposaient ce service, et peut</w:t>
      </w:r>
      <w:r w:rsidR="001D67E8">
        <w:noBreakHyphen/>
      </w:r>
      <w:r w:rsidRPr="006B06D3">
        <w:t>être le manque d</w:t>
      </w:r>
      <w:r w:rsidR="00CE5FEC">
        <w:t>’</w:t>
      </w:r>
      <w:r w:rsidRPr="006B06D3">
        <w:t>information des déposan</w:t>
      </w:r>
      <w:r w:rsidR="001D67E8" w:rsidRPr="006B06D3">
        <w:t>ts</w:t>
      </w:r>
      <w:r w:rsidR="001D67E8">
        <w:t xml:space="preserve">.  </w:t>
      </w:r>
      <w:r w:rsidR="001D67E8" w:rsidRPr="006B06D3">
        <w:t>Pa</w:t>
      </w:r>
      <w:r w:rsidRPr="006B06D3">
        <w:t>rmi les réponses au questionnaire, aucune ne suggérait l</w:t>
      </w:r>
      <w:r w:rsidR="00CE5FEC">
        <w:t>’</w:t>
      </w:r>
      <w:r w:rsidRPr="006B06D3">
        <w:t>abandon de la recherche internationale supplémentaire à ce sta</w:t>
      </w:r>
      <w:r w:rsidR="001D67E8" w:rsidRPr="006B06D3">
        <w:t>de</w:t>
      </w:r>
      <w:r w:rsidR="001D67E8">
        <w:t xml:space="preserve">.  </w:t>
      </w:r>
      <w:r w:rsidR="001D67E8" w:rsidRPr="006B06D3">
        <w:t>Le</w:t>
      </w:r>
      <w:r w:rsidRPr="006B06D3">
        <w:t xml:space="preserve"> rapport avait été examiné en détail par le Groupe de travail du PCT à sa dernière session tenue en mai 2015.  Sur la base de ce rapport, le groupe de travail avait recommandé à l</w:t>
      </w:r>
      <w:r w:rsidR="00CE5FEC">
        <w:t>’</w:t>
      </w:r>
      <w:r w:rsidRPr="006B06D3">
        <w:t>assemblée d</w:t>
      </w:r>
      <w:r w:rsidR="00CE5FEC">
        <w:t>’</w:t>
      </w:r>
      <w:r w:rsidRPr="006B06D3">
        <w:t>adopter la décision figurant au paragraphe 5 du docume</w:t>
      </w:r>
      <w:r w:rsidR="001D67E8" w:rsidRPr="006B06D3">
        <w:t>nt</w:t>
      </w:r>
      <w:r w:rsidR="001D67E8">
        <w:t xml:space="preserve">.  </w:t>
      </w:r>
      <w:r w:rsidR="001D67E8" w:rsidRPr="006B06D3">
        <w:t>Ce</w:t>
      </w:r>
      <w:r w:rsidRPr="006B06D3">
        <w:t>tte décision invitait le Bureau international à continuer de suivre le système de recherche internationale supplémentaire pendant cinq</w:t>
      </w:r>
      <w:r w:rsidR="00AA4DC9">
        <w:t> </w:t>
      </w:r>
      <w:r w:rsidRPr="006B06D3">
        <w:t>autres années et à examiner de nouveau le système en 2020, à encourager les offices à poursuivre leurs efforts en vue de promouvoir le service auprès des utilisateurs du système du PCT, et à encourager les administrations internationales à réexaminer la portée et le coût des services qu</w:t>
      </w:r>
      <w:r w:rsidR="00CE5FEC">
        <w:t>’</w:t>
      </w:r>
      <w:r w:rsidRPr="006B06D3">
        <w:t>elles offraient dans le cadre de ce système.</w:t>
      </w:r>
    </w:p>
    <w:p w:rsidR="004A2672" w:rsidRPr="006B06D3" w:rsidRDefault="004A2672" w:rsidP="004A2672">
      <w:pPr>
        <w:pStyle w:val="ONUMFS"/>
      </w:pPr>
      <w:r w:rsidRPr="006B06D3">
        <w:t>La délégation de la Chine a déclaré que le développement du service de recherches internationales supplémentaires devrait s</w:t>
      </w:r>
      <w:r w:rsidR="00CE5FEC">
        <w:t>’</w:t>
      </w:r>
      <w:r w:rsidRPr="006B06D3">
        <w:t>accompagner d</w:t>
      </w:r>
      <w:r w:rsidR="00CE5FEC">
        <w:t>’</w:t>
      </w:r>
      <w:r w:rsidRPr="006B06D3">
        <w:t>avantages pour les utilisateu</w:t>
      </w:r>
      <w:r w:rsidR="001D67E8" w:rsidRPr="006B06D3">
        <w:t>rs</w:t>
      </w:r>
      <w:r w:rsidR="001D67E8">
        <w:t xml:space="preserve">.  </w:t>
      </w:r>
      <w:r w:rsidR="001D67E8" w:rsidRPr="006B06D3">
        <w:t>El</w:t>
      </w:r>
      <w:r w:rsidRPr="006B06D3">
        <w:t xml:space="preserve">le </w:t>
      </w:r>
      <w:r w:rsidRPr="006B06D3">
        <w:lastRenderedPageBreak/>
        <w:t>était donc favorable à un réexamen du système de recherche internationale supplémentaire en 2020.</w:t>
      </w:r>
    </w:p>
    <w:p w:rsidR="004A2672" w:rsidRPr="006B06D3" w:rsidRDefault="004A2672" w:rsidP="004A2672">
      <w:pPr>
        <w:pStyle w:val="ONUMFS"/>
        <w:ind w:left="567"/>
      </w:pPr>
      <w:r w:rsidRPr="006B06D3">
        <w:t>L</w:t>
      </w:r>
      <w:r w:rsidR="00CE5FEC">
        <w:t>’</w:t>
      </w:r>
      <w:r w:rsidRPr="006B06D3">
        <w:t>assemblée a pris note du réexamen du système de recherche internationale supplémentaire figurant dans le document PCT/A/47/3.</w:t>
      </w:r>
    </w:p>
    <w:p w:rsidR="004A2672" w:rsidRPr="006B06D3" w:rsidRDefault="004A2672" w:rsidP="004A2672">
      <w:pPr>
        <w:pStyle w:val="ONUMFS"/>
        <w:ind w:left="567"/>
      </w:pPr>
      <w:r w:rsidRPr="006B06D3">
        <w:t>L</w:t>
      </w:r>
      <w:r w:rsidR="00CE5FEC">
        <w:t>’</w:t>
      </w:r>
      <w:r w:rsidRPr="006B06D3">
        <w:t>assemblée, après avoir réexaminé le système de recherche internationale supplémentaire trois ans après la date d</w:t>
      </w:r>
      <w:r w:rsidR="00CE5FEC">
        <w:t>’</w:t>
      </w:r>
      <w:r w:rsidRPr="006B06D3">
        <w:t>entrée en vigueur de ce système, et une nouvelle fois en 2015, a décidé</w:t>
      </w:r>
    </w:p>
    <w:p w:rsidR="004A2672" w:rsidRPr="006B06D3" w:rsidRDefault="009E5CBD" w:rsidP="004A2672">
      <w:pPr>
        <w:pStyle w:val="ONUMFS"/>
        <w:numPr>
          <w:ilvl w:val="0"/>
          <w:numId w:val="0"/>
        </w:numPr>
        <w:ind w:left="1134"/>
      </w:pPr>
      <w:r>
        <w:t>“</w:t>
      </w:r>
      <w:r w:rsidR="004A2672" w:rsidRPr="006B06D3">
        <w:t>a)</w:t>
      </w:r>
      <w:r w:rsidR="004A2672" w:rsidRPr="006B06D3">
        <w:tab/>
        <w:t>d</w:t>
      </w:r>
      <w:r w:rsidR="00CE5FEC">
        <w:t>’</w:t>
      </w:r>
      <w:r w:rsidR="004A2672" w:rsidRPr="006B06D3">
        <w:t>inviter le Bureau international à continuer de suivre de près l</w:t>
      </w:r>
      <w:r w:rsidR="00CE5FEC">
        <w:t>’</w:t>
      </w:r>
      <w:r w:rsidR="004A2672" w:rsidRPr="006B06D3">
        <w:t>évolution du système pendant cinq années supplémentaires et à continuer de rendre compte de cette évolution à la Réunion des administrations internationales et au groupe de travail;</w:t>
      </w:r>
    </w:p>
    <w:p w:rsidR="004A2672" w:rsidRPr="006B06D3" w:rsidRDefault="00510E51" w:rsidP="004A2672">
      <w:pPr>
        <w:pStyle w:val="ONUMFS"/>
        <w:numPr>
          <w:ilvl w:val="0"/>
          <w:numId w:val="0"/>
        </w:numPr>
        <w:ind w:left="1134"/>
      </w:pPr>
      <w:r>
        <w:t>“</w:t>
      </w:r>
      <w:r w:rsidR="004A2672" w:rsidRPr="006B06D3">
        <w:t>b)</w:t>
      </w:r>
      <w:r w:rsidR="004A2672" w:rsidRPr="006B06D3">
        <w:tab/>
        <w:t>d</w:t>
      </w:r>
      <w:r w:rsidR="00CE5FEC">
        <w:t>’</w:t>
      </w:r>
      <w:r w:rsidR="004A2672" w:rsidRPr="006B06D3">
        <w:t>inviter le Bureau international, les administrations internationales, les offices nationaux et les groupes d</w:t>
      </w:r>
      <w:r w:rsidR="00CE5FEC">
        <w:t>’</w:t>
      </w:r>
      <w:r w:rsidR="004A2672" w:rsidRPr="006B06D3">
        <w:t>utilisateurs à poursuivre leurs efforts en vue de promouvoir le service auprès des utilisateurs du système du PCT;</w:t>
      </w:r>
    </w:p>
    <w:p w:rsidR="004A2672" w:rsidRPr="006B06D3" w:rsidRDefault="00510E51" w:rsidP="004A2672">
      <w:pPr>
        <w:pStyle w:val="ONUMFS"/>
        <w:numPr>
          <w:ilvl w:val="0"/>
          <w:numId w:val="0"/>
        </w:numPr>
        <w:ind w:left="1134"/>
      </w:pPr>
      <w:r>
        <w:t>“</w:t>
      </w:r>
      <w:r w:rsidR="004A2672" w:rsidRPr="006B06D3">
        <w:t>c)</w:t>
      </w:r>
      <w:r w:rsidR="004A2672" w:rsidRPr="006B06D3">
        <w:tab/>
        <w:t>d</w:t>
      </w:r>
      <w:r w:rsidR="00CE5FEC">
        <w:t>’</w:t>
      </w:r>
      <w:r w:rsidR="004A2672" w:rsidRPr="006B06D3">
        <w:t>inviter les administrations internationales proposant le service de recherches internationales supplémentaires à envisager un réexamen des services qu</w:t>
      </w:r>
      <w:r w:rsidR="00CE5FEC">
        <w:t>’</w:t>
      </w:r>
      <w:r w:rsidR="004A2672" w:rsidRPr="006B06D3">
        <w:t>elles fournissent dans le cadre du système et, par conséquent, du montant des taxes qu</w:t>
      </w:r>
      <w:r w:rsidR="00CE5FEC">
        <w:t>’</w:t>
      </w:r>
      <w:r w:rsidR="004A2672" w:rsidRPr="006B06D3">
        <w:t>elles perçoivent pour les services fournis, qui doit être raisonnable;  et d</w:t>
      </w:r>
      <w:r w:rsidR="00CE5FEC">
        <w:t>’</w:t>
      </w:r>
      <w:r w:rsidR="004A2672" w:rsidRPr="006B06D3">
        <w:t>inviter les administrations ne proposant pas ce service à l</w:t>
      </w:r>
      <w:r w:rsidR="00CE5FEC">
        <w:t>’</w:t>
      </w:r>
      <w:r w:rsidR="004A2672" w:rsidRPr="006B06D3">
        <w:t>heure actuelle à envisager de le proposer dans un proche avenir;</w:t>
      </w:r>
    </w:p>
    <w:p w:rsidR="004A2672" w:rsidRDefault="00510E51" w:rsidP="004A2672">
      <w:pPr>
        <w:pStyle w:val="ONUMFS"/>
        <w:numPr>
          <w:ilvl w:val="0"/>
          <w:numId w:val="0"/>
        </w:numPr>
        <w:ind w:left="1134"/>
      </w:pPr>
      <w:r>
        <w:t>“</w:t>
      </w:r>
      <w:r w:rsidR="004A2672" w:rsidRPr="006B06D3">
        <w:t>d)</w:t>
      </w:r>
      <w:r w:rsidR="004A2672" w:rsidRPr="006B06D3">
        <w:tab/>
        <w:t>de réexaminer le système de nouveau en 2020, en tenant compte de toute évolution enregistrée à cette date, notamment en ce qui concerne la recherche et l</w:t>
      </w:r>
      <w:r w:rsidR="00CE5FEC">
        <w:t>’</w:t>
      </w:r>
      <w:r w:rsidR="004A2672" w:rsidRPr="006B06D3">
        <w:t>examen en collaboration et les efforts visant à améliorer la qualité de la reche</w:t>
      </w:r>
      <w:r w:rsidR="009E5CBD">
        <w:t>rche internationale “principale</w:t>
      </w:r>
      <w:r w:rsidR="004A2672" w:rsidRPr="006B06D3">
        <w:t>.</w:t>
      </w:r>
      <w:r w:rsidR="009E5CBD">
        <w:t>”</w:t>
      </w:r>
    </w:p>
    <w:p w:rsidR="004A2672" w:rsidRDefault="004A2672" w:rsidP="00510E51">
      <w:pPr>
        <w:pStyle w:val="Heading3"/>
      </w:pPr>
      <w:r w:rsidRPr="00B17540">
        <w:t>Propositions de modification du règlement d</w:t>
      </w:r>
      <w:r w:rsidR="00CE5FEC">
        <w:t>’</w:t>
      </w:r>
      <w:r w:rsidRPr="00B17540">
        <w:t>exécution</w:t>
      </w:r>
      <w:r w:rsidR="00CE5FEC" w:rsidRPr="00B17540">
        <w:t xml:space="preserve"> du</w:t>
      </w:r>
      <w:r w:rsidR="00CE5FEC">
        <w:t> </w:t>
      </w:r>
      <w:r w:rsidR="00CE5FEC" w:rsidRPr="00B17540">
        <w:t>PCT</w:t>
      </w:r>
    </w:p>
    <w:p w:rsidR="004A2672" w:rsidRPr="00D55846" w:rsidRDefault="004A2672" w:rsidP="004A2672"/>
    <w:p w:rsidR="004A2672" w:rsidRPr="00B17540" w:rsidRDefault="004A2672" w:rsidP="004A2672">
      <w:pPr>
        <w:pStyle w:val="ONUMFS"/>
      </w:pPr>
      <w:r w:rsidRPr="00B17540">
        <w:t xml:space="preserve">Les délibérations ont eu lieu sur la base du document </w:t>
      </w:r>
      <w:r w:rsidRPr="00B17540">
        <w:rPr>
          <w:color w:val="000000"/>
        </w:rPr>
        <w:t>PCT/A/47/4</w:t>
      </w:r>
      <w:r>
        <w:rPr>
          <w:color w:val="000000"/>
        </w:rPr>
        <w:t> </w:t>
      </w:r>
      <w:proofErr w:type="spellStart"/>
      <w:r w:rsidRPr="00B17540">
        <w:rPr>
          <w:color w:val="000000"/>
        </w:rPr>
        <w:t>Rev</w:t>
      </w:r>
      <w:proofErr w:type="spellEnd"/>
      <w:r w:rsidRPr="009F0C5F">
        <w:rPr>
          <w:color w:val="000000"/>
        </w:rPr>
        <w:t>.</w:t>
      </w:r>
    </w:p>
    <w:p w:rsidR="004A2672" w:rsidRPr="00B17540" w:rsidRDefault="004A2672" w:rsidP="004A2672">
      <w:pPr>
        <w:pStyle w:val="ONUMFS"/>
      </w:pPr>
      <w:r w:rsidRPr="00B17540">
        <w:rPr>
          <w:color w:val="000000"/>
        </w:rPr>
        <w:t xml:space="preserve">Le Secrétariat a présenté le document, contenant des propositions de modification du </w:t>
      </w:r>
      <w:r w:rsidRPr="00B17540">
        <w:t>règlement d</w:t>
      </w:r>
      <w:r w:rsidR="00CE5FEC">
        <w:t>’</w:t>
      </w:r>
      <w:r w:rsidRPr="00B17540">
        <w:t>exécution du</w:t>
      </w:r>
      <w:r>
        <w:t> </w:t>
      </w:r>
      <w:r w:rsidRPr="00B17540">
        <w:t>PCT</w:t>
      </w:r>
      <w:r w:rsidRPr="00B17540">
        <w:rPr>
          <w:color w:val="000000"/>
        </w:rPr>
        <w:t>.</w:t>
      </w:r>
      <w:r w:rsidRPr="009F0C5F">
        <w:rPr>
          <w:color w:val="000000"/>
        </w:rPr>
        <w:t xml:space="preserve">  </w:t>
      </w:r>
      <w:r w:rsidRPr="00B17540">
        <w:rPr>
          <w:color w:val="000000"/>
        </w:rPr>
        <w:t>Les modifications proposées avaient été examinées en détail par le Groupe de travail du PCT, qui était convenu à l</w:t>
      </w:r>
      <w:r w:rsidR="00CE5FEC">
        <w:rPr>
          <w:color w:val="000000"/>
        </w:rPr>
        <w:t>’</w:t>
      </w:r>
      <w:r w:rsidRPr="00B17540">
        <w:rPr>
          <w:color w:val="000000"/>
        </w:rPr>
        <w:t>unanimité de recommander à l</w:t>
      </w:r>
      <w:r w:rsidR="00CE5FEC">
        <w:rPr>
          <w:color w:val="000000"/>
        </w:rPr>
        <w:t>’</w:t>
      </w:r>
      <w:r w:rsidRPr="00B17540">
        <w:rPr>
          <w:color w:val="000000"/>
        </w:rPr>
        <w:t>assemblée d</w:t>
      </w:r>
      <w:r w:rsidR="00CE5FEC">
        <w:rPr>
          <w:color w:val="000000"/>
        </w:rPr>
        <w:t>’</w:t>
      </w:r>
      <w:r w:rsidRPr="00B17540">
        <w:rPr>
          <w:color w:val="000000"/>
        </w:rPr>
        <w:t>adopter les modifications telles qu</w:t>
      </w:r>
      <w:r>
        <w:rPr>
          <w:color w:val="000000"/>
        </w:rPr>
        <w:t>e</w:t>
      </w:r>
      <w:r w:rsidRPr="00B17540">
        <w:rPr>
          <w:color w:val="000000"/>
        </w:rPr>
        <w:t>ll</w:t>
      </w:r>
      <w:r w:rsidR="001D67E8" w:rsidRPr="00B17540">
        <w:rPr>
          <w:color w:val="000000"/>
        </w:rPr>
        <w:t>es</w:t>
      </w:r>
      <w:r w:rsidR="001D67E8">
        <w:rPr>
          <w:color w:val="000000"/>
        </w:rPr>
        <w:t xml:space="preserve">.  </w:t>
      </w:r>
      <w:r w:rsidR="001D67E8" w:rsidRPr="00B17540">
        <w:rPr>
          <w:color w:val="000000"/>
        </w:rPr>
        <w:t>Le</w:t>
      </w:r>
      <w:r w:rsidRPr="00B17540">
        <w:rPr>
          <w:color w:val="000000"/>
        </w:rPr>
        <w:t xml:space="preserve">s modifications proposées dans le document portaient sur </w:t>
      </w:r>
      <w:r>
        <w:rPr>
          <w:color w:val="000000"/>
        </w:rPr>
        <w:t>les</w:t>
      </w:r>
      <w:r w:rsidRPr="00B17540">
        <w:rPr>
          <w:color w:val="000000"/>
        </w:rPr>
        <w:t xml:space="preserve"> questions suivantes</w:t>
      </w:r>
      <w:r>
        <w:rPr>
          <w:color w:val="000000"/>
        </w:rPr>
        <w:t> </w:t>
      </w:r>
      <w:r w:rsidRPr="00B17540">
        <w:rPr>
          <w:color w:val="000000"/>
        </w:rPr>
        <w:t>: transmission par l</w:t>
      </w:r>
      <w:r w:rsidR="00CE5FEC">
        <w:rPr>
          <w:color w:val="000000"/>
        </w:rPr>
        <w:t>’</w:t>
      </w:r>
      <w:r w:rsidRPr="00B17540">
        <w:rPr>
          <w:color w:val="000000"/>
        </w:rPr>
        <w:t>office récepteur des résultats de recherche ou de classement antérieurs à l</w:t>
      </w:r>
      <w:r w:rsidR="00CE5FEC">
        <w:rPr>
          <w:color w:val="000000"/>
        </w:rPr>
        <w:t>’</w:t>
      </w:r>
      <w:r w:rsidRPr="00B17540">
        <w:rPr>
          <w:color w:val="000000"/>
        </w:rPr>
        <w:t>administration chargée de la recherche internationale (figurant à l</w:t>
      </w:r>
      <w:r w:rsidR="00CE5FEC">
        <w:rPr>
          <w:color w:val="000000"/>
        </w:rPr>
        <w:t>’</w:t>
      </w:r>
      <w:r w:rsidRPr="00B17540">
        <w:rPr>
          <w:color w:val="000000"/>
        </w:rPr>
        <w:t>annexe I);  exclusion de certains renseignements de la mise à la disposition du public (figurant à l</w:t>
      </w:r>
      <w:r w:rsidR="00CE5FEC">
        <w:rPr>
          <w:color w:val="000000"/>
        </w:rPr>
        <w:t>’</w:t>
      </w:r>
      <w:r w:rsidRPr="00B17540">
        <w:rPr>
          <w:color w:val="000000"/>
        </w:rPr>
        <w:t>annexe II);  transmission au Bureau international de copies des documents reçus dans le cadre d</w:t>
      </w:r>
      <w:r w:rsidR="00CE5FEC">
        <w:rPr>
          <w:color w:val="000000"/>
        </w:rPr>
        <w:t>’</w:t>
      </w:r>
      <w:r w:rsidRPr="00B17540">
        <w:rPr>
          <w:color w:val="000000"/>
        </w:rPr>
        <w:t>une requête en restauration du droit de priorité (figurant à l</w:t>
      </w:r>
      <w:r w:rsidR="00CE5FEC">
        <w:rPr>
          <w:color w:val="000000"/>
        </w:rPr>
        <w:t>’</w:t>
      </w:r>
      <w:r w:rsidRPr="00B17540">
        <w:rPr>
          <w:color w:val="000000"/>
        </w:rPr>
        <w:t>annexe III);  retards en cas de force majeure concernant les communications électroniques (figurant à l</w:t>
      </w:r>
      <w:r w:rsidR="00CE5FEC">
        <w:rPr>
          <w:color w:val="000000"/>
        </w:rPr>
        <w:t>’</w:t>
      </w:r>
      <w:r w:rsidRPr="00B17540">
        <w:rPr>
          <w:color w:val="000000"/>
        </w:rPr>
        <w:t>annexe</w:t>
      </w:r>
      <w:r>
        <w:rPr>
          <w:color w:val="000000"/>
        </w:rPr>
        <w:t> </w:t>
      </w:r>
      <w:r w:rsidRPr="00B17540">
        <w:rPr>
          <w:color w:val="000000"/>
        </w:rPr>
        <w:t>IV);  langues de communication avec le Bureau international (figurant à l</w:t>
      </w:r>
      <w:r w:rsidR="00CE5FEC">
        <w:rPr>
          <w:color w:val="000000"/>
        </w:rPr>
        <w:t>’</w:t>
      </w:r>
      <w:r w:rsidRPr="00B17540">
        <w:rPr>
          <w:color w:val="000000"/>
        </w:rPr>
        <w:t>annexe</w:t>
      </w:r>
      <w:r>
        <w:rPr>
          <w:color w:val="000000"/>
        </w:rPr>
        <w:t> </w:t>
      </w:r>
      <w:r w:rsidRPr="00B17540">
        <w:rPr>
          <w:color w:val="000000"/>
        </w:rPr>
        <w:t>V);  et informations concernant l</w:t>
      </w:r>
      <w:r w:rsidR="00CE5FEC">
        <w:rPr>
          <w:color w:val="000000"/>
        </w:rPr>
        <w:t>’</w:t>
      </w:r>
      <w:r w:rsidRPr="00B17540">
        <w:rPr>
          <w:color w:val="000000"/>
        </w:rPr>
        <w:t>ouverture de la phase nationale et les traductions (figurant à l</w:t>
      </w:r>
      <w:r w:rsidR="00CE5FEC">
        <w:rPr>
          <w:color w:val="000000"/>
        </w:rPr>
        <w:t>’</w:t>
      </w:r>
      <w:r w:rsidRPr="00B17540">
        <w:rPr>
          <w:color w:val="000000"/>
        </w:rPr>
        <w:t>annexe</w:t>
      </w:r>
      <w:r>
        <w:rPr>
          <w:color w:val="000000"/>
        </w:rPr>
        <w:t> </w:t>
      </w:r>
      <w:r w:rsidRPr="00B17540">
        <w:rPr>
          <w:color w:val="000000"/>
        </w:rPr>
        <w:t>VI).</w:t>
      </w:r>
      <w:r w:rsidRPr="009F0C5F">
        <w:rPr>
          <w:color w:val="000000"/>
        </w:rPr>
        <w:t xml:space="preserve">  </w:t>
      </w:r>
      <w:r w:rsidRPr="00B17540">
        <w:rPr>
          <w:color w:val="000000"/>
        </w:rPr>
        <w:t xml:space="preserve">Le </w:t>
      </w:r>
      <w:r w:rsidRPr="00B17540">
        <w:t>Secrétariat</w:t>
      </w:r>
      <w:r w:rsidRPr="00B17540">
        <w:rPr>
          <w:color w:val="000000"/>
        </w:rPr>
        <w:t xml:space="preserve"> a ajouté qu</w:t>
      </w:r>
      <w:r w:rsidR="00CE5FEC">
        <w:rPr>
          <w:color w:val="000000"/>
        </w:rPr>
        <w:t>’</w:t>
      </w:r>
      <w:r w:rsidRPr="00B17540">
        <w:rPr>
          <w:color w:val="000000"/>
        </w:rPr>
        <w:t>il s</w:t>
      </w:r>
      <w:r w:rsidR="00CE5FEC">
        <w:rPr>
          <w:color w:val="000000"/>
        </w:rPr>
        <w:t>’</w:t>
      </w:r>
      <w:r w:rsidRPr="00B17540">
        <w:rPr>
          <w:color w:val="000000"/>
        </w:rPr>
        <w:t>agissait d</w:t>
      </w:r>
      <w:r w:rsidR="00CE5FEC">
        <w:rPr>
          <w:color w:val="000000"/>
        </w:rPr>
        <w:t>’</w:t>
      </w:r>
      <w:r w:rsidRPr="00B17540">
        <w:rPr>
          <w:color w:val="000000"/>
        </w:rPr>
        <w:t>une version révisée (</w:t>
      </w:r>
      <w:r>
        <w:rPr>
          <w:color w:val="000000"/>
        </w:rPr>
        <w:t>“</w:t>
      </w:r>
      <w:proofErr w:type="spellStart"/>
      <w:r w:rsidRPr="00B17540">
        <w:rPr>
          <w:color w:val="000000"/>
        </w:rPr>
        <w:t>Rev</w:t>
      </w:r>
      <w:proofErr w:type="spellEnd"/>
      <w:r w:rsidRPr="00B17540">
        <w:rPr>
          <w:color w:val="000000"/>
        </w:rPr>
        <w:t>.</w:t>
      </w:r>
      <w:r>
        <w:rPr>
          <w:color w:val="000000"/>
        </w:rPr>
        <w:t>”</w:t>
      </w:r>
      <w:r w:rsidRPr="00B17540">
        <w:rPr>
          <w:color w:val="000000"/>
        </w:rPr>
        <w:t xml:space="preserve">) </w:t>
      </w:r>
      <w:r w:rsidRPr="00B17540">
        <w:t>du document</w:t>
      </w:r>
      <w:r w:rsidRPr="00B17540">
        <w:rPr>
          <w:color w:val="000000"/>
        </w:rPr>
        <w:t xml:space="preserve"> </w:t>
      </w:r>
      <w:r w:rsidRPr="00B17540">
        <w:t>PCT</w:t>
      </w:r>
      <w:r w:rsidRPr="00B17540">
        <w:rPr>
          <w:color w:val="000000"/>
        </w:rPr>
        <w:t>/A/47/4 initialement publié en ao</w:t>
      </w:r>
      <w:r w:rsidR="001D67E8" w:rsidRPr="00B17540">
        <w:rPr>
          <w:color w:val="000000"/>
        </w:rPr>
        <w:t>ût</w:t>
      </w:r>
      <w:r w:rsidR="001D67E8">
        <w:rPr>
          <w:color w:val="000000"/>
        </w:rPr>
        <w:t xml:space="preserve">.  </w:t>
      </w:r>
      <w:r w:rsidR="001D67E8" w:rsidRPr="00B17540">
        <w:rPr>
          <w:color w:val="000000"/>
        </w:rPr>
        <w:t>Le</w:t>
      </w:r>
      <w:r w:rsidRPr="00B17540">
        <w:rPr>
          <w:color w:val="000000"/>
        </w:rPr>
        <w:t xml:space="preserve"> seul changement par rapport à ce document résidait dans des corrections mineures concernant l</w:t>
      </w:r>
      <w:r w:rsidR="00CE5FEC">
        <w:rPr>
          <w:color w:val="000000"/>
        </w:rPr>
        <w:t>’</w:t>
      </w:r>
      <w:r w:rsidRPr="00B17540">
        <w:rPr>
          <w:color w:val="000000"/>
        </w:rPr>
        <w:t xml:space="preserve">entrée en vigueur et les mesures transitoires en rapport avec les propositions de modification </w:t>
      </w:r>
      <w:r>
        <w:rPr>
          <w:color w:val="000000"/>
        </w:rPr>
        <w:t>exposées</w:t>
      </w:r>
      <w:r w:rsidRPr="00B17540">
        <w:rPr>
          <w:color w:val="000000"/>
        </w:rPr>
        <w:t xml:space="preserve"> dans l</w:t>
      </w:r>
      <w:r w:rsidR="00CE5FEC">
        <w:rPr>
          <w:color w:val="000000"/>
        </w:rPr>
        <w:t>’</w:t>
      </w:r>
      <w:r w:rsidRPr="00B17540">
        <w:rPr>
          <w:color w:val="000000"/>
        </w:rPr>
        <w:t>annexe</w:t>
      </w:r>
      <w:r>
        <w:rPr>
          <w:color w:val="000000"/>
        </w:rPr>
        <w:t> </w:t>
      </w:r>
      <w:r w:rsidRPr="00B17540">
        <w:rPr>
          <w:color w:val="000000"/>
        </w:rPr>
        <w:t>I dudit document, ainsi qu</w:t>
      </w:r>
      <w:r w:rsidR="00CE5FEC">
        <w:rPr>
          <w:color w:val="000000"/>
        </w:rPr>
        <w:t>’</w:t>
      </w:r>
      <w:r w:rsidRPr="00B17540">
        <w:rPr>
          <w:color w:val="000000"/>
        </w:rPr>
        <w:t xml:space="preserve">il était expliqué de manière plus détaillée sur la page de couverture </w:t>
      </w:r>
      <w:r>
        <w:rPr>
          <w:color w:val="000000"/>
        </w:rPr>
        <w:t>de ce</w:t>
      </w:r>
      <w:r w:rsidRPr="00B17540">
        <w:rPr>
          <w:color w:val="000000"/>
        </w:rPr>
        <w:t xml:space="preserve"> document.</w:t>
      </w:r>
    </w:p>
    <w:p w:rsidR="004A2672" w:rsidRDefault="004A2672" w:rsidP="00AF4C30">
      <w:pPr>
        <w:pStyle w:val="ONUMFS"/>
        <w:keepNext/>
        <w:ind w:left="567"/>
      </w:pPr>
      <w:r w:rsidRPr="0047161F">
        <w:lastRenderedPageBreak/>
        <w:t>L</w:t>
      </w:r>
      <w:r w:rsidR="00CE5FEC">
        <w:t>’</w:t>
      </w:r>
      <w:r w:rsidRPr="0047161F">
        <w:t>assemblée</w:t>
      </w:r>
    </w:p>
    <w:p w:rsidR="004A2672" w:rsidRDefault="004A2672" w:rsidP="004A2672">
      <w:pPr>
        <w:pStyle w:val="ONUMFS"/>
        <w:numPr>
          <w:ilvl w:val="2"/>
          <w:numId w:val="6"/>
        </w:numPr>
      </w:pPr>
      <w:r w:rsidRPr="0047161F">
        <w:t>a adopté les modifications du règlement d</w:t>
      </w:r>
      <w:r w:rsidR="00CE5FEC">
        <w:t>’</w:t>
      </w:r>
      <w:r w:rsidRPr="0047161F">
        <w:t>exécution du PCT figurant aux annexes I et II du présent rapport,</w:t>
      </w:r>
    </w:p>
    <w:p w:rsidR="004A2672" w:rsidRPr="0047161F" w:rsidRDefault="004A2672" w:rsidP="004A2672">
      <w:pPr>
        <w:pStyle w:val="ONUMFS"/>
        <w:numPr>
          <w:ilvl w:val="2"/>
          <w:numId w:val="6"/>
        </w:numPr>
      </w:pPr>
      <w:r w:rsidRPr="0047161F">
        <w:rPr>
          <w:color w:val="000000"/>
        </w:rPr>
        <w:t>a décidé que les modifications des règles 9, 26</w:t>
      </w:r>
      <w:r w:rsidRPr="0047161F">
        <w:rPr>
          <w:i/>
          <w:color w:val="000000"/>
        </w:rPr>
        <w:t>bis</w:t>
      </w:r>
      <w:r w:rsidRPr="0047161F">
        <w:rPr>
          <w:color w:val="000000"/>
        </w:rPr>
        <w:t>, 48, 82</w:t>
      </w:r>
      <w:r w:rsidRPr="0047161F">
        <w:rPr>
          <w:i/>
          <w:color w:val="000000"/>
        </w:rPr>
        <w:t>quater</w:t>
      </w:r>
      <w:r w:rsidRPr="0047161F">
        <w:rPr>
          <w:color w:val="000000"/>
        </w:rPr>
        <w:t>, 92 et 94 exposées à l</w:t>
      </w:r>
      <w:r w:rsidR="00CE5FEC">
        <w:rPr>
          <w:color w:val="000000"/>
        </w:rPr>
        <w:t>’</w:t>
      </w:r>
      <w:r w:rsidRPr="0047161F">
        <w:rPr>
          <w:color w:val="000000"/>
        </w:rPr>
        <w:t xml:space="preserve">annexe I du présent rapport enteront en vigueur le </w:t>
      </w:r>
      <w:r w:rsidRPr="00B17540">
        <w:t>1</w:t>
      </w:r>
      <w:r w:rsidRPr="0047161F">
        <w:rPr>
          <w:vertAlign w:val="superscript"/>
        </w:rPr>
        <w:t>er</w:t>
      </w:r>
      <w:r>
        <w:t> </w:t>
      </w:r>
      <w:r w:rsidRPr="00B17540">
        <w:t>juillet</w:t>
      </w:r>
      <w:r>
        <w:t> </w:t>
      </w:r>
      <w:r w:rsidRPr="0047161F">
        <w:rPr>
          <w:color w:val="000000"/>
        </w:rPr>
        <w:t>2016 et s</w:t>
      </w:r>
      <w:r w:rsidR="00CE5FEC">
        <w:rPr>
          <w:color w:val="000000"/>
        </w:rPr>
        <w:t>’</w:t>
      </w:r>
      <w:r w:rsidRPr="0047161F">
        <w:rPr>
          <w:color w:val="000000"/>
        </w:rPr>
        <w:t xml:space="preserve">appliqueront à toute </w:t>
      </w:r>
      <w:r w:rsidRPr="00B17540">
        <w:t>demande internationale</w:t>
      </w:r>
      <w:r w:rsidRPr="0047161F">
        <w:rPr>
          <w:color w:val="000000"/>
        </w:rPr>
        <w:t xml:space="preserve"> dont la </w:t>
      </w:r>
      <w:r w:rsidRPr="00B17540">
        <w:t>date de dépôt international</w:t>
      </w:r>
      <w:r w:rsidRPr="0047161F">
        <w:rPr>
          <w:color w:val="000000"/>
        </w:rPr>
        <w:t xml:space="preserve"> est le </w:t>
      </w:r>
      <w:r w:rsidRPr="00B17540">
        <w:t>1</w:t>
      </w:r>
      <w:r w:rsidRPr="0047161F">
        <w:rPr>
          <w:vertAlign w:val="superscript"/>
        </w:rPr>
        <w:t>er</w:t>
      </w:r>
      <w:r>
        <w:t> </w:t>
      </w:r>
      <w:r w:rsidRPr="0047161F">
        <w:rPr>
          <w:color w:val="000000"/>
        </w:rPr>
        <w:t>juillet 2016 ou une date postérieure,</w:t>
      </w:r>
    </w:p>
    <w:p w:rsidR="004A2672" w:rsidRPr="0047161F" w:rsidRDefault="004A2672" w:rsidP="004A2672">
      <w:pPr>
        <w:pStyle w:val="ONUMFS"/>
        <w:numPr>
          <w:ilvl w:val="2"/>
          <w:numId w:val="6"/>
        </w:numPr>
      </w:pPr>
      <w:r w:rsidRPr="0047161F">
        <w:rPr>
          <w:color w:val="000000"/>
        </w:rPr>
        <w:t xml:space="preserve">a décidé que les </w:t>
      </w:r>
      <w:r w:rsidRPr="00B17540">
        <w:t>modifications de la règle</w:t>
      </w:r>
      <w:r>
        <w:t> </w:t>
      </w:r>
      <w:r w:rsidRPr="00B17540">
        <w:t>82</w:t>
      </w:r>
      <w:r w:rsidRPr="0047161F">
        <w:rPr>
          <w:i/>
        </w:rPr>
        <w:t>quater</w:t>
      </w:r>
      <w:r w:rsidRPr="00B17540">
        <w:t xml:space="preserve"> s</w:t>
      </w:r>
      <w:r w:rsidR="00CE5FEC">
        <w:t>’</w:t>
      </w:r>
      <w:r w:rsidRPr="00B17540">
        <w:t>appliqueront également aux demandes internationales dont la date de dépôt international est antérieure au 1</w:t>
      </w:r>
      <w:r w:rsidRPr="0047161F">
        <w:rPr>
          <w:vertAlign w:val="superscript"/>
        </w:rPr>
        <w:t>er</w:t>
      </w:r>
      <w:r>
        <w:t> </w:t>
      </w:r>
      <w:r w:rsidRPr="00B17540">
        <w:t>juillet</w:t>
      </w:r>
      <w:r>
        <w:t> </w:t>
      </w:r>
      <w:r w:rsidRPr="00B17540">
        <w:t>2016, lorsque l</w:t>
      </w:r>
      <w:r w:rsidR="00CE5FEC">
        <w:t>’</w:t>
      </w:r>
      <w:r w:rsidRPr="00B17540">
        <w:t>événement visé à la règle</w:t>
      </w:r>
      <w:r>
        <w:t> </w:t>
      </w:r>
      <w:r w:rsidRPr="00B17540">
        <w:t>82</w:t>
      </w:r>
      <w:r w:rsidRPr="0047161F">
        <w:rPr>
          <w:i/>
        </w:rPr>
        <w:t>quater</w:t>
      </w:r>
      <w:r w:rsidRPr="00B17540">
        <w:t>.1a) modifiée se produit le 1</w:t>
      </w:r>
      <w:r w:rsidRPr="0047161F">
        <w:rPr>
          <w:vertAlign w:val="superscript"/>
        </w:rPr>
        <w:t>er</w:t>
      </w:r>
      <w:r>
        <w:t> </w:t>
      </w:r>
      <w:r w:rsidRPr="00B17540">
        <w:t>juillet</w:t>
      </w:r>
      <w:r>
        <w:t> </w:t>
      </w:r>
      <w:r w:rsidRPr="00B17540">
        <w:t>2016 ou après cette date</w:t>
      </w:r>
      <w:r w:rsidRPr="0047161F">
        <w:rPr>
          <w:color w:val="000000"/>
        </w:rPr>
        <w:t>,</w:t>
      </w:r>
    </w:p>
    <w:p w:rsidR="004A2672" w:rsidRPr="0047161F" w:rsidRDefault="004A2672" w:rsidP="004A2672">
      <w:pPr>
        <w:pStyle w:val="ONUMFS"/>
        <w:numPr>
          <w:ilvl w:val="2"/>
          <w:numId w:val="6"/>
        </w:numPr>
      </w:pPr>
      <w:r w:rsidRPr="0047161F">
        <w:rPr>
          <w:color w:val="000000"/>
        </w:rPr>
        <w:t>a décidé que l</w:t>
      </w:r>
      <w:r w:rsidRPr="00B17540">
        <w:t>es modifications de la règle</w:t>
      </w:r>
      <w:r>
        <w:t> </w:t>
      </w:r>
      <w:r w:rsidRPr="00B17540">
        <w:t>92.2</w:t>
      </w:r>
      <w:r w:rsidRPr="0047161F">
        <w:rPr>
          <w:color w:val="000000"/>
        </w:rPr>
        <w:t>.</w:t>
      </w:r>
      <w:r w:rsidRPr="00B17540">
        <w:t>d) s</w:t>
      </w:r>
      <w:r w:rsidR="00CE5FEC">
        <w:t>’</w:t>
      </w:r>
      <w:r w:rsidRPr="00B17540">
        <w:t>appliqueront également à la correspondance reçue par le Bureau international le 1</w:t>
      </w:r>
      <w:r w:rsidRPr="0047161F">
        <w:rPr>
          <w:vertAlign w:val="superscript"/>
        </w:rPr>
        <w:t>er</w:t>
      </w:r>
      <w:r>
        <w:t> </w:t>
      </w:r>
      <w:r w:rsidRPr="00B17540">
        <w:t>juillet</w:t>
      </w:r>
      <w:r>
        <w:t> </w:t>
      </w:r>
      <w:r w:rsidRPr="00B17540">
        <w:t>2016 ou après cette date concernant des demandes internationales dont la date de dépôt international est antérieure au 1</w:t>
      </w:r>
      <w:r w:rsidRPr="0047161F">
        <w:rPr>
          <w:vertAlign w:val="superscript"/>
        </w:rPr>
        <w:t>er</w:t>
      </w:r>
      <w:r>
        <w:t> </w:t>
      </w:r>
      <w:r w:rsidRPr="00B17540">
        <w:t>juillet</w:t>
      </w:r>
      <w:r>
        <w:t> </w:t>
      </w:r>
      <w:r w:rsidRPr="00B17540">
        <w:t>2016, dans les conditions prévues lors de la publication des instructions administratives adoptées au titre de cette règle</w:t>
      </w:r>
      <w:r w:rsidRPr="0047161F">
        <w:rPr>
          <w:color w:val="000000"/>
        </w:rPr>
        <w:t>,</w:t>
      </w:r>
    </w:p>
    <w:p w:rsidR="004A2672" w:rsidRPr="0047161F" w:rsidRDefault="004A2672" w:rsidP="004A2672">
      <w:pPr>
        <w:pStyle w:val="ONUMFS"/>
        <w:numPr>
          <w:ilvl w:val="2"/>
          <w:numId w:val="6"/>
        </w:numPr>
      </w:pPr>
      <w:r w:rsidRPr="0047161F">
        <w:rPr>
          <w:color w:val="000000"/>
        </w:rPr>
        <w:t>a décidé que les modifications des règles 12</w:t>
      </w:r>
      <w:r w:rsidRPr="0047161F">
        <w:rPr>
          <w:i/>
          <w:color w:val="000000"/>
        </w:rPr>
        <w:t>bis</w:t>
      </w:r>
      <w:r w:rsidRPr="0047161F">
        <w:rPr>
          <w:color w:val="000000"/>
        </w:rPr>
        <w:t>, 23</w:t>
      </w:r>
      <w:r w:rsidRPr="0047161F">
        <w:rPr>
          <w:i/>
          <w:color w:val="000000"/>
        </w:rPr>
        <w:t>bis</w:t>
      </w:r>
      <w:r w:rsidRPr="0047161F">
        <w:rPr>
          <w:color w:val="000000"/>
        </w:rPr>
        <w:t>, 41, 86 et 95 exposées à l</w:t>
      </w:r>
      <w:r w:rsidR="00CE5FEC">
        <w:rPr>
          <w:color w:val="000000"/>
        </w:rPr>
        <w:t>’</w:t>
      </w:r>
      <w:r w:rsidRPr="0047161F">
        <w:rPr>
          <w:color w:val="000000"/>
        </w:rPr>
        <w:t xml:space="preserve">annexe II du présent </w:t>
      </w:r>
      <w:r w:rsidRPr="00B17540">
        <w:t>rapport</w:t>
      </w:r>
      <w:r w:rsidRPr="0047161F">
        <w:rPr>
          <w:color w:val="000000"/>
        </w:rPr>
        <w:t xml:space="preserve"> entreront </w:t>
      </w:r>
      <w:r w:rsidRPr="00B17540">
        <w:t>en vigueur</w:t>
      </w:r>
      <w:r w:rsidRPr="0047161F">
        <w:rPr>
          <w:color w:val="000000"/>
        </w:rPr>
        <w:t xml:space="preserve"> le </w:t>
      </w:r>
      <w:r w:rsidRPr="00B17540">
        <w:t>1</w:t>
      </w:r>
      <w:r w:rsidRPr="0047161F">
        <w:rPr>
          <w:vertAlign w:val="superscript"/>
        </w:rPr>
        <w:t>er</w:t>
      </w:r>
      <w:r>
        <w:t> </w:t>
      </w:r>
      <w:r w:rsidRPr="0047161F">
        <w:rPr>
          <w:color w:val="000000"/>
        </w:rPr>
        <w:t>juillet 2017 et s</w:t>
      </w:r>
      <w:r w:rsidR="00CE5FEC">
        <w:rPr>
          <w:color w:val="000000"/>
        </w:rPr>
        <w:t>’</w:t>
      </w:r>
      <w:r w:rsidRPr="0047161F">
        <w:rPr>
          <w:color w:val="000000"/>
        </w:rPr>
        <w:t xml:space="preserve">appliqueront à toute </w:t>
      </w:r>
      <w:r w:rsidRPr="00B17540">
        <w:t>demande internationale</w:t>
      </w:r>
      <w:r w:rsidRPr="0047161F">
        <w:rPr>
          <w:color w:val="000000"/>
        </w:rPr>
        <w:t xml:space="preserve"> dont la </w:t>
      </w:r>
      <w:r w:rsidRPr="00B17540">
        <w:t>date de dépôt international</w:t>
      </w:r>
      <w:r w:rsidRPr="0047161F">
        <w:rPr>
          <w:color w:val="000000"/>
        </w:rPr>
        <w:t xml:space="preserve"> est le </w:t>
      </w:r>
      <w:r w:rsidRPr="00B17540">
        <w:t>1</w:t>
      </w:r>
      <w:r w:rsidRPr="0047161F">
        <w:rPr>
          <w:vertAlign w:val="superscript"/>
        </w:rPr>
        <w:t>er</w:t>
      </w:r>
      <w:r>
        <w:t> </w:t>
      </w:r>
      <w:r w:rsidRPr="0047161F">
        <w:rPr>
          <w:color w:val="000000"/>
        </w:rPr>
        <w:t>juillet 2017 ou une date postérieure,</w:t>
      </w:r>
    </w:p>
    <w:p w:rsidR="004A2672" w:rsidRPr="0047161F" w:rsidRDefault="004A2672" w:rsidP="004A2672">
      <w:pPr>
        <w:pStyle w:val="ONUMFS"/>
        <w:numPr>
          <w:ilvl w:val="2"/>
          <w:numId w:val="6"/>
        </w:numPr>
      </w:pPr>
      <w:r w:rsidRPr="0047161F">
        <w:rPr>
          <w:color w:val="000000"/>
        </w:rPr>
        <w:t>a décidé que les modifications des règles 86 et 95 s</w:t>
      </w:r>
      <w:r w:rsidR="00CE5FEC">
        <w:rPr>
          <w:color w:val="000000"/>
        </w:rPr>
        <w:t>’</w:t>
      </w:r>
      <w:r w:rsidRPr="0047161F">
        <w:rPr>
          <w:color w:val="000000"/>
        </w:rPr>
        <w:t xml:space="preserve">appliqueront également à toute </w:t>
      </w:r>
      <w:r w:rsidRPr="00B17540">
        <w:t>demande internationale</w:t>
      </w:r>
      <w:r w:rsidRPr="0047161F">
        <w:rPr>
          <w:color w:val="000000"/>
        </w:rPr>
        <w:t xml:space="preserve"> dont la </w:t>
      </w:r>
      <w:r w:rsidRPr="00B17540">
        <w:t>date de dépôt international</w:t>
      </w:r>
      <w:r w:rsidRPr="0047161F">
        <w:rPr>
          <w:color w:val="000000"/>
        </w:rPr>
        <w:t xml:space="preserve"> est antérieure au </w:t>
      </w:r>
      <w:r w:rsidRPr="00B17540">
        <w:t>1</w:t>
      </w:r>
      <w:r w:rsidRPr="0047161F">
        <w:rPr>
          <w:vertAlign w:val="superscript"/>
        </w:rPr>
        <w:t>er</w:t>
      </w:r>
      <w:r>
        <w:t> </w:t>
      </w:r>
      <w:r w:rsidRPr="0047161F">
        <w:rPr>
          <w:color w:val="000000"/>
        </w:rPr>
        <w:t xml:space="preserve">juillet 2017, </w:t>
      </w:r>
      <w:r w:rsidR="00CE5FEC">
        <w:rPr>
          <w:color w:val="000000"/>
        </w:rPr>
        <w:t>à l’égard</w:t>
      </w:r>
      <w:r w:rsidRPr="0047161F">
        <w:rPr>
          <w:color w:val="000000"/>
        </w:rPr>
        <w:t xml:space="preserve"> de laquelle les actes visés à l</w:t>
      </w:r>
      <w:r w:rsidR="00CE5FEC">
        <w:rPr>
          <w:color w:val="000000"/>
        </w:rPr>
        <w:t>’</w:t>
      </w:r>
      <w:r w:rsidRPr="0047161F">
        <w:rPr>
          <w:color w:val="000000"/>
        </w:rPr>
        <w:t>article 22 ou à l</w:t>
      </w:r>
      <w:r w:rsidR="00CE5FEC">
        <w:rPr>
          <w:color w:val="000000"/>
        </w:rPr>
        <w:t>’</w:t>
      </w:r>
      <w:r w:rsidRPr="0047161F">
        <w:rPr>
          <w:color w:val="000000"/>
        </w:rPr>
        <w:t xml:space="preserve">article 39 sont accomplis le </w:t>
      </w:r>
      <w:r w:rsidRPr="00B17540">
        <w:t>1</w:t>
      </w:r>
      <w:r w:rsidRPr="0047161F">
        <w:rPr>
          <w:vertAlign w:val="superscript"/>
        </w:rPr>
        <w:t>er</w:t>
      </w:r>
      <w:r>
        <w:t> </w:t>
      </w:r>
      <w:r w:rsidRPr="0047161F">
        <w:rPr>
          <w:color w:val="000000"/>
        </w:rPr>
        <w:t>juillet 2017 ou après cette date,</w:t>
      </w:r>
    </w:p>
    <w:p w:rsidR="004A2672" w:rsidRDefault="004A2672" w:rsidP="004A2672">
      <w:pPr>
        <w:pStyle w:val="ONUMFS"/>
        <w:numPr>
          <w:ilvl w:val="2"/>
          <w:numId w:val="6"/>
        </w:numPr>
        <w:rPr>
          <w:color w:val="000000"/>
        </w:rPr>
      </w:pPr>
      <w:r w:rsidRPr="0047161F">
        <w:rPr>
          <w:color w:val="000000"/>
        </w:rPr>
        <w:t>a adopté la déclaration interprétative ci</w:t>
      </w:r>
      <w:r w:rsidR="001D67E8">
        <w:rPr>
          <w:color w:val="000000"/>
        </w:rPr>
        <w:noBreakHyphen/>
      </w:r>
      <w:r w:rsidRPr="0047161F">
        <w:rPr>
          <w:color w:val="000000"/>
        </w:rPr>
        <w:t>après concernant les dispositions visant à excuser un retard dans l</w:t>
      </w:r>
      <w:r w:rsidR="00CE5FEC">
        <w:rPr>
          <w:color w:val="000000"/>
        </w:rPr>
        <w:t>’</w:t>
      </w:r>
      <w:r w:rsidRPr="0047161F">
        <w:rPr>
          <w:color w:val="000000"/>
        </w:rPr>
        <w:t>observation d</w:t>
      </w:r>
      <w:r w:rsidR="00CE5FEC">
        <w:rPr>
          <w:color w:val="000000"/>
        </w:rPr>
        <w:t>’</w:t>
      </w:r>
      <w:r w:rsidRPr="0047161F">
        <w:rPr>
          <w:color w:val="000000"/>
        </w:rPr>
        <w:t>un délai en raison d</w:t>
      </w:r>
      <w:r w:rsidR="00CE5FEC">
        <w:rPr>
          <w:color w:val="000000"/>
        </w:rPr>
        <w:t>’</w:t>
      </w:r>
      <w:r w:rsidRPr="0047161F">
        <w:rPr>
          <w:color w:val="000000"/>
        </w:rPr>
        <w:t>une indisponibilité générale des services de communication électronique conformément à la règle 82</w:t>
      </w:r>
      <w:r w:rsidRPr="0047161F">
        <w:rPr>
          <w:i/>
          <w:color w:val="000000"/>
        </w:rPr>
        <w:t>quater</w:t>
      </w:r>
      <w:r w:rsidRPr="0047161F">
        <w:rPr>
          <w:color w:val="000000"/>
        </w:rPr>
        <w:t>.1 modifiée :</w:t>
      </w:r>
    </w:p>
    <w:p w:rsidR="004A2672" w:rsidRPr="00B17540" w:rsidRDefault="004A2672" w:rsidP="004A2672">
      <w:pPr>
        <w:pStyle w:val="ONUMFS"/>
        <w:numPr>
          <w:ilvl w:val="0"/>
          <w:numId w:val="0"/>
        </w:numPr>
        <w:ind w:left="1701"/>
      </w:pPr>
      <w:r>
        <w:t>“</w:t>
      </w:r>
      <w:r w:rsidRPr="00B17540">
        <w:t>Lorsqu</w:t>
      </w:r>
      <w:r w:rsidR="00CE5FEC">
        <w:t>’</w:t>
      </w:r>
      <w:r w:rsidRPr="00B17540">
        <w:t>elle a adopté les modifications de la règle</w:t>
      </w:r>
      <w:r>
        <w:t> </w:t>
      </w:r>
      <w:r w:rsidRPr="00B17540">
        <w:t>82</w:t>
      </w:r>
      <w:r w:rsidRPr="0047161F">
        <w:rPr>
          <w:i/>
        </w:rPr>
        <w:t>quater</w:t>
      </w:r>
      <w:r w:rsidRPr="00B17540">
        <w:t>.1, l</w:t>
      </w:r>
      <w:r w:rsidR="00CE5FEC">
        <w:t>’</w:t>
      </w:r>
      <w:r w:rsidRPr="00B17540">
        <w:t>assemblée a noté que l</w:t>
      </w:r>
      <w:r w:rsidR="00CE5FEC">
        <w:t>’</w:t>
      </w:r>
      <w:r w:rsidRPr="00B17540">
        <w:t>office récepteur, l</w:t>
      </w:r>
      <w:r w:rsidR="00CE5FEC">
        <w:t>’</w:t>
      </w:r>
      <w:r w:rsidRPr="00B17540">
        <w:t>administration chargée de la recherche internationale, l</w:t>
      </w:r>
      <w:r w:rsidR="00CE5FEC">
        <w:t>’</w:t>
      </w:r>
      <w:r w:rsidRPr="00B17540">
        <w:t>administration indiquée pour la recherche supplémentaire, l</w:t>
      </w:r>
      <w:r w:rsidR="00CE5FEC">
        <w:t>’</w:t>
      </w:r>
      <w:r w:rsidRPr="00B17540">
        <w:t>administration chargée de l</w:t>
      </w:r>
      <w:r w:rsidR="00CE5FEC">
        <w:t>’</w:t>
      </w:r>
      <w:r w:rsidRPr="00B17540">
        <w:t>examen préliminaire international ou le Bureau international devait, pour se prononcer sur une demande au titre de la règle</w:t>
      </w:r>
      <w:r>
        <w:t> </w:t>
      </w:r>
      <w:r w:rsidRPr="00B17540">
        <w:t>82</w:t>
      </w:r>
      <w:r w:rsidRPr="0047161F">
        <w:rPr>
          <w:i/>
        </w:rPr>
        <w:t>quater</w:t>
      </w:r>
      <w:r w:rsidRPr="00B17540">
        <w:t>.1 visant à obtenir l</w:t>
      </w:r>
      <w:r w:rsidR="00CE5FEC">
        <w:t>’</w:t>
      </w:r>
      <w:r w:rsidRPr="00B17540">
        <w:t>excuse d</w:t>
      </w:r>
      <w:r w:rsidR="00CE5FEC">
        <w:t>’</w:t>
      </w:r>
      <w:r w:rsidRPr="00B17540">
        <w:t>un retard dans l</w:t>
      </w:r>
      <w:r w:rsidR="00CE5FEC">
        <w:t>’</w:t>
      </w:r>
      <w:r w:rsidRPr="00B17540">
        <w:t>observation d</w:t>
      </w:r>
      <w:r w:rsidR="00CE5FEC">
        <w:t>’</w:t>
      </w:r>
      <w:r w:rsidRPr="00B17540">
        <w:t>un délai en raison d</w:t>
      </w:r>
      <w:r w:rsidR="00CE5FEC">
        <w:t>’</w:t>
      </w:r>
      <w:r w:rsidRPr="00B17540">
        <w:t>une indisponibilité générale des services de communication électronique, interpréter l</w:t>
      </w:r>
      <w:r w:rsidR="00CE5FEC">
        <w:t>’</w:t>
      </w:r>
      <w:r w:rsidRPr="00B17540">
        <w:t>indisponibilité générale des services de communication électronique comme s</w:t>
      </w:r>
      <w:r w:rsidR="00CE5FEC">
        <w:t>’</w:t>
      </w:r>
      <w:r w:rsidRPr="00B17540">
        <w:t>appliquant aux interruptions de service qui affectent de vastes étendues géographiques ou de nombreuses personnes, par opposition aux problèmes localisés concernant un bâtiment particulier ou un seul utilisateur.</w:t>
      </w:r>
      <w:r>
        <w:t>”</w:t>
      </w:r>
    </w:p>
    <w:p w:rsidR="004A2672" w:rsidRPr="00B17540" w:rsidRDefault="004A2672" w:rsidP="004A2672">
      <w:pPr>
        <w:pStyle w:val="ONUMFS"/>
        <w:numPr>
          <w:ilvl w:val="2"/>
          <w:numId w:val="6"/>
        </w:numPr>
      </w:pPr>
      <w:r w:rsidRPr="00B17540">
        <w:rPr>
          <w:color w:val="000000"/>
        </w:rPr>
        <w:t>a adopté la déclaration interprétative ci</w:t>
      </w:r>
      <w:r w:rsidR="001D67E8">
        <w:rPr>
          <w:color w:val="000000"/>
        </w:rPr>
        <w:noBreakHyphen/>
      </w:r>
      <w:r w:rsidRPr="00B17540">
        <w:rPr>
          <w:color w:val="000000"/>
        </w:rPr>
        <w:t>après concernant les informations devant être fournies conformément aux règles</w:t>
      </w:r>
      <w:r>
        <w:rPr>
          <w:color w:val="000000"/>
        </w:rPr>
        <w:t> </w:t>
      </w:r>
      <w:r w:rsidR="00510E51">
        <w:rPr>
          <w:color w:val="000000"/>
        </w:rPr>
        <w:t>86 et </w:t>
      </w:r>
      <w:r w:rsidRPr="00B17540">
        <w:rPr>
          <w:color w:val="000000"/>
        </w:rPr>
        <w:t>95 modifiées :</w:t>
      </w:r>
    </w:p>
    <w:p w:rsidR="004A2672" w:rsidRPr="00B17540" w:rsidRDefault="004A2672" w:rsidP="004A2672">
      <w:pPr>
        <w:pStyle w:val="ONUMFS"/>
        <w:numPr>
          <w:ilvl w:val="0"/>
          <w:numId w:val="0"/>
        </w:numPr>
        <w:ind w:left="1701"/>
      </w:pPr>
      <w:r>
        <w:t>“</w:t>
      </w:r>
      <w:r w:rsidRPr="00B17540">
        <w:t>Lorsqu</w:t>
      </w:r>
      <w:r w:rsidR="00CE5FEC">
        <w:t>’</w:t>
      </w:r>
      <w:r w:rsidRPr="00B17540">
        <w:t>elle a adopté les modifications de la règle</w:t>
      </w:r>
      <w:r>
        <w:t> </w:t>
      </w:r>
      <w:r w:rsidRPr="00B17540">
        <w:t>86.1.iv), l</w:t>
      </w:r>
      <w:r w:rsidR="00CE5FEC">
        <w:t>’</w:t>
      </w:r>
      <w:r w:rsidRPr="00B17540">
        <w:t>assemblée a noté que les informations concernant l</w:t>
      </w:r>
      <w:r w:rsidR="00CE5FEC">
        <w:t>’</w:t>
      </w:r>
      <w:r w:rsidRPr="00B17540">
        <w:t>ouverture de la phase nationale seraient mises à la disposition du public non seulement par voie d</w:t>
      </w:r>
      <w:r w:rsidR="00CE5FEC">
        <w:t>’</w:t>
      </w:r>
      <w:r w:rsidRPr="00B17540">
        <w:t>inclusion dans la Gazette sur le site</w:t>
      </w:r>
      <w:r>
        <w:t> </w:t>
      </w:r>
      <w:r w:rsidRPr="00B17540">
        <w:t xml:space="preserve">Web PATENTSCOPE mais également avec les données </w:t>
      </w:r>
      <w:r w:rsidRPr="00B17540">
        <w:lastRenderedPageBreak/>
        <w:t>bibliographiques fournies en vrac aux offices et autres abonnés des services de données PATENTSCOPE.</w:t>
      </w:r>
      <w:r>
        <w:t>”</w:t>
      </w:r>
    </w:p>
    <w:p w:rsidR="004A2672" w:rsidRDefault="004A2672" w:rsidP="00510E51">
      <w:pPr>
        <w:pStyle w:val="Heading3"/>
      </w:pPr>
      <w:r w:rsidRPr="00B17540">
        <w:t>Propositions de modification des directives de l</w:t>
      </w:r>
      <w:r w:rsidR="00CE5FEC">
        <w:t>’</w:t>
      </w:r>
      <w:r w:rsidRPr="00B17540">
        <w:t>assemblée concernant l</w:t>
      </w:r>
      <w:r w:rsidR="00CE5FEC">
        <w:t>’</w:t>
      </w:r>
      <w:r w:rsidRPr="00B17540">
        <w:t>établissement des montants équivalents de certaines taxes</w:t>
      </w:r>
    </w:p>
    <w:p w:rsidR="004A2672" w:rsidRPr="00D55846" w:rsidRDefault="004A2672" w:rsidP="004A2672"/>
    <w:p w:rsidR="004A2672" w:rsidRPr="00B17540" w:rsidRDefault="004A2672" w:rsidP="004A2672">
      <w:pPr>
        <w:pStyle w:val="ONUMFS"/>
      </w:pPr>
      <w:r w:rsidRPr="00B17540">
        <w:t xml:space="preserve">Les délibérations ont eu lieu sur la base du document </w:t>
      </w:r>
      <w:r w:rsidRPr="00B17540">
        <w:rPr>
          <w:color w:val="000000"/>
        </w:rPr>
        <w:t>PCT/A/47/5</w:t>
      </w:r>
      <w:r>
        <w:rPr>
          <w:color w:val="000000"/>
        </w:rPr>
        <w:t> </w:t>
      </w:r>
      <w:proofErr w:type="spellStart"/>
      <w:r w:rsidRPr="00B17540">
        <w:rPr>
          <w:color w:val="000000"/>
        </w:rPr>
        <w:t>Rev</w:t>
      </w:r>
      <w:proofErr w:type="spellEnd"/>
      <w:r w:rsidRPr="009F0C5F">
        <w:rPr>
          <w:color w:val="000000"/>
        </w:rPr>
        <w:t>.</w:t>
      </w:r>
    </w:p>
    <w:p w:rsidR="004A2672" w:rsidRPr="00B17540" w:rsidRDefault="004A2672" w:rsidP="004A2672">
      <w:pPr>
        <w:pStyle w:val="ONUMFS"/>
      </w:pPr>
      <w:r w:rsidRPr="00B17540">
        <w:t>Le Secrétariat</w:t>
      </w:r>
      <w:r w:rsidRPr="00B17540">
        <w:rPr>
          <w:color w:val="000000"/>
        </w:rPr>
        <w:t xml:space="preserve"> a expliqué les raisons pour lesquelles le </w:t>
      </w:r>
      <w:r w:rsidRPr="00B17540">
        <w:t>Bureau international</w:t>
      </w:r>
      <w:r w:rsidRPr="00B17540">
        <w:rPr>
          <w:color w:val="000000"/>
        </w:rPr>
        <w:t xml:space="preserve"> avait présenté le document révisé </w:t>
      </w:r>
      <w:r w:rsidRPr="00B17540">
        <w:t>PCT</w:t>
      </w:r>
      <w:r w:rsidRPr="00B17540">
        <w:rPr>
          <w:color w:val="000000"/>
        </w:rPr>
        <w:t>/A/47/5</w:t>
      </w:r>
      <w:r>
        <w:rPr>
          <w:color w:val="000000"/>
        </w:rPr>
        <w:t> </w:t>
      </w:r>
      <w:proofErr w:type="spellStart"/>
      <w:r w:rsidRPr="00B17540">
        <w:rPr>
          <w:color w:val="000000"/>
        </w:rPr>
        <w:t>R</w:t>
      </w:r>
      <w:r w:rsidR="001D67E8" w:rsidRPr="00B17540">
        <w:rPr>
          <w:color w:val="000000"/>
        </w:rPr>
        <w:t>ev</w:t>
      </w:r>
      <w:proofErr w:type="spellEnd"/>
      <w:r w:rsidR="001D67E8">
        <w:rPr>
          <w:color w:val="000000"/>
        </w:rPr>
        <w:t xml:space="preserve">.  </w:t>
      </w:r>
      <w:r w:rsidR="001D67E8" w:rsidRPr="00B17540">
        <w:rPr>
          <w:color w:val="000000"/>
        </w:rPr>
        <w:t>Ce</w:t>
      </w:r>
      <w:r w:rsidRPr="00B17540">
        <w:rPr>
          <w:color w:val="000000"/>
        </w:rPr>
        <w:t xml:space="preserve"> document proposait de </w:t>
      </w:r>
      <w:r w:rsidRPr="00B17540">
        <w:t>différer</w:t>
      </w:r>
      <w:r w:rsidRPr="00B17540">
        <w:rPr>
          <w:color w:val="000000"/>
        </w:rPr>
        <w:t xml:space="preserve"> une décision sur les propositions de modification des directives de l</w:t>
      </w:r>
      <w:r w:rsidR="00CE5FEC">
        <w:rPr>
          <w:color w:val="000000"/>
        </w:rPr>
        <w:t>’</w:t>
      </w:r>
      <w:r w:rsidRPr="00B17540">
        <w:rPr>
          <w:color w:val="000000"/>
        </w:rPr>
        <w:t>assemblée relatives à l</w:t>
      </w:r>
      <w:r w:rsidR="00CE5FEC">
        <w:rPr>
          <w:color w:val="000000"/>
        </w:rPr>
        <w:t>’</w:t>
      </w:r>
      <w:r w:rsidRPr="00B17540">
        <w:rPr>
          <w:color w:val="000000"/>
        </w:rPr>
        <w:t xml:space="preserve">établissement des montants équivalents de certaines taxes dont le </w:t>
      </w:r>
      <w:r w:rsidRPr="00B17540">
        <w:t>Groupe de travail du</w:t>
      </w:r>
      <w:r>
        <w:t> </w:t>
      </w:r>
      <w:r w:rsidRPr="00B17540">
        <w:t>PCT</w:t>
      </w:r>
      <w:r w:rsidRPr="00B17540">
        <w:rPr>
          <w:color w:val="000000"/>
        </w:rPr>
        <w:t xml:space="preserve"> avait recommandé l</w:t>
      </w:r>
      <w:r w:rsidR="00CE5FEC">
        <w:rPr>
          <w:color w:val="000000"/>
        </w:rPr>
        <w:t>’</w:t>
      </w:r>
      <w:r w:rsidRPr="00B17540">
        <w:rPr>
          <w:color w:val="000000"/>
        </w:rPr>
        <w:t>adoption à la session en cours de l</w:t>
      </w:r>
      <w:r w:rsidR="00CE5FEC">
        <w:rPr>
          <w:color w:val="000000"/>
        </w:rPr>
        <w:t>’</w:t>
      </w:r>
      <w:r w:rsidRPr="00B17540">
        <w:rPr>
          <w:color w:val="000000"/>
        </w:rPr>
        <w:t>assembl</w:t>
      </w:r>
      <w:r w:rsidR="001D67E8" w:rsidRPr="00B17540">
        <w:rPr>
          <w:color w:val="000000"/>
        </w:rPr>
        <w:t>ée</w:t>
      </w:r>
      <w:r w:rsidR="001D67E8">
        <w:rPr>
          <w:color w:val="000000"/>
        </w:rPr>
        <w:t xml:space="preserve">.  </w:t>
      </w:r>
      <w:r w:rsidR="001D67E8" w:rsidRPr="00B17540">
        <w:t>Ce</w:t>
      </w:r>
      <w:r w:rsidRPr="00B17540">
        <w:t>s modifications visaient à permettre au Bureau international de commencer à couvrir les risques de change imputables aux versements de la taxe internationale de dépôt en euros, en yen et en dollars</w:t>
      </w:r>
      <w:r>
        <w:t> </w:t>
      </w:r>
      <w:r w:rsidRPr="00B17540">
        <w:t>É.</w:t>
      </w:r>
      <w:r w:rsidR="001D67E8">
        <w:noBreakHyphen/>
      </w:r>
      <w:r w:rsidRPr="00B17540">
        <w:t xml:space="preserve">U.  </w:t>
      </w:r>
      <w:r w:rsidRPr="00B17540">
        <w:rPr>
          <w:color w:val="000000"/>
        </w:rPr>
        <w:t>Le document PCT/A/47/5, publié le 4</w:t>
      </w:r>
      <w:r>
        <w:rPr>
          <w:color w:val="000000"/>
        </w:rPr>
        <w:t> </w:t>
      </w:r>
      <w:r w:rsidRPr="00B17540">
        <w:rPr>
          <w:color w:val="000000"/>
        </w:rPr>
        <w:t>août</w:t>
      </w:r>
      <w:r>
        <w:rPr>
          <w:color w:val="000000"/>
        </w:rPr>
        <w:t> </w:t>
      </w:r>
      <w:r w:rsidRPr="00B17540">
        <w:rPr>
          <w:color w:val="000000"/>
        </w:rPr>
        <w:t xml:space="preserve">2015, contenait des propositions de modification des directives arrêtées par le Groupe de travail à sa </w:t>
      </w:r>
      <w:r w:rsidRPr="00B17540">
        <w:t>huitième</w:t>
      </w:r>
      <w:r>
        <w:t> </w:t>
      </w:r>
      <w:r w:rsidRPr="00B17540">
        <w:t>session, en mai </w:t>
      </w:r>
      <w:r w:rsidRPr="00B17540">
        <w:rPr>
          <w:color w:val="000000"/>
        </w:rPr>
        <w:t>2015, ainsi que des précisions sur quelques points mineurs recensés après cette sessi</w:t>
      </w:r>
      <w:r w:rsidR="001D67E8" w:rsidRPr="00B17540">
        <w:rPr>
          <w:color w:val="000000"/>
        </w:rPr>
        <w:t>on</w:t>
      </w:r>
      <w:r w:rsidR="001D67E8">
        <w:rPr>
          <w:color w:val="000000"/>
        </w:rPr>
        <w:t xml:space="preserve">.  </w:t>
      </w:r>
      <w:r w:rsidR="001D67E8" w:rsidRPr="00B17540">
        <w:rPr>
          <w:color w:val="000000"/>
        </w:rPr>
        <w:t>Ap</w:t>
      </w:r>
      <w:r w:rsidRPr="00B17540">
        <w:rPr>
          <w:color w:val="000000"/>
        </w:rPr>
        <w:t>rès la huitième</w:t>
      </w:r>
      <w:r>
        <w:rPr>
          <w:color w:val="000000"/>
        </w:rPr>
        <w:t> </w:t>
      </w:r>
      <w:r w:rsidRPr="00B17540">
        <w:rPr>
          <w:color w:val="000000"/>
        </w:rPr>
        <w:t>session du groupe de travail, le Comité du programme et budget (PBC) de l</w:t>
      </w:r>
      <w:r w:rsidR="00CE5FEC">
        <w:rPr>
          <w:color w:val="000000"/>
        </w:rPr>
        <w:t>’</w:t>
      </w:r>
      <w:r w:rsidRPr="00B17540">
        <w:rPr>
          <w:color w:val="000000"/>
        </w:rPr>
        <w:t xml:space="preserve">OMPI, à sa session de juillet 2015, avait prié le </w:t>
      </w:r>
      <w:r w:rsidRPr="00B17540">
        <w:t>Secrétariat</w:t>
      </w:r>
      <w:r w:rsidRPr="00B17540">
        <w:rPr>
          <w:color w:val="000000"/>
        </w:rPr>
        <w:t xml:space="preserve"> lui présenter à sa session de septembre 2015 des informations actualisées sur les progrès réalisés en ce qui concerne la mise en œuvre de la stratégie de couverture des risques de change pour les recettes du</w:t>
      </w:r>
      <w:r>
        <w:rPr>
          <w:color w:val="000000"/>
        </w:rPr>
        <w:t> </w:t>
      </w:r>
      <w:r w:rsidRPr="00B17540">
        <w:rPr>
          <w:color w:val="000000"/>
        </w:rPr>
        <w:t>PCT.</w:t>
      </w:r>
      <w:r w:rsidRPr="009F0C5F">
        <w:rPr>
          <w:color w:val="000000"/>
        </w:rPr>
        <w:t xml:space="preserve">  </w:t>
      </w:r>
      <w:r w:rsidRPr="00B17540">
        <w:rPr>
          <w:color w:val="000000"/>
        </w:rPr>
        <w:t xml:space="preserve">Ces informations actualisées avaient été communiquées sous couvert du </w:t>
      </w:r>
      <w:r w:rsidRPr="00B17540">
        <w:t>document</w:t>
      </w:r>
      <w:r w:rsidRPr="00B17540">
        <w:rPr>
          <w:color w:val="000000"/>
        </w:rPr>
        <w:t xml:space="preserve"> WO/</w:t>
      </w:r>
      <w:r w:rsidRPr="00B17540">
        <w:t>PBC</w:t>
      </w:r>
      <w:r w:rsidRPr="00B17540">
        <w:rPr>
          <w:color w:val="000000"/>
        </w:rPr>
        <w:t xml:space="preserve">/24/INF.3, qui était reproduit dans le document </w:t>
      </w:r>
      <w:r w:rsidRPr="00B17540">
        <w:t>PCT</w:t>
      </w:r>
      <w:r w:rsidRPr="00B17540">
        <w:rPr>
          <w:color w:val="000000"/>
        </w:rPr>
        <w:t>/A/47/5</w:t>
      </w:r>
      <w:r>
        <w:rPr>
          <w:color w:val="000000"/>
        </w:rPr>
        <w:t> </w:t>
      </w:r>
      <w:proofErr w:type="spellStart"/>
      <w:r w:rsidRPr="00B17540">
        <w:rPr>
          <w:color w:val="000000"/>
        </w:rPr>
        <w:t>R</w:t>
      </w:r>
      <w:r w:rsidR="001D67E8" w:rsidRPr="00B17540">
        <w:rPr>
          <w:color w:val="000000"/>
        </w:rPr>
        <w:t>ev</w:t>
      </w:r>
      <w:proofErr w:type="spellEnd"/>
      <w:r w:rsidR="001D67E8">
        <w:rPr>
          <w:color w:val="000000"/>
        </w:rPr>
        <w:t xml:space="preserve">.  </w:t>
      </w:r>
      <w:r w:rsidR="001D67E8" w:rsidRPr="00B17540">
        <w:t>Le</w:t>
      </w:r>
      <w:r w:rsidRPr="00B17540">
        <w:t xml:space="preserve"> document WO/PBC/24/INF.3</w:t>
      </w:r>
      <w:r w:rsidRPr="00B17540">
        <w:rPr>
          <w:color w:val="000000"/>
        </w:rPr>
        <w:t xml:space="preserve"> </w:t>
      </w:r>
      <w:r w:rsidRPr="00B17540">
        <w:t>recens</w:t>
      </w:r>
      <w:r w:rsidRPr="00B17540">
        <w:rPr>
          <w:color w:val="000000"/>
        </w:rPr>
        <w:t>ait</w:t>
      </w:r>
      <w:r w:rsidRPr="00B17540">
        <w:t xml:space="preserve"> un certain nombre de sujets de préoccupation et de risques qui, de l</w:t>
      </w:r>
      <w:r w:rsidR="00CE5FEC">
        <w:t>’</w:t>
      </w:r>
      <w:r w:rsidRPr="00B17540">
        <w:t>avis du Secrétariat, appela</w:t>
      </w:r>
      <w:r w:rsidRPr="00B17540">
        <w:rPr>
          <w:color w:val="000000"/>
        </w:rPr>
        <w:t>ie</w:t>
      </w:r>
      <w:r w:rsidRPr="00B17540">
        <w:t>nt des recherches et une analyse plus poussées avant qu</w:t>
      </w:r>
      <w:r w:rsidR="00CE5FEC">
        <w:t>’</w:t>
      </w:r>
      <w:r w:rsidRPr="00B17540">
        <w:t>une stratégie de couverture des risques de change puisse être adoptée et des accords contractuels conclus avec des contreparties pour les opérations de couvertu</w:t>
      </w:r>
      <w:r w:rsidR="001D67E8" w:rsidRPr="00B17540">
        <w:t>re</w:t>
      </w:r>
      <w:r w:rsidR="001D67E8">
        <w:t xml:space="preserve">.  </w:t>
      </w:r>
      <w:r w:rsidR="001D67E8" w:rsidRPr="00B17540">
        <w:rPr>
          <w:color w:val="000000"/>
        </w:rPr>
        <w:t>Co</w:t>
      </w:r>
      <w:r w:rsidRPr="00B17540">
        <w:rPr>
          <w:color w:val="000000"/>
        </w:rPr>
        <w:t>mpte tenu de la complexité des questions en jeu, ce complément d</w:t>
      </w:r>
      <w:r w:rsidR="00CE5FEC">
        <w:rPr>
          <w:color w:val="000000"/>
        </w:rPr>
        <w:t>’</w:t>
      </w:r>
      <w:r w:rsidRPr="00B17540">
        <w:rPr>
          <w:color w:val="000000"/>
        </w:rPr>
        <w:t>analyse nécessiterait un temps et des ressources qui pourraient s</w:t>
      </w:r>
      <w:r w:rsidR="00CE5FEC">
        <w:rPr>
          <w:color w:val="000000"/>
        </w:rPr>
        <w:t>’</w:t>
      </w:r>
      <w:r w:rsidRPr="00B17540">
        <w:rPr>
          <w:color w:val="000000"/>
        </w:rPr>
        <w:t>avérer importan</w:t>
      </w:r>
      <w:r w:rsidR="001D67E8" w:rsidRPr="00B17540">
        <w:rPr>
          <w:color w:val="000000"/>
        </w:rPr>
        <w:t>ts</w:t>
      </w:r>
      <w:r w:rsidR="001D67E8">
        <w:rPr>
          <w:color w:val="000000"/>
        </w:rPr>
        <w:t xml:space="preserve">.  </w:t>
      </w:r>
      <w:r w:rsidR="001D67E8" w:rsidRPr="00B17540">
        <w:rPr>
          <w:color w:val="000000"/>
        </w:rPr>
        <w:t>De</w:t>
      </w:r>
      <w:r w:rsidRPr="00B17540">
        <w:rPr>
          <w:color w:val="000000"/>
        </w:rPr>
        <w:t xml:space="preserve"> l</w:t>
      </w:r>
      <w:r w:rsidR="00CE5FEC">
        <w:rPr>
          <w:color w:val="000000"/>
        </w:rPr>
        <w:t>’</w:t>
      </w:r>
      <w:r w:rsidRPr="00B17540">
        <w:rPr>
          <w:color w:val="000000"/>
        </w:rPr>
        <w:t xml:space="preserve">avis du </w:t>
      </w:r>
      <w:r w:rsidRPr="00B17540">
        <w:t>Bureau international</w:t>
      </w:r>
      <w:r w:rsidRPr="00B17540">
        <w:rPr>
          <w:color w:val="000000"/>
        </w:rPr>
        <w:t>, s</w:t>
      </w:r>
      <w:r w:rsidRPr="00B17540">
        <w:t>i la stratégie de couverture des risques de change était mise en œuvre sans que soient limités les risques associés aux questions recensées, le coût financier pour l</w:t>
      </w:r>
      <w:r w:rsidR="00CE5FEC">
        <w:t>’</w:t>
      </w:r>
      <w:r w:rsidRPr="00B17540">
        <w:t>Organisation pourrait être considérab</w:t>
      </w:r>
      <w:r w:rsidR="001D67E8" w:rsidRPr="00B17540">
        <w:t>le</w:t>
      </w:r>
      <w:r w:rsidR="001D67E8">
        <w:t xml:space="preserve">.  </w:t>
      </w:r>
      <w:r w:rsidR="001D67E8" w:rsidRPr="00B17540">
        <w:rPr>
          <w:color w:val="000000"/>
        </w:rPr>
        <w:t>Le</w:t>
      </w:r>
      <w:r>
        <w:t> </w:t>
      </w:r>
      <w:r w:rsidRPr="00B17540">
        <w:t>PBC</w:t>
      </w:r>
      <w:r w:rsidRPr="00B17540">
        <w:rPr>
          <w:color w:val="000000"/>
        </w:rPr>
        <w:t xml:space="preserve"> avait examiné le document WO/</w:t>
      </w:r>
      <w:r w:rsidRPr="00B17540">
        <w:t>PBC</w:t>
      </w:r>
      <w:r w:rsidRPr="00B17540">
        <w:rPr>
          <w:color w:val="000000"/>
        </w:rPr>
        <w:t>/24/INF.3 à sa session de septembre 2015.</w:t>
      </w:r>
      <w:r w:rsidRPr="009F0C5F">
        <w:rPr>
          <w:color w:val="000000"/>
        </w:rPr>
        <w:t xml:space="preserve">  </w:t>
      </w:r>
      <w:r w:rsidRPr="00B17540">
        <w:rPr>
          <w:color w:val="000000"/>
        </w:rPr>
        <w:t>Compte tenu des préoccupations et des risques dont il était rendu compte dans ce document, le</w:t>
      </w:r>
      <w:r>
        <w:rPr>
          <w:color w:val="000000"/>
        </w:rPr>
        <w:t> </w:t>
      </w:r>
      <w:r w:rsidRPr="00B17540">
        <w:t>PBC</w:t>
      </w:r>
      <w:r w:rsidRPr="00B17540">
        <w:rPr>
          <w:color w:val="000000"/>
        </w:rPr>
        <w:t xml:space="preserve"> avait recommandé à l</w:t>
      </w:r>
      <w:r w:rsidR="00CE5FEC">
        <w:rPr>
          <w:color w:val="000000"/>
        </w:rPr>
        <w:t>’</w:t>
      </w:r>
      <w:r w:rsidRPr="00B17540">
        <w:rPr>
          <w:color w:val="000000"/>
        </w:rPr>
        <w:t>Assemblée de l</w:t>
      </w:r>
      <w:r w:rsidR="00CE5FEC">
        <w:rPr>
          <w:color w:val="000000"/>
        </w:rPr>
        <w:t>’</w:t>
      </w:r>
      <w:r w:rsidRPr="00B17540">
        <w:rPr>
          <w:color w:val="000000"/>
        </w:rPr>
        <w:t>Union du</w:t>
      </w:r>
      <w:r>
        <w:rPr>
          <w:color w:val="000000"/>
        </w:rPr>
        <w:t> </w:t>
      </w:r>
      <w:r w:rsidRPr="00B17540">
        <w:t>PCT</w:t>
      </w:r>
      <w:r w:rsidRPr="00B17540">
        <w:rPr>
          <w:color w:val="000000"/>
        </w:rPr>
        <w:t xml:space="preserve"> de laisser davantage de temps au Secrétariat pour analyser de manière plus approfondie ces questions et de reporter sa décision quant aux modifications à apporter aux directives jusqu</w:t>
      </w:r>
      <w:r w:rsidR="00CE5FEC">
        <w:rPr>
          <w:color w:val="000000"/>
        </w:rPr>
        <w:t>’</w:t>
      </w:r>
      <w:r w:rsidRPr="00B17540">
        <w:rPr>
          <w:color w:val="000000"/>
        </w:rPr>
        <w:t>à ce que cette analyse ait été menée à bi</w:t>
      </w:r>
      <w:r w:rsidR="001D67E8" w:rsidRPr="00B17540">
        <w:rPr>
          <w:color w:val="000000"/>
        </w:rPr>
        <w:t>en</w:t>
      </w:r>
      <w:r w:rsidR="001D67E8">
        <w:rPr>
          <w:color w:val="000000"/>
        </w:rPr>
        <w:t xml:space="preserve">.  </w:t>
      </w:r>
      <w:r w:rsidR="001D67E8" w:rsidRPr="00B17540">
        <w:rPr>
          <w:color w:val="000000"/>
        </w:rPr>
        <w:t>Le</w:t>
      </w:r>
      <w:r w:rsidRPr="00B17540">
        <w:rPr>
          <w:color w:val="000000"/>
        </w:rPr>
        <w:t xml:space="preserve"> Bureau international </w:t>
      </w:r>
      <w:r>
        <w:rPr>
          <w:color w:val="000000"/>
        </w:rPr>
        <w:t xml:space="preserve">avait </w:t>
      </w:r>
      <w:r w:rsidRPr="00B17540">
        <w:rPr>
          <w:color w:val="000000"/>
        </w:rPr>
        <w:t>souscrit à cette recommandati</w:t>
      </w:r>
      <w:r w:rsidR="001D67E8" w:rsidRPr="00B17540">
        <w:rPr>
          <w:color w:val="000000"/>
        </w:rPr>
        <w:t>on</w:t>
      </w:r>
      <w:r w:rsidR="001D67E8">
        <w:rPr>
          <w:color w:val="000000"/>
        </w:rPr>
        <w:t xml:space="preserve">.  </w:t>
      </w:r>
      <w:r w:rsidR="001D67E8" w:rsidRPr="00B17540">
        <w:rPr>
          <w:color w:val="000000"/>
        </w:rPr>
        <w:t>Le</w:t>
      </w:r>
      <w:r w:rsidRPr="00B17540">
        <w:rPr>
          <w:color w:val="000000"/>
        </w:rPr>
        <w:t xml:space="preserve"> document </w:t>
      </w:r>
      <w:r w:rsidRPr="00B17540">
        <w:t>PCT</w:t>
      </w:r>
      <w:r w:rsidRPr="00B17540">
        <w:rPr>
          <w:color w:val="000000"/>
        </w:rPr>
        <w:t>/A/47/5</w:t>
      </w:r>
      <w:r>
        <w:rPr>
          <w:color w:val="000000"/>
        </w:rPr>
        <w:t> </w:t>
      </w:r>
      <w:proofErr w:type="spellStart"/>
      <w:r w:rsidRPr="00B17540">
        <w:rPr>
          <w:color w:val="000000"/>
        </w:rPr>
        <w:t>Rev</w:t>
      </w:r>
      <w:proofErr w:type="spellEnd"/>
      <w:r w:rsidRPr="00B17540">
        <w:rPr>
          <w:color w:val="000000"/>
        </w:rPr>
        <w:t xml:space="preserve">. a donc été soumis en remplacement du document </w:t>
      </w:r>
      <w:r w:rsidRPr="00B17540">
        <w:t>PCT</w:t>
      </w:r>
      <w:r w:rsidRPr="00B17540">
        <w:rPr>
          <w:color w:val="000000"/>
        </w:rPr>
        <w:t>/A/47/5 afin de proposer que l</w:t>
      </w:r>
      <w:r w:rsidR="00CE5FEC">
        <w:rPr>
          <w:color w:val="000000"/>
        </w:rPr>
        <w:t>’</w:t>
      </w:r>
      <w:r w:rsidRPr="00B17540">
        <w:rPr>
          <w:color w:val="000000"/>
        </w:rPr>
        <w:t>Assemblée de l</w:t>
      </w:r>
      <w:r w:rsidR="00CE5FEC">
        <w:rPr>
          <w:color w:val="000000"/>
        </w:rPr>
        <w:t>’</w:t>
      </w:r>
      <w:r w:rsidRPr="00B17540">
        <w:rPr>
          <w:color w:val="000000"/>
        </w:rPr>
        <w:t>Union du</w:t>
      </w:r>
      <w:r>
        <w:rPr>
          <w:color w:val="000000"/>
        </w:rPr>
        <w:t> </w:t>
      </w:r>
      <w:r w:rsidRPr="00B17540">
        <w:t>PCT</w:t>
      </w:r>
      <w:r w:rsidRPr="00B17540">
        <w:rPr>
          <w:color w:val="000000"/>
        </w:rPr>
        <w:t xml:space="preserve"> reporte sa décision tendant à adopter les propositions de modification des directiv</w:t>
      </w:r>
      <w:r w:rsidR="001D67E8" w:rsidRPr="00B17540">
        <w:rPr>
          <w:color w:val="000000"/>
        </w:rPr>
        <w:t>es</w:t>
      </w:r>
      <w:r w:rsidR="001D67E8">
        <w:rPr>
          <w:color w:val="000000"/>
        </w:rPr>
        <w:t xml:space="preserve">.  </w:t>
      </w:r>
      <w:r w:rsidR="001D67E8" w:rsidRPr="00B17540">
        <w:rPr>
          <w:color w:val="000000"/>
        </w:rPr>
        <w:t>C</w:t>
      </w:r>
      <w:r w:rsidR="001D67E8">
        <w:rPr>
          <w:color w:val="000000"/>
        </w:rPr>
        <w:t>’</w:t>
      </w:r>
      <w:r w:rsidR="001D67E8" w:rsidRPr="00B17540">
        <w:rPr>
          <w:color w:val="000000"/>
        </w:rPr>
        <w:t>e</w:t>
      </w:r>
      <w:r w:rsidRPr="00B17540">
        <w:rPr>
          <w:color w:val="000000"/>
        </w:rPr>
        <w:t xml:space="preserve">st ainsi que le document </w:t>
      </w:r>
      <w:r w:rsidRPr="00B17540">
        <w:t>PCT</w:t>
      </w:r>
      <w:r w:rsidRPr="00B17540">
        <w:rPr>
          <w:color w:val="000000"/>
        </w:rPr>
        <w:t>/A/47/5</w:t>
      </w:r>
      <w:r>
        <w:rPr>
          <w:color w:val="000000"/>
        </w:rPr>
        <w:t> </w:t>
      </w:r>
      <w:proofErr w:type="spellStart"/>
      <w:r w:rsidRPr="00B17540">
        <w:rPr>
          <w:color w:val="000000"/>
        </w:rPr>
        <w:t>Rev</w:t>
      </w:r>
      <w:proofErr w:type="spellEnd"/>
      <w:r w:rsidRPr="00B17540">
        <w:rPr>
          <w:color w:val="000000"/>
        </w:rPr>
        <w:t>. invitait le Secrétariat à analyser de manière plus approfondie les questions relatives à la mise en œuvre d</w:t>
      </w:r>
      <w:r w:rsidR="00CE5FEC">
        <w:rPr>
          <w:color w:val="000000"/>
        </w:rPr>
        <w:t>’</w:t>
      </w:r>
      <w:r w:rsidRPr="00B17540">
        <w:rPr>
          <w:color w:val="000000"/>
        </w:rPr>
        <w:t>une stratégie de couverture des risques de change pour les recettes du</w:t>
      </w:r>
      <w:r>
        <w:rPr>
          <w:color w:val="000000"/>
        </w:rPr>
        <w:t> </w:t>
      </w:r>
      <w:r w:rsidRPr="00B17540">
        <w:rPr>
          <w:color w:val="000000"/>
        </w:rPr>
        <w:t>PCT exposées dans le document WO/PBC/24/INF.3 et à présenter un rapport sur l</w:t>
      </w:r>
      <w:r w:rsidR="00CE5FEC">
        <w:rPr>
          <w:color w:val="000000"/>
        </w:rPr>
        <w:t>’</w:t>
      </w:r>
      <w:r w:rsidRPr="00B17540">
        <w:rPr>
          <w:color w:val="000000"/>
        </w:rPr>
        <w:t>état d</w:t>
      </w:r>
      <w:r w:rsidR="00CE5FEC">
        <w:rPr>
          <w:color w:val="000000"/>
        </w:rPr>
        <w:t>’</w:t>
      </w:r>
      <w:r w:rsidRPr="00B17540">
        <w:rPr>
          <w:color w:val="000000"/>
        </w:rPr>
        <w:t>avancement de cette analyse au groupe de travail à sa session de</w:t>
      </w:r>
      <w:r>
        <w:rPr>
          <w:color w:val="000000"/>
        </w:rPr>
        <w:t> </w:t>
      </w:r>
      <w:r w:rsidRPr="00B17540">
        <w:rPr>
          <w:color w:val="000000"/>
        </w:rPr>
        <w:t>2016.</w:t>
      </w:r>
    </w:p>
    <w:p w:rsidR="004A2672" w:rsidRPr="00B17540" w:rsidRDefault="004A2672" w:rsidP="004A2672">
      <w:pPr>
        <w:pStyle w:val="ONUMFS"/>
        <w:ind w:left="567"/>
      </w:pPr>
      <w:r w:rsidRPr="00B17540">
        <w:t>L</w:t>
      </w:r>
      <w:r w:rsidR="00CE5FEC">
        <w:t>’</w:t>
      </w:r>
      <w:r w:rsidRPr="00B17540">
        <w:t>assemblée</w:t>
      </w:r>
    </w:p>
    <w:p w:rsidR="004A2672" w:rsidRDefault="004A2672" w:rsidP="004A2672">
      <w:pPr>
        <w:pStyle w:val="ONUMFS"/>
        <w:numPr>
          <w:ilvl w:val="2"/>
          <w:numId w:val="6"/>
        </w:numPr>
      </w:pPr>
      <w:r w:rsidRPr="00B17540">
        <w:rPr>
          <w:color w:val="000000"/>
        </w:rPr>
        <w:t xml:space="preserve">a pris </w:t>
      </w:r>
      <w:r w:rsidRPr="00B17540">
        <w:t>note du contenu du document PCT/A/47/5</w:t>
      </w:r>
      <w:r>
        <w:rPr>
          <w:color w:val="000000"/>
        </w:rPr>
        <w:t> </w:t>
      </w:r>
      <w:proofErr w:type="spellStart"/>
      <w:r w:rsidRPr="00B17540">
        <w:rPr>
          <w:color w:val="000000"/>
        </w:rPr>
        <w:t>Rev</w:t>
      </w:r>
      <w:proofErr w:type="spellEnd"/>
      <w:r w:rsidRPr="00B17540">
        <w:rPr>
          <w:color w:val="000000"/>
        </w:rPr>
        <w:t>.</w:t>
      </w:r>
      <w:r w:rsidRPr="00B17540">
        <w:t>,</w:t>
      </w:r>
    </w:p>
    <w:p w:rsidR="004A2672" w:rsidRPr="00B17540" w:rsidRDefault="004A2672" w:rsidP="004A2672">
      <w:pPr>
        <w:pStyle w:val="ONUMFS"/>
        <w:numPr>
          <w:ilvl w:val="2"/>
          <w:numId w:val="6"/>
        </w:numPr>
      </w:pPr>
      <w:r w:rsidRPr="00B17540">
        <w:rPr>
          <w:color w:val="000000"/>
        </w:rPr>
        <w:t>a invité</w:t>
      </w:r>
      <w:r w:rsidRPr="00B17540">
        <w:t xml:space="preserve"> le Secrétariat à analyser de manière plus approfondie les questions relatives à la mise en œuvre d</w:t>
      </w:r>
      <w:r w:rsidR="00CE5FEC">
        <w:t>’</w:t>
      </w:r>
      <w:r w:rsidRPr="00B17540">
        <w:t>une stratégie de couverture des risques de change pour les recettes du</w:t>
      </w:r>
      <w:r>
        <w:t> </w:t>
      </w:r>
      <w:r w:rsidRPr="00B17540">
        <w:t>PCT exposées dans le document WO/PBC/24/INF.3,</w:t>
      </w:r>
    </w:p>
    <w:p w:rsidR="004A2672" w:rsidRPr="00B17540" w:rsidRDefault="004A2672" w:rsidP="004A2672">
      <w:pPr>
        <w:pStyle w:val="ONUMFS"/>
        <w:numPr>
          <w:ilvl w:val="2"/>
          <w:numId w:val="6"/>
        </w:numPr>
      </w:pPr>
      <w:r w:rsidRPr="00B17540">
        <w:rPr>
          <w:color w:val="000000"/>
        </w:rPr>
        <w:t>a</w:t>
      </w:r>
      <w:r w:rsidRPr="00B17540">
        <w:t xml:space="preserve"> report</w:t>
      </w:r>
      <w:r w:rsidRPr="00B17540">
        <w:rPr>
          <w:color w:val="000000"/>
        </w:rPr>
        <w:t>é</w:t>
      </w:r>
      <w:r w:rsidRPr="00B17540">
        <w:t xml:space="preserve"> toute décision sur les propositions de modification des directives de l</w:t>
      </w:r>
      <w:r w:rsidR="00CE5FEC">
        <w:t>’</w:t>
      </w:r>
      <w:r w:rsidRPr="00B17540">
        <w:t>assemblée concernant l</w:t>
      </w:r>
      <w:r w:rsidR="00CE5FEC">
        <w:t>’</w:t>
      </w:r>
      <w:r w:rsidRPr="00B17540">
        <w:t xml:space="preserve">établissement des montants équivalents de certaines </w:t>
      </w:r>
      <w:r w:rsidRPr="00B17540">
        <w:lastRenderedPageBreak/>
        <w:t xml:space="preserve">taxes arrêtées par le </w:t>
      </w:r>
      <w:r w:rsidRPr="00B17540">
        <w:rPr>
          <w:color w:val="000000"/>
        </w:rPr>
        <w:t>G</w:t>
      </w:r>
      <w:r w:rsidRPr="00B17540">
        <w:t xml:space="preserve">roupe de travail </w:t>
      </w:r>
      <w:r w:rsidRPr="00B17540">
        <w:rPr>
          <w:color w:val="000000"/>
        </w:rPr>
        <w:t>du</w:t>
      </w:r>
      <w:r>
        <w:t> </w:t>
      </w:r>
      <w:r w:rsidRPr="00B17540">
        <w:rPr>
          <w:color w:val="000000"/>
        </w:rPr>
        <w:t xml:space="preserve">PCT </w:t>
      </w:r>
      <w:r w:rsidRPr="00B17540">
        <w:t>jusqu</w:t>
      </w:r>
      <w:r w:rsidR="00CE5FEC">
        <w:t>’</w:t>
      </w:r>
      <w:r w:rsidRPr="00B17540">
        <w:t>à ce qu</w:t>
      </w:r>
      <w:r w:rsidR="00CE5FEC">
        <w:t>’</w:t>
      </w:r>
      <w:r w:rsidRPr="00B17540">
        <w:t>il ait été procédé à cette analyse, et</w:t>
      </w:r>
    </w:p>
    <w:p w:rsidR="004A2672" w:rsidRPr="00B17540" w:rsidRDefault="004A2672" w:rsidP="004A2672">
      <w:pPr>
        <w:pStyle w:val="ONUMFS"/>
        <w:numPr>
          <w:ilvl w:val="2"/>
          <w:numId w:val="6"/>
        </w:numPr>
      </w:pPr>
      <w:r w:rsidRPr="00B17540">
        <w:rPr>
          <w:color w:val="000000"/>
        </w:rPr>
        <w:t>a</w:t>
      </w:r>
      <w:r w:rsidRPr="00B17540">
        <w:t xml:space="preserve"> invit</w:t>
      </w:r>
      <w:r w:rsidRPr="00B17540">
        <w:rPr>
          <w:color w:val="000000"/>
        </w:rPr>
        <w:t xml:space="preserve">é </w:t>
      </w:r>
      <w:r w:rsidRPr="00B17540">
        <w:t>le Secrétariat à soumettre un rapport sur l</w:t>
      </w:r>
      <w:r w:rsidR="00CE5FEC">
        <w:t>’</w:t>
      </w:r>
      <w:r w:rsidRPr="00B17540">
        <w:t>état d</w:t>
      </w:r>
      <w:r w:rsidR="00CE5FEC">
        <w:t>’</w:t>
      </w:r>
      <w:r w:rsidRPr="00B17540">
        <w:t>avancement de cette analyse au Groupe de travail du</w:t>
      </w:r>
      <w:r>
        <w:t> </w:t>
      </w:r>
      <w:r w:rsidRPr="00B17540">
        <w:t>PCT à sa session de</w:t>
      </w:r>
      <w:r>
        <w:t> </w:t>
      </w:r>
      <w:r w:rsidRPr="00B17540">
        <w:t>2016.</w:t>
      </w:r>
    </w:p>
    <w:p w:rsidR="0052560B" w:rsidRDefault="0052560B" w:rsidP="00510E51">
      <w:pPr>
        <w:pStyle w:val="Heading3"/>
      </w:pPr>
      <w:r w:rsidRPr="00854CF9">
        <w:t>Nomination de l</w:t>
      </w:r>
      <w:r w:rsidR="00CE5FEC">
        <w:t>’</w:t>
      </w:r>
      <w:r>
        <w:t>I</w:t>
      </w:r>
      <w:r w:rsidRPr="00854CF9">
        <w:t xml:space="preserve">nstitut des brevets de </w:t>
      </w:r>
      <w:proofErr w:type="spellStart"/>
      <w:r w:rsidRPr="00854CF9">
        <w:t>Visegrad</w:t>
      </w:r>
      <w:proofErr w:type="spellEnd"/>
      <w:r w:rsidRPr="00854CF9">
        <w:t xml:space="preserve"> en qualité d</w:t>
      </w:r>
      <w:r w:rsidR="00CE5FEC">
        <w:t>’</w:t>
      </w:r>
      <w:r w:rsidRPr="00854CF9">
        <w:t>administration chargée de la recherche internationale et de l</w:t>
      </w:r>
      <w:r w:rsidR="00CE5FEC">
        <w:t>’</w:t>
      </w:r>
      <w:r w:rsidRPr="00854CF9">
        <w:t xml:space="preserve">examen préliminaire international selon </w:t>
      </w:r>
      <w:r>
        <w:t>le PCT</w:t>
      </w:r>
    </w:p>
    <w:p w:rsidR="0052560B" w:rsidRPr="0052560B" w:rsidRDefault="0052560B" w:rsidP="0052560B"/>
    <w:p w:rsidR="0052560B" w:rsidRDefault="0052560B" w:rsidP="0052560B">
      <w:pPr>
        <w:pStyle w:val="ONUMFS"/>
      </w:pPr>
      <w:r w:rsidRPr="00854CF9">
        <w:t xml:space="preserve">Les délibérations ont eu lieu sur la base </w:t>
      </w:r>
      <w:r>
        <w:t xml:space="preserve">des </w:t>
      </w:r>
      <w:r w:rsidRPr="00854CF9">
        <w:t xml:space="preserve">documents PCT/A/47/6 </w:t>
      </w:r>
      <w:r>
        <w:t>et</w:t>
      </w:r>
      <w:r w:rsidRPr="00854CF9">
        <w:t xml:space="preserve"> 6</w:t>
      </w:r>
      <w:r>
        <w:t> </w:t>
      </w:r>
      <w:proofErr w:type="spellStart"/>
      <w:r w:rsidRPr="00854CF9">
        <w:t>Add</w:t>
      </w:r>
      <w:proofErr w:type="spellEnd"/>
      <w:r w:rsidRPr="00854CF9">
        <w:t>.</w:t>
      </w:r>
    </w:p>
    <w:p w:rsidR="0052560B" w:rsidRPr="00854CF9" w:rsidRDefault="0052560B" w:rsidP="0052560B">
      <w:pPr>
        <w:pStyle w:val="ONUMFS"/>
      </w:pPr>
      <w:r w:rsidRPr="00854CF9">
        <w:t>La présidente s</w:t>
      </w:r>
      <w:r w:rsidR="00CE5FEC">
        <w:t>’</w:t>
      </w:r>
      <w:r w:rsidRPr="00854CF9">
        <w:t xml:space="preserve">est référée à la </w:t>
      </w:r>
      <w:r>
        <w:t>vingt</w:t>
      </w:r>
      <w:r w:rsidR="001D67E8">
        <w:rPr>
          <w:color w:val="000000"/>
          <w:szCs w:val="22"/>
        </w:rPr>
        <w:noBreakHyphen/>
      </w:r>
      <w:r>
        <w:rPr>
          <w:color w:val="000000"/>
          <w:szCs w:val="22"/>
        </w:rPr>
        <w:t>huitième </w:t>
      </w:r>
      <w:r w:rsidRPr="00557277">
        <w:rPr>
          <w:color w:val="000000"/>
        </w:rPr>
        <w:t>session</w:t>
      </w:r>
      <w:r w:rsidRPr="00854CF9">
        <w:t xml:space="preserve"> du Comité de coopération technique du</w:t>
      </w:r>
      <w:r>
        <w:t> </w:t>
      </w:r>
      <w:r w:rsidRPr="00854CF9">
        <w:t>PCT tenue en mai</w:t>
      </w:r>
      <w:r>
        <w:t> </w:t>
      </w:r>
      <w:r w:rsidRPr="00854CF9">
        <w:t>2015, au cours de laquelle le comité était convenu à l</w:t>
      </w:r>
      <w:r w:rsidR="00CE5FEC">
        <w:t>’</w:t>
      </w:r>
      <w:r w:rsidRPr="00854CF9">
        <w:t>unanimité de recommander à l</w:t>
      </w:r>
      <w:r w:rsidR="00CE5FEC">
        <w:t>’</w:t>
      </w:r>
      <w:r w:rsidRPr="00854CF9">
        <w:t>Assemblée de l</w:t>
      </w:r>
      <w:r w:rsidR="00CE5FEC">
        <w:t>’</w:t>
      </w:r>
      <w:r w:rsidRPr="00854CF9">
        <w:t>Union du</w:t>
      </w:r>
      <w:r>
        <w:t> </w:t>
      </w:r>
      <w:r w:rsidRPr="00854CF9">
        <w:t xml:space="preserve">PCT </w:t>
      </w:r>
      <w:r>
        <w:t>de nommer</w:t>
      </w:r>
      <w:r w:rsidRPr="00854CF9">
        <w:t xml:space="preserve"> l</w:t>
      </w:r>
      <w:r w:rsidR="00CE5FEC">
        <w:t>’</w:t>
      </w:r>
      <w:r w:rsidRPr="00854CF9">
        <w:t xml:space="preserve">Institut des brevets de </w:t>
      </w:r>
      <w:proofErr w:type="spellStart"/>
      <w:r w:rsidRPr="00854CF9">
        <w:t>Visegrad</w:t>
      </w:r>
      <w:proofErr w:type="spellEnd"/>
      <w:r w:rsidRPr="00854CF9">
        <w:t xml:space="preserve"> </w:t>
      </w:r>
      <w:r>
        <w:t>(V</w:t>
      </w:r>
      <w:r w:rsidRPr="00854CF9">
        <w:t>P</w:t>
      </w:r>
      <w:r>
        <w:t>I</w:t>
      </w:r>
      <w:r w:rsidRPr="00854CF9">
        <w:t>) en qualité d</w:t>
      </w:r>
      <w:r w:rsidR="00CE5FEC">
        <w:t>’</w:t>
      </w:r>
      <w:r w:rsidRPr="00854CF9">
        <w:t>administration chargée de la recherche internationale et de l</w:t>
      </w:r>
      <w:r w:rsidR="00CE5FEC">
        <w:t>’</w:t>
      </w:r>
      <w:r w:rsidRPr="00854CF9">
        <w:t>examen préliminaire international selon le</w:t>
      </w:r>
      <w:r>
        <w:t> </w:t>
      </w:r>
      <w:r w:rsidRPr="00854CF9">
        <w:t>PCT, comme indiqué au paragraphe</w:t>
      </w:r>
      <w:r>
        <w:t> </w:t>
      </w:r>
      <w:r w:rsidRPr="00854CF9">
        <w:t>5 du document PCT/A/47/6.</w:t>
      </w:r>
    </w:p>
    <w:p w:rsidR="0052560B" w:rsidRPr="00E77796" w:rsidRDefault="0052560B" w:rsidP="0052560B">
      <w:pPr>
        <w:pStyle w:val="ONUMFS"/>
      </w:pPr>
      <w:r w:rsidRPr="00854CF9">
        <w:t xml:space="preserve">La délégation de la Hongrie, parlant </w:t>
      </w:r>
      <w:r>
        <w:t>au nom de son pays ainsi qu</w:t>
      </w:r>
      <w:r w:rsidR="00CE5FEC">
        <w:t>’</w:t>
      </w:r>
      <w:r>
        <w:t xml:space="preserve">au nom </w:t>
      </w:r>
      <w:r w:rsidRPr="00854CF9">
        <w:t xml:space="preserve">de la Pologne, de la République </w:t>
      </w:r>
      <w:r>
        <w:t>tchèque et de la Slovaquie (g</w:t>
      </w:r>
      <w:r w:rsidRPr="00854CF9">
        <w:t xml:space="preserve">roupe de </w:t>
      </w:r>
      <w:proofErr w:type="spellStart"/>
      <w:r w:rsidRPr="00854CF9">
        <w:t>Visegrad</w:t>
      </w:r>
      <w:proofErr w:type="spellEnd"/>
      <w:r w:rsidRPr="00854CF9">
        <w:t xml:space="preserve"> ou “V4”), a présenté la </w:t>
      </w:r>
      <w:r>
        <w:t>candidature</w:t>
      </w:r>
      <w:r w:rsidRPr="00854CF9">
        <w:t xml:space="preserve"> du</w:t>
      </w:r>
      <w:r>
        <w:t> </w:t>
      </w:r>
      <w:r w:rsidRPr="00854CF9">
        <w:t xml:space="preserve">VPI </w:t>
      </w:r>
      <w:r>
        <w:t xml:space="preserve">en vue de sa nomination en </w:t>
      </w:r>
      <w:r w:rsidRPr="00854CF9">
        <w:t>qualité</w:t>
      </w:r>
      <w:r>
        <w:t xml:space="preserve"> d</w:t>
      </w:r>
      <w:r w:rsidR="00CE5FEC">
        <w:t>’</w:t>
      </w:r>
      <w:r>
        <w:t>administration</w:t>
      </w:r>
      <w:r w:rsidRPr="00854CF9">
        <w:t xml:space="preserve"> chargée de la recherche internationale et de </w:t>
      </w:r>
      <w:r>
        <w:t>l</w:t>
      </w:r>
      <w:r w:rsidR="00CE5FEC">
        <w:t>’</w:t>
      </w:r>
      <w:r>
        <w:t xml:space="preserve">examen </w:t>
      </w:r>
      <w:r w:rsidRPr="00854CF9">
        <w:t xml:space="preserve">préliminaire international selon le PCT.  </w:t>
      </w:r>
      <w:r>
        <w:t>Elle</w:t>
      </w:r>
      <w:r w:rsidRPr="00854CF9">
        <w:t xml:space="preserve"> a souscrit à l</w:t>
      </w:r>
      <w:r w:rsidR="00CE5FEC">
        <w:t>’</w:t>
      </w:r>
      <w:r w:rsidRPr="00854CF9">
        <w:t>accord de principe sur les procédures de nomination des administrations internationales adopté par l</w:t>
      </w:r>
      <w:r w:rsidR="00CE5FEC">
        <w:t>’</w:t>
      </w:r>
      <w:r w:rsidRPr="00854CF9">
        <w:t>assemblée en</w:t>
      </w:r>
      <w:r>
        <w:t> </w:t>
      </w:r>
      <w:r w:rsidRPr="00854CF9">
        <w:t>2014 (voir le paragraphe 25 du document PCT/A/46/6) et a déclaré que le</w:t>
      </w:r>
      <w:r>
        <w:t> </w:t>
      </w:r>
      <w:r w:rsidRPr="00854CF9">
        <w:t xml:space="preserve">VPI avait présenté sa demande </w:t>
      </w:r>
      <w:r>
        <w:t>en</w:t>
      </w:r>
      <w:r w:rsidRPr="00854CF9">
        <w:t xml:space="preserve"> respect</w:t>
      </w:r>
      <w:r>
        <w:t>ant pleinement</w:t>
      </w:r>
      <w:r w:rsidRPr="00854CF9">
        <w:t xml:space="preserve"> ces procédur</w:t>
      </w:r>
      <w:r w:rsidR="001D67E8" w:rsidRPr="00854CF9">
        <w:t>es</w:t>
      </w:r>
      <w:r w:rsidR="001D67E8">
        <w:t xml:space="preserve">.  </w:t>
      </w:r>
      <w:r w:rsidR="001D67E8" w:rsidRPr="00854CF9">
        <w:t>Le</w:t>
      </w:r>
      <w:r w:rsidRPr="00854CF9">
        <w:t xml:space="preserve"> Comité de coopération technique du</w:t>
      </w:r>
      <w:r>
        <w:t> </w:t>
      </w:r>
      <w:r w:rsidRPr="00854CF9">
        <w:t>PCT avait formulé une recommandation unanime en faveur de la nomination du</w:t>
      </w:r>
      <w:r>
        <w:t> </w:t>
      </w:r>
      <w:r w:rsidRPr="00854CF9">
        <w:t>VPI en qualité d</w:t>
      </w:r>
      <w:r w:rsidR="00CE5FEC">
        <w:t>’</w:t>
      </w:r>
      <w:r w:rsidRPr="00854CF9">
        <w:t>administration chargée de la recherche internationale et de l</w:t>
      </w:r>
      <w:r w:rsidR="00CE5FEC">
        <w:t>’</w:t>
      </w:r>
      <w:r w:rsidRPr="00854CF9">
        <w:t>examen préliminaire internation</w:t>
      </w:r>
      <w:r w:rsidR="001D67E8" w:rsidRPr="00854CF9">
        <w:t>al</w:t>
      </w:r>
      <w:r w:rsidR="001D67E8">
        <w:t xml:space="preserve">.  </w:t>
      </w:r>
      <w:r w:rsidR="001D67E8" w:rsidRPr="00854CF9">
        <w:t>Le</w:t>
      </w:r>
      <w:r>
        <w:t> </w:t>
      </w:r>
      <w:r w:rsidRPr="00854CF9">
        <w:t xml:space="preserve">VPI était une organisation intergouvernementale de coopération </w:t>
      </w:r>
      <w:r>
        <w:t>dans le domaine des</w:t>
      </w:r>
      <w:r w:rsidRPr="00854CF9">
        <w:t xml:space="preserve"> brevets </w:t>
      </w:r>
      <w:r>
        <w:t>instituée</w:t>
      </w:r>
      <w:r w:rsidRPr="00854CF9">
        <w:t xml:space="preserve"> par les quatre</w:t>
      </w:r>
      <w:r>
        <w:t> </w:t>
      </w:r>
      <w:r w:rsidRPr="00854CF9">
        <w:t xml:space="preserve">pays </w:t>
      </w:r>
      <w:r>
        <w:t xml:space="preserve">du groupe </w:t>
      </w:r>
      <w:r w:rsidRPr="00854CF9">
        <w:t xml:space="preserve">de </w:t>
      </w:r>
      <w:proofErr w:type="spellStart"/>
      <w:r w:rsidRPr="00854CF9">
        <w:t>Visegr</w:t>
      </w:r>
      <w:r w:rsidR="001D67E8" w:rsidRPr="00854CF9">
        <w:t>ad</w:t>
      </w:r>
      <w:proofErr w:type="spellEnd"/>
      <w:r w:rsidR="001D67E8">
        <w:t>.  Il</w:t>
      </w:r>
      <w:r>
        <w:t xml:space="preserve"> aurait pour</w:t>
      </w:r>
      <w:r w:rsidRPr="00854CF9">
        <w:t xml:space="preserve"> tâche principale d</w:t>
      </w:r>
      <w:r w:rsidR="00CE5FEC">
        <w:t>’</w:t>
      </w:r>
      <w:r w:rsidRPr="00854CF9">
        <w:t>agir en qualité d</w:t>
      </w:r>
      <w:r w:rsidR="00CE5FEC">
        <w:t>’</w:t>
      </w:r>
      <w:r>
        <w:t xml:space="preserve">administration </w:t>
      </w:r>
      <w:r w:rsidRPr="00854CF9">
        <w:t>internationale pour l</w:t>
      </w:r>
      <w:r w:rsidR="00CE5FEC">
        <w:t>’</w:t>
      </w:r>
      <w:r w:rsidRPr="00854CF9">
        <w:t>Europe centrale et orientale dans le but d</w:t>
      </w:r>
      <w:r w:rsidR="00CE5FEC">
        <w:t>’</w:t>
      </w:r>
      <w:r w:rsidRPr="00854CF9">
        <w:t>atteindre toute une série d</w:t>
      </w:r>
      <w:r w:rsidR="00CE5FEC">
        <w:t>’</w:t>
      </w:r>
      <w:r w:rsidRPr="00854CF9">
        <w:t>objectifs importants à différents nivea</w:t>
      </w:r>
      <w:r w:rsidR="001D67E8" w:rsidRPr="00854CF9">
        <w:t>ux</w:t>
      </w:r>
      <w:r w:rsidR="001D67E8">
        <w:t xml:space="preserve">.  </w:t>
      </w:r>
      <w:r w:rsidR="001D67E8" w:rsidRPr="00854CF9">
        <w:t>Le</w:t>
      </w:r>
      <w:r>
        <w:t> </w:t>
      </w:r>
      <w:r w:rsidRPr="00854CF9">
        <w:t xml:space="preserve">VPI comblerait une lacune territoriale </w:t>
      </w:r>
      <w:r>
        <w:t xml:space="preserve">dans le système </w:t>
      </w:r>
      <w:r w:rsidRPr="00854CF9">
        <w:t>du</w:t>
      </w:r>
      <w:r>
        <w:t> </w:t>
      </w:r>
      <w:r w:rsidRPr="00854CF9">
        <w:t xml:space="preserve">PCT en agissant en qualité </w:t>
      </w:r>
      <w:r>
        <w:t>d</w:t>
      </w:r>
      <w:r w:rsidR="00CE5FEC">
        <w:t>’</w:t>
      </w:r>
      <w:r>
        <w:t>administration</w:t>
      </w:r>
      <w:r w:rsidRPr="00854CF9">
        <w:t xml:space="preserve"> </w:t>
      </w:r>
      <w:r>
        <w:t>internationale pour l</w:t>
      </w:r>
      <w:r w:rsidR="00CE5FEC">
        <w:t>’</w:t>
      </w:r>
      <w:r w:rsidRPr="00854CF9">
        <w:t xml:space="preserve">Europe centrale et </w:t>
      </w:r>
      <w:r>
        <w:t>orientale, le groupe des pays d</w:t>
      </w:r>
      <w:r w:rsidR="00CE5FEC">
        <w:t>’</w:t>
      </w:r>
      <w:r w:rsidRPr="00854CF9">
        <w:t>Europe centrale et des États baltes éta</w:t>
      </w:r>
      <w:r>
        <w:t>nt le seul groupe régional de l</w:t>
      </w:r>
      <w:r w:rsidR="00CE5FEC">
        <w:t>’</w:t>
      </w:r>
      <w:r>
        <w:t>OMPI</w:t>
      </w:r>
      <w:r w:rsidRPr="00854CF9">
        <w:t xml:space="preserve"> </w:t>
      </w:r>
      <w:r>
        <w:t xml:space="preserve">à </w:t>
      </w:r>
      <w:r w:rsidRPr="00854CF9">
        <w:t xml:space="preserve">ne </w:t>
      </w:r>
      <w:r>
        <w:t>pas avoir d</w:t>
      </w:r>
      <w:r w:rsidR="00CE5FEC">
        <w:t>’</w:t>
      </w:r>
      <w:r>
        <w:t xml:space="preserve">administration </w:t>
      </w:r>
      <w:r w:rsidRPr="00854CF9">
        <w:t>internationale opérationnelle selon le</w:t>
      </w:r>
      <w:r>
        <w:t> </w:t>
      </w:r>
      <w:r w:rsidRPr="00854CF9">
        <w:t xml:space="preserve">PCT.  En outre, </w:t>
      </w:r>
      <w:r>
        <w:t>il pourrait également combler l</w:t>
      </w:r>
      <w:r w:rsidRPr="00854CF9">
        <w:t>e manque dans le réseau des administrations chargées de la r</w:t>
      </w:r>
      <w:r>
        <w:t>echerche internationale et de l</w:t>
      </w:r>
      <w:r w:rsidR="00CE5FEC">
        <w:t>’</w:t>
      </w:r>
      <w:r w:rsidRPr="00854CF9">
        <w:t>examen préliminaire international du</w:t>
      </w:r>
      <w:r>
        <w:t> </w:t>
      </w:r>
      <w:r w:rsidRPr="00854CF9">
        <w:t xml:space="preserve">PCT en Europe, en ajoutant de nouvelles ressources compétentes à celles déjà disponibles, </w:t>
      </w:r>
      <w:r>
        <w:t>notamment</w:t>
      </w:r>
      <w:r w:rsidRPr="00854CF9">
        <w:t xml:space="preserve"> pour une région </w:t>
      </w:r>
      <w:r>
        <w:t>qui ne disposai</w:t>
      </w:r>
      <w:r w:rsidRPr="00854CF9">
        <w:t>t pas de sa propre administration internationa</w:t>
      </w:r>
      <w:r w:rsidR="001D67E8" w:rsidRPr="00854CF9">
        <w:t>le</w:t>
      </w:r>
      <w:r w:rsidR="001D67E8">
        <w:t xml:space="preserve">.  </w:t>
      </w:r>
      <w:r w:rsidR="001D67E8" w:rsidRPr="00854CF9">
        <w:t>En</w:t>
      </w:r>
      <w:r w:rsidRPr="00854CF9">
        <w:t xml:space="preserve"> complétant la couverture mondiale des administrations internationales, la nomination du</w:t>
      </w:r>
      <w:r>
        <w:t> </w:t>
      </w:r>
      <w:r w:rsidRPr="00854CF9">
        <w:t>VPI contribuerait à une meilleure compréhension et à une utilisation élargie du système du</w:t>
      </w:r>
      <w:r>
        <w:t> </w:t>
      </w:r>
      <w:r w:rsidRPr="00854CF9">
        <w:t>PCT</w:t>
      </w:r>
      <w:r>
        <w:t xml:space="preserve"> dans la région de l</w:t>
      </w:r>
      <w:r w:rsidR="00CE5FEC">
        <w:t>’</w:t>
      </w:r>
      <w:r w:rsidRPr="00854CF9">
        <w:t xml:space="preserve">Europe centrale et orientale, </w:t>
      </w:r>
      <w:r>
        <w:t>et</w:t>
      </w:r>
      <w:r w:rsidRPr="00854CF9">
        <w:t xml:space="preserve"> permettrait </w:t>
      </w:r>
      <w:r>
        <w:t>également</w:t>
      </w:r>
      <w:r w:rsidRPr="00854CF9">
        <w:t xml:space="preserve"> </w:t>
      </w:r>
      <w:r>
        <w:t>d</w:t>
      </w:r>
      <w:r w:rsidR="00CE5FEC">
        <w:t>’</w:t>
      </w:r>
      <w:r>
        <w:t>améliorer</w:t>
      </w:r>
      <w:r w:rsidRPr="00854CF9">
        <w:t xml:space="preserve"> la qualité des demandes internationales provenant de cette régi</w:t>
      </w:r>
      <w:r w:rsidR="001D67E8" w:rsidRPr="00854CF9">
        <w:t>on</w:t>
      </w:r>
      <w:r w:rsidR="001D67E8">
        <w:t>.  S’a</w:t>
      </w:r>
      <w:r>
        <w:t>ppuyant</w:t>
      </w:r>
      <w:r w:rsidRPr="00854CF9">
        <w:t xml:space="preserve"> sur les compétences et les traditions de longue date des offices nationaux </w:t>
      </w:r>
      <w:r>
        <w:t xml:space="preserve">participant aux activités de </w:t>
      </w:r>
      <w:r w:rsidRPr="00854CF9">
        <w:t xml:space="preserve">coopération </w:t>
      </w:r>
      <w:r>
        <w:t xml:space="preserve">du groupe </w:t>
      </w:r>
      <w:r w:rsidRPr="00854CF9">
        <w:t xml:space="preserve">de </w:t>
      </w:r>
      <w:proofErr w:type="spellStart"/>
      <w:r w:rsidRPr="00854CF9">
        <w:t>Visegrad</w:t>
      </w:r>
      <w:proofErr w:type="spellEnd"/>
      <w:r w:rsidRPr="00854CF9">
        <w:t>, ainsi que sur la bonne gestion de la qualité, le</w:t>
      </w:r>
      <w:r>
        <w:t> </w:t>
      </w:r>
      <w:r w:rsidRPr="00854CF9">
        <w:t xml:space="preserve">VPI </w:t>
      </w:r>
      <w:r>
        <w:t>s</w:t>
      </w:r>
      <w:r w:rsidR="00CE5FEC">
        <w:t>’</w:t>
      </w:r>
      <w:r>
        <w:t>efforcerait de</w:t>
      </w:r>
      <w:r w:rsidRPr="00854CF9">
        <w:t xml:space="preserve"> devenir un partenaire fiable, efficace et constructif </w:t>
      </w:r>
      <w:r>
        <w:t xml:space="preserve">dans le cadre </w:t>
      </w:r>
      <w:r w:rsidRPr="00854CF9">
        <w:t xml:space="preserve">des efforts </w:t>
      </w:r>
      <w:r>
        <w:t>déployés pour renforcer la qualité et l</w:t>
      </w:r>
      <w:r w:rsidR="00CE5FEC">
        <w:t>’</w:t>
      </w:r>
      <w:r w:rsidRPr="00854CF9">
        <w:t>efficacité du fonctionnement du système mondial des breve</w:t>
      </w:r>
      <w:r w:rsidR="001D67E8" w:rsidRPr="00854CF9">
        <w:t>ts</w:t>
      </w:r>
      <w:r w:rsidR="001D67E8">
        <w:t>.  Il</w:t>
      </w:r>
      <w:r w:rsidRPr="00854CF9">
        <w:t xml:space="preserve"> ent</w:t>
      </w:r>
      <w:r>
        <w:t>endait participer activement à d</w:t>
      </w:r>
      <w:r w:rsidR="00CE5FEC">
        <w:t>’</w:t>
      </w:r>
      <w:r w:rsidRPr="00854CF9">
        <w:t xml:space="preserve">autres initiatives et projets internationaux </w:t>
      </w:r>
      <w:r>
        <w:t>dans le domaine du partage du travail</w:t>
      </w:r>
      <w:r w:rsidRPr="00854CF9">
        <w:t xml:space="preserve">, </w:t>
      </w:r>
      <w:r>
        <w:t>de l</w:t>
      </w:r>
      <w:r w:rsidR="00CE5FEC">
        <w:t>’</w:t>
      </w:r>
      <w:r>
        <w:t>amélioration de</w:t>
      </w:r>
      <w:r w:rsidRPr="00854CF9">
        <w:t xml:space="preserve"> la qualité, </w:t>
      </w:r>
      <w:r>
        <w:t>du renforcement de l</w:t>
      </w:r>
      <w:r w:rsidR="00CE5FEC">
        <w:t>’</w:t>
      </w:r>
      <w:r w:rsidRPr="00854CF9">
        <w:t xml:space="preserve">harmonisation et </w:t>
      </w:r>
      <w:r>
        <w:t xml:space="preserve">de la mise au point </w:t>
      </w:r>
      <w:r w:rsidRPr="00854CF9">
        <w:t>de services mieux adaptés</w:t>
      </w:r>
      <w:r>
        <w:t>,</w:t>
      </w:r>
      <w:r w:rsidRPr="00854CF9">
        <w:t xml:space="preserve"> </w:t>
      </w:r>
      <w:r>
        <w:t>dans l</w:t>
      </w:r>
      <w:r w:rsidR="00CE5FEC">
        <w:t>’</w:t>
      </w:r>
      <w:r>
        <w:t xml:space="preserve">intérêt </w:t>
      </w:r>
      <w:r w:rsidRPr="00854CF9">
        <w:t>des utilisateu</w:t>
      </w:r>
      <w:r w:rsidR="001D67E8" w:rsidRPr="00854CF9">
        <w:t>rs</w:t>
      </w:r>
      <w:r w:rsidR="001D67E8">
        <w:t>.  Pa</w:t>
      </w:r>
      <w:r>
        <w:t>r ailleurs</w:t>
      </w:r>
      <w:r w:rsidRPr="00854CF9">
        <w:t xml:space="preserve">, </w:t>
      </w:r>
      <w:r>
        <w:t>le </w:t>
      </w:r>
      <w:r w:rsidRPr="00854CF9">
        <w:t xml:space="preserve">VPI </w:t>
      </w:r>
      <w:r>
        <w:t xml:space="preserve">trouverait sa place au sein </w:t>
      </w:r>
      <w:r w:rsidRPr="00854CF9">
        <w:t>du R</w:t>
      </w:r>
      <w:r>
        <w:t>éseau européen des brevets de l</w:t>
      </w:r>
      <w:r w:rsidR="00CE5FEC">
        <w:t>’</w:t>
      </w:r>
      <w:r w:rsidRPr="00854CF9">
        <w:t xml:space="preserve">Organisation européenne des brevets </w:t>
      </w:r>
      <w:r w:rsidR="00AD22CA">
        <w:t xml:space="preserve">(OEB) </w:t>
      </w:r>
      <w:r w:rsidRPr="00854CF9">
        <w:t xml:space="preserve">et garantirait également une interaction harmonieuse avec le tout </w:t>
      </w:r>
      <w:r>
        <w:t xml:space="preserve">nouveau système de </w:t>
      </w:r>
      <w:r w:rsidRPr="00854CF9">
        <w:t xml:space="preserve">brevet </w:t>
      </w:r>
      <w:r>
        <w:t>unique</w:t>
      </w:r>
      <w:r w:rsidRPr="00854CF9">
        <w:t xml:space="preserve"> de </w:t>
      </w:r>
      <w:proofErr w:type="spellStart"/>
      <w:r w:rsidRPr="00854CF9">
        <w:t>lʼUnion</w:t>
      </w:r>
      <w:proofErr w:type="spellEnd"/>
      <w:r w:rsidRPr="00854CF9">
        <w:t xml:space="preserve"> européen</w:t>
      </w:r>
      <w:r w:rsidR="001D67E8" w:rsidRPr="00854CF9">
        <w:t>ne</w:t>
      </w:r>
      <w:r w:rsidR="001D67E8">
        <w:t>.  Se</w:t>
      </w:r>
      <w:r>
        <w:t>s</w:t>
      </w:r>
      <w:r w:rsidRPr="00854CF9">
        <w:t xml:space="preserve"> objectif</w:t>
      </w:r>
      <w:r>
        <w:t>s</w:t>
      </w:r>
      <w:r w:rsidRPr="00854CF9">
        <w:t xml:space="preserve"> </w:t>
      </w:r>
      <w:r>
        <w:t xml:space="preserve">consisteraient à </w:t>
      </w:r>
      <w:r w:rsidRPr="00854CF9">
        <w:t>encourager l</w:t>
      </w:r>
      <w:r w:rsidR="00CE5FEC">
        <w:t>’</w:t>
      </w:r>
      <w:r w:rsidRPr="00854CF9">
        <w:t xml:space="preserve">innovation et la créativité et </w:t>
      </w:r>
      <w:r>
        <w:t>à</w:t>
      </w:r>
      <w:r w:rsidRPr="00854CF9">
        <w:t xml:space="preserve"> promouvoir la croissance économique et la compétitivité en Europe centrale et orienta</w:t>
      </w:r>
      <w:r w:rsidR="001D67E8" w:rsidRPr="00854CF9">
        <w:t>le</w:t>
      </w:r>
      <w:r w:rsidR="001D67E8">
        <w:t xml:space="preserve">.  </w:t>
      </w:r>
      <w:r w:rsidR="001D67E8" w:rsidRPr="00854CF9">
        <w:t>Po</w:t>
      </w:r>
      <w:r w:rsidRPr="00854CF9">
        <w:t xml:space="preserve">ur </w:t>
      </w:r>
      <w:r>
        <w:t>cela</w:t>
      </w:r>
      <w:r w:rsidRPr="00854CF9">
        <w:t xml:space="preserve">, </w:t>
      </w:r>
      <w:r>
        <w:t>il</w:t>
      </w:r>
      <w:r w:rsidRPr="00854CF9">
        <w:t xml:space="preserve"> devait </w:t>
      </w:r>
      <w:r>
        <w:t xml:space="preserve">proposer </w:t>
      </w:r>
      <w:r w:rsidRPr="00854CF9">
        <w:t xml:space="preserve">aux déposants une solution </w:t>
      </w:r>
      <w:r>
        <w:t>appropriée</w:t>
      </w:r>
      <w:r w:rsidRPr="00854CF9">
        <w:t xml:space="preserve"> et efficace pour </w:t>
      </w:r>
      <w:r>
        <w:t>les inciter à utiliser le</w:t>
      </w:r>
      <w:r w:rsidRPr="00854CF9">
        <w:t xml:space="preserve"> système du</w:t>
      </w:r>
      <w:r>
        <w:t> </w:t>
      </w:r>
      <w:r w:rsidRPr="00854CF9">
        <w:t xml:space="preserve">PCT.  Les utilisateurs de tous les États </w:t>
      </w:r>
      <w:r>
        <w:t>membres</w:t>
      </w:r>
      <w:r w:rsidRPr="00854CF9">
        <w:t xml:space="preserve"> du groupe </w:t>
      </w:r>
      <w:r w:rsidRPr="00854CF9">
        <w:lastRenderedPageBreak/>
        <w:t xml:space="preserve">de </w:t>
      </w:r>
      <w:proofErr w:type="spellStart"/>
      <w:r w:rsidRPr="00854CF9">
        <w:t>Visegrad</w:t>
      </w:r>
      <w:proofErr w:type="spellEnd"/>
      <w:r w:rsidRPr="00854CF9">
        <w:t xml:space="preserve"> </w:t>
      </w:r>
      <w:r>
        <w:t>appuyaient</w:t>
      </w:r>
      <w:r w:rsidRPr="00854CF9">
        <w:t xml:space="preserve"> pleinement la création du</w:t>
      </w:r>
      <w:r>
        <w:t> </w:t>
      </w:r>
      <w:r w:rsidRPr="00854CF9">
        <w:t>VPI et s</w:t>
      </w:r>
      <w:r>
        <w:t>a nomination en qualité d</w:t>
      </w:r>
      <w:r w:rsidR="00CE5FEC">
        <w:t>’</w:t>
      </w:r>
      <w:r w:rsidRPr="00854CF9">
        <w:t>administration chargée de la r</w:t>
      </w:r>
      <w:r>
        <w:t>echerche internationale et de l</w:t>
      </w:r>
      <w:r w:rsidR="00CE5FEC">
        <w:t>’</w:t>
      </w:r>
      <w:r w:rsidRPr="00854CF9">
        <w:t>examen préliminaire international selon le</w:t>
      </w:r>
      <w:r>
        <w:t> </w:t>
      </w:r>
      <w:r w:rsidRPr="00854CF9">
        <w:t xml:space="preserve">PCT.  La délégation a également souligné que les pays du groupe de </w:t>
      </w:r>
      <w:proofErr w:type="spellStart"/>
      <w:r w:rsidRPr="00854CF9">
        <w:t>Visegrad</w:t>
      </w:r>
      <w:proofErr w:type="spellEnd"/>
      <w:r w:rsidRPr="00854CF9">
        <w:t xml:space="preserve"> étaient bien placés pour jouer un grand rôle dans le </w:t>
      </w:r>
      <w:r>
        <w:t xml:space="preserve">cadre du </w:t>
      </w:r>
      <w:r w:rsidRPr="00854CF9">
        <w:t>système international des brevets en tant qu</w:t>
      </w:r>
      <w:r>
        <w:t>e pays émergents caractérisé</w:t>
      </w:r>
      <w:r w:rsidRPr="00854CF9">
        <w:t>s par une production économique de plus en plus importante, une participation toujours plus grande au commerce européen et mondial, une compétitivité sans cesse accrue et un intérê</w:t>
      </w:r>
      <w:r>
        <w:t>t de plus en plus marqué pour l</w:t>
      </w:r>
      <w:r w:rsidR="00CE5FEC">
        <w:t>’</w:t>
      </w:r>
      <w:r w:rsidRPr="00854CF9">
        <w:t>innovati</w:t>
      </w:r>
      <w:r w:rsidR="001D67E8" w:rsidRPr="00854CF9">
        <w:t>on</w:t>
      </w:r>
      <w:r w:rsidR="001D67E8">
        <w:t>.  La</w:t>
      </w:r>
      <w:r>
        <w:t xml:space="preserve"> création du VPI et s</w:t>
      </w:r>
      <w:r w:rsidRPr="00854CF9">
        <w:t>a demande d</w:t>
      </w:r>
      <w:r w:rsidR="00CE5FEC">
        <w:t>’</w:t>
      </w:r>
      <w:r>
        <w:t>octroi du statut d</w:t>
      </w:r>
      <w:r w:rsidR="00CE5FEC">
        <w:t>’</w:t>
      </w:r>
      <w:r w:rsidRPr="00854CF9">
        <w:t>administration chargée de la recherche internationale étaient bien conformes aux objectifs politique</w:t>
      </w:r>
      <w:r>
        <w:t>s généraux</w:t>
      </w:r>
      <w:r w:rsidRPr="00854CF9">
        <w:t xml:space="preserve"> de haut niveau de la coopération dans le cadre du groupe de </w:t>
      </w:r>
      <w:proofErr w:type="spellStart"/>
      <w:r w:rsidRPr="00854CF9">
        <w:t>Visegrad</w:t>
      </w:r>
      <w:proofErr w:type="spellEnd"/>
      <w:r w:rsidRPr="00854CF9">
        <w:t xml:space="preserve"> ou V4, comme cela avait été récemment confirmé dans une déclaration commune des premiers ministres des pays du groupe de </w:t>
      </w:r>
      <w:proofErr w:type="spellStart"/>
      <w:r w:rsidRPr="00854CF9">
        <w:t>Visegr</w:t>
      </w:r>
      <w:r w:rsidR="001D67E8" w:rsidRPr="00854CF9">
        <w:t>ad</w:t>
      </w:r>
      <w:proofErr w:type="spellEnd"/>
      <w:r w:rsidR="001D67E8">
        <w:t xml:space="preserve">.  </w:t>
      </w:r>
      <w:r w:rsidR="001D67E8" w:rsidRPr="00854CF9">
        <w:t>Su</w:t>
      </w:r>
      <w:r w:rsidRPr="00854CF9">
        <w:t xml:space="preserve">r le plan de la structure et </w:t>
      </w:r>
      <w:r>
        <w:t>du mandat</w:t>
      </w:r>
      <w:r w:rsidRPr="00854CF9">
        <w:t>, le</w:t>
      </w:r>
      <w:r>
        <w:t> </w:t>
      </w:r>
      <w:r w:rsidRPr="00854CF9">
        <w:t xml:space="preserve">VPI serait une organisation intergouvernementale au sens de </w:t>
      </w:r>
      <w:r>
        <w:t>l</w:t>
      </w:r>
      <w:r w:rsidR="00CE5FEC">
        <w:t>’</w:t>
      </w:r>
      <w:r w:rsidRPr="00854CF9">
        <w:t>article</w:t>
      </w:r>
      <w:r>
        <w:t> </w:t>
      </w:r>
      <w:r w:rsidRPr="00854CF9">
        <w:t>16 du</w:t>
      </w:r>
      <w:r>
        <w:t> </w:t>
      </w:r>
      <w:r w:rsidRPr="00854CF9">
        <w:t>PCT et de la règle</w:t>
      </w:r>
      <w:r>
        <w:t> 36 du règlement d</w:t>
      </w:r>
      <w:r w:rsidR="00CE5FEC">
        <w:t>’</w:t>
      </w:r>
      <w:r w:rsidRPr="00854CF9">
        <w:t>exécution du</w:t>
      </w:r>
      <w:r>
        <w:t> </w:t>
      </w:r>
      <w:r w:rsidRPr="00854CF9">
        <w:t xml:space="preserve">PCT.  Il </w:t>
      </w:r>
      <w:r>
        <w:t>serait doté de la personnalité juridique et d</w:t>
      </w:r>
      <w:r w:rsidR="00CE5FEC">
        <w:t>’</w:t>
      </w:r>
      <w:r w:rsidRPr="00854CF9">
        <w:t xml:space="preserve">une capacité juridique </w:t>
      </w:r>
      <w:r>
        <w:t xml:space="preserve">étendue pour </w:t>
      </w:r>
      <w:r w:rsidRPr="00854CF9">
        <w:t>mener à bien ses missions</w:t>
      </w:r>
      <w:r>
        <w:t xml:space="preserve"> et aurait </w:t>
      </w:r>
      <w:r w:rsidRPr="00854CF9">
        <w:t xml:space="preserve">notamment </w:t>
      </w:r>
      <w:r>
        <w:t>la possibilité d</w:t>
      </w:r>
      <w:r w:rsidR="00CE5FEC">
        <w:t>’</w:t>
      </w:r>
      <w:r w:rsidRPr="00854CF9">
        <w:t>agir de sa propre initi</w:t>
      </w:r>
      <w:r>
        <w:t>ative par l</w:t>
      </w:r>
      <w:r w:rsidR="00CE5FEC">
        <w:t>’</w:t>
      </w:r>
      <w:r>
        <w:t xml:space="preserve">intermédiaire </w:t>
      </w:r>
      <w:r w:rsidRPr="00854CF9">
        <w:t xml:space="preserve">de son directeur, qui le représenterait dans les affaires </w:t>
      </w:r>
      <w:r>
        <w:t>liées</w:t>
      </w:r>
      <w:r w:rsidRPr="00854CF9">
        <w:t xml:space="preserve"> à sa </w:t>
      </w:r>
      <w:r>
        <w:t>qualité qu</w:t>
      </w:r>
      <w:r w:rsidR="00CE5FEC">
        <w:t>’</w:t>
      </w:r>
      <w:r w:rsidRPr="00854CF9">
        <w:t>administration internationa</w:t>
      </w:r>
      <w:r w:rsidR="001D67E8" w:rsidRPr="00854CF9">
        <w:t>le</w:t>
      </w:r>
      <w:r w:rsidR="001D67E8">
        <w:t xml:space="preserve">.  </w:t>
      </w:r>
      <w:r w:rsidR="001D67E8" w:rsidRPr="00854CF9">
        <w:t>Il</w:t>
      </w:r>
      <w:r w:rsidRPr="00854CF9">
        <w:t xml:space="preserve"> était prévu que le</w:t>
      </w:r>
      <w:r>
        <w:t> </w:t>
      </w:r>
      <w:r w:rsidRPr="00854CF9">
        <w:t>VPI agi</w:t>
      </w:r>
      <w:r>
        <w:t>rait en qualité d</w:t>
      </w:r>
      <w:r w:rsidR="00CE5FEC">
        <w:t>’</w:t>
      </w:r>
      <w:r w:rsidRPr="00854CF9">
        <w:t>administration chargée de la r</w:t>
      </w:r>
      <w:r>
        <w:t>echerche internationale et de l</w:t>
      </w:r>
      <w:r w:rsidR="00CE5FEC">
        <w:t>’</w:t>
      </w:r>
      <w:r w:rsidRPr="00854CF9">
        <w:t xml:space="preserve">examen préliminaire international pour les demandes internationales déposées non seulement auprès des offices du V4, mais </w:t>
      </w:r>
      <w:r>
        <w:t>également auprès</w:t>
      </w:r>
      <w:r w:rsidRPr="00854CF9">
        <w:t xml:space="preserve"> des offices récepteurs des États contractants de la Co</w:t>
      </w:r>
      <w:r>
        <w:t>nvention sur le brevet européen</w:t>
      </w:r>
      <w:r w:rsidRPr="00854CF9">
        <w:t xml:space="preserve"> limitrophes des pays du V4, pour autant que ces derniers </w:t>
      </w:r>
      <w:r>
        <w:t xml:space="preserve">le </w:t>
      </w:r>
      <w:r w:rsidRPr="00854CF9">
        <w:t>désignent à cette f</w:t>
      </w:r>
      <w:r w:rsidR="001D67E8" w:rsidRPr="00854CF9">
        <w:t>in</w:t>
      </w:r>
      <w:r w:rsidR="001D67E8">
        <w:t xml:space="preserve">.  </w:t>
      </w:r>
      <w:r w:rsidR="001D67E8" w:rsidRPr="00854CF9">
        <w:t>En</w:t>
      </w:r>
      <w:r w:rsidRPr="00854CF9">
        <w:t xml:space="preserve"> fait, la Lituanie et la Roumanie avaient déjà indiqué et confirmé leur volonté de le fai</w:t>
      </w:r>
      <w:r w:rsidR="001D67E8" w:rsidRPr="00854CF9">
        <w:t>re</w:t>
      </w:r>
      <w:r w:rsidR="001D67E8">
        <w:t xml:space="preserve">.  </w:t>
      </w:r>
      <w:r w:rsidR="001D67E8" w:rsidRPr="00854CF9">
        <w:t>En</w:t>
      </w:r>
      <w:r w:rsidRPr="00854CF9">
        <w:t xml:space="preserve"> créant le</w:t>
      </w:r>
      <w:r>
        <w:t> </w:t>
      </w:r>
      <w:r w:rsidRPr="00854CF9">
        <w:t xml:space="preserve">VPI, les pays du groupe de </w:t>
      </w:r>
      <w:proofErr w:type="spellStart"/>
      <w:r w:rsidRPr="00854CF9">
        <w:t>Visegrad</w:t>
      </w:r>
      <w:proofErr w:type="spellEnd"/>
      <w:r w:rsidRPr="00854CF9">
        <w:t xml:space="preserve"> entendaient </w:t>
      </w:r>
      <w:r>
        <w:t>respecter</w:t>
      </w:r>
      <w:r w:rsidRPr="00854CF9">
        <w:t xml:space="preserve"> pleinement leurs obligations au titre de la Convention sur le brevet européen et de son Protocole sur la centralisation, et le feraient </w:t>
      </w:r>
      <w:r>
        <w:t xml:space="preserve">lors de la conclusion et de la mise </w:t>
      </w:r>
      <w:r w:rsidRPr="00854CF9">
        <w:t xml:space="preserve">en place </w:t>
      </w:r>
      <w:r>
        <w:t>de l</w:t>
      </w:r>
      <w:r w:rsidR="00CE5FEC">
        <w:t>’</w:t>
      </w:r>
      <w:r w:rsidRPr="00854CF9">
        <w:t xml:space="preserve">accord avec le Bureau </w:t>
      </w:r>
      <w:r>
        <w:t xml:space="preserve">international de </w:t>
      </w:r>
      <w:proofErr w:type="spellStart"/>
      <w:r>
        <w:t>lʼOMPI</w:t>
      </w:r>
      <w:proofErr w:type="spellEnd"/>
      <w:r w:rsidRPr="00854CF9">
        <w:t xml:space="preserve"> concernant le fonctionnement du</w:t>
      </w:r>
      <w:r>
        <w:t> </w:t>
      </w:r>
      <w:r w:rsidRPr="00854CF9">
        <w:t>VPI</w:t>
      </w:r>
      <w:r>
        <w:t xml:space="preserve"> en qualité d</w:t>
      </w:r>
      <w:r w:rsidR="00CE5FEC">
        <w:t>’</w:t>
      </w:r>
      <w:r w:rsidRPr="00854CF9">
        <w:t>administration chargée de la r</w:t>
      </w:r>
      <w:r>
        <w:t>echerche internationale et de l</w:t>
      </w:r>
      <w:r w:rsidR="00CE5FEC">
        <w:t>’</w:t>
      </w:r>
      <w:r w:rsidRPr="00854CF9">
        <w:t>examen préliminaire internation</w:t>
      </w:r>
      <w:r w:rsidR="001D67E8" w:rsidRPr="00854CF9">
        <w:t>al</w:t>
      </w:r>
      <w:r w:rsidR="001D67E8">
        <w:t xml:space="preserve">.  </w:t>
      </w:r>
      <w:r w:rsidR="001D67E8" w:rsidRPr="00854CF9">
        <w:t>La</w:t>
      </w:r>
      <w:r w:rsidRPr="00854CF9">
        <w:t xml:space="preserve"> structure du</w:t>
      </w:r>
      <w:r>
        <w:t> </w:t>
      </w:r>
      <w:r w:rsidRPr="00854CF9">
        <w:t xml:space="preserve">VPI </w:t>
      </w:r>
      <w:r>
        <w:t>s</w:t>
      </w:r>
      <w:r w:rsidR="00CE5FEC">
        <w:t>’</w:t>
      </w:r>
      <w:r>
        <w:t>inspirait du</w:t>
      </w:r>
      <w:r w:rsidRPr="00854CF9">
        <w:t xml:space="preserve"> modèle existant de l</w:t>
      </w:r>
      <w:r w:rsidR="00CE5FEC">
        <w:t>’</w:t>
      </w:r>
      <w:r w:rsidRPr="00854CF9">
        <w:t>Institut nordique des brevets (NPI) dont l</w:t>
      </w:r>
      <w:r w:rsidR="00CE5FEC">
        <w:t>’</w:t>
      </w:r>
      <w:r w:rsidRPr="00854CF9">
        <w:t>efficacité n</w:t>
      </w:r>
      <w:r w:rsidR="00CE5FEC">
        <w:t>’</w:t>
      </w:r>
      <w:r>
        <w:t>était</w:t>
      </w:r>
      <w:r w:rsidRPr="00854CF9">
        <w:t xml:space="preserve"> plus à démontrer, ainsi qu</w:t>
      </w:r>
      <w:r w:rsidR="00CE5FEC">
        <w:t>’</w:t>
      </w:r>
      <w:r w:rsidRPr="00854CF9">
        <w:t>il ressort</w:t>
      </w:r>
      <w:r>
        <w:t>ait</w:t>
      </w:r>
      <w:r w:rsidRPr="00854CF9">
        <w:t xml:space="preserve"> du tableau 2 de l</w:t>
      </w:r>
      <w:r w:rsidR="00CE5FEC">
        <w:t>’</w:t>
      </w:r>
      <w:r w:rsidRPr="00854CF9">
        <w:t>annexe</w:t>
      </w:r>
      <w:r>
        <w:t> </w:t>
      </w:r>
      <w:r w:rsidRPr="00854CF9">
        <w:t>II du document PCT/CTC/28/2</w:t>
      </w:r>
      <w:r>
        <w:t>,</w:t>
      </w:r>
      <w:r w:rsidRPr="00854CF9">
        <w:t xml:space="preserve"> jointe au document PCT/A/47/6.  Dans le cadre de cette dimension intergouvernementale du</w:t>
      </w:r>
      <w:r>
        <w:t> </w:t>
      </w:r>
      <w:r w:rsidRPr="00854CF9">
        <w:t xml:space="preserve">VPI, les offices nationaux des États </w:t>
      </w:r>
      <w:r>
        <w:t>membres</w:t>
      </w:r>
      <w:r w:rsidRPr="00854CF9">
        <w:t xml:space="preserve"> exécuteraient les activités internationales de recherche et d</w:t>
      </w:r>
      <w:r w:rsidR="00CE5FEC">
        <w:t>’</w:t>
      </w:r>
      <w:r w:rsidRPr="00854CF9">
        <w:t>examen au nom du</w:t>
      </w:r>
      <w:r>
        <w:t> </w:t>
      </w:r>
      <w:r w:rsidRPr="00854CF9">
        <w:t xml:space="preserve">VPI.  En harmonisant les outils et les pratiques </w:t>
      </w:r>
      <w:r>
        <w:t>en matière de recherche et d</w:t>
      </w:r>
      <w:r w:rsidR="00CE5FEC">
        <w:t>’</w:t>
      </w:r>
      <w:r w:rsidRPr="00854CF9">
        <w:t>examen et en assurant une gestion rigoureuse de la qualité à chaque étape de la procédure, le</w:t>
      </w:r>
      <w:r>
        <w:t> </w:t>
      </w:r>
      <w:r w:rsidRPr="00854CF9">
        <w:t>VPI garantirait toujour</w:t>
      </w:r>
      <w:r>
        <w:t>s aux déposants la fourniture d</w:t>
      </w:r>
      <w:r w:rsidR="00CE5FEC">
        <w:t>’</w:t>
      </w:r>
      <w:r w:rsidRPr="00854CF9">
        <w:t>un service uniforme et de quali</w:t>
      </w:r>
      <w:r w:rsidR="001D67E8" w:rsidRPr="00854CF9">
        <w:t>té</w:t>
      </w:r>
      <w:r w:rsidR="001D67E8">
        <w:t>.  Il</w:t>
      </w:r>
      <w:r w:rsidRPr="00854CF9">
        <w:t xml:space="preserve"> </w:t>
      </w:r>
      <w:r>
        <w:t xml:space="preserve">aurait pour </w:t>
      </w:r>
      <w:r w:rsidRPr="00854CF9">
        <w:t xml:space="preserve">mission principale </w:t>
      </w:r>
      <w:r>
        <w:t>d</w:t>
      </w:r>
      <w:r w:rsidR="00CE5FEC">
        <w:t>’</w:t>
      </w:r>
      <w:r>
        <w:t>agir en qualité d</w:t>
      </w:r>
      <w:r w:rsidR="00CE5FEC">
        <w:t>’</w:t>
      </w:r>
      <w:r w:rsidRPr="00854CF9">
        <w:t>administration chargée de la recherche internationale et de l</w:t>
      </w:r>
      <w:r w:rsidR="00CE5FEC">
        <w:t>’</w:t>
      </w:r>
      <w:r w:rsidRPr="00854CF9">
        <w:t xml:space="preserve">examen préliminaire international </w:t>
      </w:r>
      <w:r>
        <w:t>selon le </w:t>
      </w:r>
      <w:r w:rsidRPr="00854CF9">
        <w:t>PCT, et il était prévu qu</w:t>
      </w:r>
      <w:r w:rsidR="00CE5FEC">
        <w:t>’</w:t>
      </w:r>
      <w:r w:rsidRPr="00854CF9">
        <w:t xml:space="preserve">il </w:t>
      </w:r>
      <w:r>
        <w:t>effectue</w:t>
      </w:r>
      <w:r w:rsidRPr="00854CF9">
        <w:t xml:space="preserve"> également des recherches de type international et des recherches internationales supplémentair</w:t>
      </w:r>
      <w:r w:rsidR="001D67E8" w:rsidRPr="00854CF9">
        <w:t>es</w:t>
      </w:r>
      <w:r w:rsidR="001D67E8">
        <w:t xml:space="preserve">.  </w:t>
      </w:r>
      <w:r w:rsidR="001D67E8" w:rsidRPr="00854CF9">
        <w:t>Co</w:t>
      </w:r>
      <w:r w:rsidRPr="00854CF9">
        <w:t xml:space="preserve">ncernant le nouvel élément des procédures de nomination des administrations internationales, </w:t>
      </w:r>
      <w:r w:rsidR="00CE5FEC">
        <w:t>à savoir</w:t>
      </w:r>
      <w:r w:rsidRPr="00854CF9">
        <w:t xml:space="preserve"> la participation des administrations internationales existantes aux préparatifs de la </w:t>
      </w:r>
      <w:r>
        <w:t>candidature</w:t>
      </w:r>
      <w:r w:rsidRPr="00854CF9">
        <w:t>, le</w:t>
      </w:r>
      <w:r>
        <w:t> </w:t>
      </w:r>
      <w:r w:rsidRPr="00854CF9">
        <w:t>VPI avait demandé l</w:t>
      </w:r>
      <w:r w:rsidR="00CE5FEC">
        <w:t>’</w:t>
      </w:r>
      <w:r w:rsidRPr="00854CF9">
        <w:t xml:space="preserve">assistance </w:t>
      </w:r>
      <w:r w:rsidR="00AD22CA">
        <w:t>du JPO</w:t>
      </w:r>
      <w:r w:rsidRPr="00854CF9">
        <w:t xml:space="preserve"> et </w:t>
      </w:r>
      <w:r w:rsidR="00AD22CA">
        <w:t>du NPI</w:t>
      </w:r>
      <w:r w:rsidRPr="00854CF9">
        <w:t xml:space="preserve"> </w:t>
      </w:r>
      <w:r>
        <w:t>pour</w:t>
      </w:r>
      <w:r w:rsidRPr="00854CF9">
        <w:t xml:space="preserve"> déterminer dans quelle mesure il remplissait les conditions requises.  </w:t>
      </w:r>
      <w:r>
        <w:t>L</w:t>
      </w:r>
      <w:r w:rsidR="00CE5FEC">
        <w:t>’</w:t>
      </w:r>
      <w:r w:rsidRPr="00854CF9">
        <w:t>Office des brevets du Japon a</w:t>
      </w:r>
      <w:r>
        <w:t>vait apporté son aide au titre d</w:t>
      </w:r>
      <w:r w:rsidR="00CE5FEC">
        <w:t>’</w:t>
      </w:r>
      <w:r w:rsidRPr="00854CF9">
        <w:t>un accord de coopération qu</w:t>
      </w:r>
      <w:r w:rsidR="00CE5FEC">
        <w:t>’</w:t>
      </w:r>
      <w:r w:rsidRPr="00854CF9">
        <w:t>il avait conclu avec les offices de propriété industrielle des pays du V4 en septembre</w:t>
      </w:r>
      <w:r>
        <w:t> </w:t>
      </w:r>
      <w:r w:rsidRPr="00854CF9">
        <w:t xml:space="preserve">2014.  </w:t>
      </w:r>
      <w:r>
        <w:t>L</w:t>
      </w:r>
      <w:r w:rsidR="00CE5FEC">
        <w:t>’</w:t>
      </w:r>
      <w:r>
        <w:t xml:space="preserve">assistance </w:t>
      </w:r>
      <w:r w:rsidR="00AD22CA">
        <w:t>du NPI</w:t>
      </w:r>
      <w:r w:rsidRPr="00854CF9">
        <w:t xml:space="preserve"> avait été sollicitée </w:t>
      </w:r>
      <w:r>
        <w:t>parce</w:t>
      </w:r>
      <w:r w:rsidRPr="00854CF9">
        <w:t xml:space="preserve"> qu</w:t>
      </w:r>
      <w:r w:rsidR="00CE5FEC">
        <w:t>’</w:t>
      </w:r>
      <w:r>
        <w:t>il</w:t>
      </w:r>
      <w:r w:rsidRPr="00854CF9">
        <w:t xml:space="preserve"> présentait de nombreuses similarités avec le</w:t>
      </w:r>
      <w:r>
        <w:t> </w:t>
      </w:r>
      <w:r w:rsidRPr="00854CF9">
        <w:t xml:space="preserve">VPI </w:t>
      </w:r>
      <w:r>
        <w:t xml:space="preserve">en termes </w:t>
      </w:r>
      <w:r w:rsidRPr="00854CF9">
        <w:t>de structure, d</w:t>
      </w:r>
      <w:r w:rsidR="00CE5FEC">
        <w:t>’</w:t>
      </w:r>
      <w:r>
        <w:t>organisation, de principes et d</w:t>
      </w:r>
      <w:r w:rsidR="00CE5FEC">
        <w:t>’</w:t>
      </w:r>
      <w:r w:rsidRPr="00854CF9">
        <w:t>objectifs et que les pays nordiques avaient établi une coopération de longue date avec les pays du V4.  Après s</w:t>
      </w:r>
      <w:r w:rsidR="00CE5FEC">
        <w:t>’</w:t>
      </w:r>
      <w:r w:rsidRPr="00854CF9">
        <w:t xml:space="preserve">être rendues dans les offices des pays du V4, ces administrations internationales </w:t>
      </w:r>
      <w:r>
        <w:t>avaient</w:t>
      </w:r>
      <w:r w:rsidRPr="00854CF9">
        <w:t xml:space="preserve"> </w:t>
      </w:r>
      <w:r>
        <w:t>rendu compte</w:t>
      </w:r>
      <w:r w:rsidRPr="00854CF9">
        <w:t xml:space="preserve"> au Comité de coopération technique du</w:t>
      </w:r>
      <w:r>
        <w:t> </w:t>
      </w:r>
      <w:r w:rsidRPr="00854CF9">
        <w:t xml:space="preserve">PCT </w:t>
      </w:r>
      <w:r>
        <w:t>de</w:t>
      </w:r>
      <w:r w:rsidRPr="00854CF9">
        <w:t xml:space="preserve"> la capacité des pays </w:t>
      </w:r>
      <w:r>
        <w:t xml:space="preserve">du groupe </w:t>
      </w:r>
      <w:r w:rsidRPr="00854CF9">
        <w:t xml:space="preserve">de </w:t>
      </w:r>
      <w:proofErr w:type="spellStart"/>
      <w:r w:rsidRPr="00854CF9">
        <w:t>Visegrad</w:t>
      </w:r>
      <w:proofErr w:type="spellEnd"/>
      <w:r w:rsidRPr="00854CF9">
        <w:t xml:space="preserve"> </w:t>
      </w:r>
      <w:r>
        <w:t>à</w:t>
      </w:r>
      <w:r w:rsidRPr="00854CF9">
        <w:t xml:space="preserve"> remplir les critères de nomination et n</w:t>
      </w:r>
      <w:r w:rsidR="00CE5FEC">
        <w:t>’</w:t>
      </w:r>
      <w:r>
        <w:t>avaie</w:t>
      </w:r>
      <w:r w:rsidRPr="00854CF9">
        <w:t>nt soulevé aucun point particulier susceptible de remettre sérieusement en cause</w:t>
      </w:r>
      <w:r w:rsidRPr="00705498">
        <w:t xml:space="preserve"> </w:t>
      </w:r>
      <w:r w:rsidRPr="00854CF9">
        <w:t>cette capaci</w:t>
      </w:r>
      <w:r w:rsidR="001D67E8" w:rsidRPr="00854CF9">
        <w:t>té</w:t>
      </w:r>
      <w:r w:rsidR="001D67E8">
        <w:t xml:space="preserve">.  </w:t>
      </w:r>
      <w:r w:rsidR="001D67E8" w:rsidRPr="00854CF9">
        <w:t>La</w:t>
      </w:r>
      <w:r w:rsidRPr="00854CF9">
        <w:t xml:space="preserve"> délégation a remercié le</w:t>
      </w:r>
      <w:r>
        <w:t> </w:t>
      </w:r>
      <w:r w:rsidRPr="00854CF9">
        <w:t>JPO et le</w:t>
      </w:r>
      <w:r>
        <w:t> </w:t>
      </w:r>
      <w:r w:rsidRPr="00854CF9">
        <w:t>NPI pour leur assistance précieuse à cet éga</w:t>
      </w:r>
      <w:r w:rsidR="001D67E8" w:rsidRPr="00854CF9">
        <w:t>rd</w:t>
      </w:r>
      <w:r w:rsidR="001D67E8">
        <w:t>.  Co</w:t>
      </w:r>
      <w:r>
        <w:t>ncernant les</w:t>
      </w:r>
      <w:r w:rsidRPr="00854CF9">
        <w:t xml:space="preserve"> exigences minimales </w:t>
      </w:r>
      <w:r>
        <w:t>relatives</w:t>
      </w:r>
      <w:r w:rsidRPr="00854CF9">
        <w:t xml:space="preserve"> à la nomination en qualité d</w:t>
      </w:r>
      <w:r w:rsidR="00CE5FEC">
        <w:t>’</w:t>
      </w:r>
      <w:r w:rsidRPr="00854CF9">
        <w:t>administration chargée de la recherche internationale et de l</w:t>
      </w:r>
      <w:r w:rsidR="00CE5FEC">
        <w:t>’</w:t>
      </w:r>
      <w:r w:rsidRPr="00854CF9">
        <w:t>examen préliminaire int</w:t>
      </w:r>
      <w:r>
        <w:t>ernational visées à la règle 36.</w:t>
      </w:r>
      <w:r w:rsidRPr="00854CF9">
        <w:t>1, le</w:t>
      </w:r>
      <w:r>
        <w:t> </w:t>
      </w:r>
      <w:r w:rsidRPr="00854CF9">
        <w:t>VPI était convaincu de respecter l</w:t>
      </w:r>
      <w:r w:rsidR="00CE5FEC">
        <w:t>’</w:t>
      </w:r>
      <w:r w:rsidRPr="00854CF9">
        <w:t xml:space="preserve">intégralité des </w:t>
      </w:r>
      <w:r>
        <w:t>conditions requises</w:t>
      </w:r>
      <w:r w:rsidRPr="00854CF9">
        <w:t xml:space="preserve"> grâce aux ressources communes des offices participan</w:t>
      </w:r>
      <w:r w:rsidR="001D67E8" w:rsidRPr="00854CF9">
        <w:t>ts</w:t>
      </w:r>
      <w:r w:rsidR="001D67E8">
        <w:t xml:space="preserve">.  </w:t>
      </w:r>
      <w:r w:rsidR="001D67E8" w:rsidRPr="00854CF9">
        <w:t>Ce</w:t>
      </w:r>
      <w:r w:rsidRPr="00854CF9">
        <w:t>la avait été confirmé à l</w:t>
      </w:r>
      <w:r w:rsidR="00CE5FEC">
        <w:t>’</w:t>
      </w:r>
      <w:r w:rsidRPr="00854CF9">
        <w:t>unanimité par les membres du Comité de coopération technique du</w:t>
      </w:r>
      <w:r>
        <w:t> </w:t>
      </w:r>
      <w:r w:rsidRPr="00854CF9">
        <w:t>PCT sur la base d</w:t>
      </w:r>
      <w:r w:rsidR="00CE5FEC">
        <w:t>’</w:t>
      </w:r>
      <w:r w:rsidRPr="00854CF9">
        <w:t>une évaluation d</w:t>
      </w:r>
      <w:r w:rsidR="00CE5FEC">
        <w:t>’</w:t>
      </w:r>
      <w:r w:rsidRPr="00854CF9">
        <w:t xml:space="preserve">expert et </w:t>
      </w:r>
      <w:r w:rsidRPr="00854CF9">
        <w:lastRenderedPageBreak/>
        <w:t>des rapports des deux</w:t>
      </w:r>
      <w:r>
        <w:t> </w:t>
      </w:r>
      <w:r w:rsidRPr="00854CF9">
        <w:t>administrations internationales existant</w:t>
      </w:r>
      <w:r w:rsidR="001D67E8" w:rsidRPr="00854CF9">
        <w:t>es</w:t>
      </w:r>
      <w:r w:rsidR="001D67E8">
        <w:t xml:space="preserve">.  </w:t>
      </w:r>
      <w:r w:rsidR="001D67E8" w:rsidRPr="00854CF9">
        <w:t>Le</w:t>
      </w:r>
      <w:r w:rsidRPr="00854CF9">
        <w:t xml:space="preserve">s documents </w:t>
      </w:r>
      <w:r>
        <w:t>fournis à l</w:t>
      </w:r>
      <w:r w:rsidR="00CE5FEC">
        <w:t>’</w:t>
      </w:r>
      <w:r w:rsidRPr="00854CF9">
        <w:t>appui de la demande du</w:t>
      </w:r>
      <w:r>
        <w:t> </w:t>
      </w:r>
      <w:r w:rsidRPr="00854CF9">
        <w:t xml:space="preserve">VPI contenaient de nombreuses informations </w:t>
      </w:r>
      <w:r>
        <w:t>sur les</w:t>
      </w:r>
      <w:r w:rsidRPr="00854CF9">
        <w:t xml:space="preserve"> ressources d</w:t>
      </w:r>
      <w:r>
        <w:t>e l</w:t>
      </w:r>
      <w:r w:rsidR="00CE5FEC">
        <w:t>’</w:t>
      </w:r>
      <w:r>
        <w:t xml:space="preserve">institut </w:t>
      </w:r>
      <w:r w:rsidRPr="00854CF9">
        <w:t>e</w:t>
      </w:r>
      <w:r>
        <w:t>n matière de recherche et d</w:t>
      </w:r>
      <w:r w:rsidR="00CE5FEC">
        <w:t>’</w:t>
      </w:r>
      <w:r w:rsidRPr="00854CF9">
        <w:t xml:space="preserve">examen et </w:t>
      </w:r>
      <w:r>
        <w:t>les</w:t>
      </w:r>
      <w:r w:rsidRPr="00854CF9">
        <w:t xml:space="preserve"> </w:t>
      </w:r>
      <w:r>
        <w:t xml:space="preserve">compétences </w:t>
      </w:r>
      <w:r w:rsidRPr="00854CF9">
        <w:t>de ses examinateurs, son accès à la documentati</w:t>
      </w:r>
      <w:r>
        <w:t>on à des fins de recherche et d</w:t>
      </w:r>
      <w:r w:rsidR="00CE5FEC">
        <w:t>’</w:t>
      </w:r>
      <w:r w:rsidRPr="00854CF9">
        <w:t>examen</w:t>
      </w:r>
      <w:r>
        <w:t>,</w:t>
      </w:r>
      <w:r w:rsidRPr="00854CF9">
        <w:t xml:space="preserve"> </w:t>
      </w:r>
      <w:r>
        <w:t>le</w:t>
      </w:r>
      <w:r w:rsidRPr="00854CF9">
        <w:t xml:space="preserve"> système de gestion de la qualité et </w:t>
      </w:r>
      <w:r>
        <w:t>les</w:t>
      </w:r>
      <w:r w:rsidRPr="00854CF9">
        <w:t xml:space="preserve"> dis</w:t>
      </w:r>
      <w:r>
        <w:t>positions internes en matière d</w:t>
      </w:r>
      <w:r w:rsidR="00CE5FEC">
        <w:t>’</w:t>
      </w:r>
      <w:r w:rsidRPr="00854CF9">
        <w:t>évaluation, notamment celles appliquées aux offices nationaux participan</w:t>
      </w:r>
      <w:r w:rsidR="001D67E8" w:rsidRPr="00854CF9">
        <w:t>ts</w:t>
      </w:r>
      <w:r w:rsidR="001D67E8">
        <w:t>.  De</w:t>
      </w:r>
      <w:r>
        <w:t xml:space="preserve"> plus</w:t>
      </w:r>
      <w:r w:rsidRPr="00854CF9">
        <w:t>, le</w:t>
      </w:r>
      <w:r>
        <w:t> </w:t>
      </w:r>
      <w:r w:rsidRPr="00854CF9">
        <w:t xml:space="preserve">VPI établirait son propre système de gestion </w:t>
      </w:r>
      <w:r>
        <w:t>de la qualité, qui couvrirait l</w:t>
      </w:r>
      <w:r w:rsidR="00CE5FEC">
        <w:t>’</w:t>
      </w:r>
      <w:r w:rsidRPr="00854CF9">
        <w:t>ensemble de ses procédures et services et serait certifié selon la norme</w:t>
      </w:r>
      <w:r>
        <w:t> ISO </w:t>
      </w:r>
      <w:r w:rsidRPr="00854CF9">
        <w:t xml:space="preserve">9001.  </w:t>
      </w:r>
      <w:r>
        <w:t xml:space="preserve">Outre son </w:t>
      </w:r>
      <w:r w:rsidRPr="00854CF9">
        <w:t xml:space="preserve">appui </w:t>
      </w:r>
      <w:r>
        <w:t>franc</w:t>
      </w:r>
      <w:r w:rsidRPr="00854CF9">
        <w:t xml:space="preserve"> </w:t>
      </w:r>
      <w:r>
        <w:t>en faveur de</w:t>
      </w:r>
      <w:r w:rsidRPr="00854CF9">
        <w:t xml:space="preserve"> la nomination du</w:t>
      </w:r>
      <w:r>
        <w:t> </w:t>
      </w:r>
      <w:r w:rsidRPr="00854CF9">
        <w:t>VPI en qualité d</w:t>
      </w:r>
      <w:r w:rsidR="00CE5FEC">
        <w:t>’</w:t>
      </w:r>
      <w:r w:rsidRPr="00854CF9">
        <w:t xml:space="preserve">administration internationale, </w:t>
      </w:r>
      <w:r>
        <w:t>le</w:t>
      </w:r>
      <w:r w:rsidRPr="00854CF9">
        <w:t xml:space="preserve"> Comité de coopération technique du</w:t>
      </w:r>
      <w:r>
        <w:t> </w:t>
      </w:r>
      <w:r w:rsidRPr="00854CF9">
        <w:t>PCT a</w:t>
      </w:r>
      <w:r>
        <w:t>vait souligné l</w:t>
      </w:r>
      <w:r w:rsidR="00CE5FEC">
        <w:t>’</w:t>
      </w:r>
      <w:r w:rsidRPr="00854CF9">
        <w:t>importance d</w:t>
      </w:r>
      <w:r>
        <w:t>e l</w:t>
      </w:r>
      <w:r w:rsidR="00CE5FEC">
        <w:t>’</w:t>
      </w:r>
      <w:r>
        <w:t>élaboration de</w:t>
      </w:r>
      <w:r w:rsidRPr="00854CF9">
        <w:t xml:space="preserve"> mécanismes appropriés pour assurer la cohérence de la démarche adoptée par les quatre</w:t>
      </w:r>
      <w:r>
        <w:t> </w:t>
      </w:r>
      <w:r w:rsidRPr="00854CF9">
        <w:t xml:space="preserve">offices </w:t>
      </w:r>
      <w:r>
        <w:t>et</w:t>
      </w:r>
      <w:r w:rsidRPr="00854CF9">
        <w:t xml:space="preserve"> des procédures entre </w:t>
      </w:r>
      <w:r>
        <w:t>eux</w:t>
      </w:r>
      <w:r w:rsidRPr="00854CF9">
        <w:t xml:space="preserve">, afin de garantir la fluidité des tâches et </w:t>
      </w:r>
      <w:r>
        <w:t>l</w:t>
      </w:r>
      <w:r w:rsidR="00CE5FEC">
        <w:t>’</w:t>
      </w:r>
      <w:r>
        <w:t>uniformité des trava</w:t>
      </w:r>
      <w:r w:rsidR="001D67E8">
        <w:t xml:space="preserve">ux.  </w:t>
      </w:r>
      <w:r w:rsidR="001D67E8" w:rsidRPr="00854CF9">
        <w:t>Su</w:t>
      </w:r>
      <w:r w:rsidRPr="00854CF9">
        <w:t>ivant cet avis, les offices nationaux du V4 avaient intensifié leurs efforts pour mettre en place un environnement de travail assurant la cohérence et la fluidité des tâches au sein du</w:t>
      </w:r>
      <w:r>
        <w:t> </w:t>
      </w:r>
      <w:r w:rsidRPr="00854CF9">
        <w:t xml:space="preserve">VPI.  Plusieurs axes de travail avaient été </w:t>
      </w:r>
      <w:r>
        <w:t>explorés</w:t>
      </w:r>
      <w:r w:rsidRPr="00854CF9">
        <w:t xml:space="preserve"> à cet effet et avaient déjà produit un certain nombre de résultats concrets</w:t>
      </w:r>
      <w:r>
        <w:t>,</w:t>
      </w:r>
      <w:r w:rsidRPr="00854CF9">
        <w:t xml:space="preserve"> posant les bases d</w:t>
      </w:r>
      <w:r w:rsidR="00CE5FEC">
        <w:t>’</w:t>
      </w:r>
      <w:r w:rsidRPr="00854CF9">
        <w:t>un fonctionnement efficace du</w:t>
      </w:r>
      <w:r>
        <w:t> </w:t>
      </w:r>
      <w:r w:rsidRPr="00854CF9">
        <w:t>VPI et de services de quali</w:t>
      </w:r>
      <w:r w:rsidR="001D67E8" w:rsidRPr="00854CF9">
        <w:t>té</w:t>
      </w:r>
      <w:r w:rsidR="001D67E8">
        <w:t xml:space="preserve">.  </w:t>
      </w:r>
      <w:r w:rsidR="001D67E8" w:rsidRPr="00854CF9">
        <w:t>De</w:t>
      </w:r>
      <w:r w:rsidRPr="00854CF9">
        <w:t>s informations détaillées sur ces travaux figuraient dans le document PCT/A/47/6</w:t>
      </w:r>
      <w:r>
        <w:t> </w:t>
      </w:r>
      <w:proofErr w:type="spellStart"/>
      <w:r w:rsidRPr="00854CF9">
        <w:t>A</w:t>
      </w:r>
      <w:r w:rsidR="001D67E8" w:rsidRPr="00854CF9">
        <w:t>dd</w:t>
      </w:r>
      <w:proofErr w:type="spellEnd"/>
      <w:r w:rsidR="001D67E8">
        <w:t xml:space="preserve">.  </w:t>
      </w:r>
      <w:r w:rsidR="001D67E8" w:rsidRPr="00854CF9">
        <w:t>Av</w:t>
      </w:r>
      <w:r w:rsidRPr="00854CF9">
        <w:t>ant de co</w:t>
      </w:r>
      <w:r>
        <w:t>nclure, la délégation a informé</w:t>
      </w:r>
      <w:r w:rsidRPr="00E77796">
        <w:t xml:space="preserve"> l</w:t>
      </w:r>
      <w:r w:rsidR="00CE5FEC">
        <w:t>’</w:t>
      </w:r>
      <w:r w:rsidRPr="00E77796">
        <w:t>assemblée que l</w:t>
      </w:r>
      <w:r w:rsidR="00CE5FEC">
        <w:t>’</w:t>
      </w:r>
      <w:r w:rsidRPr="00E77796">
        <w:t>Accord sur l</w:t>
      </w:r>
      <w:r w:rsidR="00CE5FEC">
        <w:t>’</w:t>
      </w:r>
      <w:r w:rsidRPr="00E77796">
        <w:t xml:space="preserve">Institut des brevets de </w:t>
      </w:r>
      <w:proofErr w:type="spellStart"/>
      <w:r w:rsidRPr="00E77796">
        <w:t>Visegrad</w:t>
      </w:r>
      <w:proofErr w:type="spellEnd"/>
      <w:r w:rsidRPr="00E77796">
        <w:t xml:space="preserve"> avait été ratifié par les quatre</w:t>
      </w:r>
      <w:r>
        <w:t> </w:t>
      </w:r>
      <w:r w:rsidRPr="00E77796">
        <w:t>pa</w:t>
      </w:r>
      <w:r w:rsidR="001D67E8" w:rsidRPr="00E77796">
        <w:t>ys</w:t>
      </w:r>
      <w:r w:rsidR="001D67E8">
        <w:t xml:space="preserve">.  </w:t>
      </w:r>
      <w:r w:rsidR="001D67E8" w:rsidRPr="00E77796">
        <w:t>Le</w:t>
      </w:r>
      <w:r w:rsidRPr="00E77796">
        <w:t>s instruments de ratification avaient été dûment déposés par trois</w:t>
      </w:r>
      <w:r>
        <w:t> </w:t>
      </w:r>
      <w:r w:rsidRPr="00E77796">
        <w:t xml:space="preserve">pays, la Pologne </w:t>
      </w:r>
      <w:r>
        <w:t>étant</w:t>
      </w:r>
      <w:r w:rsidRPr="00E77796">
        <w:t xml:space="preserve"> le dernier État à </w:t>
      </w:r>
      <w:r>
        <w:t xml:space="preserve">devoir </w:t>
      </w:r>
      <w:r w:rsidRPr="00E77796">
        <w:t>déposer son instrument de ratification</w:t>
      </w:r>
      <w:r>
        <w:t xml:space="preserve">, en principe dans les </w:t>
      </w:r>
      <w:r w:rsidRPr="00E77796">
        <w:t>prochains jou</w:t>
      </w:r>
      <w:r w:rsidR="001D67E8" w:rsidRPr="00E77796">
        <w:t>rs</w:t>
      </w:r>
      <w:r w:rsidR="001D67E8">
        <w:t xml:space="preserve">.  </w:t>
      </w:r>
      <w:r w:rsidR="001D67E8" w:rsidRPr="00E77796">
        <w:t>L</w:t>
      </w:r>
      <w:r w:rsidR="001D67E8">
        <w:t>’</w:t>
      </w:r>
      <w:r w:rsidR="001D67E8" w:rsidRPr="00E77796">
        <w:t>a</w:t>
      </w:r>
      <w:r w:rsidRPr="00E77796">
        <w:t>ccord entrerait donc en vigueur au début du mois de décembre, soit deux</w:t>
      </w:r>
      <w:r>
        <w:t> </w:t>
      </w:r>
      <w:r w:rsidRPr="00E77796">
        <w:t>mois après le dépôt du dernier instrume</w:t>
      </w:r>
      <w:r w:rsidR="001D67E8" w:rsidRPr="00E77796">
        <w:t>nt</w:t>
      </w:r>
      <w:r w:rsidR="001D67E8">
        <w:t xml:space="preserve">.  </w:t>
      </w:r>
      <w:r w:rsidR="001D67E8" w:rsidRPr="00E77796">
        <w:t>Ce</w:t>
      </w:r>
      <w:r w:rsidRPr="00E77796">
        <w:t>la n</w:t>
      </w:r>
      <w:r w:rsidR="00CE5FEC">
        <w:t>’</w:t>
      </w:r>
      <w:r w:rsidRPr="00E77796">
        <w:t>empêchait donc pas l</w:t>
      </w:r>
      <w:r w:rsidR="00CE5FEC">
        <w:t>’</w:t>
      </w:r>
      <w:r w:rsidRPr="00E77796">
        <w:t xml:space="preserve">assemblée de </w:t>
      </w:r>
      <w:r>
        <w:t xml:space="preserve">se prononcer </w:t>
      </w:r>
      <w:r w:rsidRPr="00E77796">
        <w:t>favorable</w:t>
      </w:r>
      <w:r>
        <w:t>ment</w:t>
      </w:r>
      <w:r w:rsidRPr="00E77796">
        <w:t xml:space="preserve"> sur la demande </w:t>
      </w:r>
      <w:r>
        <w:t xml:space="preserve">de nomination </w:t>
      </w:r>
      <w:r w:rsidRPr="00E77796">
        <w:t>du</w:t>
      </w:r>
      <w:r>
        <w:t> </w:t>
      </w:r>
      <w:r w:rsidRPr="00E77796">
        <w:t xml:space="preserve">VPI </w:t>
      </w:r>
      <w:r>
        <w:t xml:space="preserve">en qualité </w:t>
      </w:r>
      <w:r w:rsidRPr="00E77796">
        <w:t>d</w:t>
      </w:r>
      <w:r w:rsidR="00CE5FEC">
        <w:t>’</w:t>
      </w:r>
      <w:r w:rsidRPr="00E77796">
        <w:t>administration internationale, puisque la nomination ne prendrait effet qu</w:t>
      </w:r>
      <w:r w:rsidR="00CE5FEC">
        <w:t>’</w:t>
      </w:r>
      <w:r w:rsidRPr="00E77796">
        <w:t>à compter de l</w:t>
      </w:r>
      <w:r w:rsidR="00CE5FEC">
        <w:t>’</w:t>
      </w:r>
      <w:r w:rsidRPr="00E77796">
        <w:t>entrée en vigueur de l</w:t>
      </w:r>
      <w:r w:rsidR="00CE5FEC">
        <w:t>’</w:t>
      </w:r>
      <w:r w:rsidRPr="00E77796">
        <w:t>accord entre le</w:t>
      </w:r>
      <w:r>
        <w:t> </w:t>
      </w:r>
      <w:r w:rsidRPr="00E77796">
        <w:t xml:space="preserve">VPI et le Bureau international </w:t>
      </w:r>
      <w:r>
        <w:t>figurant</w:t>
      </w:r>
      <w:r w:rsidRPr="00E77796">
        <w:t xml:space="preserve"> à l</w:t>
      </w:r>
      <w:r w:rsidR="00CE5FEC">
        <w:t>’</w:t>
      </w:r>
      <w:r w:rsidRPr="00E77796">
        <w:t>annexe du docu</w:t>
      </w:r>
      <w:r>
        <w:t>ment PCT/A/47/6</w:t>
      </w:r>
      <w:r w:rsidRPr="00E77796">
        <w:t xml:space="preserve"> et que cet accord ne serait signé qu</w:t>
      </w:r>
      <w:r w:rsidR="00CE5FEC">
        <w:t>’</w:t>
      </w:r>
      <w:r w:rsidRPr="00E77796">
        <w:t>après l</w:t>
      </w:r>
      <w:r w:rsidR="00CE5FEC">
        <w:t>’</w:t>
      </w:r>
      <w:r w:rsidRPr="00E77796">
        <w:t>entrée en vigueur de l</w:t>
      </w:r>
      <w:r w:rsidR="00CE5FEC">
        <w:t>’</w:t>
      </w:r>
      <w:r w:rsidRPr="00E77796">
        <w:t>accord sur le</w:t>
      </w:r>
      <w:r>
        <w:t> </w:t>
      </w:r>
      <w:r w:rsidRPr="00E77796">
        <w:t>VPI et la création officielle du</w:t>
      </w:r>
      <w:r>
        <w:t> </w:t>
      </w:r>
      <w:r w:rsidRPr="00E77796">
        <w:t xml:space="preserve">VPI.  </w:t>
      </w:r>
      <w:r>
        <w:t>Le </w:t>
      </w:r>
      <w:r w:rsidRPr="00E77796">
        <w:t xml:space="preserve">VPI </w:t>
      </w:r>
      <w:r>
        <w:t>pourrait ainsi commencer à exercer les</w:t>
      </w:r>
      <w:r w:rsidRPr="00E77796">
        <w:t xml:space="preserve"> fonction</w:t>
      </w:r>
      <w:r>
        <w:t>s</w:t>
      </w:r>
      <w:r w:rsidRPr="00E77796">
        <w:t xml:space="preserve"> d</w:t>
      </w:r>
      <w:r w:rsidR="00CE5FEC">
        <w:t>’</w:t>
      </w:r>
      <w:r w:rsidRPr="00E77796">
        <w:t>administration chargée de la recherche internationale et de l</w:t>
      </w:r>
      <w:r w:rsidR="00CE5FEC">
        <w:t>’</w:t>
      </w:r>
      <w:r w:rsidRPr="00E77796">
        <w:t>examen préliminaire international le 1</w:t>
      </w:r>
      <w:r w:rsidRPr="00E77796">
        <w:rPr>
          <w:vertAlign w:val="superscript"/>
        </w:rPr>
        <w:t>er</w:t>
      </w:r>
      <w:r>
        <w:t> </w:t>
      </w:r>
      <w:r w:rsidRPr="00E77796">
        <w:t>juillet</w:t>
      </w:r>
      <w:r>
        <w:t> </w:t>
      </w:r>
      <w:r w:rsidRPr="00E77796">
        <w:t>2016, comme pré</w:t>
      </w:r>
      <w:r w:rsidR="001D67E8" w:rsidRPr="00E77796">
        <w:t>vu</w:t>
      </w:r>
      <w:r w:rsidR="001D67E8">
        <w:t>.  En</w:t>
      </w:r>
      <w:r>
        <w:t xml:space="preserve"> conclusion, les pays du </w:t>
      </w:r>
      <w:r w:rsidRPr="00E77796">
        <w:t>V4 étaient fermement convaincus que le</w:t>
      </w:r>
      <w:r>
        <w:t> </w:t>
      </w:r>
      <w:r w:rsidRPr="00E77796">
        <w:t>VPI serait en mesure de remplir tous les critères de nomination applicables aux administrations chargées de la r</w:t>
      </w:r>
      <w:r>
        <w:t>echerche internationale et de l</w:t>
      </w:r>
      <w:r w:rsidR="00CE5FEC">
        <w:t>’</w:t>
      </w:r>
      <w:r w:rsidRPr="00E77796">
        <w:t>examen préliminaire internation</w:t>
      </w:r>
      <w:r w:rsidR="001D67E8" w:rsidRPr="00E77796">
        <w:t>al</w:t>
      </w:r>
      <w:r w:rsidR="001D67E8">
        <w:t>.  De</w:t>
      </w:r>
      <w:r>
        <w:t xml:space="preserve"> par son action en qualité d</w:t>
      </w:r>
      <w:r w:rsidR="00CE5FEC">
        <w:t>’</w:t>
      </w:r>
      <w:r w:rsidRPr="00E77796">
        <w:t xml:space="preserve">administration internationale, </w:t>
      </w:r>
      <w:r>
        <w:t>il</w:t>
      </w:r>
      <w:r w:rsidRPr="00E77796">
        <w:t xml:space="preserve"> apporterait une contribution importante à la croissance économique, à la compétitivité et à l</w:t>
      </w:r>
      <w:r w:rsidR="00CE5FEC">
        <w:t>’</w:t>
      </w:r>
      <w:r w:rsidRPr="00E77796">
        <w:t>innovation dans la région et au</w:t>
      </w:r>
      <w:r w:rsidR="001D67E8">
        <w:noBreakHyphen/>
      </w:r>
      <w:r>
        <w:t>delà, ainsi qu</w:t>
      </w:r>
      <w:r w:rsidR="00CE5FEC">
        <w:t>’</w:t>
      </w:r>
      <w:r w:rsidRPr="00E77796">
        <w:t xml:space="preserve">au bon fonctionnement du système mondial </w:t>
      </w:r>
      <w:r>
        <w:t xml:space="preserve">des brevets </w:t>
      </w:r>
      <w:r w:rsidRPr="00E77796">
        <w:t xml:space="preserve">établi </w:t>
      </w:r>
      <w:r>
        <w:t xml:space="preserve">en vertu </w:t>
      </w:r>
      <w:r w:rsidRPr="00E77796">
        <w:t>du</w:t>
      </w:r>
      <w:r>
        <w:t> </w:t>
      </w:r>
      <w:r w:rsidRPr="00E77796">
        <w:t xml:space="preserve">PCT.  </w:t>
      </w:r>
      <w:r>
        <w:t>Par conséquent, les pays du </w:t>
      </w:r>
      <w:r w:rsidRPr="00E77796">
        <w:t xml:space="preserve">V4 </w:t>
      </w:r>
      <w:r>
        <w:t>demandaient</w:t>
      </w:r>
      <w:r w:rsidRPr="00E77796">
        <w:t xml:space="preserve"> à l</w:t>
      </w:r>
      <w:r w:rsidR="00CE5FEC">
        <w:t>’</w:t>
      </w:r>
      <w:r w:rsidRPr="00E77796">
        <w:t xml:space="preserve">assemblée de rendre une décision positive </w:t>
      </w:r>
      <w:r>
        <w:t>sur</w:t>
      </w:r>
      <w:r w:rsidRPr="00E77796">
        <w:t xml:space="preserve"> la demande et de nommer le</w:t>
      </w:r>
      <w:r>
        <w:t> </w:t>
      </w:r>
      <w:r w:rsidRPr="00E77796">
        <w:t>VPI en qualité d</w:t>
      </w:r>
      <w:r w:rsidR="00CE5FEC">
        <w:t>’</w:t>
      </w:r>
      <w:r w:rsidRPr="00E77796">
        <w:t>administration chargée de la recherche internationale et de l</w:t>
      </w:r>
      <w:r w:rsidR="00CE5FEC">
        <w:t>’</w:t>
      </w:r>
      <w:r w:rsidRPr="00E77796">
        <w:t>examen préliminaire international.</w:t>
      </w:r>
    </w:p>
    <w:p w:rsidR="0052560B" w:rsidRPr="00854CF9" w:rsidRDefault="0052560B" w:rsidP="0052560B">
      <w:pPr>
        <w:pStyle w:val="ONUMFS"/>
      </w:pPr>
      <w:r w:rsidRPr="00854CF9">
        <w:t>La délégation de la Roumanie, parlant au nom du groupe des pays d</w:t>
      </w:r>
      <w:r w:rsidR="00CE5FEC">
        <w:t>’</w:t>
      </w:r>
      <w:r w:rsidRPr="00854CF9">
        <w:t>Europe centrale et des États baltes, a appuyé la nomination du</w:t>
      </w:r>
      <w:r>
        <w:t> </w:t>
      </w:r>
      <w:r w:rsidRPr="00854CF9">
        <w:t>VPI en qualité d</w:t>
      </w:r>
      <w:r w:rsidR="00CE5FEC">
        <w:t>’</w:t>
      </w:r>
      <w:r w:rsidRPr="00854CF9">
        <w:t>administration chargée de la recherche internationale et de l</w:t>
      </w:r>
      <w:r w:rsidR="00CE5FEC">
        <w:t>’</w:t>
      </w:r>
      <w:r w:rsidRPr="00854CF9">
        <w:t>examen préliminaire international selon le</w:t>
      </w:r>
      <w:r>
        <w:t> </w:t>
      </w:r>
      <w:r w:rsidRPr="00854CF9">
        <w:t>PCT.  Elle était fermement convaincue que le</w:t>
      </w:r>
      <w:r>
        <w:t> </w:t>
      </w:r>
      <w:r w:rsidRPr="00854CF9">
        <w:t xml:space="preserve">VPI remplissait les </w:t>
      </w:r>
      <w:r>
        <w:t>exigences</w:t>
      </w:r>
      <w:r w:rsidRPr="00854CF9">
        <w:t xml:space="preserve"> prévues pour les administrations internationales selon le</w:t>
      </w:r>
      <w:r>
        <w:t> </w:t>
      </w:r>
      <w:r w:rsidRPr="00854CF9">
        <w:t>PCT et</w:t>
      </w:r>
      <w:r>
        <w:t xml:space="preserve"> qu</w:t>
      </w:r>
      <w:r w:rsidR="00CE5FEC">
        <w:t>’</w:t>
      </w:r>
      <w:r>
        <w:t>il</w:t>
      </w:r>
      <w:r w:rsidRPr="00854CF9">
        <w:t xml:space="preserve"> </w:t>
      </w:r>
      <w:r>
        <w:t>proposerait</w:t>
      </w:r>
      <w:r w:rsidRPr="00854CF9">
        <w:t xml:space="preserve"> aux déposants des services de qualité à des coûts plus attractifs, ce qui était particulièrement important pour les petites et moyennes entreprises </w:t>
      </w:r>
      <w:r w:rsidR="00067783">
        <w:t xml:space="preserve">(PME) </w:t>
      </w:r>
      <w:r w:rsidRPr="00854CF9">
        <w:t>et les inventeurs indépendan</w:t>
      </w:r>
      <w:r w:rsidR="001D67E8" w:rsidRPr="00854CF9">
        <w:t>ts</w:t>
      </w:r>
      <w:r w:rsidR="001D67E8">
        <w:t xml:space="preserve">.  </w:t>
      </w:r>
      <w:r w:rsidR="001D67E8" w:rsidRPr="00854CF9">
        <w:t>De</w:t>
      </w:r>
      <w:r w:rsidRPr="00854CF9">
        <w:t xml:space="preserve"> plus, le nouvel institut contribuerait à stimuler l</w:t>
      </w:r>
      <w:r w:rsidR="00CE5FEC">
        <w:t>’</w:t>
      </w:r>
      <w:r w:rsidRPr="00854CF9">
        <w:t>innovation et la créativité dans la région, dans l</w:t>
      </w:r>
      <w:r w:rsidR="00CE5FEC">
        <w:t>’</w:t>
      </w:r>
      <w:r w:rsidRPr="00854CF9">
        <w:t>intérêt des utilisateurs du système des brevets, et serait un partenaire actif et constructif dans le domaine de la coopération internationa</w:t>
      </w:r>
      <w:r w:rsidR="001D67E8" w:rsidRPr="00854CF9">
        <w:t>le</w:t>
      </w:r>
      <w:r w:rsidR="001D67E8">
        <w:t xml:space="preserve">.  </w:t>
      </w:r>
      <w:r w:rsidR="001D67E8" w:rsidRPr="00854CF9">
        <w:t>Le</w:t>
      </w:r>
      <w:r w:rsidRPr="00854CF9">
        <w:t xml:space="preserve"> groupe </w:t>
      </w:r>
      <w:r>
        <w:t>espérait que</w:t>
      </w:r>
      <w:r w:rsidRPr="00854CF9">
        <w:t xml:space="preserve"> l</w:t>
      </w:r>
      <w:r w:rsidR="00CE5FEC">
        <w:t>’</w:t>
      </w:r>
      <w:r w:rsidRPr="00854CF9">
        <w:t>ensemble des membres</w:t>
      </w:r>
      <w:r>
        <w:t xml:space="preserve"> appuierait la demande</w:t>
      </w:r>
      <w:r w:rsidRPr="00854CF9">
        <w:t>.</w:t>
      </w:r>
    </w:p>
    <w:p w:rsidR="0052560B" w:rsidRPr="00854CF9" w:rsidRDefault="0052560B" w:rsidP="0052560B">
      <w:pPr>
        <w:pStyle w:val="ONUMFS"/>
      </w:pPr>
      <w:r w:rsidRPr="00854CF9">
        <w:t>La délégation de l</w:t>
      </w:r>
      <w:r w:rsidR="00CE5FEC">
        <w:t>’</w:t>
      </w:r>
      <w:r w:rsidRPr="00854CF9">
        <w:t>Autriche a remercié le représentant du</w:t>
      </w:r>
      <w:r>
        <w:t> </w:t>
      </w:r>
      <w:r w:rsidRPr="00854CF9">
        <w:t xml:space="preserve">VPI pour son rapport contenant des informations supplémentaires qui, </w:t>
      </w:r>
      <w:r>
        <w:t>ajoutées aux</w:t>
      </w:r>
      <w:r w:rsidRPr="00854CF9">
        <w:t xml:space="preserve"> documents déjà </w:t>
      </w:r>
      <w:r>
        <w:t xml:space="preserve">mis à disposition </w:t>
      </w:r>
      <w:r w:rsidRPr="00854CF9">
        <w:t>lors de la réunion du Comité de coopération technique, constituaient des preuves convaincantes que l</w:t>
      </w:r>
      <w:r w:rsidR="00CE5FEC">
        <w:t>’</w:t>
      </w:r>
      <w:r w:rsidRPr="00854CF9">
        <w:t>institut remplissait pleinement les conditions de nomination en qualité d</w:t>
      </w:r>
      <w:r w:rsidR="00CE5FEC">
        <w:t>’</w:t>
      </w:r>
      <w:r w:rsidRPr="00854CF9">
        <w:t>administration chargée de la recherche internationale et de l</w:t>
      </w:r>
      <w:r w:rsidR="00CE5FEC">
        <w:t>’</w:t>
      </w:r>
      <w:r w:rsidRPr="00854CF9">
        <w:t>examen préliminaire international selon le</w:t>
      </w:r>
      <w:r>
        <w:t> </w:t>
      </w:r>
      <w:r w:rsidRPr="00854CF9">
        <w:t>PCT.  Sur la base de ces documents et de l</w:t>
      </w:r>
      <w:r w:rsidR="00CE5FEC">
        <w:t>’</w:t>
      </w:r>
      <w:r w:rsidRPr="00854CF9">
        <w:t xml:space="preserve">expérience positive tirée de différentes activités de coopération mises en </w:t>
      </w:r>
      <w:r>
        <w:t xml:space="preserve">œuvre </w:t>
      </w:r>
      <w:r w:rsidRPr="00854CF9">
        <w:t xml:space="preserve">avec les offices participants, la délégation, représentant une administration </w:t>
      </w:r>
      <w:r w:rsidRPr="00854CF9">
        <w:lastRenderedPageBreak/>
        <w:t xml:space="preserve">existante, a réaffirmé la position </w:t>
      </w:r>
      <w:r>
        <w:t>qu</w:t>
      </w:r>
      <w:r w:rsidR="00CE5FEC">
        <w:t>’</w:t>
      </w:r>
      <w:r>
        <w:t xml:space="preserve">elle avait </w:t>
      </w:r>
      <w:r w:rsidRPr="00854CF9">
        <w:t>déjà exprimée lors de la session du</w:t>
      </w:r>
      <w:r>
        <w:t> </w:t>
      </w:r>
      <w:r w:rsidRPr="00854CF9">
        <w:t>CTC</w:t>
      </w:r>
      <w:r>
        <w:t>,</w:t>
      </w:r>
      <w:r w:rsidRPr="00854CF9">
        <w:t xml:space="preserve"> selon laquelle elle appuyait pleinement la nomination du</w:t>
      </w:r>
      <w:r>
        <w:t> </w:t>
      </w:r>
      <w:r w:rsidRPr="00854CF9">
        <w:t>VPI en qualité d</w:t>
      </w:r>
      <w:r w:rsidR="00CE5FEC">
        <w:t>’</w:t>
      </w:r>
      <w:r w:rsidRPr="00854CF9">
        <w:t>administration chargée de la recherche internationale et de l</w:t>
      </w:r>
      <w:r w:rsidR="00CE5FEC">
        <w:t>’</w:t>
      </w:r>
      <w:r w:rsidRPr="00854CF9">
        <w:t>examen préliminaire international selon le</w:t>
      </w:r>
      <w:r>
        <w:t> </w:t>
      </w:r>
      <w:r w:rsidRPr="00854CF9">
        <w:t xml:space="preserve">PCT.  </w:t>
      </w:r>
      <w:r>
        <w:t>Elle</w:t>
      </w:r>
      <w:r w:rsidRPr="00854CF9">
        <w:t xml:space="preserve"> </w:t>
      </w:r>
      <w:r>
        <w:t xml:space="preserve">se réjouissait </w:t>
      </w:r>
      <w:r w:rsidRPr="00854CF9">
        <w:t>d</w:t>
      </w:r>
      <w:r w:rsidR="00CE5FEC">
        <w:t>’</w:t>
      </w:r>
      <w:r w:rsidRPr="00854CF9">
        <w:t>accueillir le</w:t>
      </w:r>
      <w:r>
        <w:t> </w:t>
      </w:r>
      <w:r w:rsidRPr="00854CF9">
        <w:t>VPI au sein de la famille des administrations du</w:t>
      </w:r>
      <w:r>
        <w:t> </w:t>
      </w:r>
      <w:r w:rsidRPr="00854CF9">
        <w:t xml:space="preserve">PCT et </w:t>
      </w:r>
      <w:r>
        <w:t>s</w:t>
      </w:r>
      <w:r w:rsidR="00CE5FEC">
        <w:t>’</w:t>
      </w:r>
      <w:r>
        <w:t xml:space="preserve">est dite </w:t>
      </w:r>
      <w:r w:rsidRPr="00854CF9">
        <w:t xml:space="preserve">prête à </w:t>
      </w:r>
      <w:r>
        <w:t xml:space="preserve">lui </w:t>
      </w:r>
      <w:r w:rsidRPr="00854CF9">
        <w:t>fournir un appui et une assistance pour lui permettre d</w:t>
      </w:r>
      <w:r w:rsidR="00CE5FEC">
        <w:t>’</w:t>
      </w:r>
      <w:r w:rsidRPr="00854CF9">
        <w:t xml:space="preserve">être opérationnel le plus </w:t>
      </w:r>
      <w:r>
        <w:t>vite</w:t>
      </w:r>
      <w:r w:rsidRPr="00854CF9">
        <w:t xml:space="preserve"> possib</w:t>
      </w:r>
      <w:r w:rsidR="001D67E8" w:rsidRPr="00854CF9">
        <w:t>le</w:t>
      </w:r>
      <w:r w:rsidR="001D67E8">
        <w:t xml:space="preserve">.  </w:t>
      </w:r>
      <w:r w:rsidR="001D67E8" w:rsidRPr="00854CF9">
        <w:t>La</w:t>
      </w:r>
      <w:r w:rsidRPr="00854CF9">
        <w:t xml:space="preserve"> délégation a souhaité bonne chance à l</w:t>
      </w:r>
      <w:r w:rsidR="00CE5FEC">
        <w:t>’</w:t>
      </w:r>
      <w:r w:rsidRPr="00854CF9">
        <w:t>institut et aux offices participants de la Hongrie, de la Pologne</w:t>
      </w:r>
      <w:r>
        <w:t>,</w:t>
      </w:r>
      <w:r w:rsidRPr="00854CF9">
        <w:t xml:space="preserve"> </w:t>
      </w:r>
      <w:r>
        <w:t>de la République tchèque et</w:t>
      </w:r>
      <w:r w:rsidRPr="00854CF9">
        <w:t xml:space="preserve"> de la Slovaquie.</w:t>
      </w:r>
    </w:p>
    <w:p w:rsidR="0052560B" w:rsidRDefault="0052560B" w:rsidP="0052560B">
      <w:pPr>
        <w:pStyle w:val="ONUMFS"/>
      </w:pPr>
      <w:r w:rsidRPr="00854CF9">
        <w:t>La délégation de l</w:t>
      </w:r>
      <w:r w:rsidR="00CE5FEC">
        <w:t>’</w:t>
      </w:r>
      <w:r w:rsidRPr="00854CF9">
        <w:t xml:space="preserve">Islande, parlant en </w:t>
      </w:r>
      <w:r>
        <w:t>tant que</w:t>
      </w:r>
      <w:r w:rsidRPr="00854CF9">
        <w:t xml:space="preserve"> présidente du Conseil d</w:t>
      </w:r>
      <w:r w:rsidR="00CE5FEC">
        <w:t>’</w:t>
      </w:r>
      <w:r w:rsidRPr="00854CF9">
        <w:t>administration du</w:t>
      </w:r>
      <w:r>
        <w:t> </w:t>
      </w:r>
      <w:r w:rsidRPr="00854CF9">
        <w:t xml:space="preserve">NPI, a remercié la délégation de la Hongrie pour </w:t>
      </w:r>
      <w:r>
        <w:t>l</w:t>
      </w:r>
      <w:r w:rsidRPr="00854CF9">
        <w:t xml:space="preserve">a présentation de </w:t>
      </w:r>
      <w:r>
        <w:t>l</w:t>
      </w:r>
      <w:r w:rsidRPr="00854CF9">
        <w:t>a demande de nominati</w:t>
      </w:r>
      <w:r w:rsidR="001D67E8" w:rsidRPr="00854CF9">
        <w:t>on</w:t>
      </w:r>
      <w:r w:rsidR="001D67E8">
        <w:t xml:space="preserve">.  </w:t>
      </w:r>
      <w:r w:rsidR="001D67E8" w:rsidRPr="00854CF9">
        <w:t>Da</w:t>
      </w:r>
      <w:r w:rsidRPr="00854CF9">
        <w:t>ns l</w:t>
      </w:r>
      <w:r w:rsidR="00CE5FEC">
        <w:t>’</w:t>
      </w:r>
      <w:r w:rsidRPr="00854CF9">
        <w:t xml:space="preserve">accord de principe sur les procédures de nomination des administrations internationales récemment adopté, il </w:t>
      </w:r>
      <w:r>
        <w:t>était</w:t>
      </w:r>
      <w:r w:rsidRPr="00854CF9">
        <w:t xml:space="preserve"> indiqué que les offices souhaitant présenter leur candidature étai</w:t>
      </w:r>
      <w:r>
        <w:t>en</w:t>
      </w:r>
      <w:r w:rsidRPr="00854CF9">
        <w:t>t vivement encouragés à demander l</w:t>
      </w:r>
      <w:r w:rsidR="00CE5FEC">
        <w:t>’</w:t>
      </w:r>
      <w:r w:rsidRPr="00854CF9">
        <w:t>assistance d</w:t>
      </w:r>
      <w:r w:rsidR="00CE5FEC">
        <w:t>’</w:t>
      </w:r>
      <w:r w:rsidRPr="00854CF9">
        <w:t xml:space="preserve">une ou plusieurs administrations internationales existantes </w:t>
      </w:r>
      <w:r>
        <w:t>pour</w:t>
      </w:r>
      <w:r w:rsidRPr="00854CF9">
        <w:t xml:space="preserve"> déterminer dans quelle mesure ils remplissaient les </w:t>
      </w:r>
      <w:r>
        <w:t xml:space="preserve">exigences de </w:t>
      </w:r>
      <w:r w:rsidRPr="00854CF9">
        <w:t>la règle</w:t>
      </w:r>
      <w:r>
        <w:t> </w:t>
      </w:r>
      <w:r w:rsidRPr="00854CF9">
        <w:t>36.1 du règlement d</w:t>
      </w:r>
      <w:r w:rsidR="00CE5FEC">
        <w:t>’</w:t>
      </w:r>
      <w:r w:rsidRPr="00854CF9">
        <w:t>exécution du</w:t>
      </w:r>
      <w:r>
        <w:t> </w:t>
      </w:r>
      <w:r w:rsidRPr="00854CF9">
        <w:t xml:space="preserve">PCT.  Conformément </w:t>
      </w:r>
      <w:r>
        <w:t>à ces</w:t>
      </w:r>
      <w:r w:rsidRPr="00854CF9">
        <w:t xml:space="preserve"> nouvelles procédures, le</w:t>
      </w:r>
      <w:r>
        <w:t> </w:t>
      </w:r>
      <w:r w:rsidRPr="00854CF9">
        <w:t>NPI avait été invité à se rendre dans deux</w:t>
      </w:r>
      <w:r>
        <w:t> </w:t>
      </w:r>
      <w:r w:rsidRPr="00854CF9">
        <w:t>des quatre</w:t>
      </w:r>
      <w:r>
        <w:t> </w:t>
      </w:r>
      <w:r w:rsidRPr="00854CF9">
        <w:t xml:space="preserve">offices </w:t>
      </w:r>
      <w:r>
        <w:t>membres du </w:t>
      </w:r>
      <w:r w:rsidRPr="00854CF9">
        <w:t xml:space="preserve">VPI, </w:t>
      </w:r>
      <w:r w:rsidR="00CE5FEC">
        <w:t>à savoir</w:t>
      </w:r>
      <w:r w:rsidRPr="00854CF9">
        <w:t xml:space="preserve"> l</w:t>
      </w:r>
      <w:r w:rsidR="00CE5FEC">
        <w:t>’</w:t>
      </w:r>
      <w:r w:rsidRPr="00854CF9">
        <w:t>Office de la propriété industrielle de la République tchèque et l</w:t>
      </w:r>
      <w:r w:rsidR="00CE5FEC">
        <w:t>’</w:t>
      </w:r>
      <w:r w:rsidRPr="00854CF9">
        <w:t>Office des brevets de la République de Polog</w:t>
      </w:r>
      <w:r w:rsidR="001D67E8" w:rsidRPr="00854CF9">
        <w:t>ne</w:t>
      </w:r>
      <w:r w:rsidR="001D67E8">
        <w:t xml:space="preserve">.  </w:t>
      </w:r>
      <w:r w:rsidR="001D67E8" w:rsidRPr="00854CF9">
        <w:t>Au</w:t>
      </w:r>
      <w:r w:rsidRPr="00854CF9">
        <w:t xml:space="preserve"> cours de leur visite, les représentants du</w:t>
      </w:r>
      <w:r>
        <w:t> </w:t>
      </w:r>
      <w:r w:rsidRPr="00854CF9">
        <w:t xml:space="preserve">NPI </w:t>
      </w:r>
      <w:r>
        <w:t>avaient</w:t>
      </w:r>
      <w:r w:rsidRPr="00854CF9">
        <w:t xml:space="preserve"> obtenu des informations détaillées sur la création du</w:t>
      </w:r>
      <w:r>
        <w:t> </w:t>
      </w:r>
      <w:r w:rsidRPr="00854CF9">
        <w:t xml:space="preserve">VPI, </w:t>
      </w:r>
      <w:r>
        <w:t xml:space="preserve">son système de </w:t>
      </w:r>
      <w:r w:rsidRPr="00854CF9">
        <w:t xml:space="preserve">gestion de la qualité et son cadre juridique, ainsi que </w:t>
      </w:r>
      <w:r>
        <w:t xml:space="preserve">des renseignements </w:t>
      </w:r>
      <w:r w:rsidRPr="00854CF9">
        <w:t>sur la manière dont il respect</w:t>
      </w:r>
      <w:r>
        <w:t>ait</w:t>
      </w:r>
      <w:r w:rsidRPr="00854CF9">
        <w:t xml:space="preserve">, </w:t>
      </w:r>
      <w:r>
        <w:t xml:space="preserve">grâce à </w:t>
      </w:r>
      <w:r w:rsidRPr="00854CF9">
        <w:t>ses quatre</w:t>
      </w:r>
      <w:r>
        <w:t> </w:t>
      </w:r>
      <w:r w:rsidRPr="00854CF9">
        <w:t>offices participants, les conditions requises pour obtenir le statut d</w:t>
      </w:r>
      <w:r w:rsidR="00CE5FEC">
        <w:t>’</w:t>
      </w:r>
      <w:r w:rsidRPr="00854CF9">
        <w:t>administration chargée de la recherche internationale et de l</w:t>
      </w:r>
      <w:r w:rsidR="00CE5FEC">
        <w:t>’</w:t>
      </w:r>
      <w:r w:rsidRPr="00854CF9">
        <w:t>examen préliminaire internation</w:t>
      </w:r>
      <w:r w:rsidR="001D67E8" w:rsidRPr="00854CF9">
        <w:t>al</w:t>
      </w:r>
      <w:r w:rsidR="001D67E8">
        <w:t>.  Le</w:t>
      </w:r>
      <w:r>
        <w:t>s principales conclusions de</w:t>
      </w:r>
      <w:r w:rsidRPr="00854CF9">
        <w:t xml:space="preserve"> l</w:t>
      </w:r>
      <w:r w:rsidR="00CE5FEC">
        <w:t>’</w:t>
      </w:r>
      <w:r w:rsidRPr="00854CF9">
        <w:t>évaluation visant à déterminer dans quelle mesure le</w:t>
      </w:r>
      <w:r>
        <w:t> </w:t>
      </w:r>
      <w:r w:rsidRPr="00854CF9">
        <w:t>VPI remplissait les conditions de no</w:t>
      </w:r>
      <w:r>
        <w:t>mination de la règle 36.1 figuraient</w:t>
      </w:r>
      <w:r w:rsidRPr="00854CF9">
        <w:t xml:space="preserve"> dans le rapport du</w:t>
      </w:r>
      <w:r>
        <w:t> </w:t>
      </w:r>
      <w:r w:rsidRPr="00854CF9">
        <w:t xml:space="preserve">NPI joint au document PCT/CTC/28/2, en annexe </w:t>
      </w:r>
      <w:r>
        <w:t>d</w:t>
      </w:r>
      <w:r w:rsidRPr="00854CF9">
        <w:t>u document PCT/A/47/6.  Le modèle de coopération du</w:t>
      </w:r>
      <w:r>
        <w:t> </w:t>
      </w:r>
      <w:r w:rsidRPr="00854CF9">
        <w:t xml:space="preserve">VPI </w:t>
      </w:r>
      <w:r>
        <w:t>s</w:t>
      </w:r>
      <w:r w:rsidR="00CE5FEC">
        <w:t>’</w:t>
      </w:r>
      <w:r>
        <w:t>inspirait de</w:t>
      </w:r>
      <w:r w:rsidRPr="00854CF9">
        <w:t xml:space="preserve"> celui du</w:t>
      </w:r>
      <w:r>
        <w:t> </w:t>
      </w:r>
      <w:r w:rsidRPr="00854CF9">
        <w:t xml:space="preserve">NPI qui, </w:t>
      </w:r>
      <w:r>
        <w:t xml:space="preserve">comme </w:t>
      </w:r>
      <w:r w:rsidRPr="00854CF9">
        <w:t>l</w:t>
      </w:r>
      <w:r w:rsidR="00CE5FEC">
        <w:t>’</w:t>
      </w:r>
      <w:r w:rsidRPr="00854CF9">
        <w:t>a</w:t>
      </w:r>
      <w:r>
        <w:t>vait</w:t>
      </w:r>
      <w:r w:rsidRPr="00854CF9">
        <w:t xml:space="preserve"> déclaré la délégation de la Hongrie, avait largement fait ses preuv</w:t>
      </w:r>
      <w:r w:rsidR="001D67E8" w:rsidRPr="00854CF9">
        <w:t>es</w:t>
      </w:r>
      <w:r w:rsidR="001D67E8">
        <w:t xml:space="preserve">.  </w:t>
      </w:r>
      <w:r w:rsidR="001D67E8" w:rsidRPr="00854CF9">
        <w:t>La</w:t>
      </w:r>
      <w:r w:rsidRPr="00854CF9">
        <w:t xml:space="preserve"> visite du</w:t>
      </w:r>
      <w:r>
        <w:t> </w:t>
      </w:r>
      <w:r w:rsidRPr="00854CF9">
        <w:t>NPI à l</w:t>
      </w:r>
      <w:r w:rsidR="00CE5FEC">
        <w:t>’</w:t>
      </w:r>
      <w:r w:rsidRPr="00854CF9">
        <w:t>Office de la propriété industrielle de la République tchèque et à l</w:t>
      </w:r>
      <w:r w:rsidR="00CE5FEC">
        <w:t>’</w:t>
      </w:r>
      <w:r w:rsidRPr="00854CF9">
        <w:t>Office des brevets de la République de Pologne n</w:t>
      </w:r>
      <w:r w:rsidR="00CE5FEC">
        <w:t>’</w:t>
      </w:r>
      <w:r w:rsidRPr="00854CF9">
        <w:t>avait révélé aucun point particulier concernant le respect par le</w:t>
      </w:r>
      <w:r>
        <w:t> </w:t>
      </w:r>
      <w:r w:rsidRPr="00854CF9">
        <w:t>VPI des conditions requises visées à la règle</w:t>
      </w:r>
      <w:r>
        <w:t> </w:t>
      </w:r>
      <w:r w:rsidRPr="00854CF9">
        <w:t>36.1 du règlement d</w:t>
      </w:r>
      <w:r w:rsidR="00CE5FEC">
        <w:t>’</w:t>
      </w:r>
      <w:r w:rsidRPr="00854CF9">
        <w:t>exécution du</w:t>
      </w:r>
      <w:r>
        <w:t> </w:t>
      </w:r>
      <w:r w:rsidRPr="00854CF9">
        <w:t xml:space="preserve">PCT.  </w:t>
      </w:r>
      <w:r>
        <w:t>Au contraire, e</w:t>
      </w:r>
      <w:r w:rsidRPr="00854CF9">
        <w:t>lle avait permis d</w:t>
      </w:r>
      <w:r w:rsidR="00CE5FEC">
        <w:t>’</w:t>
      </w:r>
      <w:r w:rsidRPr="00854CF9">
        <w:t xml:space="preserve">apprécier les compétences et </w:t>
      </w:r>
      <w:r>
        <w:t xml:space="preserve">les </w:t>
      </w:r>
      <w:r w:rsidRPr="00854CF9">
        <w:t>normes de haut niveau fixées par les membres du</w:t>
      </w:r>
      <w:r>
        <w:t> </w:t>
      </w:r>
      <w:r w:rsidRPr="00854CF9">
        <w:t>VPI</w:t>
      </w:r>
      <w:r w:rsidRPr="00E33E33">
        <w:t xml:space="preserve"> </w:t>
      </w:r>
      <w:r w:rsidRPr="00854CF9">
        <w:t>comme fondement de leur organisati</w:t>
      </w:r>
      <w:r w:rsidR="001D67E8" w:rsidRPr="00854CF9">
        <w:t>on</w:t>
      </w:r>
      <w:r w:rsidR="001D67E8">
        <w:t xml:space="preserve">.  </w:t>
      </w:r>
      <w:r w:rsidR="001D67E8" w:rsidRPr="00854CF9">
        <w:t>Le</w:t>
      </w:r>
      <w:r>
        <w:t> </w:t>
      </w:r>
      <w:r w:rsidRPr="00854CF9">
        <w:t>NPI appuyait pleinement la nomination du</w:t>
      </w:r>
      <w:r>
        <w:t> </w:t>
      </w:r>
      <w:r w:rsidRPr="00854CF9">
        <w:t>VPI en qualité d</w:t>
      </w:r>
      <w:r w:rsidR="00CE5FEC">
        <w:t>’</w:t>
      </w:r>
      <w:r w:rsidRPr="00854CF9">
        <w:t>administration chargée de la recherche internationale et de l</w:t>
      </w:r>
      <w:r w:rsidR="00CE5FEC">
        <w:t>’</w:t>
      </w:r>
      <w:r w:rsidRPr="00854CF9">
        <w:t>examen préliminaire international selon le</w:t>
      </w:r>
      <w:r>
        <w:t> </w:t>
      </w:r>
      <w:r w:rsidRPr="00854CF9">
        <w:t>PCT.</w:t>
      </w:r>
    </w:p>
    <w:p w:rsidR="0052560B" w:rsidRDefault="0052560B" w:rsidP="0052560B">
      <w:pPr>
        <w:pStyle w:val="ONUMFS"/>
      </w:pPr>
      <w:r w:rsidRPr="00854CF9">
        <w:t>La délégation du Japon a déclaré qu</w:t>
      </w:r>
      <w:r w:rsidR="00CE5FEC">
        <w:t>’</w:t>
      </w:r>
      <w:r w:rsidRPr="00854CF9">
        <w:t>elle accueillait chaleureusement tous les efforts que le</w:t>
      </w:r>
      <w:r>
        <w:t> </w:t>
      </w:r>
      <w:r w:rsidRPr="00854CF9">
        <w:t xml:space="preserve">VPI pourrait déployer pour contribuer </w:t>
      </w:r>
      <w:r>
        <w:t xml:space="preserve">au développement </w:t>
      </w:r>
      <w:r w:rsidRPr="00854CF9">
        <w:t>du système du</w:t>
      </w:r>
      <w:r>
        <w:t> </w:t>
      </w:r>
      <w:r w:rsidRPr="00854CF9">
        <w:t xml:space="preserve">PCT, </w:t>
      </w:r>
      <w:r>
        <w:t xml:space="preserve">qui était </w:t>
      </w:r>
      <w:r w:rsidRPr="00854CF9">
        <w:t>un instrument important pour l</w:t>
      </w:r>
      <w:r w:rsidR="00CE5FEC">
        <w:t>’</w:t>
      </w:r>
      <w:r w:rsidRPr="00854CF9">
        <w:t xml:space="preserve">ensemble des innovateurs </w:t>
      </w:r>
      <w:r>
        <w:t xml:space="preserve">souhaitant </w:t>
      </w:r>
      <w:r w:rsidRPr="00854CF9">
        <w:t>obtenir une protection par brevet au niveau internation</w:t>
      </w:r>
      <w:r w:rsidR="001D67E8" w:rsidRPr="00854CF9">
        <w:t>al</w:t>
      </w:r>
      <w:r w:rsidR="001D67E8">
        <w:t>.  Co</w:t>
      </w:r>
      <w:r>
        <w:t xml:space="preserve">mme </w:t>
      </w:r>
      <w:r w:rsidRPr="00854CF9">
        <w:t>l</w:t>
      </w:r>
      <w:r w:rsidR="00CE5FEC">
        <w:t>’</w:t>
      </w:r>
      <w:r w:rsidRPr="00854CF9">
        <w:t xml:space="preserve">avait </w:t>
      </w:r>
      <w:r>
        <w:t xml:space="preserve">indiqué </w:t>
      </w:r>
      <w:r w:rsidRPr="00854CF9">
        <w:t xml:space="preserve">la délégation de la Hongrie, </w:t>
      </w:r>
      <w:r>
        <w:t>l</w:t>
      </w:r>
      <w:r w:rsidR="00CE5FEC">
        <w:t>’</w:t>
      </w:r>
      <w:r>
        <w:t>Office des brevets du Japon (J</w:t>
      </w:r>
      <w:r w:rsidRPr="00854CF9">
        <w:t xml:space="preserve">PO) avait signé un accord </w:t>
      </w:r>
      <w:r>
        <w:t>de coopération avec les offices du </w:t>
      </w:r>
      <w:r w:rsidRPr="00854CF9">
        <w:t>V4 en septembre</w:t>
      </w:r>
      <w:r>
        <w:t> </w:t>
      </w:r>
      <w:r w:rsidRPr="00854CF9">
        <w:t>2014.  Conformément à ce</w:t>
      </w:r>
      <w:r>
        <w:t>t accord</w:t>
      </w:r>
      <w:r w:rsidRPr="00854CF9">
        <w:t xml:space="preserve">, </w:t>
      </w:r>
      <w:r>
        <w:t xml:space="preserve">il </w:t>
      </w:r>
      <w:r w:rsidRPr="00854CF9">
        <w:t>avait envoyé des experts à l</w:t>
      </w:r>
      <w:r w:rsidR="00CE5FEC">
        <w:t>’</w:t>
      </w:r>
      <w:r w:rsidRPr="00854CF9">
        <w:t>Office hongrois de la propriété intellectuelle et à l</w:t>
      </w:r>
      <w:r w:rsidR="00CE5FEC">
        <w:t>’</w:t>
      </w:r>
      <w:r w:rsidRPr="00854CF9">
        <w:t>Office de l</w:t>
      </w:r>
      <w:r>
        <w:t>a propriété industrielle de la R</w:t>
      </w:r>
      <w:r w:rsidRPr="00854CF9">
        <w:t>épublique slovaq</w:t>
      </w:r>
      <w:r w:rsidR="001D67E8" w:rsidRPr="00854CF9">
        <w:t>ue</w:t>
      </w:r>
      <w:r w:rsidR="001D67E8">
        <w:t xml:space="preserve">.  </w:t>
      </w:r>
      <w:r w:rsidR="001D67E8" w:rsidRPr="00854CF9">
        <w:t>Su</w:t>
      </w:r>
      <w:r w:rsidRPr="00854CF9">
        <w:t>r la base des observations faites par les experts, il a</w:t>
      </w:r>
      <w:r>
        <w:t>vait</w:t>
      </w:r>
      <w:r w:rsidRPr="00854CF9">
        <w:t xml:space="preserve"> été noté que le</w:t>
      </w:r>
      <w:r>
        <w:t> </w:t>
      </w:r>
      <w:r w:rsidRPr="00854CF9">
        <w:t>VPI remplissait les conditions requises pour obtenir le statut d</w:t>
      </w:r>
      <w:r w:rsidR="00CE5FEC">
        <w:t>’</w:t>
      </w:r>
      <w:r w:rsidRPr="00854CF9">
        <w:t>administration chargée de la recherche internationale et de l</w:t>
      </w:r>
      <w:r w:rsidR="00CE5FEC">
        <w:t>’</w:t>
      </w:r>
      <w:r w:rsidRPr="00854CF9">
        <w:t xml:space="preserve">examen préliminaire international </w:t>
      </w:r>
      <w:r>
        <w:t xml:space="preserve">en ce qui </w:t>
      </w:r>
      <w:r w:rsidRPr="00854CF9">
        <w:t>concerna</w:t>
      </w:r>
      <w:r>
        <w:t>i</w:t>
      </w:r>
      <w:r w:rsidRPr="00854CF9">
        <w:t>t le nombre d</w:t>
      </w:r>
      <w:r w:rsidR="00CE5FEC">
        <w:t>’</w:t>
      </w:r>
      <w:r w:rsidRPr="00854CF9">
        <w:t>examinateurs, la documentation minimale du</w:t>
      </w:r>
      <w:r>
        <w:t> </w:t>
      </w:r>
      <w:r w:rsidRPr="00854CF9">
        <w:t xml:space="preserve">PCT et les compétences des examinateurs.  </w:t>
      </w:r>
      <w:r>
        <w:t>À </w:t>
      </w:r>
      <w:r w:rsidRPr="00854CF9">
        <w:t>sa session de mai, le Comité de coopération technique du</w:t>
      </w:r>
      <w:r>
        <w:t> </w:t>
      </w:r>
      <w:r w:rsidRPr="00854CF9">
        <w:t>PCT était convenu à l</w:t>
      </w:r>
      <w:r w:rsidR="00CE5FEC">
        <w:t>’</w:t>
      </w:r>
      <w:r w:rsidRPr="00854CF9">
        <w:t>unanimité de recommander à l</w:t>
      </w:r>
      <w:r w:rsidR="00CE5FEC">
        <w:t>’</w:t>
      </w:r>
      <w:r w:rsidRPr="00854CF9">
        <w:t>Assemblée de l</w:t>
      </w:r>
      <w:r w:rsidR="00CE5FEC">
        <w:t>’</w:t>
      </w:r>
      <w:r w:rsidRPr="00854CF9">
        <w:t>Union du</w:t>
      </w:r>
      <w:r>
        <w:t> </w:t>
      </w:r>
      <w:r w:rsidRPr="00854CF9">
        <w:t>PCT de nommer le</w:t>
      </w:r>
      <w:r>
        <w:t> </w:t>
      </w:r>
      <w:r w:rsidRPr="00854CF9">
        <w:t>VPI en qualité d</w:t>
      </w:r>
      <w:r w:rsidR="00CE5FEC">
        <w:t>’</w:t>
      </w:r>
      <w:r w:rsidRPr="00854CF9">
        <w:t>administration chargée de la recherche internationale et de l</w:t>
      </w:r>
      <w:r w:rsidR="00CE5FEC">
        <w:t>’</w:t>
      </w:r>
      <w:r w:rsidRPr="00854CF9">
        <w:t>examen préliminaire international selon le</w:t>
      </w:r>
      <w:r>
        <w:t> </w:t>
      </w:r>
      <w:r w:rsidRPr="00854CF9">
        <w:t xml:space="preserve">PCT.  </w:t>
      </w:r>
      <w:r>
        <w:t>De plus</w:t>
      </w:r>
      <w:r w:rsidRPr="00854CF9">
        <w:t xml:space="preserve">, </w:t>
      </w:r>
      <w:r>
        <w:t>comme</w:t>
      </w:r>
      <w:r w:rsidRPr="00854CF9">
        <w:t xml:space="preserve"> le système de gestion de la qualité </w:t>
      </w:r>
      <w:r>
        <w:t>et</w:t>
      </w:r>
      <w:r w:rsidRPr="00854CF9">
        <w:t xml:space="preserve"> les modalités d</w:t>
      </w:r>
      <w:r w:rsidR="00CE5FEC">
        <w:t>’</w:t>
      </w:r>
      <w:r w:rsidRPr="00854CF9">
        <w:t xml:space="preserve">évaluation interne étaient </w:t>
      </w:r>
      <w:r>
        <w:t>parfaitement</w:t>
      </w:r>
      <w:r w:rsidRPr="00854CF9">
        <w:t xml:space="preserve"> prévues au sein du</w:t>
      </w:r>
      <w:r>
        <w:t> </w:t>
      </w:r>
      <w:r w:rsidRPr="00854CF9">
        <w:t>VPI, la délégation considérait que ce</w:t>
      </w:r>
      <w:r>
        <w:t>lui</w:t>
      </w:r>
      <w:r w:rsidR="001D67E8">
        <w:rPr>
          <w:color w:val="000000"/>
          <w:szCs w:val="22"/>
        </w:rPr>
        <w:noBreakHyphen/>
      </w:r>
      <w:r>
        <w:rPr>
          <w:color w:val="000000"/>
          <w:szCs w:val="22"/>
        </w:rPr>
        <w:t>ci</w:t>
      </w:r>
      <w:r>
        <w:t xml:space="preserve"> </w:t>
      </w:r>
      <w:r w:rsidRPr="00854CF9">
        <w:t xml:space="preserve">remplissait </w:t>
      </w:r>
      <w:r>
        <w:t>d</w:t>
      </w:r>
      <w:r w:rsidR="00CE5FEC">
        <w:t>’</w:t>
      </w:r>
      <w:r>
        <w:t xml:space="preserve">une manière générale </w:t>
      </w:r>
      <w:r w:rsidRPr="00854CF9">
        <w:t xml:space="preserve">les </w:t>
      </w:r>
      <w:r>
        <w:t>exigences fixé</w:t>
      </w:r>
      <w:r w:rsidR="001D67E8">
        <w:t xml:space="preserve">es.  </w:t>
      </w:r>
      <w:r w:rsidR="001D67E8" w:rsidRPr="00854CF9">
        <w:t>Pa</w:t>
      </w:r>
      <w:r w:rsidRPr="00854CF9">
        <w:t xml:space="preserve">r conséquent, </w:t>
      </w:r>
      <w:r>
        <w:t>elle appuyait pleinement sa</w:t>
      </w:r>
      <w:r w:rsidRPr="00854CF9">
        <w:t xml:space="preserve"> nomination en qualité d</w:t>
      </w:r>
      <w:r w:rsidR="00CE5FEC">
        <w:t>’</w:t>
      </w:r>
      <w:r w:rsidRPr="00854CF9">
        <w:t>administration chargée de la recherche internationale et de l</w:t>
      </w:r>
      <w:r w:rsidR="00CE5FEC">
        <w:t>’</w:t>
      </w:r>
      <w:r w:rsidRPr="00854CF9">
        <w:t>examen préliminaire internation</w:t>
      </w:r>
      <w:r w:rsidR="001D67E8" w:rsidRPr="00854CF9">
        <w:t>al</w:t>
      </w:r>
      <w:r w:rsidR="001D67E8">
        <w:t>.  En</w:t>
      </w:r>
      <w:r>
        <w:t xml:space="preserve"> outre</w:t>
      </w:r>
      <w:r w:rsidRPr="00854CF9">
        <w:t xml:space="preserve">, </w:t>
      </w:r>
      <w:r>
        <w:t>elle a</w:t>
      </w:r>
      <w:r w:rsidRPr="00854CF9">
        <w:t xml:space="preserve"> fait observer que la coopération avait été également bénéfique </w:t>
      </w:r>
      <w:r>
        <w:t>pour le</w:t>
      </w:r>
      <w:r w:rsidRPr="00854CF9">
        <w:t xml:space="preserve"> Japon et que le</w:t>
      </w:r>
      <w:r>
        <w:t> </w:t>
      </w:r>
      <w:r w:rsidRPr="00854CF9">
        <w:t xml:space="preserve">JPO souhaitait </w:t>
      </w:r>
      <w:r>
        <w:t xml:space="preserve">se servir de </w:t>
      </w:r>
      <w:r w:rsidRPr="00854CF9">
        <w:t xml:space="preserve">cette expérience </w:t>
      </w:r>
      <w:r>
        <w:t>pour sa participation aux</w:t>
      </w:r>
      <w:r w:rsidRPr="00854CF9">
        <w:t xml:space="preserve"> débats au sein du </w:t>
      </w:r>
      <w:r>
        <w:t>Groupe</w:t>
      </w:r>
      <w:r w:rsidRPr="00854CF9">
        <w:t xml:space="preserve"> de travail du</w:t>
      </w:r>
      <w:r>
        <w:t> </w:t>
      </w:r>
      <w:r w:rsidRPr="00854CF9">
        <w:t>PCT et du Sous</w:t>
      </w:r>
      <w:r w:rsidR="001D67E8">
        <w:noBreakHyphen/>
      </w:r>
      <w:r w:rsidRPr="00854CF9">
        <w:t>Groupe chargé de la qualité de la Réunion des administrations internationales</w:t>
      </w:r>
      <w:r>
        <w:t xml:space="preserve"> selon le PCT</w:t>
      </w:r>
      <w:r w:rsidRPr="00854CF9">
        <w:t>.</w:t>
      </w:r>
    </w:p>
    <w:p w:rsidR="0052560B" w:rsidRPr="00854CF9" w:rsidRDefault="0052560B" w:rsidP="0052560B">
      <w:pPr>
        <w:pStyle w:val="ONUMFS"/>
      </w:pPr>
      <w:r w:rsidRPr="00854CF9">
        <w:lastRenderedPageBreak/>
        <w:t>La délégation de l</w:t>
      </w:r>
      <w:r w:rsidR="00CE5FEC">
        <w:t>’</w:t>
      </w:r>
      <w:r w:rsidRPr="00854CF9">
        <w:t>Ukraine a fait observer que le Service d</w:t>
      </w:r>
      <w:r w:rsidR="00CE5FEC">
        <w:t>’</w:t>
      </w:r>
      <w:r w:rsidRPr="00854CF9">
        <w:t>État de la propriété intellectuelle de l</w:t>
      </w:r>
      <w:r w:rsidR="00CE5FEC">
        <w:t>’</w:t>
      </w:r>
      <w:r w:rsidRPr="00854CF9">
        <w:t>Ukraine avait été nommé en qualité d</w:t>
      </w:r>
      <w:r w:rsidR="00CE5FEC">
        <w:t>’</w:t>
      </w:r>
      <w:r w:rsidRPr="00854CF9">
        <w:t>administration chargée de la recherche internationale et de l</w:t>
      </w:r>
      <w:r w:rsidR="00CE5FEC">
        <w:t>’</w:t>
      </w:r>
      <w:r w:rsidRPr="00854CF9">
        <w:t>examen préliminaire international selon le</w:t>
      </w:r>
      <w:r>
        <w:t> </w:t>
      </w:r>
      <w:r w:rsidRPr="00854CF9">
        <w:t>PCT en octobre</w:t>
      </w:r>
      <w:r>
        <w:t> </w:t>
      </w:r>
      <w:r w:rsidRPr="00854CF9">
        <w:t xml:space="preserve">2013 et a </w:t>
      </w:r>
      <w:r>
        <w:t>déclaré</w:t>
      </w:r>
      <w:r w:rsidRPr="00854CF9">
        <w:t xml:space="preserve"> appuyer pleinement la nomination du</w:t>
      </w:r>
      <w:r>
        <w:t> </w:t>
      </w:r>
      <w:r w:rsidRPr="00854CF9">
        <w:t>VPI en qualité d</w:t>
      </w:r>
      <w:r w:rsidR="00CE5FEC">
        <w:t>’</w:t>
      </w:r>
      <w:r w:rsidRPr="00854CF9">
        <w:t>administration internationa</w:t>
      </w:r>
      <w:r w:rsidR="001D67E8" w:rsidRPr="00854CF9">
        <w:t>le</w:t>
      </w:r>
      <w:r w:rsidR="001D67E8">
        <w:t>.  El</w:t>
      </w:r>
      <w:r>
        <w:t xml:space="preserve">le </w:t>
      </w:r>
      <w:r w:rsidRPr="00854CF9">
        <w:t>était convaincue qu</w:t>
      </w:r>
      <w:r w:rsidR="00CE5FEC">
        <w:t>’</w:t>
      </w:r>
      <w:r>
        <w:t>il</w:t>
      </w:r>
      <w:r w:rsidRPr="00854CF9">
        <w:t xml:space="preserve"> exercerait ses fonctions </w:t>
      </w:r>
      <w:r>
        <w:t>de manière efficace</w:t>
      </w:r>
      <w:r w:rsidRPr="00854CF9">
        <w:t xml:space="preserve"> et </w:t>
      </w:r>
      <w:r>
        <w:t>dans le respect de toutes</w:t>
      </w:r>
      <w:r w:rsidRPr="00854CF9">
        <w:t xml:space="preserve"> les exigences requises.</w:t>
      </w:r>
    </w:p>
    <w:p w:rsidR="0052560B" w:rsidRPr="00854CF9" w:rsidRDefault="0052560B" w:rsidP="0052560B">
      <w:pPr>
        <w:pStyle w:val="ONUMFS"/>
      </w:pPr>
      <w:r w:rsidRPr="00854CF9">
        <w:t>La délégation du Chili a déclaré qu</w:t>
      </w:r>
      <w:r w:rsidR="00CE5FEC">
        <w:t>’</w:t>
      </w:r>
      <w:r w:rsidRPr="00854CF9">
        <w:t>elle appuyait fermement la nomination du</w:t>
      </w:r>
      <w:r>
        <w:t> </w:t>
      </w:r>
      <w:r w:rsidRPr="00854CF9">
        <w:t xml:space="preserve">VPI en </w:t>
      </w:r>
      <w:r>
        <w:t>qualité</w:t>
      </w:r>
      <w:r w:rsidRPr="00854CF9">
        <w:t xml:space="preserve"> </w:t>
      </w:r>
      <w:r>
        <w:t>d</w:t>
      </w:r>
      <w:r w:rsidR="00CE5FEC">
        <w:t>’</w:t>
      </w:r>
      <w:r w:rsidRPr="00854CF9">
        <w:t>administration chargée de la recherche internationale et de l</w:t>
      </w:r>
      <w:r w:rsidR="00CE5FEC">
        <w:t>’</w:t>
      </w:r>
      <w:r w:rsidRPr="00854CF9">
        <w:t>examen préliminaire international selon le</w:t>
      </w:r>
      <w:r>
        <w:t> </w:t>
      </w:r>
      <w:r w:rsidRPr="00854CF9">
        <w:t xml:space="preserve">PCT, </w:t>
      </w:r>
      <w:r>
        <w:t xml:space="preserve">estimant </w:t>
      </w:r>
      <w:r w:rsidRPr="00854CF9">
        <w:t>qu</w:t>
      </w:r>
      <w:r w:rsidR="00CE5FEC">
        <w:t>’</w:t>
      </w:r>
      <w:r>
        <w:t xml:space="preserve">il </w:t>
      </w:r>
      <w:r w:rsidRPr="00854CF9">
        <w:t>réunissait toutes les conditions requises pour exercer les fonctions d</w:t>
      </w:r>
      <w:r w:rsidR="00CE5FEC">
        <w:t>’</w:t>
      </w:r>
      <w:r w:rsidRPr="00854CF9">
        <w:t xml:space="preserve">une </w:t>
      </w:r>
      <w:r>
        <w:t xml:space="preserve">administration </w:t>
      </w:r>
      <w:r w:rsidRPr="00854CF9">
        <w:t>internationa</w:t>
      </w:r>
      <w:r w:rsidR="001D67E8" w:rsidRPr="00854CF9">
        <w:t>l</w:t>
      </w:r>
      <w:r w:rsidR="001D67E8">
        <w:t xml:space="preserve">e.  </w:t>
      </w:r>
      <w:r w:rsidR="001D67E8" w:rsidRPr="00854CF9">
        <w:t>El</w:t>
      </w:r>
      <w:r w:rsidRPr="00854CF9">
        <w:t xml:space="preserve">le avait noté </w:t>
      </w:r>
      <w:r>
        <w:t>de quelle manière</w:t>
      </w:r>
      <w:r w:rsidRPr="00854CF9">
        <w:t xml:space="preserve"> l</w:t>
      </w:r>
      <w:r w:rsidR="00CE5FEC">
        <w:t>’</w:t>
      </w:r>
      <w:r w:rsidRPr="00854CF9">
        <w:t xml:space="preserve">institut avait préparé sa </w:t>
      </w:r>
      <w:r>
        <w:t>candidature</w:t>
      </w:r>
      <w:r w:rsidRPr="00854CF9">
        <w:t xml:space="preserve"> et considérait que </w:t>
      </w:r>
      <w:r>
        <w:t xml:space="preserve">cette nomination </w:t>
      </w:r>
      <w:r w:rsidRPr="00854CF9">
        <w:t xml:space="preserve">pouvait combler un vide apparent, </w:t>
      </w:r>
      <w:r>
        <w:t>offrant</w:t>
      </w:r>
      <w:r w:rsidRPr="00854CF9">
        <w:t xml:space="preserve"> une </w:t>
      </w:r>
      <w:r>
        <w:t>couverture</w:t>
      </w:r>
      <w:r w:rsidRPr="00854CF9">
        <w:t xml:space="preserve"> à tous les pays </w:t>
      </w:r>
      <w:r>
        <w:t>participants</w:t>
      </w:r>
      <w:r w:rsidRPr="00854CF9">
        <w:t>.  L</w:t>
      </w:r>
      <w:r w:rsidR="00CE5FEC">
        <w:t>’</w:t>
      </w:r>
      <w:r w:rsidRPr="00854CF9">
        <w:t>Institut national de</w:t>
      </w:r>
      <w:r>
        <w:t xml:space="preserve"> la</w:t>
      </w:r>
      <w:r w:rsidRPr="00854CF9">
        <w:t xml:space="preserve"> propriété industrielle du Chili (INAPI) avait récemment </w:t>
      </w:r>
      <w:r>
        <w:t>suivi</w:t>
      </w:r>
      <w:r w:rsidRPr="00854CF9">
        <w:t xml:space="preserve"> le même processus et agissait désormais en qualité d</w:t>
      </w:r>
      <w:r w:rsidR="00CE5FEC">
        <w:t>’</w:t>
      </w:r>
      <w:r w:rsidRPr="00854CF9">
        <w:t>administration chargée de la recherche internationale et de l</w:t>
      </w:r>
      <w:r w:rsidR="00CE5FEC">
        <w:t>’</w:t>
      </w:r>
      <w:r w:rsidRPr="00854CF9">
        <w:t>examen préliminaire international pour sa régi</w:t>
      </w:r>
      <w:r w:rsidR="001D67E8" w:rsidRPr="00854CF9">
        <w:t>on</w:t>
      </w:r>
      <w:r w:rsidR="001D67E8">
        <w:t xml:space="preserve">.  </w:t>
      </w:r>
      <w:r w:rsidR="001D67E8" w:rsidRPr="00854CF9">
        <w:t>Le</w:t>
      </w:r>
      <w:r w:rsidRPr="00854CF9">
        <w:t xml:space="preserve">s résultats obtenus avaient été bien plus importants et bien meilleurs que ce qui </w:t>
      </w:r>
      <w:r>
        <w:t>était</w:t>
      </w:r>
      <w:r w:rsidRPr="00854CF9">
        <w:t xml:space="preserve"> prévu au dépa</w:t>
      </w:r>
      <w:r w:rsidR="001D67E8" w:rsidRPr="00854CF9">
        <w:t>rt</w:t>
      </w:r>
      <w:r w:rsidR="001D67E8">
        <w:t xml:space="preserve">.  </w:t>
      </w:r>
      <w:r w:rsidR="001D67E8" w:rsidRPr="00854CF9">
        <w:t>La</w:t>
      </w:r>
      <w:r w:rsidRPr="00854CF9">
        <w:t xml:space="preserve"> délégation a dit espérer que le</w:t>
      </w:r>
      <w:r>
        <w:t> </w:t>
      </w:r>
      <w:r w:rsidRPr="00854CF9">
        <w:t>VPI obtiendrait d</w:t>
      </w:r>
      <w:r w:rsidR="00CE5FEC">
        <w:t>’</w:t>
      </w:r>
      <w:r w:rsidRPr="00854CF9">
        <w:t xml:space="preserve">aussi bons résultats et </w:t>
      </w:r>
      <w:r>
        <w:t xml:space="preserve">aurait la même chance </w:t>
      </w:r>
      <w:r w:rsidRPr="00854CF9">
        <w:t>que l</w:t>
      </w:r>
      <w:r w:rsidR="00CE5FEC">
        <w:t>’</w:t>
      </w:r>
      <w:r w:rsidRPr="00854CF9">
        <w:t xml:space="preserve">INAPI et </w:t>
      </w:r>
      <w:r>
        <w:t xml:space="preserve">elle </w:t>
      </w:r>
      <w:r w:rsidRPr="00854CF9">
        <w:t>a confirmé qu</w:t>
      </w:r>
      <w:r w:rsidR="00CE5FEC">
        <w:t>’</w:t>
      </w:r>
      <w:r w:rsidRPr="00854CF9">
        <w:t>il pouvait compter sur sa coopérati</w:t>
      </w:r>
      <w:r w:rsidR="001D67E8" w:rsidRPr="00854CF9">
        <w:t>on</w:t>
      </w:r>
      <w:r w:rsidR="001D67E8">
        <w:t>.  El</w:t>
      </w:r>
      <w:r>
        <w:t>le se réjouissait de</w:t>
      </w:r>
      <w:r w:rsidRPr="00854CF9">
        <w:t xml:space="preserve"> la participation du</w:t>
      </w:r>
      <w:r>
        <w:t> </w:t>
      </w:r>
      <w:r w:rsidRPr="00854CF9">
        <w:t>VPI à la prochaine Réunion des administrations internationales instituées en vertu du</w:t>
      </w:r>
      <w:r>
        <w:t> </w:t>
      </w:r>
      <w:r w:rsidRPr="00854CF9">
        <w:t>PCT, prévue au Chili en janvier</w:t>
      </w:r>
      <w:r>
        <w:t> </w:t>
      </w:r>
      <w:r w:rsidRPr="00854CF9">
        <w:t>2016.</w:t>
      </w:r>
    </w:p>
    <w:p w:rsidR="0052560B" w:rsidRPr="00854CF9" w:rsidRDefault="0052560B" w:rsidP="0052560B">
      <w:pPr>
        <w:pStyle w:val="ONUMFS"/>
      </w:pPr>
      <w:r w:rsidRPr="00854CF9">
        <w:t>La délégation de la Chine a déclaré qu</w:t>
      </w:r>
      <w:r w:rsidR="00CE5FEC">
        <w:t>’</w:t>
      </w:r>
      <w:r w:rsidRPr="00854CF9">
        <w:t xml:space="preserve">elle avait toujours </w:t>
      </w:r>
      <w:r>
        <w:t>estimé</w:t>
      </w:r>
      <w:r w:rsidRPr="00854CF9">
        <w:t xml:space="preserve"> que les services de recherche internationale du</w:t>
      </w:r>
      <w:r>
        <w:t> </w:t>
      </w:r>
      <w:r w:rsidRPr="00854CF9">
        <w:t>PCT devaient être pratiques et accessibles</w:t>
      </w:r>
      <w:r>
        <w:t xml:space="preserve"> afin </w:t>
      </w:r>
      <w:r w:rsidRPr="00854CF9">
        <w:t xml:space="preserve">que les déposants de plusieurs régions, langues et pays de différents niveaux de développement puissent tirer </w:t>
      </w:r>
      <w:r>
        <w:t xml:space="preserve">le meilleur </w:t>
      </w:r>
      <w:r w:rsidRPr="00854CF9">
        <w:t>parti du système du</w:t>
      </w:r>
      <w:r>
        <w:t> </w:t>
      </w:r>
      <w:r w:rsidRPr="00854CF9">
        <w:t>PCT.  Le</w:t>
      </w:r>
      <w:r>
        <w:t> </w:t>
      </w:r>
      <w:r w:rsidRPr="00854CF9">
        <w:t xml:space="preserve">VPI </w:t>
      </w:r>
      <w:r>
        <w:t xml:space="preserve">avait </w:t>
      </w:r>
      <w:r w:rsidRPr="00854CF9">
        <w:t>réuni les conditions requises et</w:t>
      </w:r>
      <w:r>
        <w:t>, par conséquent,</w:t>
      </w:r>
      <w:r w:rsidRPr="00854CF9">
        <w:t xml:space="preserve"> la délégation </w:t>
      </w:r>
      <w:r>
        <w:t xml:space="preserve">appuyait </w:t>
      </w:r>
      <w:r w:rsidRPr="00854CF9">
        <w:t>sa nomination en qualité d</w:t>
      </w:r>
      <w:r w:rsidR="00CE5FEC">
        <w:t>’</w:t>
      </w:r>
      <w:r w:rsidRPr="00854CF9">
        <w:t>administration chargée de la recherche internationale et de l</w:t>
      </w:r>
      <w:r w:rsidR="00CE5FEC">
        <w:t>’</w:t>
      </w:r>
      <w:r w:rsidRPr="00854CF9">
        <w:t>examen préliminaire international et espér</w:t>
      </w:r>
      <w:r>
        <w:t>ait</w:t>
      </w:r>
      <w:r w:rsidRPr="00854CF9">
        <w:t xml:space="preserve"> qu</w:t>
      </w:r>
      <w:r w:rsidR="00CE5FEC">
        <w:t>’</w:t>
      </w:r>
      <w:r w:rsidRPr="00854CF9">
        <w:t>il jouerait un grand rôle.</w:t>
      </w:r>
    </w:p>
    <w:p w:rsidR="0052560B" w:rsidRPr="00854CF9" w:rsidRDefault="0052560B" w:rsidP="0052560B">
      <w:pPr>
        <w:pStyle w:val="ONUMFS"/>
      </w:pPr>
      <w:r w:rsidRPr="00854CF9">
        <w:t xml:space="preserve">La délégation de Singapour </w:t>
      </w:r>
      <w:r>
        <w:t>s</w:t>
      </w:r>
      <w:r w:rsidR="00CE5FEC">
        <w:t>’</w:t>
      </w:r>
      <w:r>
        <w:t>est prononcée en faveur de</w:t>
      </w:r>
      <w:r w:rsidRPr="00854CF9">
        <w:t xml:space="preserve"> la nomination du</w:t>
      </w:r>
      <w:r>
        <w:t> </w:t>
      </w:r>
      <w:r w:rsidRPr="00854CF9">
        <w:t>VPI en qualité d</w:t>
      </w:r>
      <w:r w:rsidR="00CE5FEC">
        <w:t>’</w:t>
      </w:r>
      <w:r w:rsidRPr="00854CF9">
        <w:t>administration chargée de la recherche internationale et de l</w:t>
      </w:r>
      <w:r w:rsidR="00CE5FEC">
        <w:t>’</w:t>
      </w:r>
      <w:r w:rsidRPr="00854CF9">
        <w:t>examen préliminaire international selon le</w:t>
      </w:r>
      <w:r>
        <w:t> </w:t>
      </w:r>
      <w:r w:rsidRPr="00854CF9">
        <w:t>PCT.  Tirer parti du savoir</w:t>
      </w:r>
      <w:r w:rsidR="001D67E8">
        <w:noBreakHyphen/>
      </w:r>
      <w:r w:rsidRPr="00854CF9">
        <w:t>faire des offices nationaux participants présentait de grands avantag</w:t>
      </w:r>
      <w:r w:rsidR="001D67E8" w:rsidRPr="00854CF9">
        <w:t>es</w:t>
      </w:r>
      <w:r w:rsidR="001D67E8">
        <w:t xml:space="preserve">.  </w:t>
      </w:r>
      <w:r w:rsidR="001D67E8" w:rsidRPr="00854CF9">
        <w:t>En</w:t>
      </w:r>
      <w:r w:rsidRPr="00854CF9">
        <w:t xml:space="preserve"> harmonisant les outils et les pratiques </w:t>
      </w:r>
      <w:r>
        <w:t xml:space="preserve">en matière </w:t>
      </w:r>
      <w:r w:rsidRPr="00854CF9">
        <w:t>de recherche et d</w:t>
      </w:r>
      <w:r w:rsidR="00CE5FEC">
        <w:t>’</w:t>
      </w:r>
      <w:r w:rsidRPr="00854CF9">
        <w:t>examen, le</w:t>
      </w:r>
      <w:r>
        <w:t> </w:t>
      </w:r>
      <w:r w:rsidRPr="00854CF9">
        <w:t>VPI serait bien placé pour fournir un service uniforme et de qualité dans la région de l</w:t>
      </w:r>
      <w:r w:rsidR="00CE5FEC">
        <w:t>’</w:t>
      </w:r>
      <w:r w:rsidRPr="00854CF9">
        <w:t>Europe centrale et orientale, voire au</w:t>
      </w:r>
      <w:r w:rsidR="001D67E8">
        <w:noBreakHyphen/>
      </w:r>
      <w:r w:rsidRPr="00854CF9">
        <w:t>de</w:t>
      </w:r>
      <w:r w:rsidR="001D67E8" w:rsidRPr="00854CF9">
        <w:t>là</w:t>
      </w:r>
      <w:r w:rsidR="001D67E8">
        <w:t xml:space="preserve">.  </w:t>
      </w:r>
      <w:r w:rsidR="001D67E8" w:rsidRPr="00854CF9">
        <w:t>La</w:t>
      </w:r>
      <w:r w:rsidRPr="00854CF9">
        <w:t xml:space="preserve"> diversité du personnel multilingue et techniquement qualifié du</w:t>
      </w:r>
      <w:r>
        <w:t> </w:t>
      </w:r>
      <w:r w:rsidRPr="00854CF9">
        <w:t xml:space="preserve">VPI, ainsi que les visites effectuées par </w:t>
      </w:r>
      <w:r w:rsidR="00AD22CA">
        <w:t xml:space="preserve">le JPO </w:t>
      </w:r>
      <w:r w:rsidRPr="00854CF9">
        <w:t xml:space="preserve">et </w:t>
      </w:r>
      <w:r w:rsidR="00AD22CA">
        <w:t>le NPI</w:t>
      </w:r>
      <w:r>
        <w:t>,</w:t>
      </w:r>
      <w:r w:rsidRPr="00854CF9">
        <w:t xml:space="preserve"> avaient renforcé la conviction que le</w:t>
      </w:r>
      <w:r>
        <w:t> </w:t>
      </w:r>
      <w:r w:rsidRPr="00854CF9">
        <w:t>VPI respecterait tous les critèr</w:t>
      </w:r>
      <w:r w:rsidR="001D67E8" w:rsidRPr="00854CF9">
        <w:t>es</w:t>
      </w:r>
      <w:r w:rsidR="001D67E8">
        <w:t xml:space="preserve">.  </w:t>
      </w:r>
      <w:r w:rsidR="001D67E8" w:rsidRPr="00854CF9">
        <w:t>Le</w:t>
      </w:r>
      <w:r>
        <w:t> </w:t>
      </w:r>
      <w:r w:rsidRPr="00854CF9">
        <w:t xml:space="preserve">VPI avait déployé des efforts considérables pour </w:t>
      </w:r>
      <w:r>
        <w:t>établir une</w:t>
      </w:r>
      <w:r w:rsidRPr="00854CF9">
        <w:t xml:space="preserve"> candidature crédible et de quali</w:t>
      </w:r>
      <w:r w:rsidR="001D67E8" w:rsidRPr="00854CF9">
        <w:t>té</w:t>
      </w:r>
      <w:r w:rsidR="001D67E8">
        <w:t>.  La</w:t>
      </w:r>
      <w:r>
        <w:t xml:space="preserve"> délégation </w:t>
      </w:r>
      <w:r w:rsidRPr="00854CF9">
        <w:t>a donc apporté son appui sans équivoque à la candidature et s</w:t>
      </w:r>
      <w:r w:rsidR="00CE5FEC">
        <w:t>’</w:t>
      </w:r>
      <w:r w:rsidRPr="00854CF9">
        <w:t>est dite convaincue que la nomination augmenterait considérablement la valeur du</w:t>
      </w:r>
      <w:r>
        <w:t> </w:t>
      </w:r>
      <w:r w:rsidRPr="00854CF9">
        <w:t>PCT.</w:t>
      </w:r>
    </w:p>
    <w:p w:rsidR="0052560B" w:rsidRPr="00854CF9" w:rsidRDefault="0052560B" w:rsidP="0052560B">
      <w:pPr>
        <w:pStyle w:val="ONUMFS"/>
      </w:pPr>
      <w:r w:rsidRPr="00854CF9">
        <w:t xml:space="preserve">La délégation de la Fédération de Russie a remercié la délégation de la Hongrie pour </w:t>
      </w:r>
      <w:r>
        <w:t>les</w:t>
      </w:r>
      <w:r w:rsidRPr="00854CF9">
        <w:t xml:space="preserve"> informations très détaillées </w:t>
      </w:r>
      <w:r>
        <w:t>qu</w:t>
      </w:r>
      <w:r w:rsidR="00CE5FEC">
        <w:t>’</w:t>
      </w:r>
      <w:r>
        <w:t xml:space="preserve">elle avait fournies </w:t>
      </w:r>
      <w:r w:rsidRPr="00854CF9">
        <w:t>sur le</w:t>
      </w:r>
      <w:r>
        <w:t> </w:t>
      </w:r>
      <w:r w:rsidRPr="00854CF9">
        <w:t xml:space="preserve">VPI.  Elle </w:t>
      </w:r>
      <w:r>
        <w:t>estimait qu</w:t>
      </w:r>
      <w:r w:rsidR="00CE5FEC">
        <w:t>’</w:t>
      </w:r>
      <w:r>
        <w:t>il</w:t>
      </w:r>
      <w:r w:rsidRPr="00854CF9">
        <w:t xml:space="preserve"> disposait des ressources techniques appropriées et </w:t>
      </w:r>
      <w:r>
        <w:t>a appuyé</w:t>
      </w:r>
      <w:r w:rsidRPr="00854CF9">
        <w:t xml:space="preserve"> </w:t>
      </w:r>
      <w:r>
        <w:t>s</w:t>
      </w:r>
      <w:r w:rsidRPr="00854CF9">
        <w:t>a nomination en qualité d</w:t>
      </w:r>
      <w:r w:rsidR="00CE5FEC">
        <w:t>’</w:t>
      </w:r>
      <w:r w:rsidRPr="00854CF9">
        <w:t>administration chargée de la recherche internationale et de l</w:t>
      </w:r>
      <w:r w:rsidR="00CE5FEC">
        <w:t>’</w:t>
      </w:r>
      <w:r w:rsidRPr="00854CF9">
        <w:t>examen préliminaire internation</w:t>
      </w:r>
      <w:r w:rsidR="001D67E8" w:rsidRPr="00854CF9">
        <w:t>al</w:t>
      </w:r>
      <w:r w:rsidR="001D67E8">
        <w:t xml:space="preserve">.  </w:t>
      </w:r>
      <w:r w:rsidR="001D67E8" w:rsidRPr="00854CF9">
        <w:t>Ce</w:t>
      </w:r>
      <w:r w:rsidRPr="00854CF9">
        <w:t>la ouvrirait d</w:t>
      </w:r>
      <w:r w:rsidR="00CE5FEC">
        <w:t>’</w:t>
      </w:r>
      <w:r w:rsidRPr="00854CF9">
        <w:t>autres possibilités aux utilisateurs du système du</w:t>
      </w:r>
      <w:r>
        <w:t> </w:t>
      </w:r>
      <w:r w:rsidRPr="00854CF9">
        <w:t xml:space="preserve">PCT </w:t>
      </w:r>
      <w:r>
        <w:t xml:space="preserve">en </w:t>
      </w:r>
      <w:r w:rsidRPr="00854CF9">
        <w:t>Europe centrale et orienta</w:t>
      </w:r>
      <w:r w:rsidR="001D67E8" w:rsidRPr="00854CF9">
        <w:t>le</w:t>
      </w:r>
      <w:r w:rsidR="001D67E8">
        <w:t xml:space="preserve">.  </w:t>
      </w:r>
      <w:r w:rsidR="001D67E8" w:rsidRPr="00854CF9">
        <w:t>La</w:t>
      </w:r>
      <w:r w:rsidRPr="00854CF9">
        <w:t xml:space="preserve"> délégation a souhaité bonne chance aux collègues du</w:t>
      </w:r>
      <w:r>
        <w:t> </w:t>
      </w:r>
      <w:r w:rsidRPr="00854CF9">
        <w:t>VPI.</w:t>
      </w:r>
    </w:p>
    <w:p w:rsidR="0052560B" w:rsidRPr="00854CF9" w:rsidRDefault="0052560B" w:rsidP="0052560B">
      <w:pPr>
        <w:pStyle w:val="ONUMFS"/>
      </w:pPr>
      <w:r w:rsidRPr="00854CF9">
        <w:t>La délégation du Monténégro a appuyé la nomination du</w:t>
      </w:r>
      <w:r>
        <w:t> </w:t>
      </w:r>
      <w:r w:rsidRPr="00854CF9">
        <w:t>VPI en qualité d</w:t>
      </w:r>
      <w:r w:rsidR="00CE5FEC">
        <w:t>’</w:t>
      </w:r>
      <w:r w:rsidRPr="00854CF9">
        <w:t>administration chargée de la recherche internationale et de l</w:t>
      </w:r>
      <w:r w:rsidR="00CE5FEC">
        <w:t>’</w:t>
      </w:r>
      <w:r w:rsidRPr="00854CF9">
        <w:t>examen préliminaire international selon le</w:t>
      </w:r>
      <w:r>
        <w:t> </w:t>
      </w:r>
      <w:r w:rsidRPr="00854CF9">
        <w:t>PCT et a souhaité aux quatre</w:t>
      </w:r>
      <w:r>
        <w:t> </w:t>
      </w:r>
      <w:r w:rsidRPr="00854CF9">
        <w:t xml:space="preserve">offices </w:t>
      </w:r>
      <w:r>
        <w:t>participants</w:t>
      </w:r>
      <w:r w:rsidRPr="00854CF9">
        <w:t xml:space="preserve"> des conditions de travail fluides et des </w:t>
      </w:r>
      <w:r>
        <w:t>travaux uniformes pour</w:t>
      </w:r>
      <w:r w:rsidRPr="00854CF9">
        <w:t xml:space="preserve"> que leurs efforts leur permettent d</w:t>
      </w:r>
      <w:r w:rsidR="00CE5FEC">
        <w:t>’</w:t>
      </w:r>
      <w:r w:rsidRPr="00854CF9">
        <w:t>être opérationnels le 1</w:t>
      </w:r>
      <w:r w:rsidRPr="00272746">
        <w:rPr>
          <w:vertAlign w:val="superscript"/>
        </w:rPr>
        <w:t>er</w:t>
      </w:r>
      <w:r>
        <w:t> </w:t>
      </w:r>
      <w:r w:rsidRPr="00854CF9">
        <w:t>juillet</w:t>
      </w:r>
      <w:r>
        <w:t> </w:t>
      </w:r>
      <w:r w:rsidRPr="00854CF9">
        <w:t>2016, comme pré</w:t>
      </w:r>
      <w:r w:rsidR="001D67E8" w:rsidRPr="00854CF9">
        <w:t>vu</w:t>
      </w:r>
      <w:r w:rsidR="001D67E8">
        <w:t xml:space="preserve">.  </w:t>
      </w:r>
      <w:r w:rsidR="001D67E8" w:rsidRPr="00854CF9">
        <w:t>Ce</w:t>
      </w:r>
      <w:r w:rsidRPr="00854CF9">
        <w:t>tte nomination était très importante pour la région du groupe des pays d</w:t>
      </w:r>
      <w:r w:rsidR="00CE5FEC">
        <w:t>’</w:t>
      </w:r>
      <w:r w:rsidRPr="00854CF9">
        <w:t xml:space="preserve">Europe centrale et des États baltes, </w:t>
      </w:r>
      <w:r>
        <w:t>notamment</w:t>
      </w:r>
      <w:r w:rsidRPr="00854CF9">
        <w:t xml:space="preserve"> le Monténég</w:t>
      </w:r>
      <w:r w:rsidR="001D67E8" w:rsidRPr="00854CF9">
        <w:t>ro</w:t>
      </w:r>
      <w:r w:rsidR="001D67E8">
        <w:t xml:space="preserve">.  </w:t>
      </w:r>
      <w:r w:rsidR="001D67E8" w:rsidRPr="00854CF9">
        <w:t>La</w:t>
      </w:r>
      <w:r w:rsidRPr="00854CF9">
        <w:t xml:space="preserve"> délégation a informé l</w:t>
      </w:r>
      <w:r w:rsidR="00CE5FEC">
        <w:t>’</w:t>
      </w:r>
      <w:r w:rsidRPr="00854CF9">
        <w:t>assemblée qu</w:t>
      </w:r>
      <w:r w:rsidR="00CE5FEC">
        <w:t>’</w:t>
      </w:r>
      <w:r w:rsidRPr="00854CF9">
        <w:t xml:space="preserve">à la fin du mois de juillet, </w:t>
      </w:r>
      <w:r>
        <w:t>son pays</w:t>
      </w:r>
      <w:r w:rsidRPr="00854CF9">
        <w:t xml:space="preserve"> avait adopté une nouvelle loi sur les brevets qui imposait aux titulaires de brevets de produire des preuves de la brevetabilité avant la fin de la neuvième </w:t>
      </w:r>
      <w:r w:rsidRPr="00854CF9">
        <w:lastRenderedPageBreak/>
        <w:t>ann</w:t>
      </w:r>
      <w:r w:rsidR="001D67E8" w:rsidRPr="00854CF9">
        <w:t>ée</w:t>
      </w:r>
      <w:r w:rsidR="001D67E8">
        <w:t xml:space="preserve">.  </w:t>
      </w:r>
      <w:r w:rsidR="001D67E8" w:rsidRPr="00854CF9">
        <w:t>La</w:t>
      </w:r>
      <w:r w:rsidRPr="00854CF9">
        <w:t xml:space="preserve"> collaboration avec le</w:t>
      </w:r>
      <w:r>
        <w:t> </w:t>
      </w:r>
      <w:r w:rsidRPr="00854CF9">
        <w:t>VPI était une formidable opportunité pour le Monténég</w:t>
      </w:r>
      <w:r w:rsidR="001D67E8" w:rsidRPr="00854CF9">
        <w:t>ro</w:t>
      </w:r>
      <w:r w:rsidR="001D67E8">
        <w:t xml:space="preserve">.  </w:t>
      </w:r>
      <w:r w:rsidR="001D67E8" w:rsidRPr="00854CF9">
        <w:t>S</w:t>
      </w:r>
      <w:r w:rsidR="001D67E8">
        <w:t>’</w:t>
      </w:r>
      <w:r w:rsidR="001D67E8" w:rsidRPr="00854CF9">
        <w:t>a</w:t>
      </w:r>
      <w:r w:rsidRPr="00854CF9">
        <w:t xml:space="preserve">gissant des questions de propriété intellectuelle, la délégation a salué </w:t>
      </w:r>
      <w:r>
        <w:t>le logo du VPI et souhaité</w:t>
      </w:r>
      <w:r w:rsidRPr="00854CF9">
        <w:t xml:space="preserve"> bonne chance à l</w:t>
      </w:r>
      <w:r w:rsidR="00CE5FEC">
        <w:t>’</w:t>
      </w:r>
      <w:r w:rsidRPr="00854CF9">
        <w:t xml:space="preserve">institut pour </w:t>
      </w:r>
      <w:r>
        <w:t>l</w:t>
      </w:r>
      <w:r w:rsidR="00CE5FEC">
        <w:t>’</w:t>
      </w:r>
      <w:r>
        <w:t xml:space="preserve">élaboration de </w:t>
      </w:r>
      <w:r w:rsidRPr="00854CF9">
        <w:t xml:space="preserve">son image </w:t>
      </w:r>
      <w:r>
        <w:t xml:space="preserve">de marque </w:t>
      </w:r>
      <w:r w:rsidRPr="00854CF9">
        <w:t xml:space="preserve">et </w:t>
      </w:r>
      <w:r>
        <w:t xml:space="preserve">la définition de </w:t>
      </w:r>
      <w:r w:rsidRPr="00854CF9">
        <w:t>ses objectifs en matière de commercialisation.</w:t>
      </w:r>
    </w:p>
    <w:p w:rsidR="0052560B" w:rsidRPr="00854CF9" w:rsidRDefault="0052560B" w:rsidP="0052560B">
      <w:pPr>
        <w:pStyle w:val="ONUMFS"/>
      </w:pPr>
      <w:r w:rsidRPr="00854CF9">
        <w:t>La délégation des États</w:t>
      </w:r>
      <w:r w:rsidR="001D67E8">
        <w:noBreakHyphen/>
      </w:r>
      <w:r w:rsidRPr="00854CF9">
        <w:t>Unis d</w:t>
      </w:r>
      <w:r w:rsidR="00CE5FEC">
        <w:t>’</w:t>
      </w:r>
      <w:r w:rsidRPr="00854CF9">
        <w:t>Am</w:t>
      </w:r>
      <w:r>
        <w:t>érique s</w:t>
      </w:r>
      <w:r w:rsidR="00CE5FEC">
        <w:t>’</w:t>
      </w:r>
      <w:r>
        <w:t>est associée aux délégations</w:t>
      </w:r>
      <w:r w:rsidRPr="00854CF9">
        <w:t xml:space="preserve"> de l</w:t>
      </w:r>
      <w:r w:rsidR="00CE5FEC">
        <w:t>’</w:t>
      </w:r>
      <w:r w:rsidRPr="00854CF9">
        <w:t>Australie, du Chili, du Japon, du Monténégro</w:t>
      </w:r>
      <w:r>
        <w:t>,</w:t>
      </w:r>
      <w:r w:rsidRPr="00854CF9">
        <w:t xml:space="preserve"> de la Roumanie, de l</w:t>
      </w:r>
      <w:r w:rsidR="00CE5FEC">
        <w:t>’</w:t>
      </w:r>
      <w:r w:rsidRPr="00854CF9">
        <w:t>Ukraine et d</w:t>
      </w:r>
      <w:r w:rsidR="00CE5FEC">
        <w:t>’</w:t>
      </w:r>
      <w:r w:rsidRPr="00854CF9">
        <w:t xml:space="preserve">autres qui </w:t>
      </w:r>
      <w:r>
        <w:t>avaient</w:t>
      </w:r>
      <w:r w:rsidRPr="00854CF9">
        <w:t xml:space="preserve"> appuyé la nomination du</w:t>
      </w:r>
      <w:r>
        <w:t> </w:t>
      </w:r>
      <w:r w:rsidRPr="00854CF9">
        <w:t>VPI en qualité d</w:t>
      </w:r>
      <w:r w:rsidR="00CE5FEC">
        <w:t>’</w:t>
      </w:r>
      <w:r w:rsidRPr="00854CF9">
        <w:t>administration chargée de la recherche internationale et de l</w:t>
      </w:r>
      <w:r w:rsidR="00CE5FEC">
        <w:t>’</w:t>
      </w:r>
      <w:r w:rsidRPr="00854CF9">
        <w:t>examen préliminaire internation</w:t>
      </w:r>
      <w:r w:rsidR="001D67E8" w:rsidRPr="00854CF9">
        <w:t>al</w:t>
      </w:r>
      <w:r w:rsidR="001D67E8">
        <w:t xml:space="preserve">.  </w:t>
      </w:r>
      <w:r w:rsidR="001D67E8" w:rsidRPr="00854CF9">
        <w:t>El</w:t>
      </w:r>
      <w:r w:rsidRPr="00854CF9">
        <w:t>le a également approuvé le projet d</w:t>
      </w:r>
      <w:r w:rsidR="00CE5FEC">
        <w:t>’</w:t>
      </w:r>
      <w:r w:rsidRPr="00854CF9">
        <w:t>accord entre le</w:t>
      </w:r>
      <w:r>
        <w:t> </w:t>
      </w:r>
      <w:r w:rsidRPr="00854CF9">
        <w:t xml:space="preserve">VPI et le Bureau international </w:t>
      </w:r>
      <w:r>
        <w:t>et a dit espérer</w:t>
      </w:r>
      <w:r w:rsidRPr="00854CF9">
        <w:t xml:space="preserve"> que le</w:t>
      </w:r>
      <w:r>
        <w:t> </w:t>
      </w:r>
      <w:r w:rsidRPr="00854CF9">
        <w:t>VPI commencerait à exercer ses fonctions en qualité d</w:t>
      </w:r>
      <w:r w:rsidR="00CE5FEC">
        <w:t>’</w:t>
      </w:r>
      <w:r w:rsidRPr="00854CF9">
        <w:t>administration internationale l</w:t>
      </w:r>
      <w:r w:rsidR="00CE5FEC">
        <w:t>’</w:t>
      </w:r>
      <w:r w:rsidRPr="00854CF9">
        <w:t>année prochaine.</w:t>
      </w:r>
    </w:p>
    <w:p w:rsidR="0052560B" w:rsidRPr="00854CF9" w:rsidRDefault="0052560B" w:rsidP="0052560B">
      <w:pPr>
        <w:pStyle w:val="ONUMFS"/>
      </w:pPr>
      <w:r w:rsidRPr="00854CF9">
        <w:t>La délégation de la Finlande a appuyé sans réserve la nomination du</w:t>
      </w:r>
      <w:r>
        <w:t> </w:t>
      </w:r>
      <w:r w:rsidRPr="00854CF9">
        <w:t>VPI en qualité d</w:t>
      </w:r>
      <w:r w:rsidR="00CE5FEC">
        <w:t>’</w:t>
      </w:r>
      <w:r w:rsidRPr="00854CF9">
        <w:t xml:space="preserve">administration chargée de la recherche internationale </w:t>
      </w:r>
      <w:r>
        <w:t xml:space="preserve">et </w:t>
      </w:r>
      <w:r w:rsidRPr="00854CF9">
        <w:t>de l</w:t>
      </w:r>
      <w:r w:rsidR="00CE5FEC">
        <w:t>’</w:t>
      </w:r>
      <w:r w:rsidRPr="00854CF9">
        <w:t>examen préliminaire international selon le</w:t>
      </w:r>
      <w:r>
        <w:t> </w:t>
      </w:r>
      <w:r w:rsidRPr="00854CF9">
        <w:t xml:space="preserve">PCT.  </w:t>
      </w:r>
      <w:r>
        <w:t xml:space="preserve">Les </w:t>
      </w:r>
      <w:r w:rsidRPr="00854CF9">
        <w:t xml:space="preserve">efforts intenses </w:t>
      </w:r>
      <w:r>
        <w:t xml:space="preserve">déployés par </w:t>
      </w:r>
      <w:r w:rsidRPr="00854CF9">
        <w:t>les quatre</w:t>
      </w:r>
      <w:r>
        <w:t> </w:t>
      </w:r>
      <w:r w:rsidRPr="00854CF9">
        <w:t xml:space="preserve">pays pour préparer leur </w:t>
      </w:r>
      <w:r>
        <w:t>candidature avaient été remarqu</w:t>
      </w:r>
      <w:r w:rsidR="001D67E8">
        <w:t xml:space="preserve">és.  </w:t>
      </w:r>
      <w:r w:rsidR="001D67E8" w:rsidRPr="00854CF9">
        <w:t>La</w:t>
      </w:r>
      <w:r w:rsidRPr="00854CF9">
        <w:t xml:space="preserve"> délégation était </w:t>
      </w:r>
      <w:r>
        <w:t>tout à fait</w:t>
      </w:r>
      <w:r w:rsidRPr="00854CF9">
        <w:t xml:space="preserve"> convaincue que le</w:t>
      </w:r>
      <w:r>
        <w:t> </w:t>
      </w:r>
      <w:r w:rsidRPr="00854CF9">
        <w:t>VPI obtiendrait d</w:t>
      </w:r>
      <w:r w:rsidR="00CE5FEC">
        <w:t>’</w:t>
      </w:r>
      <w:r w:rsidRPr="00854CF9">
        <w:t>excellents résultats et lui a chaleureusement souhaité la bienvenue dans la famille des administrations internationales.</w:t>
      </w:r>
    </w:p>
    <w:p w:rsidR="0052560B" w:rsidRPr="00854CF9" w:rsidRDefault="0052560B" w:rsidP="0052560B">
      <w:pPr>
        <w:pStyle w:val="ONUMFS"/>
      </w:pPr>
      <w:r w:rsidRPr="00854CF9">
        <w:t>La délégation de l</w:t>
      </w:r>
      <w:r w:rsidR="00CE5FEC">
        <w:t>’</w:t>
      </w:r>
      <w:r w:rsidRPr="00854CF9">
        <w:t xml:space="preserve">Espagne a </w:t>
      </w:r>
      <w:r>
        <w:t>appuyé</w:t>
      </w:r>
      <w:r w:rsidRPr="00854CF9">
        <w:t xml:space="preserve"> pleinement la </w:t>
      </w:r>
      <w:r>
        <w:t>candidature du VPI en vue de sa nomination en qualité</w:t>
      </w:r>
      <w:r w:rsidRPr="00854CF9">
        <w:t xml:space="preserve"> d</w:t>
      </w:r>
      <w:r w:rsidR="00CE5FEC">
        <w:t>’</w:t>
      </w:r>
      <w:r w:rsidRPr="00854CF9">
        <w:t>administration chargée de la recherche internationale et de l</w:t>
      </w:r>
      <w:r w:rsidR="00CE5FEC">
        <w:t>’</w:t>
      </w:r>
      <w:r w:rsidRPr="00854CF9">
        <w:t>examen préliminaire internation</w:t>
      </w:r>
      <w:r w:rsidR="001D67E8" w:rsidRPr="00854CF9">
        <w:t>al</w:t>
      </w:r>
      <w:r w:rsidR="001D67E8">
        <w:t xml:space="preserve">.  </w:t>
      </w:r>
      <w:r w:rsidR="001D67E8" w:rsidRPr="00854CF9">
        <w:t>El</w:t>
      </w:r>
      <w:r w:rsidRPr="00854CF9">
        <w:t>le a également fait part de sa satisfaction concernant les documents présentés, qui contenaient suffisamment d</w:t>
      </w:r>
      <w:r w:rsidR="00CE5FEC">
        <w:t>’</w:t>
      </w:r>
      <w:r w:rsidRPr="00854CF9">
        <w:t>éléments de preuve indiquant que l</w:t>
      </w:r>
      <w:r w:rsidR="00CE5FEC">
        <w:t>’</w:t>
      </w:r>
      <w:r w:rsidRPr="00854CF9">
        <w:t>institut remplissait les conditions requises.</w:t>
      </w:r>
    </w:p>
    <w:p w:rsidR="0052560B" w:rsidRPr="00854CF9" w:rsidRDefault="0052560B" w:rsidP="0052560B">
      <w:pPr>
        <w:pStyle w:val="ONUMFS"/>
      </w:pPr>
      <w:r w:rsidRPr="00854CF9">
        <w:t>La délégation de la Grèce a appuyé la nomination du</w:t>
      </w:r>
      <w:r>
        <w:t> </w:t>
      </w:r>
      <w:r w:rsidRPr="00854CF9">
        <w:t>VPI et s</w:t>
      </w:r>
      <w:r w:rsidR="00CE5FEC">
        <w:t>’</w:t>
      </w:r>
      <w:r w:rsidRPr="00854CF9">
        <w:t>est dite convaincue que l</w:t>
      </w:r>
      <w:r w:rsidR="00CE5FEC">
        <w:t>’</w:t>
      </w:r>
      <w:r w:rsidRPr="00854CF9">
        <w:t>institut stimule</w:t>
      </w:r>
      <w:r>
        <w:t>rait</w:t>
      </w:r>
      <w:r w:rsidRPr="00854CF9">
        <w:t xml:space="preserve"> l</w:t>
      </w:r>
      <w:r w:rsidR="00CE5FEC">
        <w:t>’</w:t>
      </w:r>
      <w:r w:rsidRPr="00854CF9">
        <w:t>innovation et contribuerait au développement de la région de l</w:t>
      </w:r>
      <w:r w:rsidR="00CE5FEC">
        <w:t>’</w:t>
      </w:r>
      <w:r w:rsidRPr="00854CF9">
        <w:t>Europe centrale et orientale.</w:t>
      </w:r>
    </w:p>
    <w:p w:rsidR="0052560B" w:rsidRDefault="0052560B" w:rsidP="0052560B">
      <w:pPr>
        <w:pStyle w:val="ONUMFS"/>
      </w:pPr>
      <w:r w:rsidRPr="00854CF9">
        <w:t>La délégation de l</w:t>
      </w:r>
      <w:r w:rsidR="00CE5FEC">
        <w:t>’</w:t>
      </w:r>
      <w:r w:rsidRPr="00854CF9">
        <w:t>Australie a approuvé la nomination du</w:t>
      </w:r>
      <w:r>
        <w:t> </w:t>
      </w:r>
      <w:r w:rsidRPr="00854CF9">
        <w:t>VPI en qualité d</w:t>
      </w:r>
      <w:r w:rsidR="00CE5FEC">
        <w:t>’</w:t>
      </w:r>
      <w:r w:rsidRPr="00854CF9">
        <w:t>administration chargée de la recherche internationale et de l</w:t>
      </w:r>
      <w:r w:rsidR="00CE5FEC">
        <w:t>’</w:t>
      </w:r>
      <w:r w:rsidRPr="00854CF9">
        <w:t>examen préliminaire internation</w:t>
      </w:r>
      <w:r w:rsidR="001D67E8" w:rsidRPr="00854CF9">
        <w:t>al</w:t>
      </w:r>
      <w:r w:rsidR="001D67E8">
        <w:t xml:space="preserve">.  </w:t>
      </w:r>
      <w:r w:rsidR="001D67E8" w:rsidRPr="00854CF9">
        <w:t>El</w:t>
      </w:r>
      <w:r w:rsidRPr="00854CF9">
        <w:t>le avait appuyé l</w:t>
      </w:r>
      <w:r>
        <w:t>a</w:t>
      </w:r>
      <w:r w:rsidRPr="00854CF9">
        <w:t xml:space="preserve"> demande </w:t>
      </w:r>
      <w:r>
        <w:t>au sein</w:t>
      </w:r>
      <w:r w:rsidRPr="00854CF9">
        <w:t xml:space="preserve"> du Groupe de travail du</w:t>
      </w:r>
      <w:r>
        <w:t> </w:t>
      </w:r>
      <w:r w:rsidRPr="00854CF9">
        <w:t>PCT et de la Réunion des administrations internationales du</w:t>
      </w:r>
      <w:r>
        <w:t> </w:t>
      </w:r>
      <w:r w:rsidRPr="00854CF9">
        <w:t xml:space="preserve">PCT et </w:t>
      </w:r>
      <w:r>
        <w:t>a dit espérer</w:t>
      </w:r>
      <w:r w:rsidRPr="00854CF9">
        <w:t xml:space="preserve"> que le</w:t>
      </w:r>
      <w:r>
        <w:t> </w:t>
      </w:r>
      <w:r w:rsidRPr="00854CF9">
        <w:t>VPI</w:t>
      </w:r>
      <w:r>
        <w:t xml:space="preserve"> participerait au s</w:t>
      </w:r>
      <w:r w:rsidRPr="00854CF9">
        <w:t>ous</w:t>
      </w:r>
      <w:r w:rsidR="001D67E8">
        <w:noBreakHyphen/>
      </w:r>
      <w:r w:rsidRPr="00854CF9">
        <w:t>groupe chargé de la qualité de la Réunion des administrations internationales du</w:t>
      </w:r>
      <w:r>
        <w:t> </w:t>
      </w:r>
      <w:r w:rsidRPr="00854CF9">
        <w:t>PCT dans l</w:t>
      </w:r>
      <w:r w:rsidR="00CE5FEC">
        <w:t>’</w:t>
      </w:r>
      <w:r w:rsidRPr="00854CF9">
        <w:t>avenir.</w:t>
      </w:r>
    </w:p>
    <w:p w:rsidR="0052560B" w:rsidRPr="00854CF9" w:rsidRDefault="0052560B" w:rsidP="0052560B">
      <w:pPr>
        <w:pStyle w:val="ONUMFS"/>
      </w:pPr>
      <w:r w:rsidRPr="00854CF9">
        <w:t>La délégation de l</w:t>
      </w:r>
      <w:r w:rsidR="00CE5FEC">
        <w:t>’</w:t>
      </w:r>
      <w:r w:rsidRPr="00854CF9">
        <w:t xml:space="preserve">Ouganda a </w:t>
      </w:r>
      <w:r>
        <w:t>appuyé</w:t>
      </w:r>
      <w:r w:rsidRPr="00854CF9">
        <w:t xml:space="preserve"> la création du</w:t>
      </w:r>
      <w:r>
        <w:t> </w:t>
      </w:r>
      <w:r w:rsidRPr="00854CF9">
        <w:t xml:space="preserve">VPI, qui constituait un pas dans la bonne direction </w:t>
      </w:r>
      <w:r>
        <w:t>en vue de</w:t>
      </w:r>
      <w:r w:rsidRPr="00854CF9">
        <w:t xml:space="preserve"> la poursuite des objectifs du</w:t>
      </w:r>
      <w:r>
        <w:t> </w:t>
      </w:r>
      <w:r w:rsidRPr="00854CF9">
        <w:t>PCT.  L</w:t>
      </w:r>
      <w:r w:rsidR="00CE5FEC">
        <w:t>’</w:t>
      </w:r>
      <w:r w:rsidRPr="00854CF9">
        <w:t>institut jouerait sans aucun doute un rôle important en qualité d</w:t>
      </w:r>
      <w:r w:rsidR="00CE5FEC">
        <w:t>’</w:t>
      </w:r>
      <w:r w:rsidRPr="00854CF9">
        <w:t>administration chargée de la recherche internationale et de l</w:t>
      </w:r>
      <w:r w:rsidR="00CE5FEC">
        <w:t>’</w:t>
      </w:r>
      <w:r w:rsidRPr="00854CF9">
        <w:t>examen préliminaire international.</w:t>
      </w:r>
    </w:p>
    <w:p w:rsidR="0052560B" w:rsidRPr="00854CF9" w:rsidRDefault="0052560B" w:rsidP="0052560B">
      <w:pPr>
        <w:pStyle w:val="ONUMFS"/>
      </w:pPr>
      <w:r w:rsidRPr="00854CF9">
        <w:t>La délégation de la République de Corée s</w:t>
      </w:r>
      <w:r w:rsidR="00CE5FEC">
        <w:t>’</w:t>
      </w:r>
      <w:r w:rsidRPr="00854CF9">
        <w:t>est associée à d</w:t>
      </w:r>
      <w:r w:rsidR="00CE5FEC">
        <w:t>’</w:t>
      </w:r>
      <w:r w:rsidRPr="00854CF9">
        <w:t>autres délégations ayant approuvé la nomination du</w:t>
      </w:r>
      <w:r>
        <w:t> </w:t>
      </w:r>
      <w:r w:rsidRPr="00854CF9">
        <w:t>VPI en qualité d</w:t>
      </w:r>
      <w:r w:rsidR="00CE5FEC">
        <w:t>’</w:t>
      </w:r>
      <w:r w:rsidRPr="00854CF9">
        <w:t>administration internationale.</w:t>
      </w:r>
    </w:p>
    <w:p w:rsidR="0052560B" w:rsidRPr="00854CF9" w:rsidRDefault="0052560B" w:rsidP="0052560B">
      <w:pPr>
        <w:pStyle w:val="ONUMFS"/>
      </w:pPr>
      <w:r w:rsidRPr="00854CF9">
        <w:t>La délégation du Ghana a appuyé la demande du</w:t>
      </w:r>
      <w:r>
        <w:t> </w:t>
      </w:r>
      <w:r w:rsidRPr="00854CF9">
        <w:t>VPI relative à l</w:t>
      </w:r>
      <w:r w:rsidR="00CE5FEC">
        <w:t>’</w:t>
      </w:r>
      <w:r w:rsidRPr="00854CF9">
        <w:t>octroi du statut d</w:t>
      </w:r>
      <w:r w:rsidR="00CE5FEC">
        <w:t>’</w:t>
      </w:r>
      <w:r w:rsidRPr="00854CF9">
        <w:t>administration chargée de la recherche internationale et de l</w:t>
      </w:r>
      <w:r w:rsidR="00CE5FEC">
        <w:t>’</w:t>
      </w:r>
      <w:r w:rsidRPr="00854CF9">
        <w:t>examen préliminaire international pour sa région et a remercié l</w:t>
      </w:r>
      <w:r w:rsidR="00CE5FEC">
        <w:t>’</w:t>
      </w:r>
      <w:r w:rsidRPr="00854CF9">
        <w:t xml:space="preserve">institut pour les </w:t>
      </w:r>
      <w:r>
        <w:t>renseignements complets qu</w:t>
      </w:r>
      <w:r w:rsidR="00CE5FEC">
        <w:t>’</w:t>
      </w:r>
      <w:r>
        <w:t>il avait fourni</w:t>
      </w:r>
      <w:r w:rsidRPr="00854CF9">
        <w:t xml:space="preserve">s </w:t>
      </w:r>
      <w:r>
        <w:t xml:space="preserve">sur la manière dont il </w:t>
      </w:r>
      <w:r w:rsidRPr="00854CF9">
        <w:t>remplissait toutes les conditions requis</w:t>
      </w:r>
      <w:r w:rsidR="001D67E8" w:rsidRPr="00854CF9">
        <w:t>es</w:t>
      </w:r>
      <w:r w:rsidR="001D67E8">
        <w:t xml:space="preserve">.  </w:t>
      </w:r>
      <w:r w:rsidR="001D67E8" w:rsidRPr="00854CF9">
        <w:t>El</w:t>
      </w:r>
      <w:r w:rsidRPr="00854CF9">
        <w:t>le était convaincue que le</w:t>
      </w:r>
      <w:r>
        <w:t> </w:t>
      </w:r>
      <w:r w:rsidRPr="00854CF9">
        <w:t>VPI avait la capacité d</w:t>
      </w:r>
      <w:r w:rsidR="00CE5FEC">
        <w:t>’</w:t>
      </w:r>
      <w:r w:rsidRPr="00854CF9">
        <w:t>accomplir les tâches qui l</w:t>
      </w:r>
      <w:r w:rsidR="00CE5FEC">
        <w:t>’</w:t>
      </w:r>
      <w:r w:rsidRPr="00854CF9">
        <w:t>attendaient et d</w:t>
      </w:r>
      <w:r w:rsidR="00CE5FEC">
        <w:t>’</w:t>
      </w:r>
      <w:r w:rsidRPr="00854CF9">
        <w:t>améliorer la qualité et l</w:t>
      </w:r>
      <w:r w:rsidR="00CE5FEC">
        <w:t>’</w:t>
      </w:r>
      <w:r w:rsidRPr="00854CF9">
        <w:t>efficacité des services fournis par les différents offices.</w:t>
      </w:r>
    </w:p>
    <w:p w:rsidR="0052560B" w:rsidRPr="00854CF9" w:rsidRDefault="0052560B" w:rsidP="0052560B">
      <w:pPr>
        <w:pStyle w:val="ONUMFS"/>
        <w:ind w:left="567"/>
      </w:pPr>
      <w:r w:rsidRPr="00854CF9">
        <w:t>L</w:t>
      </w:r>
      <w:r w:rsidR="00CE5FEC">
        <w:t>’</w:t>
      </w:r>
      <w:r w:rsidRPr="00854CF9">
        <w:t>assemblée, ayant entendu le représentant de l</w:t>
      </w:r>
      <w:r w:rsidR="00CE5FEC">
        <w:t>’</w:t>
      </w:r>
      <w:r w:rsidRPr="00854CF9">
        <w:t xml:space="preserve">Institut des brevets de </w:t>
      </w:r>
      <w:proofErr w:type="spellStart"/>
      <w:r w:rsidRPr="00854CF9">
        <w:t>Visegrad</w:t>
      </w:r>
      <w:proofErr w:type="spellEnd"/>
      <w:r w:rsidRPr="00854CF9">
        <w:t xml:space="preserve"> et tenant compte de l</w:t>
      </w:r>
      <w:r w:rsidR="00CE5FEC">
        <w:t>’</w:t>
      </w:r>
      <w:r w:rsidRPr="00854CF9">
        <w:t>avis du Comité de coopération technique du</w:t>
      </w:r>
      <w:r>
        <w:t> </w:t>
      </w:r>
      <w:r w:rsidRPr="00854CF9">
        <w:t>PCT figurant au paragraphe</w:t>
      </w:r>
      <w:r>
        <w:t> </w:t>
      </w:r>
      <w:r w:rsidRPr="00854CF9">
        <w:t>5 du document PCT/A/47/6</w:t>
      </w:r>
      <w:r>
        <w:t>,</w:t>
      </w:r>
    </w:p>
    <w:p w:rsidR="0052560B" w:rsidRDefault="0052560B" w:rsidP="0052560B">
      <w:pPr>
        <w:pStyle w:val="ONUMFS"/>
        <w:numPr>
          <w:ilvl w:val="2"/>
          <w:numId w:val="6"/>
        </w:numPr>
      </w:pPr>
      <w:r w:rsidRPr="00854CF9">
        <w:t>a approuvé le texte du projet d</w:t>
      </w:r>
      <w:r w:rsidR="00CE5FEC">
        <w:t>’</w:t>
      </w:r>
      <w:r w:rsidRPr="00854CF9">
        <w:t>accord entre l</w:t>
      </w:r>
      <w:r w:rsidR="00CE5FEC">
        <w:t>’</w:t>
      </w:r>
      <w:r w:rsidRPr="00854CF9">
        <w:t xml:space="preserve">Institut des brevets de </w:t>
      </w:r>
      <w:proofErr w:type="spellStart"/>
      <w:r w:rsidRPr="00854CF9">
        <w:t>Visegrad</w:t>
      </w:r>
      <w:proofErr w:type="spellEnd"/>
      <w:r w:rsidRPr="00854CF9">
        <w:t xml:space="preserve"> et le Bureau international figurant à l</w:t>
      </w:r>
      <w:r w:rsidR="00CE5FEC">
        <w:t>’</w:t>
      </w:r>
      <w:r w:rsidRPr="00854CF9">
        <w:t xml:space="preserve">annexe du document PCT/A/47/6; </w:t>
      </w:r>
      <w:r>
        <w:t xml:space="preserve"> </w:t>
      </w:r>
      <w:r w:rsidRPr="00854CF9">
        <w:t>et</w:t>
      </w:r>
    </w:p>
    <w:p w:rsidR="0052560B" w:rsidRPr="00854CF9" w:rsidRDefault="0052560B" w:rsidP="0052560B">
      <w:pPr>
        <w:pStyle w:val="ONUMFS"/>
        <w:numPr>
          <w:ilvl w:val="2"/>
          <w:numId w:val="6"/>
        </w:numPr>
      </w:pPr>
      <w:r w:rsidRPr="00854CF9">
        <w:lastRenderedPageBreak/>
        <w:t>a nommé l</w:t>
      </w:r>
      <w:r w:rsidR="00CE5FEC">
        <w:t>’</w:t>
      </w:r>
      <w:r w:rsidRPr="00854CF9">
        <w:t xml:space="preserve">Institut des brevets de </w:t>
      </w:r>
      <w:proofErr w:type="spellStart"/>
      <w:r w:rsidRPr="00854CF9">
        <w:t>Visegrad</w:t>
      </w:r>
      <w:proofErr w:type="spellEnd"/>
      <w:r w:rsidRPr="00854CF9">
        <w:t xml:space="preserve"> en qualité d</w:t>
      </w:r>
      <w:r w:rsidR="00CE5FEC">
        <w:t>’</w:t>
      </w:r>
      <w:r w:rsidRPr="00854CF9">
        <w:t>administration chargée de la recherche internationale et d</w:t>
      </w:r>
      <w:r w:rsidR="00CE5FEC">
        <w:t>’</w:t>
      </w:r>
      <w:r w:rsidRPr="00854CF9">
        <w:t>administration chargée de l</w:t>
      </w:r>
      <w:r w:rsidR="00CE5FEC">
        <w:t>’</w:t>
      </w:r>
      <w:r w:rsidRPr="00854CF9">
        <w:t>examen préliminaire international pour la période comprise entre l</w:t>
      </w:r>
      <w:r w:rsidR="00CE5FEC">
        <w:t>’</w:t>
      </w:r>
      <w:r w:rsidRPr="00854CF9">
        <w:t>entrée en vigueur dudit accord et le 31</w:t>
      </w:r>
      <w:r>
        <w:t> </w:t>
      </w:r>
      <w:r w:rsidRPr="00854CF9">
        <w:t>décembre</w:t>
      </w:r>
      <w:r>
        <w:t> </w:t>
      </w:r>
      <w:r w:rsidRPr="00854CF9">
        <w:t>2017.</w:t>
      </w:r>
    </w:p>
    <w:p w:rsidR="0052560B" w:rsidRPr="00854CF9" w:rsidRDefault="0052560B" w:rsidP="0052560B">
      <w:pPr>
        <w:pStyle w:val="ONUMFS"/>
      </w:pPr>
      <w:r w:rsidRPr="00854CF9">
        <w:t>Le Directeur général a félicité les délégations de la Hongrie, de la Pologne</w:t>
      </w:r>
      <w:r>
        <w:t>,</w:t>
      </w:r>
      <w:r w:rsidRPr="00854CF9">
        <w:t xml:space="preserve"> de la République tchèque et de la Slovaquie</w:t>
      </w:r>
      <w:r>
        <w:t>,</w:t>
      </w:r>
      <w:r w:rsidRPr="00854CF9">
        <w:t xml:space="preserve"> ainsi que le</w:t>
      </w:r>
      <w:r>
        <w:t> </w:t>
      </w:r>
      <w:r w:rsidRPr="00854CF9">
        <w:t>VPI</w:t>
      </w:r>
      <w:r>
        <w:t>,</w:t>
      </w:r>
      <w:r w:rsidRPr="00854CF9">
        <w:t xml:space="preserve"> pour la nomination de ce</w:t>
      </w:r>
      <w:r>
        <w:t>lui</w:t>
      </w:r>
      <w:r w:rsidR="001D67E8">
        <w:rPr>
          <w:color w:val="000000"/>
          <w:szCs w:val="22"/>
        </w:rPr>
        <w:noBreakHyphen/>
      </w:r>
      <w:r>
        <w:rPr>
          <w:color w:val="000000"/>
          <w:szCs w:val="22"/>
        </w:rPr>
        <w:t>ci</w:t>
      </w:r>
      <w:r>
        <w:t xml:space="preserve"> </w:t>
      </w:r>
      <w:r w:rsidRPr="00854CF9">
        <w:t>en qualité d</w:t>
      </w:r>
      <w:r w:rsidR="00CE5FEC">
        <w:t>’</w:t>
      </w:r>
      <w:r w:rsidRPr="00854CF9">
        <w:t>administration chargée de la recherche internationale et de l</w:t>
      </w:r>
      <w:r w:rsidR="00CE5FEC">
        <w:t>’</w:t>
      </w:r>
      <w:r w:rsidRPr="00854CF9">
        <w:t>examen préliminaire international selon le</w:t>
      </w:r>
      <w:r>
        <w:t> </w:t>
      </w:r>
      <w:r w:rsidRPr="00854CF9">
        <w:t>PCT, et a déclaré que le Bureau international se réjouissait de travailler avec le</w:t>
      </w:r>
      <w:r>
        <w:t> </w:t>
      </w:r>
      <w:r w:rsidRPr="00854CF9">
        <w:t>VPI dans le cadre de ses nouvelles fonctions en qualité d</w:t>
      </w:r>
      <w:r w:rsidR="00CE5FEC">
        <w:t>’</w:t>
      </w:r>
      <w:r w:rsidRPr="00854CF9">
        <w:t xml:space="preserve">administration chargée de la recherche internationale </w:t>
      </w:r>
      <w:r>
        <w:t xml:space="preserve">et </w:t>
      </w:r>
      <w:r w:rsidRPr="00854CF9">
        <w:t>de l</w:t>
      </w:r>
      <w:r w:rsidR="00CE5FEC">
        <w:t>’</w:t>
      </w:r>
      <w:r w:rsidRPr="00854CF9">
        <w:t>examen préliminaire international.</w:t>
      </w:r>
    </w:p>
    <w:p w:rsidR="0052560B" w:rsidRPr="00854CF9" w:rsidRDefault="0052560B" w:rsidP="0052560B">
      <w:pPr>
        <w:pStyle w:val="ONUMFS"/>
      </w:pPr>
      <w:r w:rsidRPr="00854CF9">
        <w:t xml:space="preserve">La délégation de la Hongrie, parlant au nom </w:t>
      </w:r>
      <w:r>
        <w:t>de son pays ainsi qu</w:t>
      </w:r>
      <w:r w:rsidR="00CE5FEC">
        <w:t>’</w:t>
      </w:r>
      <w:r>
        <w:t xml:space="preserve">au nom </w:t>
      </w:r>
      <w:r w:rsidRPr="00854CF9">
        <w:t>de la Pologne</w:t>
      </w:r>
      <w:r>
        <w:t>,</w:t>
      </w:r>
      <w:r w:rsidRPr="00854CF9">
        <w:t xml:space="preserve"> de la République tchèque et de la Slovaquie (groupe de </w:t>
      </w:r>
      <w:proofErr w:type="spellStart"/>
      <w:r w:rsidRPr="00854CF9">
        <w:t>Visegrad</w:t>
      </w:r>
      <w:proofErr w:type="spellEnd"/>
      <w:r w:rsidRPr="00854CF9">
        <w:t xml:space="preserve"> ou </w:t>
      </w:r>
      <w:r>
        <w:t>“</w:t>
      </w:r>
      <w:r w:rsidRPr="00854CF9">
        <w:t xml:space="preserve"> V4 </w:t>
      </w:r>
      <w:r>
        <w:t>”</w:t>
      </w:r>
      <w:r w:rsidRPr="00854CF9">
        <w:t xml:space="preserve">), </w:t>
      </w:r>
      <w:r>
        <w:t>a remercié</w:t>
      </w:r>
      <w:r w:rsidRPr="00854CF9">
        <w:t xml:space="preserve"> toutes les délégations pour leur appui unanime et sans équivoque en faveur de la nomination du</w:t>
      </w:r>
      <w:r>
        <w:t> </w:t>
      </w:r>
      <w:r w:rsidRPr="00854CF9">
        <w:t>VPI en qualité d</w:t>
      </w:r>
      <w:r w:rsidR="00CE5FEC">
        <w:t>’</w:t>
      </w:r>
      <w:r w:rsidRPr="00854CF9">
        <w:t>administration chargée de la recherche internationale et de l</w:t>
      </w:r>
      <w:r w:rsidR="00CE5FEC">
        <w:t>’</w:t>
      </w:r>
      <w:r w:rsidRPr="00854CF9">
        <w:t xml:space="preserve">examen préliminaire international et </w:t>
      </w:r>
      <w:r>
        <w:t>s</w:t>
      </w:r>
      <w:r w:rsidR="00CE5FEC">
        <w:t>’</w:t>
      </w:r>
      <w:r>
        <w:t xml:space="preserve">est dite </w:t>
      </w:r>
      <w:r w:rsidRPr="00854CF9">
        <w:t>encouragée et honorée par l</w:t>
      </w:r>
      <w:r w:rsidR="00CE5FEC">
        <w:t>’</w:t>
      </w:r>
      <w:r>
        <w:t xml:space="preserve">ampleur </w:t>
      </w:r>
      <w:r w:rsidRPr="00854CF9">
        <w:t>du soutien re</w:t>
      </w:r>
      <w:r w:rsidR="001D67E8" w:rsidRPr="00854CF9">
        <w:t>çu</w:t>
      </w:r>
      <w:r w:rsidR="001D67E8">
        <w:t>.  El</w:t>
      </w:r>
      <w:r>
        <w:t>le</w:t>
      </w:r>
      <w:r w:rsidRPr="00854CF9">
        <w:t xml:space="preserve"> a donné l</w:t>
      </w:r>
      <w:r w:rsidR="00CE5FEC">
        <w:t>’</w:t>
      </w:r>
      <w:r w:rsidRPr="00854CF9">
        <w:t>assurance que le</w:t>
      </w:r>
      <w:r>
        <w:t> </w:t>
      </w:r>
      <w:r w:rsidRPr="00854CF9">
        <w:t>VPI travaillerait dur pour mériter l</w:t>
      </w:r>
      <w:r w:rsidR="00CE5FEC">
        <w:t>’</w:t>
      </w:r>
      <w:r w:rsidRPr="00854CF9">
        <w:t>honneur qui lui était fait</w:t>
      </w:r>
      <w:r>
        <w:t>,</w:t>
      </w:r>
      <w:r w:rsidRPr="00854CF9">
        <w:t xml:space="preserve"> répondre à la confiance des membres du</w:t>
      </w:r>
      <w:r>
        <w:t> </w:t>
      </w:r>
      <w:r w:rsidRPr="00854CF9">
        <w:t xml:space="preserve">PCT </w:t>
      </w:r>
      <w:r>
        <w:t>et</w:t>
      </w:r>
      <w:r w:rsidRPr="00854CF9">
        <w:t xml:space="preserve"> devenir un partenaire fiable dans le domaine de la coopération internationale en matière de brevets </w:t>
      </w:r>
      <w:r>
        <w:t>en vertu</w:t>
      </w:r>
      <w:r w:rsidRPr="00854CF9">
        <w:t xml:space="preserve"> du</w:t>
      </w:r>
      <w:r>
        <w:t> </w:t>
      </w:r>
      <w:r w:rsidRPr="00854CF9">
        <w:t>PCT.  La délégation a également remercié le Directeur général et le Secrétariat pour l</w:t>
      </w:r>
      <w:r w:rsidR="00CE5FEC">
        <w:t>’</w:t>
      </w:r>
      <w:r w:rsidRPr="00854CF9">
        <w:t>assistance continue et extrêmement précieuse qu</w:t>
      </w:r>
      <w:r w:rsidR="00CE5FEC">
        <w:t>’</w:t>
      </w:r>
      <w:r w:rsidRPr="00854CF9">
        <w:t>ils ont fournie tout au long du process</w:t>
      </w:r>
      <w:r w:rsidR="001D67E8" w:rsidRPr="00854CF9">
        <w:t>us</w:t>
      </w:r>
      <w:r w:rsidR="001D67E8">
        <w:t xml:space="preserve">.  </w:t>
      </w:r>
      <w:r w:rsidR="001D67E8" w:rsidRPr="00854CF9">
        <w:t>En</w:t>
      </w:r>
      <w:r w:rsidRPr="00854CF9">
        <w:t xml:space="preserve">fin, elle a déclaré en conclusion que la demande </w:t>
      </w:r>
      <w:r>
        <w:t xml:space="preserve">de nomination </w:t>
      </w:r>
      <w:r w:rsidRPr="00854CF9">
        <w:t>du</w:t>
      </w:r>
      <w:r>
        <w:t> </w:t>
      </w:r>
      <w:r w:rsidRPr="00854CF9">
        <w:t xml:space="preserve">VPI avait confirmé que les nouvelles procédures de nomination des administrations internationales étaient efficaces et transparentes et </w:t>
      </w:r>
      <w:r>
        <w:t>qu</w:t>
      </w:r>
      <w:r w:rsidR="00CE5FEC">
        <w:t>’</w:t>
      </w:r>
      <w:r>
        <w:t xml:space="preserve">elles </w:t>
      </w:r>
      <w:r w:rsidRPr="00854CF9">
        <w:t>permettaient une évaluation appropriée des critères de nominati</w:t>
      </w:r>
      <w:r w:rsidR="001D67E8" w:rsidRPr="00854CF9">
        <w:t>on</w:t>
      </w:r>
      <w:r w:rsidR="001D67E8">
        <w:t xml:space="preserve">.  </w:t>
      </w:r>
      <w:r w:rsidR="001D67E8" w:rsidRPr="00854CF9">
        <w:t>Ce</w:t>
      </w:r>
      <w:r w:rsidRPr="00854CF9">
        <w:t xml:space="preserve">s procédures permettaient également </w:t>
      </w:r>
      <w:r>
        <w:t xml:space="preserve">à </w:t>
      </w:r>
      <w:r w:rsidRPr="00854CF9">
        <w:t>l</w:t>
      </w:r>
      <w:r w:rsidR="00CE5FEC">
        <w:t>’</w:t>
      </w:r>
      <w:r w:rsidRPr="00854CF9">
        <w:t xml:space="preserve">office ou </w:t>
      </w:r>
      <w:r>
        <w:t xml:space="preserve">à </w:t>
      </w:r>
      <w:r w:rsidRPr="00854CF9">
        <w:t>l</w:t>
      </w:r>
      <w:r w:rsidR="00CE5FEC">
        <w:t>’</w:t>
      </w:r>
      <w:r w:rsidRPr="00854CF9">
        <w:t xml:space="preserve">organisation intergouvernementale souhaitant présenter sa candidature </w:t>
      </w:r>
      <w:r>
        <w:t>de</w:t>
      </w:r>
      <w:r w:rsidRPr="00854CF9">
        <w:t xml:space="preserve"> se préparer en vue de la procédure à suivre et de ses futures tâches.  L</w:t>
      </w:r>
      <w:r w:rsidR="00CE5FEC">
        <w:t>’</w:t>
      </w:r>
      <w:r w:rsidRPr="00854CF9">
        <w:t>Assemblée et les autres organes compétents du</w:t>
      </w:r>
      <w:r>
        <w:t> </w:t>
      </w:r>
      <w:r w:rsidRPr="00854CF9">
        <w:t>PCT avaient tout intérêt à appliquer ces procédures lors des prochaines nominations d</w:t>
      </w:r>
      <w:r w:rsidR="00CE5FEC">
        <w:t>’</w:t>
      </w:r>
      <w:r w:rsidRPr="00854CF9">
        <w:t>administrations internationales.</w:t>
      </w:r>
    </w:p>
    <w:p w:rsidR="00681F4E" w:rsidRDefault="00681F4E" w:rsidP="00510E51">
      <w:pPr>
        <w:pStyle w:val="Heading3"/>
        <w:rPr>
          <w:lang w:val="fr-CH"/>
        </w:rPr>
      </w:pPr>
      <w:r w:rsidRPr="00EC4085">
        <w:rPr>
          <w:lang w:val="fr-CH"/>
        </w:rPr>
        <w:t>Modification de l</w:t>
      </w:r>
      <w:r w:rsidR="00CE5FEC">
        <w:rPr>
          <w:lang w:val="fr-CH"/>
        </w:rPr>
        <w:t>’</w:t>
      </w:r>
      <w:r w:rsidRPr="00EC4085">
        <w:rPr>
          <w:lang w:val="fr-CH"/>
        </w:rPr>
        <w:t>accord concernant les fonctions de l</w:t>
      </w:r>
      <w:r w:rsidR="00CE5FEC">
        <w:rPr>
          <w:lang w:val="fr-CH"/>
        </w:rPr>
        <w:t>’</w:t>
      </w:r>
      <w:r w:rsidRPr="00EC4085">
        <w:rPr>
          <w:lang w:val="fr-CH"/>
        </w:rPr>
        <w:t>Office d</w:t>
      </w:r>
      <w:r w:rsidR="00CE5FEC">
        <w:rPr>
          <w:lang w:val="fr-CH"/>
        </w:rPr>
        <w:t>’</w:t>
      </w:r>
      <w:r w:rsidRPr="00EC4085">
        <w:rPr>
          <w:lang w:val="fr-CH"/>
        </w:rPr>
        <w:t>État de la propriété intellectuelle de l</w:t>
      </w:r>
      <w:r w:rsidR="00CE5FEC">
        <w:rPr>
          <w:lang w:val="fr-CH"/>
        </w:rPr>
        <w:t>’</w:t>
      </w:r>
      <w:r w:rsidRPr="00EC4085">
        <w:rPr>
          <w:lang w:val="fr-CH"/>
        </w:rPr>
        <w:t>Ukraine en qualité d</w:t>
      </w:r>
      <w:r w:rsidR="00CE5FEC">
        <w:rPr>
          <w:lang w:val="fr-CH"/>
        </w:rPr>
        <w:t>’</w:t>
      </w:r>
      <w:r w:rsidRPr="00EC4085">
        <w:rPr>
          <w:lang w:val="fr-CH"/>
        </w:rPr>
        <w:t>administration chargée de la recherche internationale et de l</w:t>
      </w:r>
      <w:r w:rsidR="00CE5FEC">
        <w:rPr>
          <w:lang w:val="fr-CH"/>
        </w:rPr>
        <w:t>’</w:t>
      </w:r>
      <w:r w:rsidRPr="00EC4085">
        <w:rPr>
          <w:lang w:val="fr-CH"/>
        </w:rPr>
        <w:t>examen préliminaire international au titre</w:t>
      </w:r>
      <w:r w:rsidR="00CE5FEC" w:rsidRPr="00EC4085">
        <w:rPr>
          <w:lang w:val="fr-CH"/>
        </w:rPr>
        <w:t xml:space="preserve"> du</w:t>
      </w:r>
      <w:r w:rsidR="00CE5FEC">
        <w:rPr>
          <w:lang w:val="fr-CH"/>
        </w:rPr>
        <w:t> </w:t>
      </w:r>
      <w:r w:rsidR="00CE5FEC" w:rsidRPr="00EC4085">
        <w:rPr>
          <w:lang w:val="fr-CH"/>
        </w:rPr>
        <w:t>PCT</w:t>
      </w:r>
    </w:p>
    <w:p w:rsidR="00681F4E" w:rsidRPr="008E182B" w:rsidRDefault="00681F4E" w:rsidP="00681F4E">
      <w:pPr>
        <w:rPr>
          <w:lang w:val="fr-CH"/>
        </w:rPr>
      </w:pPr>
    </w:p>
    <w:p w:rsidR="00681F4E" w:rsidRPr="00681F4E" w:rsidRDefault="00681F4E" w:rsidP="0052560B">
      <w:pPr>
        <w:pStyle w:val="ONUMFS"/>
        <w:rPr>
          <w:lang w:val="fr-CH"/>
        </w:rPr>
      </w:pPr>
      <w:r w:rsidRPr="00681F4E">
        <w:rPr>
          <w:lang w:val="fr-CH"/>
        </w:rPr>
        <w:t>Les délibérations ont eu lieu sur la base du document PCT/A/47/7.</w:t>
      </w:r>
    </w:p>
    <w:p w:rsidR="00681F4E" w:rsidRPr="00EC4085" w:rsidRDefault="00681F4E" w:rsidP="00681F4E">
      <w:pPr>
        <w:pStyle w:val="ONUMFS"/>
        <w:rPr>
          <w:lang w:val="fr-CH"/>
        </w:rPr>
      </w:pPr>
      <w:r w:rsidRPr="00EC4085">
        <w:rPr>
          <w:lang w:val="fr-CH"/>
        </w:rPr>
        <w:t>Le Secrétariat a présenté le document, qui exposait les modifications qu</w:t>
      </w:r>
      <w:r w:rsidR="00CE5FEC">
        <w:rPr>
          <w:lang w:val="fr-CH"/>
        </w:rPr>
        <w:t>’</w:t>
      </w:r>
      <w:r w:rsidRPr="00EC4085">
        <w:rPr>
          <w:lang w:val="fr-CH"/>
        </w:rPr>
        <w:t>il était proposé d</w:t>
      </w:r>
      <w:r w:rsidR="00CE5FEC">
        <w:rPr>
          <w:lang w:val="fr-CH"/>
        </w:rPr>
        <w:t>’</w:t>
      </w:r>
      <w:r w:rsidRPr="00EC4085">
        <w:rPr>
          <w:lang w:val="fr-CH"/>
        </w:rPr>
        <w:t>apporter à l</w:t>
      </w:r>
      <w:r w:rsidR="00CE5FEC">
        <w:rPr>
          <w:lang w:val="fr-CH"/>
        </w:rPr>
        <w:t>’</w:t>
      </w:r>
      <w:r w:rsidRPr="00EC4085">
        <w:rPr>
          <w:lang w:val="fr-CH"/>
        </w:rPr>
        <w:t>Accord concernant les fonctions de l</w:t>
      </w:r>
      <w:r w:rsidR="00CE5FEC">
        <w:rPr>
          <w:lang w:val="fr-CH"/>
        </w:rPr>
        <w:t>’</w:t>
      </w:r>
      <w:r w:rsidRPr="00EC4085">
        <w:rPr>
          <w:lang w:val="fr-CH"/>
        </w:rPr>
        <w:t>Office d</w:t>
      </w:r>
      <w:r w:rsidR="00CE5FEC">
        <w:rPr>
          <w:lang w:val="fr-CH"/>
        </w:rPr>
        <w:t>’</w:t>
      </w:r>
      <w:r w:rsidRPr="00EC4085">
        <w:rPr>
          <w:lang w:val="fr-CH"/>
        </w:rPr>
        <w:t>État de la propriété intellectuelle de l</w:t>
      </w:r>
      <w:r w:rsidR="00CE5FEC">
        <w:rPr>
          <w:lang w:val="fr-CH"/>
        </w:rPr>
        <w:t>’</w:t>
      </w:r>
      <w:r w:rsidRPr="00EC4085">
        <w:rPr>
          <w:lang w:val="fr-CH"/>
        </w:rPr>
        <w:t>Ukraine en qualité d</w:t>
      </w:r>
      <w:r w:rsidR="00CE5FEC">
        <w:rPr>
          <w:lang w:val="fr-CH"/>
        </w:rPr>
        <w:t>’</w:t>
      </w:r>
      <w:r w:rsidRPr="00EC4085">
        <w:rPr>
          <w:lang w:val="fr-CH"/>
        </w:rPr>
        <w:t>administration internationa</w:t>
      </w:r>
      <w:r w:rsidR="001D67E8" w:rsidRPr="00EC4085">
        <w:rPr>
          <w:lang w:val="fr-CH"/>
        </w:rPr>
        <w:t>le</w:t>
      </w:r>
      <w:r w:rsidR="001D67E8">
        <w:rPr>
          <w:lang w:val="fr-CH"/>
        </w:rPr>
        <w:t xml:space="preserve">.  </w:t>
      </w:r>
      <w:r w:rsidR="001D67E8" w:rsidRPr="00EC4085">
        <w:rPr>
          <w:lang w:val="fr-CH"/>
        </w:rPr>
        <w:t>Le</w:t>
      </w:r>
      <w:r w:rsidRPr="00EC4085">
        <w:rPr>
          <w:lang w:val="fr-CH"/>
        </w:rPr>
        <w:t xml:space="preserve"> Secrétariat a rappelé la désignation, par l</w:t>
      </w:r>
      <w:r w:rsidR="00CE5FEC">
        <w:rPr>
          <w:lang w:val="fr-CH"/>
        </w:rPr>
        <w:t>’</w:t>
      </w:r>
      <w:r w:rsidRPr="00EC4085">
        <w:rPr>
          <w:lang w:val="fr-CH"/>
        </w:rPr>
        <w:t>assemblée de 2013, de l</w:t>
      </w:r>
      <w:r w:rsidR="00CE5FEC">
        <w:rPr>
          <w:lang w:val="fr-CH"/>
        </w:rPr>
        <w:t>’</w:t>
      </w:r>
      <w:r w:rsidRPr="00EC4085">
        <w:rPr>
          <w:lang w:val="fr-CH"/>
        </w:rPr>
        <w:t>Office d</w:t>
      </w:r>
      <w:r w:rsidR="00CE5FEC">
        <w:rPr>
          <w:lang w:val="fr-CH"/>
        </w:rPr>
        <w:t>’</w:t>
      </w:r>
      <w:r w:rsidRPr="00EC4085">
        <w:rPr>
          <w:lang w:val="fr-CH"/>
        </w:rPr>
        <w:t>État de la propriété intellectuelle de l</w:t>
      </w:r>
      <w:r w:rsidR="00CE5FEC">
        <w:rPr>
          <w:lang w:val="fr-CH"/>
        </w:rPr>
        <w:t>’</w:t>
      </w:r>
      <w:r w:rsidRPr="00EC4085">
        <w:rPr>
          <w:lang w:val="fr-CH"/>
        </w:rPr>
        <w:t>Ukraine en qualité d</w:t>
      </w:r>
      <w:r w:rsidR="00CE5FEC">
        <w:rPr>
          <w:lang w:val="fr-CH"/>
        </w:rPr>
        <w:t>’</w:t>
      </w:r>
      <w:r w:rsidRPr="00EC4085">
        <w:rPr>
          <w:lang w:val="fr-CH"/>
        </w:rPr>
        <w:t>administration chargée de la recherche internationale et d</w:t>
      </w:r>
      <w:r w:rsidR="00CE5FEC">
        <w:rPr>
          <w:lang w:val="fr-CH"/>
        </w:rPr>
        <w:t>’</w:t>
      </w:r>
      <w:r w:rsidRPr="00EC4085">
        <w:rPr>
          <w:lang w:val="fr-CH"/>
        </w:rPr>
        <w:t>administration chargée de l</w:t>
      </w:r>
      <w:r w:rsidR="00CE5FEC">
        <w:rPr>
          <w:lang w:val="fr-CH"/>
        </w:rPr>
        <w:t>’</w:t>
      </w:r>
      <w:r w:rsidRPr="00EC4085">
        <w:rPr>
          <w:lang w:val="fr-CH"/>
        </w:rPr>
        <w:t>examen préliminaire international au titre du PCT, ainsi que l</w:t>
      </w:r>
      <w:r w:rsidR="00CE5FEC">
        <w:rPr>
          <w:lang w:val="fr-CH"/>
        </w:rPr>
        <w:t>’</w:t>
      </w:r>
      <w:r w:rsidRPr="00EC4085">
        <w:rPr>
          <w:lang w:val="fr-CH"/>
        </w:rPr>
        <w:t>approbation du texte de projet d</w:t>
      </w:r>
      <w:r w:rsidR="00CE5FEC">
        <w:rPr>
          <w:lang w:val="fr-CH"/>
        </w:rPr>
        <w:t>’</w:t>
      </w:r>
      <w:r w:rsidRPr="00EC4085">
        <w:rPr>
          <w:lang w:val="fr-CH"/>
        </w:rPr>
        <w:t>accord entre l</w:t>
      </w:r>
      <w:r w:rsidR="00CE5FEC">
        <w:rPr>
          <w:lang w:val="fr-CH"/>
        </w:rPr>
        <w:t>’</w:t>
      </w:r>
      <w:r w:rsidRPr="00EC4085">
        <w:rPr>
          <w:lang w:val="fr-CH"/>
        </w:rPr>
        <w:t>Office d</w:t>
      </w:r>
      <w:r w:rsidR="00CE5FEC">
        <w:rPr>
          <w:lang w:val="fr-CH"/>
        </w:rPr>
        <w:t>’</w:t>
      </w:r>
      <w:r w:rsidRPr="00EC4085">
        <w:rPr>
          <w:lang w:val="fr-CH"/>
        </w:rPr>
        <w:t>État de la propriété intellectuelle de l</w:t>
      </w:r>
      <w:r w:rsidR="00CE5FEC">
        <w:rPr>
          <w:lang w:val="fr-CH"/>
        </w:rPr>
        <w:t>’</w:t>
      </w:r>
      <w:r w:rsidRPr="00EC4085">
        <w:rPr>
          <w:lang w:val="fr-CH"/>
        </w:rPr>
        <w:t>Ukraine et le Bureau internation</w:t>
      </w:r>
      <w:r w:rsidR="001D67E8" w:rsidRPr="00EC4085">
        <w:rPr>
          <w:lang w:val="fr-CH"/>
        </w:rPr>
        <w:t>al</w:t>
      </w:r>
      <w:r w:rsidR="001D67E8">
        <w:rPr>
          <w:lang w:val="fr-CH"/>
        </w:rPr>
        <w:t xml:space="preserve">.  </w:t>
      </w:r>
      <w:r w:rsidR="001D67E8" w:rsidRPr="00EC4085">
        <w:rPr>
          <w:lang w:val="fr-CH"/>
        </w:rPr>
        <w:t>L</w:t>
      </w:r>
      <w:r w:rsidR="001D67E8">
        <w:rPr>
          <w:lang w:val="fr-CH"/>
        </w:rPr>
        <w:t>’</w:t>
      </w:r>
      <w:r w:rsidR="001D67E8" w:rsidRPr="00EC4085">
        <w:rPr>
          <w:lang w:val="fr-CH"/>
        </w:rPr>
        <w:t>a</w:t>
      </w:r>
      <w:r w:rsidRPr="00EC4085">
        <w:rPr>
          <w:lang w:val="fr-CH"/>
        </w:rPr>
        <w:t>ccord avait été signé le 30 septembre 2013.  Depuis lors, le service de l</w:t>
      </w:r>
      <w:r w:rsidR="00CE5FEC">
        <w:rPr>
          <w:lang w:val="fr-CH"/>
        </w:rPr>
        <w:t>’</w:t>
      </w:r>
      <w:r w:rsidRPr="00EC4085">
        <w:rPr>
          <w:lang w:val="fr-CH"/>
        </w:rPr>
        <w:t>office d</w:t>
      </w:r>
      <w:r w:rsidR="00CE5FEC">
        <w:rPr>
          <w:lang w:val="fr-CH"/>
        </w:rPr>
        <w:t>’</w:t>
      </w:r>
      <w:r w:rsidRPr="00EC4085">
        <w:rPr>
          <w:lang w:val="fr-CH"/>
        </w:rPr>
        <w:t>État qui était chargé du traitement des demandes de brevet était devenu une unité distincte appelée “Entreprise d</w:t>
      </w:r>
      <w:r w:rsidR="00CE5FEC">
        <w:rPr>
          <w:lang w:val="fr-CH"/>
        </w:rPr>
        <w:t>’</w:t>
      </w:r>
      <w:r w:rsidRPr="00EC4085">
        <w:rPr>
          <w:lang w:val="fr-CH"/>
        </w:rPr>
        <w:t xml:space="preserve">État </w:t>
      </w:r>
      <w:r w:rsidR="00CE5FEC">
        <w:rPr>
          <w:lang w:val="fr-CH"/>
        </w:rPr>
        <w:t>‘</w:t>
      </w:r>
      <w:r w:rsidRPr="00EC4085">
        <w:rPr>
          <w:lang w:val="fr-CH"/>
        </w:rPr>
        <w:t>Institut ukrainien de la propriété intellectuelle</w:t>
      </w:r>
      <w:r w:rsidR="00CE5FEC">
        <w:rPr>
          <w:lang w:val="fr-CH"/>
        </w:rPr>
        <w:t>’</w:t>
      </w:r>
      <w:r w:rsidRPr="00EC4085">
        <w:rPr>
          <w:lang w:val="fr-CH"/>
        </w:rPr>
        <w:t>”.  L</w:t>
      </w:r>
      <w:r w:rsidR="00CE5FEC">
        <w:rPr>
          <w:lang w:val="fr-CH"/>
        </w:rPr>
        <w:t>’</w:t>
      </w:r>
      <w:r w:rsidRPr="00EC4085">
        <w:rPr>
          <w:lang w:val="fr-CH"/>
        </w:rPr>
        <w:t>entreprise d</w:t>
      </w:r>
      <w:r w:rsidR="00CE5FEC">
        <w:rPr>
          <w:lang w:val="fr-CH"/>
        </w:rPr>
        <w:t>’</w:t>
      </w:r>
      <w:r w:rsidRPr="00EC4085">
        <w:rPr>
          <w:lang w:val="fr-CH"/>
        </w:rPr>
        <w:t>État était indépendante de l</w:t>
      </w:r>
      <w:r w:rsidR="00CE5FEC">
        <w:rPr>
          <w:lang w:val="fr-CH"/>
        </w:rPr>
        <w:t>’</w:t>
      </w:r>
      <w:r w:rsidRPr="00EC4085">
        <w:rPr>
          <w:lang w:val="fr-CH"/>
        </w:rPr>
        <w:t>office d</w:t>
      </w:r>
      <w:r w:rsidR="00CE5FEC">
        <w:rPr>
          <w:lang w:val="fr-CH"/>
        </w:rPr>
        <w:t>’</w:t>
      </w:r>
      <w:r w:rsidRPr="00EC4085">
        <w:rPr>
          <w:lang w:val="fr-CH"/>
        </w:rPr>
        <w:t>État, qui restait toutefois responsable de la politique et de la supervisi</w:t>
      </w:r>
      <w:r w:rsidR="001D67E8" w:rsidRPr="00EC4085">
        <w:rPr>
          <w:lang w:val="fr-CH"/>
        </w:rPr>
        <w:t>on</w:t>
      </w:r>
      <w:r w:rsidR="001D67E8">
        <w:rPr>
          <w:lang w:val="fr-CH"/>
        </w:rPr>
        <w:t xml:space="preserve">.  </w:t>
      </w:r>
      <w:r w:rsidR="001D67E8" w:rsidRPr="00EC4085">
        <w:rPr>
          <w:lang w:val="fr-CH"/>
        </w:rPr>
        <w:t>L</w:t>
      </w:r>
      <w:r w:rsidR="001D67E8">
        <w:rPr>
          <w:lang w:val="fr-CH"/>
        </w:rPr>
        <w:t>’</w:t>
      </w:r>
      <w:r w:rsidR="001D67E8" w:rsidRPr="00EC4085">
        <w:rPr>
          <w:lang w:val="fr-CH"/>
        </w:rPr>
        <w:t>a</w:t>
      </w:r>
      <w:r w:rsidRPr="00EC4085">
        <w:rPr>
          <w:lang w:val="fr-CH"/>
        </w:rPr>
        <w:t>ssemblée a donc été priée de bien vouloir approuver les modifications qu</w:t>
      </w:r>
      <w:r w:rsidR="00CE5FEC">
        <w:rPr>
          <w:lang w:val="fr-CH"/>
        </w:rPr>
        <w:t>’</w:t>
      </w:r>
      <w:r w:rsidRPr="00EC4085">
        <w:rPr>
          <w:lang w:val="fr-CH"/>
        </w:rPr>
        <w:t>il était proposé d</w:t>
      </w:r>
      <w:r w:rsidR="00CE5FEC">
        <w:rPr>
          <w:lang w:val="fr-CH"/>
        </w:rPr>
        <w:t>’</w:t>
      </w:r>
      <w:r w:rsidRPr="00EC4085">
        <w:rPr>
          <w:lang w:val="fr-CH"/>
        </w:rPr>
        <w:t>apporter à l</w:t>
      </w:r>
      <w:r w:rsidR="00CE5FEC">
        <w:rPr>
          <w:lang w:val="fr-CH"/>
        </w:rPr>
        <w:t>’</w:t>
      </w:r>
      <w:r w:rsidRPr="00EC4085">
        <w:rPr>
          <w:lang w:val="fr-CH"/>
        </w:rPr>
        <w:t>accord afin de tenir compte du changement de nom du service de l</w:t>
      </w:r>
      <w:r w:rsidR="00CE5FEC">
        <w:rPr>
          <w:lang w:val="fr-CH"/>
        </w:rPr>
        <w:t>’</w:t>
      </w:r>
      <w:r w:rsidRPr="00EC4085">
        <w:rPr>
          <w:lang w:val="fr-CH"/>
        </w:rPr>
        <w:t>office qui était chargé de la recherche internationale et de l</w:t>
      </w:r>
      <w:r w:rsidR="00CE5FEC">
        <w:rPr>
          <w:lang w:val="fr-CH"/>
        </w:rPr>
        <w:t>’</w:t>
      </w:r>
      <w:r w:rsidRPr="00EC4085">
        <w:rPr>
          <w:lang w:val="fr-CH"/>
        </w:rPr>
        <w:t>examen préliminaire internation</w:t>
      </w:r>
      <w:r w:rsidR="001D67E8" w:rsidRPr="00EC4085">
        <w:rPr>
          <w:lang w:val="fr-CH"/>
        </w:rPr>
        <w:t>al</w:t>
      </w:r>
      <w:r w:rsidR="001D67E8">
        <w:rPr>
          <w:lang w:val="fr-CH"/>
        </w:rPr>
        <w:t xml:space="preserve">.  </w:t>
      </w:r>
      <w:r w:rsidR="001D67E8" w:rsidRPr="00EC4085">
        <w:rPr>
          <w:lang w:val="fr-CH"/>
        </w:rPr>
        <w:t>Le</w:t>
      </w:r>
      <w:r w:rsidRPr="00EC4085">
        <w:rPr>
          <w:lang w:val="fr-CH"/>
        </w:rPr>
        <w:t>s modifications n</w:t>
      </w:r>
      <w:r w:rsidR="00CE5FEC">
        <w:rPr>
          <w:lang w:val="fr-CH"/>
        </w:rPr>
        <w:t>’</w:t>
      </w:r>
      <w:r w:rsidRPr="00EC4085">
        <w:rPr>
          <w:lang w:val="fr-CH"/>
        </w:rPr>
        <w:t>ont pas apporté de changement à l</w:t>
      </w:r>
      <w:r w:rsidR="00CE5FEC">
        <w:rPr>
          <w:lang w:val="fr-CH"/>
        </w:rPr>
        <w:t>’</w:t>
      </w:r>
      <w:r w:rsidRPr="00EC4085">
        <w:rPr>
          <w:lang w:val="fr-CH"/>
        </w:rPr>
        <w:t>administration ou à l</w:t>
      </w:r>
      <w:r w:rsidR="00CE5FEC">
        <w:rPr>
          <w:lang w:val="fr-CH"/>
        </w:rPr>
        <w:t>’</w:t>
      </w:r>
      <w:r w:rsidRPr="00EC4085">
        <w:rPr>
          <w:lang w:val="fr-CH"/>
        </w:rPr>
        <w:t>accord quant au fo</w:t>
      </w:r>
      <w:r w:rsidR="001D67E8" w:rsidRPr="00EC4085">
        <w:rPr>
          <w:lang w:val="fr-CH"/>
        </w:rPr>
        <w:t>nd</w:t>
      </w:r>
      <w:r w:rsidR="001D67E8">
        <w:rPr>
          <w:lang w:val="fr-CH"/>
        </w:rPr>
        <w:t xml:space="preserve">.  </w:t>
      </w:r>
      <w:r w:rsidR="001D67E8" w:rsidRPr="00EC4085">
        <w:rPr>
          <w:lang w:val="fr-CH"/>
        </w:rPr>
        <w:t>L</w:t>
      </w:r>
      <w:r w:rsidR="001D67E8">
        <w:rPr>
          <w:lang w:val="fr-CH"/>
        </w:rPr>
        <w:t>’</w:t>
      </w:r>
      <w:r w:rsidR="001D67E8" w:rsidRPr="00EC4085">
        <w:rPr>
          <w:lang w:val="fr-CH"/>
        </w:rPr>
        <w:t>e</w:t>
      </w:r>
      <w:r w:rsidRPr="00EC4085">
        <w:rPr>
          <w:lang w:val="fr-CH"/>
        </w:rPr>
        <w:t>ntreprise d</w:t>
      </w:r>
      <w:r w:rsidR="00CE5FEC">
        <w:rPr>
          <w:lang w:val="fr-CH"/>
        </w:rPr>
        <w:t>’</w:t>
      </w:r>
      <w:r w:rsidRPr="00EC4085">
        <w:rPr>
          <w:lang w:val="fr-CH"/>
        </w:rPr>
        <w:t>État a conservé la totalité des examinateurs, des moyens de recherche, des systèmes informatiques et autres dispositifs et compétences et, techniquement, elle est l</w:t>
      </w:r>
      <w:r w:rsidR="00CE5FEC">
        <w:rPr>
          <w:lang w:val="fr-CH"/>
        </w:rPr>
        <w:t>’</w:t>
      </w:r>
      <w:r w:rsidRPr="00EC4085">
        <w:rPr>
          <w:lang w:val="fr-CH"/>
        </w:rPr>
        <w:t>organe qui, en 2013, avait été désigné par l</w:t>
      </w:r>
      <w:r w:rsidR="00CE5FEC">
        <w:rPr>
          <w:lang w:val="fr-CH"/>
        </w:rPr>
        <w:t>’</w:t>
      </w:r>
      <w:r w:rsidRPr="00EC4085">
        <w:rPr>
          <w:lang w:val="fr-CH"/>
        </w:rPr>
        <w:t>assemblée en qualité d</w:t>
      </w:r>
      <w:r w:rsidR="00CE5FEC">
        <w:rPr>
          <w:lang w:val="fr-CH"/>
        </w:rPr>
        <w:t>’</w:t>
      </w:r>
      <w:r w:rsidRPr="00EC4085">
        <w:rPr>
          <w:lang w:val="fr-CH"/>
        </w:rPr>
        <w:t>administration chargée de la recherche internationale et de l</w:t>
      </w:r>
      <w:r w:rsidR="00CE5FEC">
        <w:rPr>
          <w:lang w:val="fr-CH"/>
        </w:rPr>
        <w:t>’</w:t>
      </w:r>
      <w:r w:rsidRPr="00EC4085">
        <w:rPr>
          <w:lang w:val="fr-CH"/>
        </w:rPr>
        <w:t>examen préliminaire international.</w:t>
      </w:r>
    </w:p>
    <w:p w:rsidR="00681F4E" w:rsidRPr="00EC4085" w:rsidRDefault="00681F4E" w:rsidP="00681F4E">
      <w:pPr>
        <w:pStyle w:val="ONUMFS"/>
        <w:rPr>
          <w:lang w:val="fr-CH"/>
        </w:rPr>
      </w:pPr>
      <w:r w:rsidRPr="00EC4085">
        <w:rPr>
          <w:lang w:val="fr-CH"/>
        </w:rPr>
        <w:lastRenderedPageBreak/>
        <w:t>La délégation de l</w:t>
      </w:r>
      <w:r w:rsidR="00CE5FEC">
        <w:rPr>
          <w:lang w:val="fr-CH"/>
        </w:rPr>
        <w:t>’</w:t>
      </w:r>
      <w:r w:rsidRPr="00EC4085">
        <w:rPr>
          <w:lang w:val="fr-CH"/>
        </w:rPr>
        <w:t>Ukraine a souligné que l</w:t>
      </w:r>
      <w:r w:rsidR="00CE5FEC">
        <w:rPr>
          <w:lang w:val="fr-CH"/>
        </w:rPr>
        <w:t>’</w:t>
      </w:r>
      <w:r w:rsidRPr="00EC4085">
        <w:rPr>
          <w:lang w:val="fr-CH"/>
        </w:rPr>
        <w:t>accord demeurait un accord entre l</w:t>
      </w:r>
      <w:r w:rsidR="00CE5FEC">
        <w:rPr>
          <w:lang w:val="fr-CH"/>
        </w:rPr>
        <w:t>’</w:t>
      </w:r>
      <w:r w:rsidRPr="00EC4085">
        <w:rPr>
          <w:lang w:val="fr-CH"/>
        </w:rPr>
        <w:t>Office d</w:t>
      </w:r>
      <w:r w:rsidR="00CE5FEC">
        <w:rPr>
          <w:lang w:val="fr-CH"/>
        </w:rPr>
        <w:t>’</w:t>
      </w:r>
      <w:r w:rsidRPr="00EC4085">
        <w:rPr>
          <w:lang w:val="fr-CH"/>
        </w:rPr>
        <w:t>État de la propriété intellectuelle de l</w:t>
      </w:r>
      <w:r w:rsidR="00CE5FEC">
        <w:rPr>
          <w:lang w:val="fr-CH"/>
        </w:rPr>
        <w:t>’</w:t>
      </w:r>
      <w:r w:rsidRPr="00EC4085">
        <w:rPr>
          <w:lang w:val="fr-CH"/>
        </w:rPr>
        <w:t>Ukraine et le Bureau international de l</w:t>
      </w:r>
      <w:r w:rsidR="00CE5FEC">
        <w:rPr>
          <w:lang w:val="fr-CH"/>
        </w:rPr>
        <w:t>’</w:t>
      </w:r>
      <w:r w:rsidRPr="00EC4085">
        <w:rPr>
          <w:lang w:val="fr-CH"/>
        </w:rPr>
        <w:t>OMPI.  Néanmoins, l</w:t>
      </w:r>
      <w:r w:rsidR="00CE5FEC">
        <w:rPr>
          <w:lang w:val="fr-CH"/>
        </w:rPr>
        <w:t>’</w:t>
      </w:r>
      <w:r w:rsidRPr="00EC4085">
        <w:rPr>
          <w:lang w:val="fr-CH"/>
        </w:rPr>
        <w:t>entreprise d</w:t>
      </w:r>
      <w:r w:rsidR="00CE5FEC">
        <w:rPr>
          <w:lang w:val="fr-CH"/>
        </w:rPr>
        <w:t>’</w:t>
      </w:r>
      <w:r w:rsidRPr="00EC4085">
        <w:rPr>
          <w:lang w:val="fr-CH"/>
        </w:rPr>
        <w:t>État allait jouer le rôle d</w:t>
      </w:r>
      <w:r w:rsidR="00CE5FEC">
        <w:rPr>
          <w:lang w:val="fr-CH"/>
        </w:rPr>
        <w:t>’</w:t>
      </w:r>
      <w:r w:rsidRPr="00EC4085">
        <w:rPr>
          <w:lang w:val="fr-CH"/>
        </w:rPr>
        <w:t>administration chargée de la recherche internationale et de l</w:t>
      </w:r>
      <w:r w:rsidR="00CE5FEC">
        <w:rPr>
          <w:lang w:val="fr-CH"/>
        </w:rPr>
        <w:t>’</w:t>
      </w:r>
      <w:r w:rsidRPr="00EC4085">
        <w:rPr>
          <w:lang w:val="fr-CH"/>
        </w:rPr>
        <w:t>examen préliminaire internation</w:t>
      </w:r>
      <w:r w:rsidR="001D67E8" w:rsidRPr="00EC4085">
        <w:rPr>
          <w:lang w:val="fr-CH"/>
        </w:rPr>
        <w:t>al</w:t>
      </w:r>
      <w:r w:rsidR="001D67E8">
        <w:rPr>
          <w:lang w:val="fr-CH"/>
        </w:rPr>
        <w:t xml:space="preserve">.  </w:t>
      </w:r>
      <w:r w:rsidR="001D67E8" w:rsidRPr="00EC4085">
        <w:rPr>
          <w:lang w:val="fr-CH"/>
        </w:rPr>
        <w:t>Co</w:t>
      </w:r>
      <w:r w:rsidRPr="00EC4085">
        <w:rPr>
          <w:lang w:val="fr-CH"/>
        </w:rPr>
        <w:t>nformément à l</w:t>
      </w:r>
      <w:r w:rsidR="00CE5FEC">
        <w:rPr>
          <w:lang w:val="fr-CH"/>
        </w:rPr>
        <w:t>’</w:t>
      </w:r>
      <w:r w:rsidRPr="00EC4085">
        <w:rPr>
          <w:lang w:val="fr-CH"/>
        </w:rPr>
        <w:t>article 11 de l</w:t>
      </w:r>
      <w:r w:rsidR="00CE5FEC">
        <w:rPr>
          <w:lang w:val="fr-CH"/>
        </w:rPr>
        <w:t>’</w:t>
      </w:r>
      <w:r w:rsidRPr="00EC4085">
        <w:rPr>
          <w:lang w:val="fr-CH"/>
        </w:rPr>
        <w:t>accord, les parties peuvent convenir de modifications à apporter au présent accord, sous réserve de leur approbation par l</w:t>
      </w:r>
      <w:r w:rsidR="00CE5FEC">
        <w:rPr>
          <w:lang w:val="fr-CH"/>
        </w:rPr>
        <w:t>’</w:t>
      </w:r>
      <w:r w:rsidRPr="00EC4085">
        <w:rPr>
          <w:lang w:val="fr-CH"/>
        </w:rPr>
        <w:t>assembl</w:t>
      </w:r>
      <w:r w:rsidR="001D67E8" w:rsidRPr="00EC4085">
        <w:rPr>
          <w:lang w:val="fr-CH"/>
        </w:rPr>
        <w:t>ée</w:t>
      </w:r>
      <w:r w:rsidR="001D67E8">
        <w:rPr>
          <w:lang w:val="fr-CH"/>
        </w:rPr>
        <w:t xml:space="preserve">.  </w:t>
      </w:r>
      <w:r w:rsidR="001D67E8" w:rsidRPr="00EC4085">
        <w:rPr>
          <w:lang w:val="fr-CH"/>
        </w:rPr>
        <w:t>La</w:t>
      </w:r>
      <w:r w:rsidRPr="00EC4085">
        <w:rPr>
          <w:lang w:val="fr-CH"/>
        </w:rPr>
        <w:t xml:space="preserve"> délégation a par conséquent demandé à l</w:t>
      </w:r>
      <w:r w:rsidR="00CE5FEC">
        <w:rPr>
          <w:lang w:val="fr-CH"/>
        </w:rPr>
        <w:t>’</w:t>
      </w:r>
      <w:r w:rsidRPr="00EC4085">
        <w:rPr>
          <w:lang w:val="fr-CH"/>
        </w:rPr>
        <w:t>assemblée d</w:t>
      </w:r>
      <w:r w:rsidR="00CE5FEC">
        <w:rPr>
          <w:lang w:val="fr-CH"/>
        </w:rPr>
        <w:t>’</w:t>
      </w:r>
      <w:r w:rsidRPr="00EC4085">
        <w:rPr>
          <w:lang w:val="fr-CH"/>
        </w:rPr>
        <w:t>approuver les modifications proposées dans le présent document.</w:t>
      </w:r>
    </w:p>
    <w:p w:rsidR="00681F4E" w:rsidRPr="00EC4085" w:rsidRDefault="00681F4E" w:rsidP="00681F4E">
      <w:pPr>
        <w:pStyle w:val="ONUMFS"/>
        <w:ind w:left="567"/>
      </w:pPr>
      <w:r w:rsidRPr="00EC4085">
        <w:t>L</w:t>
      </w:r>
      <w:r w:rsidR="00CE5FEC">
        <w:t>’</w:t>
      </w:r>
      <w:r w:rsidRPr="00EC4085">
        <w:t>assemblée :</w:t>
      </w:r>
    </w:p>
    <w:p w:rsidR="00681F4E" w:rsidRPr="00EC4085" w:rsidRDefault="00681F4E" w:rsidP="00681F4E">
      <w:pPr>
        <w:pStyle w:val="ONUMFS"/>
        <w:numPr>
          <w:ilvl w:val="2"/>
          <w:numId w:val="6"/>
        </w:numPr>
        <w:rPr>
          <w:lang w:val="fr-CH"/>
        </w:rPr>
      </w:pPr>
      <w:r w:rsidRPr="00EC4085">
        <w:rPr>
          <w:lang w:val="fr-CH"/>
        </w:rPr>
        <w:t>a pris note du contenu du document PCT/A/47/7;  et</w:t>
      </w:r>
    </w:p>
    <w:p w:rsidR="00681F4E" w:rsidRPr="00EC4085" w:rsidRDefault="00681F4E" w:rsidP="00681F4E">
      <w:pPr>
        <w:pStyle w:val="ONUMFS"/>
        <w:numPr>
          <w:ilvl w:val="2"/>
          <w:numId w:val="6"/>
        </w:numPr>
        <w:rPr>
          <w:lang w:val="fr-CH"/>
        </w:rPr>
      </w:pPr>
      <w:r w:rsidRPr="00EC4085">
        <w:rPr>
          <w:lang w:val="fr-CH"/>
        </w:rPr>
        <w:t>a approuvé les modifications apportées à l</w:t>
      </w:r>
      <w:r w:rsidR="00CE5FEC">
        <w:rPr>
          <w:lang w:val="fr-CH"/>
        </w:rPr>
        <w:t>’</w:t>
      </w:r>
      <w:r w:rsidRPr="00EC4085">
        <w:rPr>
          <w:lang w:val="fr-CH"/>
        </w:rPr>
        <w:t>accord entre l</w:t>
      </w:r>
      <w:r w:rsidR="00CE5FEC">
        <w:rPr>
          <w:lang w:val="fr-CH"/>
        </w:rPr>
        <w:t>’</w:t>
      </w:r>
      <w:r w:rsidRPr="00EC4085">
        <w:rPr>
          <w:lang w:val="fr-CH"/>
        </w:rPr>
        <w:t>Office d</w:t>
      </w:r>
      <w:r w:rsidR="00CE5FEC">
        <w:rPr>
          <w:lang w:val="fr-CH"/>
        </w:rPr>
        <w:t>’</w:t>
      </w:r>
      <w:r w:rsidRPr="00EC4085">
        <w:rPr>
          <w:lang w:val="fr-CH"/>
        </w:rPr>
        <w:t>État de la propriété intellectuelle de l</w:t>
      </w:r>
      <w:r w:rsidR="00CE5FEC">
        <w:rPr>
          <w:lang w:val="fr-CH"/>
        </w:rPr>
        <w:t>’</w:t>
      </w:r>
      <w:r w:rsidRPr="00EC4085">
        <w:rPr>
          <w:lang w:val="fr-CH"/>
        </w:rPr>
        <w:t>Ukraine et le Bureau international qui sont indiquées dans l</w:t>
      </w:r>
      <w:r w:rsidR="00CE5FEC">
        <w:rPr>
          <w:lang w:val="fr-CH"/>
        </w:rPr>
        <w:t>’</w:t>
      </w:r>
      <w:r w:rsidRPr="00EC4085">
        <w:rPr>
          <w:lang w:val="fr-CH"/>
        </w:rPr>
        <w:t>annexe du document PCT/A/47/7.</w:t>
      </w:r>
    </w:p>
    <w:p w:rsidR="00681F4E" w:rsidRDefault="00681F4E" w:rsidP="00510E51">
      <w:pPr>
        <w:pStyle w:val="Heading3"/>
        <w:rPr>
          <w:lang w:val="fr-CH"/>
        </w:rPr>
      </w:pPr>
      <w:r w:rsidRPr="00EC4085">
        <w:rPr>
          <w:lang w:val="fr-CH"/>
        </w:rPr>
        <w:t>Questions concernant l</w:t>
      </w:r>
      <w:r w:rsidR="00CE5FEC">
        <w:rPr>
          <w:lang w:val="fr-CH"/>
        </w:rPr>
        <w:t>’</w:t>
      </w:r>
      <w:r w:rsidRPr="00EC4085">
        <w:rPr>
          <w:lang w:val="fr-CH"/>
        </w:rPr>
        <w:t>Union de Lisbonne : Proposition des États</w:t>
      </w:r>
      <w:r w:rsidR="001D67E8">
        <w:rPr>
          <w:lang w:val="fr-CH"/>
        </w:rPr>
        <w:noBreakHyphen/>
      </w:r>
      <w:r w:rsidRPr="00EC4085">
        <w:rPr>
          <w:lang w:val="fr-CH"/>
        </w:rPr>
        <w:t>Unis d</w:t>
      </w:r>
      <w:r w:rsidR="00CE5FEC">
        <w:rPr>
          <w:lang w:val="fr-CH"/>
        </w:rPr>
        <w:t>’</w:t>
      </w:r>
      <w:r w:rsidRPr="00EC4085">
        <w:rPr>
          <w:lang w:val="fr-CH"/>
        </w:rPr>
        <w:t>Amérique à l</w:t>
      </w:r>
      <w:r w:rsidR="00CE5FEC">
        <w:rPr>
          <w:lang w:val="fr-CH"/>
        </w:rPr>
        <w:t>’</w:t>
      </w:r>
      <w:r w:rsidRPr="00EC4085">
        <w:rPr>
          <w:lang w:val="fr-CH"/>
        </w:rPr>
        <w:t>intention de l</w:t>
      </w:r>
      <w:r w:rsidR="00CE5FEC">
        <w:rPr>
          <w:lang w:val="fr-CH"/>
        </w:rPr>
        <w:t>’</w:t>
      </w:r>
      <w:r w:rsidRPr="00EC4085">
        <w:rPr>
          <w:lang w:val="fr-CH"/>
        </w:rPr>
        <w:t>Assemblée de l</w:t>
      </w:r>
      <w:r w:rsidR="00CE5FEC">
        <w:rPr>
          <w:lang w:val="fr-CH"/>
        </w:rPr>
        <w:t>’</w:t>
      </w:r>
      <w:r w:rsidRPr="00EC4085">
        <w:rPr>
          <w:lang w:val="fr-CH"/>
        </w:rPr>
        <w:t>Union internationale de coopération en matière de brevets</w:t>
      </w:r>
    </w:p>
    <w:p w:rsidR="00681F4E" w:rsidRPr="00681F4E" w:rsidRDefault="00681F4E" w:rsidP="00681F4E">
      <w:pPr>
        <w:rPr>
          <w:lang w:val="fr-CH"/>
        </w:rPr>
      </w:pPr>
    </w:p>
    <w:p w:rsidR="00681F4E" w:rsidRPr="00EC4085" w:rsidRDefault="00681F4E" w:rsidP="00681F4E">
      <w:pPr>
        <w:pStyle w:val="ONUMFS"/>
        <w:rPr>
          <w:lang w:val="fr-CH"/>
        </w:rPr>
      </w:pPr>
      <w:r w:rsidRPr="00EC4085">
        <w:rPr>
          <w:lang w:val="fr-CH"/>
        </w:rPr>
        <w:t>Les délibérations ont eu lieu sur la base du document PCT/A/47/8.</w:t>
      </w:r>
    </w:p>
    <w:p w:rsidR="00681F4E" w:rsidRPr="00EC4085" w:rsidRDefault="00681F4E" w:rsidP="00681F4E">
      <w:pPr>
        <w:pStyle w:val="ONUMFS"/>
        <w:rPr>
          <w:lang w:val="fr-CH"/>
        </w:rPr>
      </w:pPr>
      <w:r w:rsidRPr="00EC4085">
        <w:rPr>
          <w:lang w:val="fr-CH"/>
        </w:rPr>
        <w:t>La délégation des États</w:t>
      </w:r>
      <w:r w:rsidR="001D67E8">
        <w:rPr>
          <w:lang w:val="fr-CH"/>
        </w:rPr>
        <w:noBreakHyphen/>
      </w:r>
      <w:r w:rsidRPr="00EC4085">
        <w:rPr>
          <w:lang w:val="fr-CH"/>
        </w:rPr>
        <w:t>Unis d</w:t>
      </w:r>
      <w:r w:rsidR="00CE5FEC">
        <w:rPr>
          <w:lang w:val="fr-CH"/>
        </w:rPr>
        <w:t>’</w:t>
      </w:r>
      <w:r w:rsidRPr="00EC4085">
        <w:rPr>
          <w:lang w:val="fr-CH"/>
        </w:rPr>
        <w:t>Amérique a présenté le document PCT/A/47/8 et s</w:t>
      </w:r>
      <w:r w:rsidR="00CE5FEC">
        <w:rPr>
          <w:lang w:val="fr-CH"/>
        </w:rPr>
        <w:t>’</w:t>
      </w:r>
      <w:r w:rsidRPr="00EC4085">
        <w:rPr>
          <w:lang w:val="fr-CH"/>
        </w:rPr>
        <w:t xml:space="preserve">est </w:t>
      </w:r>
      <w:proofErr w:type="gramStart"/>
      <w:r w:rsidRPr="00EC4085">
        <w:rPr>
          <w:lang w:val="fr-CH"/>
        </w:rPr>
        <w:t>dite</w:t>
      </w:r>
      <w:proofErr w:type="gramEnd"/>
      <w:r w:rsidRPr="00EC4085">
        <w:rPr>
          <w:lang w:val="fr-CH"/>
        </w:rPr>
        <w:t xml:space="preserve"> préoccupée de constater que les excédents de recettes du PCT finançaient les dépenses de l</w:t>
      </w:r>
      <w:r w:rsidR="00CE5FEC">
        <w:rPr>
          <w:lang w:val="fr-CH"/>
        </w:rPr>
        <w:t>’</w:t>
      </w:r>
      <w:r w:rsidRPr="00EC4085">
        <w:rPr>
          <w:lang w:val="fr-CH"/>
        </w:rPr>
        <w:t>Union de Lisbonne sans le consentement de l</w:t>
      </w:r>
      <w:r w:rsidR="00CE5FEC">
        <w:rPr>
          <w:lang w:val="fr-CH"/>
        </w:rPr>
        <w:t>’</w:t>
      </w:r>
      <w:r w:rsidRPr="00EC4085">
        <w:rPr>
          <w:lang w:val="fr-CH"/>
        </w:rPr>
        <w:t>Assemblée de l</w:t>
      </w:r>
      <w:r w:rsidR="00CE5FEC">
        <w:rPr>
          <w:lang w:val="fr-CH"/>
        </w:rPr>
        <w:t>’</w:t>
      </w:r>
      <w:r w:rsidRPr="00EC4085">
        <w:rPr>
          <w:lang w:val="fr-CH"/>
        </w:rPr>
        <w:t>Union du PCT, contrairement aux articles 4.6, 4.7 et 4.8 du Règlement financier de l</w:t>
      </w:r>
      <w:r w:rsidR="00CE5FEC">
        <w:rPr>
          <w:lang w:val="fr-CH"/>
        </w:rPr>
        <w:t>’</w:t>
      </w:r>
      <w:r w:rsidRPr="00EC4085">
        <w:rPr>
          <w:lang w:val="fr-CH"/>
        </w:rPr>
        <w:t>OMPI.  Avant d</w:t>
      </w:r>
      <w:r w:rsidR="00CE5FEC">
        <w:rPr>
          <w:lang w:val="fr-CH"/>
        </w:rPr>
        <w:t>’</w:t>
      </w:r>
      <w:r w:rsidRPr="00EC4085">
        <w:rPr>
          <w:lang w:val="fr-CH"/>
        </w:rPr>
        <w:t>exposer l</w:t>
      </w:r>
      <w:r w:rsidR="00CE5FEC">
        <w:rPr>
          <w:lang w:val="fr-CH"/>
        </w:rPr>
        <w:t>’</w:t>
      </w:r>
      <w:r w:rsidRPr="00EC4085">
        <w:rPr>
          <w:lang w:val="fr-CH"/>
        </w:rPr>
        <w:t>historique de sa proposition, la délégation a souhaité commencer par prononcer une partie de sa déclaration liminaire, que l</w:t>
      </w:r>
      <w:r w:rsidR="00CE5FEC">
        <w:rPr>
          <w:lang w:val="fr-CH"/>
        </w:rPr>
        <w:t>’</w:t>
      </w:r>
      <w:r w:rsidRPr="00EC4085">
        <w:rPr>
          <w:lang w:val="fr-CH"/>
        </w:rPr>
        <w:t>ambassadeur des États</w:t>
      </w:r>
      <w:r w:rsidR="001D67E8">
        <w:rPr>
          <w:lang w:val="fr-CH"/>
        </w:rPr>
        <w:noBreakHyphen/>
      </w:r>
      <w:r w:rsidRPr="00EC4085">
        <w:rPr>
          <w:lang w:val="fr-CH"/>
        </w:rPr>
        <w:t>Unis d</w:t>
      </w:r>
      <w:r w:rsidR="00CE5FEC">
        <w:rPr>
          <w:lang w:val="fr-CH"/>
        </w:rPr>
        <w:t>’</w:t>
      </w:r>
      <w:r w:rsidRPr="00EC4085">
        <w:rPr>
          <w:lang w:val="fr-CH"/>
        </w:rPr>
        <w:t>Amérique n</w:t>
      </w:r>
      <w:r w:rsidR="00CE5FEC">
        <w:rPr>
          <w:lang w:val="fr-CH"/>
        </w:rPr>
        <w:t>’</w:t>
      </w:r>
      <w:r w:rsidRPr="00EC4085">
        <w:rPr>
          <w:lang w:val="fr-CH"/>
        </w:rPr>
        <w:t>avait pas eu le temps de prononcer devant l</w:t>
      </w:r>
      <w:r w:rsidR="00CE5FEC">
        <w:rPr>
          <w:lang w:val="fr-CH"/>
        </w:rPr>
        <w:t>’</w:t>
      </w:r>
      <w:r w:rsidRPr="00EC4085">
        <w:rPr>
          <w:lang w:val="fr-CH"/>
        </w:rPr>
        <w:t>assembl</w:t>
      </w:r>
      <w:r w:rsidR="001D67E8" w:rsidRPr="00EC4085">
        <w:rPr>
          <w:lang w:val="fr-CH"/>
        </w:rPr>
        <w:t>ée</w:t>
      </w:r>
      <w:r w:rsidR="001D67E8">
        <w:rPr>
          <w:lang w:val="fr-CH"/>
        </w:rPr>
        <w:t xml:space="preserve">.  </w:t>
      </w:r>
      <w:r w:rsidR="001D67E8" w:rsidRPr="00EC4085">
        <w:rPr>
          <w:lang w:val="fr-CH"/>
        </w:rPr>
        <w:t>Ai</w:t>
      </w:r>
      <w:r w:rsidRPr="00EC4085">
        <w:rPr>
          <w:lang w:val="fr-CH"/>
        </w:rPr>
        <w:t>nsi, l</w:t>
      </w:r>
      <w:r w:rsidR="00CE5FEC">
        <w:rPr>
          <w:lang w:val="fr-CH"/>
        </w:rPr>
        <w:t>’</w:t>
      </w:r>
      <w:r w:rsidRPr="00EC4085">
        <w:rPr>
          <w:lang w:val="fr-CH"/>
        </w:rPr>
        <w:t>ambassadeur des États</w:t>
      </w:r>
      <w:r w:rsidR="001D67E8">
        <w:rPr>
          <w:lang w:val="fr-CH"/>
        </w:rPr>
        <w:noBreakHyphen/>
      </w:r>
      <w:r w:rsidRPr="00EC4085">
        <w:rPr>
          <w:lang w:val="fr-CH"/>
        </w:rPr>
        <w:t>Unis d</w:t>
      </w:r>
      <w:r w:rsidR="00CE5FEC">
        <w:rPr>
          <w:lang w:val="fr-CH"/>
        </w:rPr>
        <w:t>’</w:t>
      </w:r>
      <w:r w:rsidRPr="00EC4085">
        <w:rPr>
          <w:lang w:val="fr-CH"/>
        </w:rPr>
        <w:t>Amérique avait été sur le point de faire la déclaration suivante : “Que cela soit bien clair, nous appuyons l</w:t>
      </w:r>
      <w:r w:rsidR="00CE5FEC">
        <w:rPr>
          <w:lang w:val="fr-CH"/>
        </w:rPr>
        <w:t>’</w:t>
      </w:r>
      <w:r w:rsidRPr="00EC4085">
        <w:rPr>
          <w:lang w:val="fr-CH"/>
        </w:rPr>
        <w:t>utilisation des recettes du PCT en faveur des activités générales de l</w:t>
      </w:r>
      <w:r w:rsidR="00CE5FEC">
        <w:rPr>
          <w:lang w:val="fr-CH"/>
        </w:rPr>
        <w:t>’</w:t>
      </w:r>
      <w:r w:rsidRPr="00EC4085">
        <w:rPr>
          <w:lang w:val="fr-CH"/>
        </w:rPr>
        <w:t>Organisation car ces activités ont continuellement été appuyées par la totalité des membres de l</w:t>
      </w:r>
      <w:r w:rsidR="00CE5FEC">
        <w:rPr>
          <w:lang w:val="fr-CH"/>
        </w:rPr>
        <w:t>’</w:t>
      </w:r>
      <w:r w:rsidRPr="00EC4085">
        <w:rPr>
          <w:lang w:val="fr-CH"/>
        </w:rPr>
        <w:t>OMPI.  Nous nous opposons uniquement à ce que les recettes du PCT soient utilisées pour soutenir le système de Lisbonne qui, selon le traité qui le régit, doit s</w:t>
      </w:r>
      <w:r w:rsidR="00CE5FEC">
        <w:rPr>
          <w:lang w:val="fr-CH"/>
        </w:rPr>
        <w:t>’</w:t>
      </w:r>
      <w:r w:rsidRPr="00EC4085">
        <w:rPr>
          <w:lang w:val="fr-CH"/>
        </w:rPr>
        <w:t>autofinancer, et qui a récemment été étendu de façon antidémocratiq</w:t>
      </w:r>
      <w:r w:rsidR="001D67E8" w:rsidRPr="00EC4085">
        <w:rPr>
          <w:lang w:val="fr-CH"/>
        </w:rPr>
        <w:t>ue</w:t>
      </w:r>
      <w:r w:rsidR="001D67E8">
        <w:rPr>
          <w:lang w:val="fr-CH"/>
        </w:rPr>
        <w:t xml:space="preserve">.  </w:t>
      </w:r>
      <w:r w:rsidR="001D67E8" w:rsidRPr="00EC4085">
        <w:rPr>
          <w:lang w:val="fr-CH"/>
        </w:rPr>
        <w:t>Pa</w:t>
      </w:r>
      <w:r w:rsidRPr="00EC4085">
        <w:rPr>
          <w:lang w:val="fr-CH"/>
        </w:rPr>
        <w:t xml:space="preserve">r opposition, les systèmes de Madrid et de </w:t>
      </w:r>
      <w:r w:rsidR="00CE5FEC">
        <w:rPr>
          <w:lang w:val="fr-CH"/>
        </w:rPr>
        <w:t>La Haye</w:t>
      </w:r>
      <w:r w:rsidRPr="00EC4085">
        <w:rPr>
          <w:lang w:val="fr-CH"/>
        </w:rPr>
        <w:t xml:space="preserve"> représentent des solutions ayant fait l</w:t>
      </w:r>
      <w:r w:rsidR="00CE5FEC">
        <w:rPr>
          <w:lang w:val="fr-CH"/>
        </w:rPr>
        <w:t>’</w:t>
      </w:r>
      <w:r w:rsidRPr="00EC4085">
        <w:rPr>
          <w:lang w:val="fr-CH"/>
        </w:rPr>
        <w:t>objet d</w:t>
      </w:r>
      <w:r w:rsidR="00CE5FEC">
        <w:rPr>
          <w:lang w:val="fr-CH"/>
        </w:rPr>
        <w:t>’</w:t>
      </w:r>
      <w:r w:rsidRPr="00EC4085">
        <w:rPr>
          <w:lang w:val="fr-CH"/>
        </w:rPr>
        <w:t>un consensus global”.  La proposition ne signifiait pas qu</w:t>
      </w:r>
      <w:r w:rsidR="00CE5FEC">
        <w:rPr>
          <w:lang w:val="fr-CH"/>
        </w:rPr>
        <w:t>’</w:t>
      </w:r>
      <w:r w:rsidRPr="00EC4085">
        <w:rPr>
          <w:lang w:val="fr-CH"/>
        </w:rPr>
        <w:t>il était nécessaire d</w:t>
      </w:r>
      <w:r w:rsidR="00CE5FEC">
        <w:rPr>
          <w:lang w:val="fr-CH"/>
        </w:rPr>
        <w:t>’</w:t>
      </w:r>
      <w:r w:rsidRPr="00EC4085">
        <w:rPr>
          <w:lang w:val="fr-CH"/>
        </w:rPr>
        <w:t>augmenter la contribution unique, car les services mondiaux de protection proposés par l</w:t>
      </w:r>
      <w:r w:rsidR="00CE5FEC">
        <w:rPr>
          <w:lang w:val="fr-CH"/>
        </w:rPr>
        <w:t>’</w:t>
      </w:r>
      <w:r w:rsidRPr="00EC4085">
        <w:rPr>
          <w:lang w:val="fr-CH"/>
        </w:rPr>
        <w:t xml:space="preserve">OMPI qui avaient une véritable portée mondiale, </w:t>
      </w:r>
      <w:r w:rsidR="00CE5FEC">
        <w:rPr>
          <w:lang w:val="fr-CH"/>
        </w:rPr>
        <w:t>à savoir</w:t>
      </w:r>
      <w:r w:rsidRPr="00EC4085">
        <w:rPr>
          <w:lang w:val="fr-CH"/>
        </w:rPr>
        <w:t xml:space="preserve"> les systèmes du PCT, de Madrid et de </w:t>
      </w:r>
      <w:r w:rsidR="00CE5FEC">
        <w:rPr>
          <w:lang w:val="fr-CH"/>
        </w:rPr>
        <w:t>La Haye</w:t>
      </w:r>
      <w:r w:rsidRPr="00EC4085">
        <w:rPr>
          <w:lang w:val="fr-CH"/>
        </w:rPr>
        <w:t>, continuaient de gagner en popularité et généraient l</w:t>
      </w:r>
      <w:r w:rsidR="00CE5FEC">
        <w:rPr>
          <w:lang w:val="fr-CH"/>
        </w:rPr>
        <w:t>’</w:t>
      </w:r>
      <w:r w:rsidRPr="00EC4085">
        <w:rPr>
          <w:lang w:val="fr-CH"/>
        </w:rPr>
        <w:t>essentiel du financement des activités de l</w:t>
      </w:r>
      <w:r w:rsidR="00CE5FEC">
        <w:rPr>
          <w:lang w:val="fr-CH"/>
        </w:rPr>
        <w:t>’</w:t>
      </w:r>
      <w:r w:rsidRPr="00EC4085">
        <w:rPr>
          <w:lang w:val="fr-CH"/>
        </w:rPr>
        <w:t>OMPI autres que les activités d</w:t>
      </w:r>
      <w:r w:rsidR="00CE5FEC">
        <w:rPr>
          <w:lang w:val="fr-CH"/>
        </w:rPr>
        <w:t>’</w:t>
      </w:r>
      <w:r w:rsidRPr="00EC4085">
        <w:rPr>
          <w:lang w:val="fr-CH"/>
        </w:rPr>
        <w:t>enregistrement.  L</w:t>
      </w:r>
      <w:r w:rsidR="00CE5FEC">
        <w:rPr>
          <w:lang w:val="fr-CH"/>
        </w:rPr>
        <w:t>’</w:t>
      </w:r>
      <w:r w:rsidRPr="00EC4085">
        <w:rPr>
          <w:lang w:val="fr-CH"/>
        </w:rPr>
        <w:t>Union de Lisbonne avait à plusieurs reprises affiché un déficit, qui n</w:t>
      </w:r>
      <w:r w:rsidR="00CE5FEC">
        <w:rPr>
          <w:lang w:val="fr-CH"/>
        </w:rPr>
        <w:t>’</w:t>
      </w:r>
      <w:r w:rsidRPr="00EC4085">
        <w:rPr>
          <w:lang w:val="fr-CH"/>
        </w:rPr>
        <w:t>avait pas été couvert par les réserves de l</w:t>
      </w:r>
      <w:r w:rsidR="00CE5FEC">
        <w:rPr>
          <w:lang w:val="fr-CH"/>
        </w:rPr>
        <w:t>’</w:t>
      </w:r>
      <w:r w:rsidRPr="00EC4085">
        <w:rPr>
          <w:lang w:val="fr-CH"/>
        </w:rPr>
        <w:t>Union de Lisbonne, et elle devait donc arrêter des mesures pour assainir la situation financiè</w:t>
      </w:r>
      <w:r w:rsidR="001D67E8" w:rsidRPr="00EC4085">
        <w:rPr>
          <w:lang w:val="fr-CH"/>
        </w:rPr>
        <w:t>re</w:t>
      </w:r>
      <w:r w:rsidR="001D67E8">
        <w:rPr>
          <w:lang w:val="fr-CH"/>
        </w:rPr>
        <w:t xml:space="preserve">.  </w:t>
      </w:r>
      <w:r w:rsidR="001D67E8" w:rsidRPr="00EC4085">
        <w:rPr>
          <w:lang w:val="fr-CH"/>
        </w:rPr>
        <w:t>La</w:t>
      </w:r>
      <w:r w:rsidRPr="00EC4085">
        <w:rPr>
          <w:lang w:val="fr-CH"/>
        </w:rPr>
        <w:t xml:space="preserve"> délégation avait défini des sources éventuelles de financement pour couvrir le déficit de l</w:t>
      </w:r>
      <w:r w:rsidR="00CE5FEC">
        <w:rPr>
          <w:lang w:val="fr-CH"/>
        </w:rPr>
        <w:t>’</w:t>
      </w:r>
      <w:r w:rsidRPr="00EC4085">
        <w:rPr>
          <w:lang w:val="fr-CH"/>
        </w:rPr>
        <w:t>Union de Lisbonne pour l</w:t>
      </w:r>
      <w:r w:rsidR="00CE5FEC">
        <w:rPr>
          <w:lang w:val="fr-CH"/>
        </w:rPr>
        <w:t>’</w:t>
      </w:r>
      <w:r w:rsidRPr="00EC4085">
        <w:rPr>
          <w:lang w:val="fr-CH"/>
        </w:rPr>
        <w:t>exercice 2016</w:t>
      </w:r>
      <w:r w:rsidR="001D67E8">
        <w:rPr>
          <w:lang w:val="fr-CH"/>
        </w:rPr>
        <w:noBreakHyphen/>
      </w:r>
      <w:r w:rsidRPr="00EC4085">
        <w:rPr>
          <w:lang w:val="fr-CH"/>
        </w:rPr>
        <w:t>2017.  Ces fonds étaient actuellement à l</w:t>
      </w:r>
      <w:r w:rsidR="00CE5FEC">
        <w:rPr>
          <w:lang w:val="fr-CH"/>
        </w:rPr>
        <w:t>’</w:t>
      </w:r>
      <w:r w:rsidRPr="00EC4085">
        <w:rPr>
          <w:lang w:val="fr-CH"/>
        </w:rPr>
        <w:t>OMPI.  La première source de financement était l</w:t>
      </w:r>
      <w:r w:rsidR="00CE5FEC">
        <w:rPr>
          <w:lang w:val="fr-CH"/>
        </w:rPr>
        <w:t>’</w:t>
      </w:r>
      <w:r w:rsidRPr="00EC4085">
        <w:rPr>
          <w:lang w:val="fr-CH"/>
        </w:rPr>
        <w:t>excédent de l</w:t>
      </w:r>
      <w:r w:rsidR="00CE5FEC">
        <w:rPr>
          <w:lang w:val="fr-CH"/>
        </w:rPr>
        <w:t>’</w:t>
      </w:r>
      <w:r w:rsidRPr="00EC4085">
        <w:rPr>
          <w:lang w:val="fr-CH"/>
        </w:rPr>
        <w:t>Union de Madrid, qui était bien supérieur à l</w:t>
      </w:r>
      <w:r w:rsidR="00CE5FEC">
        <w:rPr>
          <w:lang w:val="fr-CH"/>
        </w:rPr>
        <w:t>’</w:t>
      </w:r>
      <w:r w:rsidRPr="00EC4085">
        <w:rPr>
          <w:lang w:val="fr-CH"/>
        </w:rPr>
        <w:t>objectif de cette union en matière d</w:t>
      </w:r>
      <w:r w:rsidR="00CE5FEC">
        <w:rPr>
          <w:lang w:val="fr-CH"/>
        </w:rPr>
        <w:t>’</w:t>
      </w:r>
      <w:r w:rsidRPr="00EC4085">
        <w:rPr>
          <w:lang w:val="fr-CH"/>
        </w:rPr>
        <w:t>excéden</w:t>
      </w:r>
      <w:r w:rsidR="001D67E8" w:rsidRPr="00EC4085">
        <w:rPr>
          <w:lang w:val="fr-CH"/>
        </w:rPr>
        <w:t>ts</w:t>
      </w:r>
      <w:r w:rsidR="001D67E8">
        <w:rPr>
          <w:lang w:val="fr-CH"/>
        </w:rPr>
        <w:t xml:space="preserve">.  </w:t>
      </w:r>
      <w:r w:rsidR="001D67E8" w:rsidRPr="00EC4085">
        <w:rPr>
          <w:lang w:val="fr-CH"/>
        </w:rPr>
        <w:t>Ce</w:t>
      </w:r>
      <w:r w:rsidRPr="00EC4085">
        <w:rPr>
          <w:lang w:val="fr-CH"/>
        </w:rPr>
        <w:t xml:space="preserve"> point allait être examiné par l</w:t>
      </w:r>
      <w:r w:rsidR="00CE5FEC">
        <w:rPr>
          <w:lang w:val="fr-CH"/>
        </w:rPr>
        <w:t>’</w:t>
      </w:r>
      <w:r w:rsidRPr="00EC4085">
        <w:rPr>
          <w:lang w:val="fr-CH"/>
        </w:rPr>
        <w:t>Assemblée de l</w:t>
      </w:r>
      <w:r w:rsidR="00CE5FEC">
        <w:rPr>
          <w:lang w:val="fr-CH"/>
        </w:rPr>
        <w:t>’</w:t>
      </w:r>
      <w:r w:rsidRPr="00EC4085">
        <w:rPr>
          <w:lang w:val="fr-CH"/>
        </w:rPr>
        <w:t>Union de Madr</w:t>
      </w:r>
      <w:r w:rsidR="001D67E8" w:rsidRPr="00EC4085">
        <w:rPr>
          <w:lang w:val="fr-CH"/>
        </w:rPr>
        <w:t>id</w:t>
      </w:r>
      <w:r w:rsidR="001D67E8">
        <w:rPr>
          <w:lang w:val="fr-CH"/>
        </w:rPr>
        <w:t xml:space="preserve">.  </w:t>
      </w:r>
      <w:r w:rsidR="001D67E8" w:rsidRPr="00EC4085">
        <w:rPr>
          <w:lang w:val="fr-CH"/>
        </w:rPr>
        <w:t>Un</w:t>
      </w:r>
      <w:r w:rsidRPr="00EC4085">
        <w:rPr>
          <w:lang w:val="fr-CH"/>
        </w:rPr>
        <w:t>e autre source envisageable concernait les fonds fiduciaires disponibles pour l</w:t>
      </w:r>
      <w:r w:rsidR="00CE5FEC">
        <w:rPr>
          <w:lang w:val="fr-CH"/>
        </w:rPr>
        <w:t>’</w:t>
      </w:r>
      <w:r w:rsidRPr="00EC4085">
        <w:rPr>
          <w:lang w:val="fr-CH"/>
        </w:rPr>
        <w:t>exercice biennal 2016</w:t>
      </w:r>
      <w:r w:rsidR="001D67E8">
        <w:rPr>
          <w:lang w:val="fr-CH"/>
        </w:rPr>
        <w:noBreakHyphen/>
      </w:r>
      <w:r w:rsidRPr="00EC4085">
        <w:rPr>
          <w:lang w:val="fr-CH"/>
        </w:rPr>
        <w:t>2017 qui, pour cet exercice biennal, étaient disponibles dans les comptes de certains États membres de l</w:t>
      </w:r>
      <w:r w:rsidR="00CE5FEC">
        <w:rPr>
          <w:lang w:val="fr-CH"/>
        </w:rPr>
        <w:t>’</w:t>
      </w:r>
      <w:r w:rsidRPr="00EC4085">
        <w:rPr>
          <w:lang w:val="fr-CH"/>
        </w:rPr>
        <w:t>Union de Lisbonne.  L</w:t>
      </w:r>
      <w:r w:rsidR="00CE5FEC">
        <w:rPr>
          <w:lang w:val="fr-CH"/>
        </w:rPr>
        <w:t>’</w:t>
      </w:r>
      <w:r w:rsidRPr="00EC4085">
        <w:rPr>
          <w:lang w:val="fr-CH"/>
        </w:rPr>
        <w:t>Union du PCT comptabilisait un excédent et elle pouvait décider d</w:t>
      </w:r>
      <w:r w:rsidR="00CE5FEC">
        <w:rPr>
          <w:lang w:val="fr-CH"/>
        </w:rPr>
        <w:t>’</w:t>
      </w:r>
      <w:r w:rsidRPr="00EC4085">
        <w:rPr>
          <w:lang w:val="fr-CH"/>
        </w:rPr>
        <w:t>autoriser l</w:t>
      </w:r>
      <w:r w:rsidR="00CE5FEC">
        <w:rPr>
          <w:lang w:val="fr-CH"/>
        </w:rPr>
        <w:t>’</w:t>
      </w:r>
      <w:r w:rsidRPr="00EC4085">
        <w:rPr>
          <w:lang w:val="fr-CH"/>
        </w:rPr>
        <w:t>Union de Lisbonne à utiliser une partie de cet excédent plutôt que de le placer dans les fonds de réserve du PCT.  Mais il appartenait à l</w:t>
      </w:r>
      <w:r w:rsidR="00CE5FEC">
        <w:rPr>
          <w:lang w:val="fr-CH"/>
        </w:rPr>
        <w:t>’</w:t>
      </w:r>
      <w:r w:rsidRPr="00EC4085">
        <w:rPr>
          <w:lang w:val="fr-CH"/>
        </w:rPr>
        <w:t>Union du PCT de prendre cette décisi</w:t>
      </w:r>
      <w:r w:rsidR="001D67E8" w:rsidRPr="00EC4085">
        <w:rPr>
          <w:lang w:val="fr-CH"/>
        </w:rPr>
        <w:t>on</w:t>
      </w:r>
      <w:r w:rsidR="001D67E8">
        <w:rPr>
          <w:lang w:val="fr-CH"/>
        </w:rPr>
        <w:t xml:space="preserve">.  </w:t>
      </w:r>
      <w:r w:rsidR="001D67E8" w:rsidRPr="00EC4085">
        <w:rPr>
          <w:lang w:val="fr-CH"/>
        </w:rPr>
        <w:t>Le</w:t>
      </w:r>
      <w:r w:rsidRPr="00EC4085">
        <w:rPr>
          <w:lang w:val="fr-CH"/>
        </w:rPr>
        <w:t>s États</w:t>
      </w:r>
      <w:r w:rsidR="001D67E8">
        <w:rPr>
          <w:lang w:val="fr-CH"/>
        </w:rPr>
        <w:noBreakHyphen/>
      </w:r>
      <w:r w:rsidRPr="00EC4085">
        <w:rPr>
          <w:lang w:val="fr-CH"/>
        </w:rPr>
        <w:t>Unis d</w:t>
      </w:r>
      <w:r w:rsidR="00CE5FEC">
        <w:rPr>
          <w:lang w:val="fr-CH"/>
        </w:rPr>
        <w:t>’</w:t>
      </w:r>
      <w:r w:rsidRPr="00EC4085">
        <w:rPr>
          <w:lang w:val="fr-CH"/>
        </w:rPr>
        <w:t>Amérique, en tant que membre de l</w:t>
      </w:r>
      <w:r w:rsidR="00CE5FEC">
        <w:rPr>
          <w:lang w:val="fr-CH"/>
        </w:rPr>
        <w:t>’</w:t>
      </w:r>
      <w:r w:rsidRPr="00EC4085">
        <w:rPr>
          <w:lang w:val="fr-CH"/>
        </w:rPr>
        <w:t>Union du PCT, n</w:t>
      </w:r>
      <w:r w:rsidR="00CE5FEC">
        <w:rPr>
          <w:lang w:val="fr-CH"/>
        </w:rPr>
        <w:t>’</w:t>
      </w:r>
      <w:r w:rsidRPr="00EC4085">
        <w:rPr>
          <w:lang w:val="fr-CH"/>
        </w:rPr>
        <w:t>appuyaient pas l</w:t>
      </w:r>
      <w:r w:rsidR="00CE5FEC">
        <w:rPr>
          <w:lang w:val="fr-CH"/>
        </w:rPr>
        <w:t>’</w:t>
      </w:r>
      <w:r w:rsidRPr="00EC4085">
        <w:rPr>
          <w:lang w:val="fr-CH"/>
        </w:rPr>
        <w:t>utilisation des fonds de l</w:t>
      </w:r>
      <w:r w:rsidR="00CE5FEC">
        <w:rPr>
          <w:lang w:val="fr-CH"/>
        </w:rPr>
        <w:t>’</w:t>
      </w:r>
      <w:r w:rsidRPr="00EC4085">
        <w:rPr>
          <w:lang w:val="fr-CH"/>
        </w:rPr>
        <w:t>Union du PCT par l</w:t>
      </w:r>
      <w:r w:rsidR="00CE5FEC">
        <w:rPr>
          <w:lang w:val="fr-CH"/>
        </w:rPr>
        <w:t>’</w:t>
      </w:r>
      <w:r w:rsidRPr="00EC4085">
        <w:rPr>
          <w:lang w:val="fr-CH"/>
        </w:rPr>
        <w:t>Union de Lisbon</w:t>
      </w:r>
      <w:r w:rsidR="001D67E8" w:rsidRPr="00EC4085">
        <w:rPr>
          <w:lang w:val="fr-CH"/>
        </w:rPr>
        <w:t>ne</w:t>
      </w:r>
      <w:r w:rsidR="001D67E8">
        <w:rPr>
          <w:lang w:val="fr-CH"/>
        </w:rPr>
        <w:t xml:space="preserve">.  </w:t>
      </w:r>
      <w:r w:rsidR="001D67E8" w:rsidRPr="00EC4085">
        <w:rPr>
          <w:lang w:val="fr-CH"/>
        </w:rPr>
        <w:t>Si</w:t>
      </w:r>
      <w:r w:rsidRPr="00EC4085">
        <w:rPr>
          <w:lang w:val="fr-CH"/>
        </w:rPr>
        <w:t xml:space="preserve"> l</w:t>
      </w:r>
      <w:r w:rsidR="00CE5FEC">
        <w:rPr>
          <w:lang w:val="fr-CH"/>
        </w:rPr>
        <w:t>’</w:t>
      </w:r>
      <w:r w:rsidRPr="00EC4085">
        <w:rPr>
          <w:lang w:val="fr-CH"/>
        </w:rPr>
        <w:t xml:space="preserve">Union de </w:t>
      </w:r>
      <w:r w:rsidR="00CE5FEC">
        <w:rPr>
          <w:lang w:val="fr-CH"/>
        </w:rPr>
        <w:t>La Haye</w:t>
      </w:r>
      <w:r w:rsidRPr="00EC4085">
        <w:rPr>
          <w:lang w:val="fr-CH"/>
        </w:rPr>
        <w:t xml:space="preserve"> sollicitait un prêt auprès de l</w:t>
      </w:r>
      <w:r w:rsidR="00CE5FEC">
        <w:rPr>
          <w:lang w:val="fr-CH"/>
        </w:rPr>
        <w:t>’</w:t>
      </w:r>
      <w:r w:rsidRPr="00EC4085">
        <w:rPr>
          <w:lang w:val="fr-CH"/>
        </w:rPr>
        <w:t>Union de Madrid, comme elle l</w:t>
      </w:r>
      <w:r w:rsidR="00CE5FEC">
        <w:rPr>
          <w:lang w:val="fr-CH"/>
        </w:rPr>
        <w:t>’</w:t>
      </w:r>
      <w:r w:rsidRPr="00EC4085">
        <w:rPr>
          <w:lang w:val="fr-CH"/>
        </w:rPr>
        <w:t>avait déjà fait, la délégation pourrait y être favorab</w:t>
      </w:r>
      <w:r w:rsidR="001D67E8" w:rsidRPr="00EC4085">
        <w:rPr>
          <w:lang w:val="fr-CH"/>
        </w:rPr>
        <w:t>le</w:t>
      </w:r>
      <w:r w:rsidR="001D67E8">
        <w:rPr>
          <w:lang w:val="fr-CH"/>
        </w:rPr>
        <w:t xml:space="preserve">.  </w:t>
      </w:r>
      <w:r w:rsidR="001D67E8" w:rsidRPr="00EC4085">
        <w:rPr>
          <w:lang w:val="fr-CH"/>
        </w:rPr>
        <w:t>To</w:t>
      </w:r>
      <w:r w:rsidRPr="00EC4085">
        <w:rPr>
          <w:lang w:val="fr-CH"/>
        </w:rPr>
        <w:t>utefois, elle ne pouvait pas appuyer un prêt à l</w:t>
      </w:r>
      <w:r w:rsidR="00CE5FEC">
        <w:rPr>
          <w:lang w:val="fr-CH"/>
        </w:rPr>
        <w:t>’</w:t>
      </w:r>
      <w:r w:rsidRPr="00EC4085">
        <w:rPr>
          <w:lang w:val="fr-CH"/>
        </w:rPr>
        <w:t>Union de Lisbonne, pour plusieurs raiso</w:t>
      </w:r>
      <w:r w:rsidR="001D67E8" w:rsidRPr="00EC4085">
        <w:rPr>
          <w:lang w:val="fr-CH"/>
        </w:rPr>
        <w:t>ns</w:t>
      </w:r>
      <w:r w:rsidR="001D67E8">
        <w:rPr>
          <w:lang w:val="fr-CH"/>
        </w:rPr>
        <w:t xml:space="preserve">.  </w:t>
      </w:r>
      <w:r w:rsidR="001D67E8" w:rsidRPr="00EC4085">
        <w:rPr>
          <w:lang w:val="fr-CH"/>
        </w:rPr>
        <w:t>Lo</w:t>
      </w:r>
      <w:r w:rsidRPr="00EC4085">
        <w:rPr>
          <w:lang w:val="fr-CH"/>
        </w:rPr>
        <w:t>rs des assemblées de 2014, l</w:t>
      </w:r>
      <w:r w:rsidR="00CE5FEC">
        <w:rPr>
          <w:lang w:val="fr-CH"/>
        </w:rPr>
        <w:t>’</w:t>
      </w:r>
      <w:r w:rsidRPr="00EC4085">
        <w:rPr>
          <w:lang w:val="fr-CH"/>
        </w:rPr>
        <w:t>Union de Lisbonne avait déclaré que ses activités n</w:t>
      </w:r>
      <w:r w:rsidR="00CE5FEC">
        <w:rPr>
          <w:lang w:val="fr-CH"/>
        </w:rPr>
        <w:t>’</w:t>
      </w:r>
      <w:r w:rsidRPr="00EC4085">
        <w:rPr>
          <w:lang w:val="fr-CH"/>
        </w:rPr>
        <w:t xml:space="preserve">intéressaient aucune autre union et que, de ce </w:t>
      </w:r>
      <w:r w:rsidRPr="00EC4085">
        <w:rPr>
          <w:lang w:val="fr-CH"/>
        </w:rPr>
        <w:lastRenderedPageBreak/>
        <w:t>fait, elle n</w:t>
      </w:r>
      <w:r w:rsidR="00CE5FEC">
        <w:rPr>
          <w:lang w:val="fr-CH"/>
        </w:rPr>
        <w:t>’</w:t>
      </w:r>
      <w:r w:rsidRPr="00EC4085">
        <w:rPr>
          <w:lang w:val="fr-CH"/>
        </w:rPr>
        <w:t>était pas tenue de demander l</w:t>
      </w:r>
      <w:r w:rsidR="00CE5FEC">
        <w:rPr>
          <w:lang w:val="fr-CH"/>
        </w:rPr>
        <w:t>’</w:t>
      </w:r>
      <w:r w:rsidRPr="00EC4085">
        <w:rPr>
          <w:lang w:val="fr-CH"/>
        </w:rPr>
        <w:t>avis du Comité de coordination de l</w:t>
      </w:r>
      <w:r w:rsidR="00CE5FEC">
        <w:rPr>
          <w:lang w:val="fr-CH"/>
        </w:rPr>
        <w:t>’</w:t>
      </w:r>
      <w:r w:rsidRPr="00EC4085">
        <w:rPr>
          <w:lang w:val="fr-CH"/>
        </w:rPr>
        <w:t>OMPI conformément à l</w:t>
      </w:r>
      <w:r w:rsidR="00CE5FEC">
        <w:rPr>
          <w:lang w:val="fr-CH"/>
        </w:rPr>
        <w:t>’</w:t>
      </w:r>
      <w:r w:rsidRPr="00EC4085">
        <w:rPr>
          <w:lang w:val="fr-CH"/>
        </w:rPr>
        <w:t>article 8.3)i) de la Convention instituant l</w:t>
      </w:r>
      <w:r w:rsidR="00CE5FEC">
        <w:rPr>
          <w:lang w:val="fr-CH"/>
        </w:rPr>
        <w:t>’</w:t>
      </w:r>
      <w:r w:rsidRPr="00EC4085">
        <w:rPr>
          <w:lang w:val="fr-CH"/>
        </w:rPr>
        <w:t>OMPI;  elle avait ensuite revendiqué le droit d</w:t>
      </w:r>
      <w:r w:rsidR="00CE5FEC">
        <w:rPr>
          <w:lang w:val="fr-CH"/>
        </w:rPr>
        <w:t>’</w:t>
      </w:r>
      <w:r w:rsidRPr="00EC4085">
        <w:rPr>
          <w:lang w:val="fr-CH"/>
        </w:rPr>
        <w:t>utiliser les réserves de</w:t>
      </w:r>
      <w:r w:rsidR="00067783">
        <w:rPr>
          <w:lang w:val="fr-CH"/>
        </w:rPr>
        <w:t>s</w:t>
      </w:r>
      <w:r w:rsidRPr="00EC4085">
        <w:rPr>
          <w:lang w:val="fr-CH"/>
        </w:rPr>
        <w:t xml:space="preserve"> </w:t>
      </w:r>
      <w:r w:rsidR="00067783">
        <w:rPr>
          <w:lang w:val="fr-CH"/>
        </w:rPr>
        <w:t>u</w:t>
      </w:r>
      <w:r w:rsidRPr="00EC4085">
        <w:rPr>
          <w:lang w:val="fr-CH"/>
        </w:rPr>
        <w:t>nion</w:t>
      </w:r>
      <w:r w:rsidR="00067783">
        <w:rPr>
          <w:lang w:val="fr-CH"/>
        </w:rPr>
        <w:t xml:space="preserve">s de Madrid et </w:t>
      </w:r>
      <w:r w:rsidRPr="00EC4085">
        <w:rPr>
          <w:lang w:val="fr-CH"/>
        </w:rPr>
        <w:t>du PCT pour financer sa conférence diplomatique à composition limitée.  L</w:t>
      </w:r>
      <w:r w:rsidR="00CE5FEC">
        <w:rPr>
          <w:lang w:val="fr-CH"/>
        </w:rPr>
        <w:t>’</w:t>
      </w:r>
      <w:r w:rsidRPr="00EC4085">
        <w:rPr>
          <w:lang w:val="fr-CH"/>
        </w:rPr>
        <w:t>Union de Lisbonne avait systématiquement refusé de se conformer aux modalités financières prévues par son propre arrangeme</w:t>
      </w:r>
      <w:r w:rsidR="001D67E8" w:rsidRPr="00EC4085">
        <w:rPr>
          <w:lang w:val="fr-CH"/>
        </w:rPr>
        <w:t>nt</w:t>
      </w:r>
      <w:r w:rsidR="001D67E8">
        <w:rPr>
          <w:lang w:val="fr-CH"/>
        </w:rPr>
        <w:t xml:space="preserve">.  </w:t>
      </w:r>
      <w:r w:rsidR="001D67E8" w:rsidRPr="00EC4085">
        <w:rPr>
          <w:lang w:val="fr-CH"/>
        </w:rPr>
        <w:t xml:space="preserve">À </w:t>
      </w:r>
      <w:r w:rsidRPr="00EC4085">
        <w:rPr>
          <w:lang w:val="fr-CH"/>
        </w:rPr>
        <w:t>la place, elle avait maintenu les subventions d</w:t>
      </w:r>
      <w:r w:rsidR="00CE5FEC">
        <w:rPr>
          <w:lang w:val="fr-CH"/>
        </w:rPr>
        <w:t>’</w:t>
      </w:r>
      <w:r w:rsidRPr="00EC4085">
        <w:rPr>
          <w:lang w:val="fr-CH"/>
        </w:rPr>
        <w:t>autres unions plus prospères sans le consentement explicite de celles</w:t>
      </w:r>
      <w:r w:rsidR="001D67E8">
        <w:rPr>
          <w:lang w:val="fr-CH"/>
        </w:rPr>
        <w:noBreakHyphen/>
      </w:r>
      <w:r w:rsidR="001D67E8" w:rsidRPr="00EC4085">
        <w:rPr>
          <w:lang w:val="fr-CH"/>
        </w:rPr>
        <w:t>ci</w:t>
      </w:r>
      <w:r w:rsidR="001D67E8">
        <w:rPr>
          <w:lang w:val="fr-CH"/>
        </w:rPr>
        <w:t xml:space="preserve">.  </w:t>
      </w:r>
      <w:r w:rsidR="001D67E8" w:rsidRPr="00EC4085">
        <w:rPr>
          <w:lang w:val="fr-CH"/>
        </w:rPr>
        <w:t>La</w:t>
      </w:r>
      <w:r w:rsidRPr="00EC4085">
        <w:rPr>
          <w:lang w:val="fr-CH"/>
        </w:rPr>
        <w:t xml:space="preserve"> délégation s</w:t>
      </w:r>
      <w:r w:rsidR="00CE5FEC">
        <w:rPr>
          <w:lang w:val="fr-CH"/>
        </w:rPr>
        <w:t>’</w:t>
      </w:r>
      <w:r w:rsidRPr="00EC4085">
        <w:rPr>
          <w:lang w:val="fr-CH"/>
        </w:rPr>
        <w:t xml:space="preserve">est dite préoccupée par le manque de transparence qui avait toujours été toléré </w:t>
      </w:r>
      <w:r w:rsidR="00CE5FEC">
        <w:rPr>
          <w:lang w:val="fr-CH"/>
        </w:rPr>
        <w:t>à l’égard</w:t>
      </w:r>
      <w:r w:rsidRPr="00EC4085">
        <w:rPr>
          <w:lang w:val="fr-CH"/>
        </w:rPr>
        <w:t xml:space="preserve"> du mauvais fonctionnement de l</w:t>
      </w:r>
      <w:r w:rsidR="00CE5FEC">
        <w:rPr>
          <w:lang w:val="fr-CH"/>
        </w:rPr>
        <w:t>’</w:t>
      </w:r>
      <w:r w:rsidRPr="00EC4085">
        <w:rPr>
          <w:lang w:val="fr-CH"/>
        </w:rPr>
        <w:t>Union de Lisbonne et par les attentes de ses membres, qui pensaient qu</w:t>
      </w:r>
      <w:r w:rsidR="00CE5FEC">
        <w:rPr>
          <w:lang w:val="fr-CH"/>
        </w:rPr>
        <w:t>’</w:t>
      </w:r>
      <w:r w:rsidRPr="00EC4085">
        <w:rPr>
          <w:lang w:val="fr-CH"/>
        </w:rPr>
        <w:t>un tel manque de transparence et une telle absence de responsabilité continueraient d</w:t>
      </w:r>
      <w:r w:rsidR="00CE5FEC">
        <w:rPr>
          <w:lang w:val="fr-CH"/>
        </w:rPr>
        <w:t>’</w:t>
      </w:r>
      <w:r w:rsidRPr="00EC4085">
        <w:rPr>
          <w:lang w:val="fr-CH"/>
        </w:rPr>
        <w:t>être accept</w:t>
      </w:r>
      <w:r w:rsidR="001D67E8" w:rsidRPr="00EC4085">
        <w:rPr>
          <w:lang w:val="fr-CH"/>
        </w:rPr>
        <w:t>és</w:t>
      </w:r>
      <w:r w:rsidR="001D67E8">
        <w:rPr>
          <w:lang w:val="fr-CH"/>
        </w:rPr>
        <w:t xml:space="preserve">.  </w:t>
      </w:r>
      <w:r w:rsidR="001D67E8" w:rsidRPr="00EC4085">
        <w:rPr>
          <w:lang w:val="fr-CH"/>
        </w:rPr>
        <w:t>La</w:t>
      </w:r>
      <w:r w:rsidRPr="00EC4085">
        <w:rPr>
          <w:lang w:val="fr-CH"/>
        </w:rPr>
        <w:t xml:space="preserve"> délégation a estimé qu</w:t>
      </w:r>
      <w:r w:rsidR="00CE5FEC">
        <w:rPr>
          <w:lang w:val="fr-CH"/>
        </w:rPr>
        <w:t>’</w:t>
      </w:r>
      <w:r w:rsidRPr="00EC4085">
        <w:rPr>
          <w:lang w:val="fr-CH"/>
        </w:rPr>
        <w:t>il s</w:t>
      </w:r>
      <w:r w:rsidR="00CE5FEC">
        <w:rPr>
          <w:lang w:val="fr-CH"/>
        </w:rPr>
        <w:t>’</w:t>
      </w:r>
      <w:r w:rsidRPr="00EC4085">
        <w:rPr>
          <w:lang w:val="fr-CH"/>
        </w:rPr>
        <w:t>agissait d</w:t>
      </w:r>
      <w:r w:rsidR="00CE5FEC">
        <w:rPr>
          <w:lang w:val="fr-CH"/>
        </w:rPr>
        <w:t>’</w:t>
      </w:r>
      <w:r w:rsidRPr="00EC4085">
        <w:rPr>
          <w:lang w:val="fr-CH"/>
        </w:rPr>
        <w:t>une préoccupation à l</w:t>
      </w:r>
      <w:r w:rsidR="00CE5FEC">
        <w:rPr>
          <w:lang w:val="fr-CH"/>
        </w:rPr>
        <w:t>’</w:t>
      </w:r>
      <w:r w:rsidRPr="00EC4085">
        <w:rPr>
          <w:lang w:val="fr-CH"/>
        </w:rPr>
        <w:t>échelle de l</w:t>
      </w:r>
      <w:r w:rsidR="00CE5FEC">
        <w:rPr>
          <w:lang w:val="fr-CH"/>
        </w:rPr>
        <w:t>’</w:t>
      </w:r>
      <w:r w:rsidRPr="00EC4085">
        <w:rPr>
          <w:lang w:val="fr-CH"/>
        </w:rPr>
        <w:t>Organisation, pour tous ses États membres, et s</w:t>
      </w:r>
      <w:r w:rsidR="00CE5FEC">
        <w:rPr>
          <w:lang w:val="fr-CH"/>
        </w:rPr>
        <w:t>’</w:t>
      </w:r>
      <w:r w:rsidRPr="00EC4085">
        <w:rPr>
          <w:lang w:val="fr-CH"/>
        </w:rPr>
        <w:t>est demandé comment l</w:t>
      </w:r>
      <w:r w:rsidR="00CE5FEC">
        <w:rPr>
          <w:lang w:val="fr-CH"/>
        </w:rPr>
        <w:t>’</w:t>
      </w:r>
      <w:r w:rsidRPr="00EC4085">
        <w:rPr>
          <w:lang w:val="fr-CH"/>
        </w:rPr>
        <w:t>OMPI pouvait autoriser une union à dépenser les ressources de l</w:t>
      </w:r>
      <w:r w:rsidR="00CE5FEC">
        <w:rPr>
          <w:lang w:val="fr-CH"/>
        </w:rPr>
        <w:t>’</w:t>
      </w:r>
      <w:r w:rsidRPr="00EC4085">
        <w:rPr>
          <w:lang w:val="fr-CH"/>
        </w:rPr>
        <w:t>Organisation et à refuser la participation d</w:t>
      </w:r>
      <w:r w:rsidR="00CE5FEC">
        <w:rPr>
          <w:lang w:val="fr-CH"/>
        </w:rPr>
        <w:t>’</w:t>
      </w:r>
      <w:r w:rsidRPr="00EC4085">
        <w:rPr>
          <w:lang w:val="fr-CH"/>
        </w:rPr>
        <w:t>autres États membres qui avaient un intérêt réel et notable pour ses activités.  L</w:t>
      </w:r>
      <w:r w:rsidR="00CE5FEC">
        <w:rPr>
          <w:lang w:val="fr-CH"/>
        </w:rPr>
        <w:t>’</w:t>
      </w:r>
      <w:r w:rsidRPr="00EC4085">
        <w:rPr>
          <w:lang w:val="fr-CH"/>
        </w:rPr>
        <w:t>Union de Lisbonne elle</w:t>
      </w:r>
      <w:r w:rsidR="001D67E8">
        <w:rPr>
          <w:lang w:val="fr-CH"/>
        </w:rPr>
        <w:noBreakHyphen/>
      </w:r>
      <w:r w:rsidRPr="00EC4085">
        <w:rPr>
          <w:lang w:val="fr-CH"/>
        </w:rPr>
        <w:t>même avait décidé qu</w:t>
      </w:r>
      <w:r w:rsidR="00CE5FEC">
        <w:rPr>
          <w:lang w:val="fr-CH"/>
        </w:rPr>
        <w:t>’</w:t>
      </w:r>
      <w:r w:rsidRPr="00EC4085">
        <w:rPr>
          <w:lang w:val="fr-CH"/>
        </w:rPr>
        <w:t>elle n</w:t>
      </w:r>
      <w:r w:rsidR="00CE5FEC">
        <w:rPr>
          <w:lang w:val="fr-CH"/>
        </w:rPr>
        <w:t>’</w:t>
      </w:r>
      <w:r w:rsidRPr="00EC4085">
        <w:rPr>
          <w:lang w:val="fr-CH"/>
        </w:rPr>
        <w:t>avait pas à consulter le Comité de coordination car aucune autre union n</w:t>
      </w:r>
      <w:r w:rsidR="00CE5FEC">
        <w:rPr>
          <w:lang w:val="fr-CH"/>
        </w:rPr>
        <w:t>’</w:t>
      </w:r>
      <w:r w:rsidRPr="00EC4085">
        <w:rPr>
          <w:lang w:val="fr-CH"/>
        </w:rPr>
        <w:t>était intéressée par la révision de l</w:t>
      </w:r>
      <w:r w:rsidR="00CE5FEC">
        <w:rPr>
          <w:lang w:val="fr-CH"/>
        </w:rPr>
        <w:t>’</w:t>
      </w:r>
      <w:r w:rsidRPr="00EC4085">
        <w:rPr>
          <w:lang w:val="fr-CH"/>
        </w:rPr>
        <w:t>Arrangement de Lisbonne.  L</w:t>
      </w:r>
      <w:r w:rsidR="00CE5FEC">
        <w:rPr>
          <w:lang w:val="fr-CH"/>
        </w:rPr>
        <w:t>’</w:t>
      </w:r>
      <w:r w:rsidRPr="00EC4085">
        <w:rPr>
          <w:lang w:val="fr-CH"/>
        </w:rPr>
        <w:t>Union de Lisbonne elle</w:t>
      </w:r>
      <w:r w:rsidR="001D67E8">
        <w:rPr>
          <w:lang w:val="fr-CH"/>
        </w:rPr>
        <w:noBreakHyphen/>
      </w:r>
      <w:r w:rsidRPr="00EC4085">
        <w:rPr>
          <w:lang w:val="fr-CH"/>
        </w:rPr>
        <w:t>même avait décidé de la tenue d</w:t>
      </w:r>
      <w:r w:rsidR="00CE5FEC">
        <w:rPr>
          <w:lang w:val="fr-CH"/>
        </w:rPr>
        <w:t>’</w:t>
      </w:r>
      <w:r w:rsidRPr="00EC4085">
        <w:rPr>
          <w:lang w:val="fr-CH"/>
        </w:rPr>
        <w:t>une conférence diplomatiq</w:t>
      </w:r>
      <w:r w:rsidR="001D67E8" w:rsidRPr="00EC4085">
        <w:rPr>
          <w:lang w:val="fr-CH"/>
        </w:rPr>
        <w:t>ue</w:t>
      </w:r>
      <w:r w:rsidR="001D67E8">
        <w:rPr>
          <w:lang w:val="fr-CH"/>
        </w:rPr>
        <w:t xml:space="preserve">.  </w:t>
      </w:r>
      <w:r w:rsidR="001D67E8" w:rsidRPr="00EC4085">
        <w:rPr>
          <w:lang w:val="fr-CH"/>
        </w:rPr>
        <w:t>Le</w:t>
      </w:r>
      <w:r w:rsidRPr="00EC4085">
        <w:rPr>
          <w:lang w:val="fr-CH"/>
        </w:rPr>
        <w:t xml:space="preserve"> Comité du programme et budget </w:t>
      </w:r>
      <w:r w:rsidR="00067783">
        <w:rPr>
          <w:lang w:val="fr-CH"/>
        </w:rPr>
        <w:t xml:space="preserve">(PBC) </w:t>
      </w:r>
      <w:r w:rsidRPr="00EC4085">
        <w:rPr>
          <w:lang w:val="fr-CH"/>
        </w:rPr>
        <w:t>avait accepté de financer cette conférence en pensant que sa participation serait ouverte, sur un pied d</w:t>
      </w:r>
      <w:r w:rsidR="00CE5FEC">
        <w:rPr>
          <w:lang w:val="fr-CH"/>
        </w:rPr>
        <w:t>’</w:t>
      </w:r>
      <w:r w:rsidRPr="00EC4085">
        <w:rPr>
          <w:lang w:val="fr-CH"/>
        </w:rPr>
        <w:t>égalité, à tous les membres de l</w:t>
      </w:r>
      <w:r w:rsidR="00CE5FEC">
        <w:rPr>
          <w:lang w:val="fr-CH"/>
        </w:rPr>
        <w:t>’</w:t>
      </w:r>
      <w:r w:rsidRPr="00EC4085">
        <w:rPr>
          <w:lang w:val="fr-CH"/>
        </w:rPr>
        <w:t>Union de Par</w:t>
      </w:r>
      <w:r w:rsidR="001D67E8" w:rsidRPr="00EC4085">
        <w:rPr>
          <w:lang w:val="fr-CH"/>
        </w:rPr>
        <w:t>is</w:t>
      </w:r>
      <w:r w:rsidR="001D67E8">
        <w:rPr>
          <w:lang w:val="fr-CH"/>
        </w:rPr>
        <w:t xml:space="preserve">.  </w:t>
      </w:r>
      <w:r w:rsidR="001D67E8" w:rsidRPr="00EC4085">
        <w:rPr>
          <w:lang w:val="fr-CH"/>
        </w:rPr>
        <w:t>La</w:t>
      </w:r>
      <w:r w:rsidRPr="00EC4085">
        <w:rPr>
          <w:lang w:val="fr-CH"/>
        </w:rPr>
        <w:t xml:space="preserve"> suite est connue de to</w:t>
      </w:r>
      <w:r w:rsidR="001D67E8" w:rsidRPr="00EC4085">
        <w:rPr>
          <w:lang w:val="fr-CH"/>
        </w:rPr>
        <w:t>us</w:t>
      </w:r>
      <w:r w:rsidR="001D67E8">
        <w:rPr>
          <w:lang w:val="fr-CH"/>
        </w:rPr>
        <w:t xml:space="preserve">.  </w:t>
      </w:r>
      <w:r w:rsidR="001D67E8" w:rsidRPr="00EC4085">
        <w:rPr>
          <w:lang w:val="fr-CH"/>
        </w:rPr>
        <w:t>La</w:t>
      </w:r>
      <w:r w:rsidRPr="00EC4085">
        <w:rPr>
          <w:lang w:val="fr-CH"/>
        </w:rPr>
        <w:t xml:space="preserve"> conférence diplomatique n</w:t>
      </w:r>
      <w:r w:rsidR="00CE5FEC">
        <w:rPr>
          <w:lang w:val="fr-CH"/>
        </w:rPr>
        <w:t>’</w:t>
      </w:r>
      <w:r w:rsidRPr="00EC4085">
        <w:rPr>
          <w:lang w:val="fr-CH"/>
        </w:rPr>
        <w:t>avait finalement pas été ouverte à la participation de tous les membres de l</w:t>
      </w:r>
      <w:r w:rsidR="00CE5FEC">
        <w:rPr>
          <w:lang w:val="fr-CH"/>
        </w:rPr>
        <w:t>’</w:t>
      </w:r>
      <w:r w:rsidRPr="00EC4085">
        <w:rPr>
          <w:lang w:val="fr-CH"/>
        </w:rPr>
        <w:t>OMPI ou de l</w:t>
      </w:r>
      <w:r w:rsidR="00CE5FEC">
        <w:rPr>
          <w:lang w:val="fr-CH"/>
        </w:rPr>
        <w:t>’</w:t>
      </w:r>
      <w:r w:rsidRPr="00EC4085">
        <w:rPr>
          <w:lang w:val="fr-CH"/>
        </w:rPr>
        <w:t>Union de Paris bien que, chose étrange, elle ait été ouverte à la participation de deux entités non membres de l</w:t>
      </w:r>
      <w:r w:rsidR="00CE5FEC">
        <w:rPr>
          <w:lang w:val="fr-CH"/>
        </w:rPr>
        <w:t>’</w:t>
      </w:r>
      <w:r w:rsidRPr="00EC4085">
        <w:rPr>
          <w:lang w:val="fr-CH"/>
        </w:rPr>
        <w:t xml:space="preserve">Union de Paris, </w:t>
      </w:r>
      <w:r w:rsidR="00CE5FEC">
        <w:rPr>
          <w:lang w:val="fr-CH"/>
        </w:rPr>
        <w:t>à savoir</w:t>
      </w:r>
      <w:r w:rsidRPr="00EC4085">
        <w:rPr>
          <w:lang w:val="fr-CH"/>
        </w:rPr>
        <w:t xml:space="preserve"> l</w:t>
      </w:r>
      <w:r w:rsidR="00CE5FEC">
        <w:rPr>
          <w:lang w:val="fr-CH"/>
        </w:rPr>
        <w:t>’</w:t>
      </w:r>
      <w:r w:rsidRPr="00EC4085">
        <w:rPr>
          <w:lang w:val="fr-CH"/>
        </w:rPr>
        <w:t>Union européenne et l</w:t>
      </w:r>
      <w:r w:rsidR="00CE5FEC">
        <w:rPr>
          <w:lang w:val="fr-CH"/>
        </w:rPr>
        <w:t>’</w:t>
      </w:r>
      <w:r w:rsidRPr="00EC4085">
        <w:rPr>
          <w:lang w:val="fr-CH"/>
        </w:rPr>
        <w:t>Organisation africaine de la propriété intellectuelle (OAPI).  Les recettes issues des taxes d</w:t>
      </w:r>
      <w:r w:rsidR="00CE5FEC">
        <w:rPr>
          <w:lang w:val="fr-CH"/>
        </w:rPr>
        <w:t>’</w:t>
      </w:r>
      <w:r w:rsidRPr="00EC4085">
        <w:rPr>
          <w:lang w:val="fr-CH"/>
        </w:rPr>
        <w:t>autres unions avaient financé l</w:t>
      </w:r>
      <w:r w:rsidR="00CE5FEC">
        <w:rPr>
          <w:lang w:val="fr-CH"/>
        </w:rPr>
        <w:t>’</w:t>
      </w:r>
      <w:r w:rsidRPr="00EC4085">
        <w:rPr>
          <w:lang w:val="fr-CH"/>
        </w:rPr>
        <w:t>effort déployé pour créer un nouveau service d</w:t>
      </w:r>
      <w:r w:rsidR="00CE5FEC">
        <w:rPr>
          <w:lang w:val="fr-CH"/>
        </w:rPr>
        <w:t>’</w:t>
      </w:r>
      <w:r w:rsidRPr="00EC4085">
        <w:rPr>
          <w:lang w:val="fr-CH"/>
        </w:rPr>
        <w:t>enregistrement des indications géographiqu</w:t>
      </w:r>
      <w:r w:rsidR="001D67E8" w:rsidRPr="00EC4085">
        <w:rPr>
          <w:lang w:val="fr-CH"/>
        </w:rPr>
        <w:t>es</w:t>
      </w:r>
      <w:r w:rsidR="001D67E8">
        <w:rPr>
          <w:lang w:val="fr-CH"/>
        </w:rPr>
        <w:t xml:space="preserve">.  </w:t>
      </w:r>
      <w:r w:rsidR="001D67E8" w:rsidRPr="00EC4085">
        <w:rPr>
          <w:lang w:val="fr-CH"/>
        </w:rPr>
        <w:t>Po</w:t>
      </w:r>
      <w:r w:rsidRPr="00EC4085">
        <w:rPr>
          <w:lang w:val="fr-CH"/>
        </w:rPr>
        <w:t>ur cette raison, entre autres, les autres unions étaient clairement intéressées par les activités de l</w:t>
      </w:r>
      <w:r w:rsidR="00CE5FEC">
        <w:rPr>
          <w:lang w:val="fr-CH"/>
        </w:rPr>
        <w:t>’</w:t>
      </w:r>
      <w:r w:rsidRPr="00EC4085">
        <w:rPr>
          <w:lang w:val="fr-CH"/>
        </w:rPr>
        <w:t>Union de Lisbonne.  L</w:t>
      </w:r>
      <w:r w:rsidR="00CE5FEC">
        <w:rPr>
          <w:lang w:val="fr-CH"/>
        </w:rPr>
        <w:t>’</w:t>
      </w:r>
      <w:r w:rsidRPr="00EC4085">
        <w:rPr>
          <w:lang w:val="fr-CH"/>
        </w:rPr>
        <w:t>Union de Lisbonne ne devrait pas pouvoir gagner sur les deux tableaux, en utilisant des recettes globales pour financer une conférence diplomatique à composition limit</w:t>
      </w:r>
      <w:r w:rsidR="001D67E8" w:rsidRPr="00EC4085">
        <w:rPr>
          <w:lang w:val="fr-CH"/>
        </w:rPr>
        <w:t>ée</w:t>
      </w:r>
      <w:r w:rsidR="001D67E8">
        <w:rPr>
          <w:lang w:val="fr-CH"/>
        </w:rPr>
        <w:t xml:space="preserve">.  </w:t>
      </w:r>
      <w:r w:rsidR="001D67E8" w:rsidRPr="00EC4085">
        <w:rPr>
          <w:lang w:val="fr-CH"/>
        </w:rPr>
        <w:t>Si</w:t>
      </w:r>
      <w:r w:rsidRPr="00EC4085">
        <w:rPr>
          <w:lang w:val="fr-CH"/>
        </w:rPr>
        <w:t xml:space="preserve"> l</w:t>
      </w:r>
      <w:r w:rsidR="00CE5FEC">
        <w:rPr>
          <w:lang w:val="fr-CH"/>
        </w:rPr>
        <w:t>’</w:t>
      </w:r>
      <w:r w:rsidRPr="00EC4085">
        <w:rPr>
          <w:lang w:val="fr-CH"/>
        </w:rPr>
        <w:t>Arrangement de Lisbonne ne présentait aucun intérêt pour les autres unions, alors le budget de ces unions ne devrait pas être utilisé pour financer les opérations qui y étaient associé</w:t>
      </w:r>
      <w:r w:rsidR="001D67E8" w:rsidRPr="00EC4085">
        <w:rPr>
          <w:lang w:val="fr-CH"/>
        </w:rPr>
        <w:t>es</w:t>
      </w:r>
      <w:r w:rsidR="001D67E8">
        <w:rPr>
          <w:lang w:val="fr-CH"/>
        </w:rPr>
        <w:t xml:space="preserve">.  </w:t>
      </w:r>
      <w:r w:rsidR="001D67E8" w:rsidRPr="00EC4085">
        <w:rPr>
          <w:lang w:val="fr-CH"/>
        </w:rPr>
        <w:t>Po</w:t>
      </w:r>
      <w:r w:rsidRPr="00EC4085">
        <w:rPr>
          <w:lang w:val="fr-CH"/>
        </w:rPr>
        <w:t>ur conclure, la délégation a demandé à l</w:t>
      </w:r>
      <w:r w:rsidR="00CE5FEC">
        <w:rPr>
          <w:lang w:val="fr-CH"/>
        </w:rPr>
        <w:t>’</w:t>
      </w:r>
      <w:r w:rsidRPr="00EC4085">
        <w:rPr>
          <w:lang w:val="fr-CH"/>
        </w:rPr>
        <w:t>Assemblée de l</w:t>
      </w:r>
      <w:r w:rsidR="00CE5FEC">
        <w:rPr>
          <w:lang w:val="fr-CH"/>
        </w:rPr>
        <w:t>’</w:t>
      </w:r>
      <w:r w:rsidRPr="00EC4085">
        <w:rPr>
          <w:lang w:val="fr-CH"/>
        </w:rPr>
        <w:t>Union du PCT de prendre une décision afin que son autorisation soit sollicitée avant que d</w:t>
      </w:r>
      <w:r w:rsidR="00CE5FEC">
        <w:rPr>
          <w:lang w:val="fr-CH"/>
        </w:rPr>
        <w:t>’</w:t>
      </w:r>
      <w:r w:rsidRPr="00EC4085">
        <w:rPr>
          <w:lang w:val="fr-CH"/>
        </w:rPr>
        <w:t>autres unions d</w:t>
      </w:r>
      <w:r w:rsidR="00CE5FEC">
        <w:rPr>
          <w:lang w:val="fr-CH"/>
        </w:rPr>
        <w:t>’</w:t>
      </w:r>
      <w:r w:rsidRPr="00EC4085">
        <w:rPr>
          <w:lang w:val="fr-CH"/>
        </w:rPr>
        <w:t>enregistrement financées par des taxes se servent des recettes provenant des taxes du PCT pour couvrir les dépenses d</w:t>
      </w:r>
      <w:r w:rsidR="00CE5FEC">
        <w:rPr>
          <w:lang w:val="fr-CH"/>
        </w:rPr>
        <w:t>’</w:t>
      </w:r>
      <w:r w:rsidRPr="00EC4085">
        <w:rPr>
          <w:lang w:val="fr-CH"/>
        </w:rPr>
        <w:t>une Union de Lisbonne dont les résultats sont insuffisants.</w:t>
      </w:r>
    </w:p>
    <w:p w:rsidR="00681F4E" w:rsidRPr="00EC4085" w:rsidRDefault="00681F4E" w:rsidP="00681F4E">
      <w:pPr>
        <w:pStyle w:val="ONUMFS"/>
        <w:rPr>
          <w:lang w:val="fr-CH"/>
        </w:rPr>
      </w:pPr>
      <w:r w:rsidRPr="00EC4085">
        <w:rPr>
          <w:lang w:val="fr-CH"/>
        </w:rPr>
        <w:t>La délégation de la Suisse a déclaré que, comme elle l</w:t>
      </w:r>
      <w:r w:rsidR="00CE5FEC">
        <w:rPr>
          <w:lang w:val="fr-CH"/>
        </w:rPr>
        <w:t>’</w:t>
      </w:r>
      <w:r w:rsidRPr="00EC4085">
        <w:rPr>
          <w:lang w:val="fr-CH"/>
        </w:rPr>
        <w:t>avait indiqué à un autre moment, elle était très attachée au budget unique de l</w:t>
      </w:r>
      <w:r w:rsidR="00CE5FEC">
        <w:rPr>
          <w:lang w:val="fr-CH"/>
        </w:rPr>
        <w:t>’</w:t>
      </w:r>
      <w:r w:rsidRPr="00EC4085">
        <w:rPr>
          <w:lang w:val="fr-CH"/>
        </w:rPr>
        <w:t>Organisation et estimait que ce principe était essentiel pour l</w:t>
      </w:r>
      <w:r w:rsidR="00CE5FEC">
        <w:rPr>
          <w:lang w:val="fr-CH"/>
        </w:rPr>
        <w:t>’</w:t>
      </w:r>
      <w:r w:rsidRPr="00EC4085">
        <w:rPr>
          <w:lang w:val="fr-CH"/>
        </w:rPr>
        <w:t>OMPI.  Le principe d</w:t>
      </w:r>
      <w:r w:rsidR="00CE5FEC">
        <w:rPr>
          <w:lang w:val="fr-CH"/>
        </w:rPr>
        <w:t>’</w:t>
      </w:r>
      <w:r w:rsidRPr="00EC4085">
        <w:rPr>
          <w:lang w:val="fr-CH"/>
        </w:rPr>
        <w:t>un budget unique autorisait que des activités relevant du mandat de l</w:t>
      </w:r>
      <w:r w:rsidR="00CE5FEC">
        <w:rPr>
          <w:lang w:val="fr-CH"/>
        </w:rPr>
        <w:t>’</w:t>
      </w:r>
      <w:r w:rsidRPr="00EC4085">
        <w:rPr>
          <w:lang w:val="fr-CH"/>
        </w:rPr>
        <w:t>OMPI soient menées sans nécessairement générer d</w:t>
      </w:r>
      <w:r w:rsidR="00CE5FEC">
        <w:rPr>
          <w:lang w:val="fr-CH"/>
        </w:rPr>
        <w:t>’</w:t>
      </w:r>
      <w:r w:rsidRPr="00EC4085">
        <w:rPr>
          <w:lang w:val="fr-CH"/>
        </w:rPr>
        <w:t>excéden</w:t>
      </w:r>
      <w:r w:rsidR="001D67E8" w:rsidRPr="00EC4085">
        <w:rPr>
          <w:lang w:val="fr-CH"/>
        </w:rPr>
        <w:t>ts</w:t>
      </w:r>
      <w:r w:rsidR="001D67E8">
        <w:rPr>
          <w:lang w:val="fr-CH"/>
        </w:rPr>
        <w:t xml:space="preserve">.  </w:t>
      </w:r>
      <w:r w:rsidR="001D67E8" w:rsidRPr="00EC4085">
        <w:rPr>
          <w:lang w:val="fr-CH"/>
        </w:rPr>
        <w:t>Ce</w:t>
      </w:r>
      <w:r w:rsidRPr="00EC4085">
        <w:rPr>
          <w:lang w:val="fr-CH"/>
        </w:rPr>
        <w:t xml:space="preserve">la avait longtemps été le cas du système de </w:t>
      </w:r>
      <w:r w:rsidR="00CE5FEC">
        <w:rPr>
          <w:lang w:val="fr-CH"/>
        </w:rPr>
        <w:t>La Haye</w:t>
      </w:r>
      <w:r w:rsidRPr="00EC4085">
        <w:rPr>
          <w:lang w:val="fr-CH"/>
        </w:rPr>
        <w:t>, comme le montraient clairement les documents qui étaient mentionnés dans la proposition qui se trouvait devant l</w:t>
      </w:r>
      <w:r w:rsidR="00CE5FEC">
        <w:rPr>
          <w:lang w:val="fr-CH"/>
        </w:rPr>
        <w:t>’</w:t>
      </w:r>
      <w:r w:rsidRPr="00EC4085">
        <w:rPr>
          <w:lang w:val="fr-CH"/>
        </w:rPr>
        <w:t>assembl</w:t>
      </w:r>
      <w:r w:rsidR="001D67E8" w:rsidRPr="00EC4085">
        <w:rPr>
          <w:lang w:val="fr-CH"/>
        </w:rPr>
        <w:t>ée</w:t>
      </w:r>
      <w:r w:rsidR="001D67E8">
        <w:rPr>
          <w:lang w:val="fr-CH"/>
        </w:rPr>
        <w:t xml:space="preserve">.  </w:t>
      </w:r>
      <w:r w:rsidR="001D67E8" w:rsidRPr="00EC4085">
        <w:rPr>
          <w:lang w:val="fr-CH"/>
        </w:rPr>
        <w:t>Co</w:t>
      </w:r>
      <w:r w:rsidRPr="00EC4085">
        <w:rPr>
          <w:lang w:val="fr-CH"/>
        </w:rPr>
        <w:t>ncernant les autres parties de la proposition, la délégation ne pensait pas que celles</w:t>
      </w:r>
      <w:r w:rsidR="001D67E8">
        <w:rPr>
          <w:lang w:val="fr-CH"/>
        </w:rPr>
        <w:noBreakHyphen/>
      </w:r>
      <w:r w:rsidRPr="00EC4085">
        <w:rPr>
          <w:lang w:val="fr-CH"/>
        </w:rPr>
        <w:t>ci constituaient une violation de l</w:t>
      </w:r>
      <w:r w:rsidR="00CE5FEC">
        <w:rPr>
          <w:lang w:val="fr-CH"/>
        </w:rPr>
        <w:t>’</w:t>
      </w:r>
      <w:r w:rsidRPr="00EC4085">
        <w:rPr>
          <w:lang w:val="fr-CH"/>
        </w:rPr>
        <w:t>article 57.1) du PCT, puisque cet article avait été modifié lors de la réforme statutaire de 2003 par les assemblées, qui s</w:t>
      </w:r>
      <w:r w:rsidR="00CE5FEC">
        <w:rPr>
          <w:lang w:val="fr-CH"/>
        </w:rPr>
        <w:t>’</w:t>
      </w:r>
      <w:r w:rsidRPr="00EC4085">
        <w:rPr>
          <w:lang w:val="fr-CH"/>
        </w:rPr>
        <w:t>étaient également prononcées sur le principe de budget uniq</w:t>
      </w:r>
      <w:r w:rsidR="001D67E8" w:rsidRPr="00EC4085">
        <w:rPr>
          <w:lang w:val="fr-CH"/>
        </w:rPr>
        <w:t>ue</w:t>
      </w:r>
      <w:r w:rsidR="001D67E8">
        <w:rPr>
          <w:lang w:val="fr-CH"/>
        </w:rPr>
        <w:t xml:space="preserve">.  </w:t>
      </w:r>
      <w:r w:rsidR="001D67E8" w:rsidRPr="00EC4085">
        <w:rPr>
          <w:lang w:val="fr-CH"/>
        </w:rPr>
        <w:t>En</w:t>
      </w:r>
      <w:r w:rsidRPr="00EC4085">
        <w:rPr>
          <w:lang w:val="fr-CH"/>
        </w:rPr>
        <w:t xml:space="preserve"> fait, la citation dans ce document concernant l</w:t>
      </w:r>
      <w:r w:rsidR="00CE5FEC">
        <w:rPr>
          <w:lang w:val="fr-CH"/>
        </w:rPr>
        <w:t>’</w:t>
      </w:r>
      <w:r w:rsidRPr="00EC4085">
        <w:rPr>
          <w:lang w:val="fr-CH"/>
        </w:rPr>
        <w:t>article 57.1)c) avait été modifiée à ce sta</w:t>
      </w:r>
      <w:r w:rsidR="001D67E8" w:rsidRPr="00EC4085">
        <w:rPr>
          <w:lang w:val="fr-CH"/>
        </w:rPr>
        <w:t>de</w:t>
      </w:r>
      <w:r w:rsidR="001D67E8">
        <w:rPr>
          <w:lang w:val="fr-CH"/>
        </w:rPr>
        <w:t xml:space="preserve">.  </w:t>
      </w:r>
      <w:r w:rsidR="001D67E8" w:rsidRPr="00EC4085">
        <w:rPr>
          <w:lang w:val="fr-CH"/>
        </w:rPr>
        <w:t>La</w:t>
      </w:r>
      <w:r w:rsidRPr="00EC4085">
        <w:rPr>
          <w:lang w:val="fr-CH"/>
        </w:rPr>
        <w:t xml:space="preserve"> délégation estimait que les documents budgétaires avaient été pleinement conformes à la pratique de l</w:t>
      </w:r>
      <w:r w:rsidR="00CE5FEC">
        <w:rPr>
          <w:lang w:val="fr-CH"/>
        </w:rPr>
        <w:t>’</w:t>
      </w:r>
      <w:r w:rsidRPr="00EC4085">
        <w:rPr>
          <w:lang w:val="fr-CH"/>
        </w:rPr>
        <w:t>Organisation au cours des 20 dernières années, qui avait été adoptée à l</w:t>
      </w:r>
      <w:r w:rsidR="00CE5FEC">
        <w:rPr>
          <w:lang w:val="fr-CH"/>
        </w:rPr>
        <w:t>’</w:t>
      </w:r>
      <w:r w:rsidRPr="00EC4085">
        <w:rPr>
          <w:lang w:val="fr-CH"/>
        </w:rPr>
        <w:t>unanimité par les assemblées de 2003.  La délégation n</w:t>
      </w:r>
      <w:r w:rsidR="00CE5FEC">
        <w:rPr>
          <w:lang w:val="fr-CH"/>
        </w:rPr>
        <w:t>’</w:t>
      </w:r>
      <w:r w:rsidRPr="00EC4085">
        <w:rPr>
          <w:lang w:val="fr-CH"/>
        </w:rPr>
        <w:t>était donc pas en mesure d</w:t>
      </w:r>
      <w:r w:rsidR="00CE5FEC">
        <w:rPr>
          <w:lang w:val="fr-CH"/>
        </w:rPr>
        <w:t>’</w:t>
      </w:r>
      <w:r w:rsidRPr="00EC4085">
        <w:rPr>
          <w:lang w:val="fr-CH"/>
        </w:rPr>
        <w:t>appuyer la proposition présentée dans le document PCT/A/47/8.  Elle a cependant souhaité faire des observations au sujet des taxes et du financement du système de Lisbonne et rappeler que des propositions sur ces points seraient examinées par l</w:t>
      </w:r>
      <w:r w:rsidR="00CE5FEC">
        <w:rPr>
          <w:lang w:val="fr-CH"/>
        </w:rPr>
        <w:t>’</w:t>
      </w:r>
      <w:r w:rsidRPr="00EC4085">
        <w:rPr>
          <w:lang w:val="fr-CH"/>
        </w:rPr>
        <w:t>Assemblée de l</w:t>
      </w:r>
      <w:r w:rsidR="00CE5FEC">
        <w:rPr>
          <w:lang w:val="fr-CH"/>
        </w:rPr>
        <w:t>’</w:t>
      </w:r>
      <w:r w:rsidRPr="00EC4085">
        <w:rPr>
          <w:lang w:val="fr-CH"/>
        </w:rPr>
        <w:t>Union de Lisbonne qui allait bientôt se réunir.</w:t>
      </w:r>
    </w:p>
    <w:p w:rsidR="00681F4E" w:rsidRPr="00EC4085" w:rsidRDefault="00681F4E" w:rsidP="00681F4E">
      <w:pPr>
        <w:pStyle w:val="ONUMFS"/>
        <w:rPr>
          <w:lang w:val="fr-CH"/>
        </w:rPr>
      </w:pPr>
      <w:r w:rsidRPr="00EC4085">
        <w:rPr>
          <w:lang w:val="fr-CH"/>
        </w:rPr>
        <w:t>La délégation de l</w:t>
      </w:r>
      <w:r w:rsidR="00CE5FEC">
        <w:rPr>
          <w:lang w:val="fr-CH"/>
        </w:rPr>
        <w:t>’</w:t>
      </w:r>
      <w:r w:rsidRPr="00EC4085">
        <w:rPr>
          <w:lang w:val="fr-CH"/>
        </w:rPr>
        <w:t>Iran (République islamique d</w:t>
      </w:r>
      <w:r w:rsidR="00CE5FEC">
        <w:rPr>
          <w:lang w:val="fr-CH"/>
        </w:rPr>
        <w:t>’</w:t>
      </w:r>
      <w:r w:rsidRPr="00EC4085">
        <w:rPr>
          <w:lang w:val="fr-CH"/>
        </w:rPr>
        <w:t>) a indiqué que, d</w:t>
      </w:r>
      <w:r w:rsidR="00CE5FEC">
        <w:rPr>
          <w:lang w:val="fr-CH"/>
        </w:rPr>
        <w:t>’</w:t>
      </w:r>
      <w:r w:rsidRPr="00EC4085">
        <w:rPr>
          <w:lang w:val="fr-CH"/>
        </w:rPr>
        <w:t>après ce qu</w:t>
      </w:r>
      <w:r w:rsidR="00CE5FEC">
        <w:rPr>
          <w:lang w:val="fr-CH"/>
        </w:rPr>
        <w:t>’</w:t>
      </w:r>
      <w:r w:rsidRPr="00EC4085">
        <w:rPr>
          <w:lang w:val="fr-CH"/>
        </w:rPr>
        <w:t>elle avait compris, l</w:t>
      </w:r>
      <w:r w:rsidR="00CE5FEC">
        <w:rPr>
          <w:lang w:val="fr-CH"/>
        </w:rPr>
        <w:t>’</w:t>
      </w:r>
      <w:r w:rsidRPr="00EC4085">
        <w:rPr>
          <w:lang w:val="fr-CH"/>
        </w:rPr>
        <w:t>Union de Lisbonne était une union indépendante et l</w:t>
      </w:r>
      <w:r w:rsidR="00CE5FEC">
        <w:rPr>
          <w:lang w:val="fr-CH"/>
        </w:rPr>
        <w:t>’</w:t>
      </w:r>
      <w:r w:rsidRPr="00EC4085">
        <w:rPr>
          <w:lang w:val="fr-CH"/>
        </w:rPr>
        <w:t>Union du PCT était une autre union indépendan</w:t>
      </w:r>
      <w:r w:rsidR="001D67E8" w:rsidRPr="00EC4085">
        <w:rPr>
          <w:lang w:val="fr-CH"/>
        </w:rPr>
        <w:t>te</w:t>
      </w:r>
      <w:r w:rsidR="001D67E8">
        <w:rPr>
          <w:lang w:val="fr-CH"/>
        </w:rPr>
        <w:t xml:space="preserve">.  </w:t>
      </w:r>
      <w:r w:rsidR="001D67E8" w:rsidRPr="00EC4085">
        <w:rPr>
          <w:lang w:val="fr-CH"/>
        </w:rPr>
        <w:t>Il</w:t>
      </w:r>
      <w:r w:rsidRPr="00EC4085">
        <w:rPr>
          <w:lang w:val="fr-CH"/>
        </w:rPr>
        <w:t xml:space="preserve"> n</w:t>
      </w:r>
      <w:r w:rsidR="00CE5FEC">
        <w:rPr>
          <w:lang w:val="fr-CH"/>
        </w:rPr>
        <w:t>’</w:t>
      </w:r>
      <w:r w:rsidRPr="00EC4085">
        <w:rPr>
          <w:lang w:val="fr-CH"/>
        </w:rPr>
        <w:t>existait aucune relation hiérarchique entre ces unio</w:t>
      </w:r>
      <w:r w:rsidR="001D67E8" w:rsidRPr="00EC4085">
        <w:rPr>
          <w:lang w:val="fr-CH"/>
        </w:rPr>
        <w:t>ns</w:t>
      </w:r>
      <w:r w:rsidR="001D67E8">
        <w:rPr>
          <w:lang w:val="fr-CH"/>
        </w:rPr>
        <w:t xml:space="preserve">.  </w:t>
      </w:r>
      <w:r w:rsidR="001D67E8" w:rsidRPr="00EC4085">
        <w:rPr>
          <w:lang w:val="fr-CH"/>
        </w:rPr>
        <w:t>La</w:t>
      </w:r>
      <w:r w:rsidRPr="00EC4085">
        <w:rPr>
          <w:lang w:val="fr-CH"/>
        </w:rPr>
        <w:t xml:space="preserve"> délégation a donc souhaité demander au président de lui donner des explications sur la relation entre l</w:t>
      </w:r>
      <w:r w:rsidR="00CE5FEC">
        <w:rPr>
          <w:lang w:val="fr-CH"/>
        </w:rPr>
        <w:t>’</w:t>
      </w:r>
      <w:r w:rsidRPr="00EC4085">
        <w:rPr>
          <w:lang w:val="fr-CH"/>
        </w:rPr>
        <w:t xml:space="preserve">Union </w:t>
      </w:r>
      <w:r w:rsidRPr="00EC4085">
        <w:rPr>
          <w:lang w:val="fr-CH"/>
        </w:rPr>
        <w:lastRenderedPageBreak/>
        <w:t>du PCT et l</w:t>
      </w:r>
      <w:r w:rsidR="00CE5FEC">
        <w:rPr>
          <w:lang w:val="fr-CH"/>
        </w:rPr>
        <w:t>’</w:t>
      </w:r>
      <w:r w:rsidRPr="00EC4085">
        <w:rPr>
          <w:lang w:val="fr-CH"/>
        </w:rPr>
        <w:t>Union de Lisbonne, et sur la raison pour laquelle la proposition était soumise au titre de ce point de l</w:t>
      </w:r>
      <w:r w:rsidR="00CE5FEC">
        <w:rPr>
          <w:lang w:val="fr-CH"/>
        </w:rPr>
        <w:t>’</w:t>
      </w:r>
      <w:r w:rsidRPr="00EC4085">
        <w:rPr>
          <w:lang w:val="fr-CH"/>
        </w:rPr>
        <w:t>ordre du jo</w:t>
      </w:r>
      <w:r w:rsidR="001D67E8" w:rsidRPr="00EC4085">
        <w:rPr>
          <w:lang w:val="fr-CH"/>
        </w:rPr>
        <w:t>ur</w:t>
      </w:r>
      <w:r w:rsidR="001D67E8">
        <w:rPr>
          <w:lang w:val="fr-CH"/>
        </w:rPr>
        <w:t xml:space="preserve">.  </w:t>
      </w:r>
      <w:r w:rsidR="001D67E8" w:rsidRPr="00EC4085">
        <w:rPr>
          <w:lang w:val="fr-CH"/>
        </w:rPr>
        <w:t>Pa</w:t>
      </w:r>
      <w:r w:rsidRPr="00EC4085">
        <w:rPr>
          <w:lang w:val="fr-CH"/>
        </w:rPr>
        <w:t>r ailleurs, selon le programme et budget, 76% du budget de l</w:t>
      </w:r>
      <w:r w:rsidR="00CE5FEC">
        <w:rPr>
          <w:lang w:val="fr-CH"/>
        </w:rPr>
        <w:t>’</w:t>
      </w:r>
      <w:r w:rsidRPr="00EC4085">
        <w:rPr>
          <w:lang w:val="fr-CH"/>
        </w:rPr>
        <w:t>OMPI était financé par le PCT;  la délégation a donc souhaité savoir à quels comités, traités et unions ce budget était octroyé, et quelle base juridique régissait l</w:t>
      </w:r>
      <w:r w:rsidR="00CE5FEC">
        <w:rPr>
          <w:lang w:val="fr-CH"/>
        </w:rPr>
        <w:t>’</w:t>
      </w:r>
      <w:r w:rsidRPr="00EC4085">
        <w:rPr>
          <w:lang w:val="fr-CH"/>
        </w:rPr>
        <w:t>allocation de recettes tirées du PCT à d</w:t>
      </w:r>
      <w:r w:rsidR="00CE5FEC">
        <w:rPr>
          <w:lang w:val="fr-CH"/>
        </w:rPr>
        <w:t>’</w:t>
      </w:r>
      <w:r w:rsidRPr="00EC4085">
        <w:rPr>
          <w:lang w:val="fr-CH"/>
        </w:rPr>
        <w:t>autres sections de l</w:t>
      </w:r>
      <w:r w:rsidR="00CE5FEC">
        <w:rPr>
          <w:lang w:val="fr-CH"/>
        </w:rPr>
        <w:t>’</w:t>
      </w:r>
      <w:r w:rsidRPr="00EC4085">
        <w:rPr>
          <w:lang w:val="fr-CH"/>
        </w:rPr>
        <w:t>OMPI.  Il allait sans dire que la délégation appuyait vivement le système de contribution uniq</w:t>
      </w:r>
      <w:r w:rsidR="001D67E8" w:rsidRPr="00EC4085">
        <w:rPr>
          <w:lang w:val="fr-CH"/>
        </w:rPr>
        <w:t>ue</w:t>
      </w:r>
      <w:r w:rsidR="001D67E8">
        <w:rPr>
          <w:lang w:val="fr-CH"/>
        </w:rPr>
        <w:t xml:space="preserve">.  </w:t>
      </w:r>
      <w:r w:rsidR="001D67E8" w:rsidRPr="00EC4085">
        <w:rPr>
          <w:lang w:val="fr-CH"/>
        </w:rPr>
        <w:t>El</w:t>
      </w:r>
      <w:r w:rsidRPr="00EC4085">
        <w:rPr>
          <w:lang w:val="fr-CH"/>
        </w:rPr>
        <w:t xml:space="preserve">le comprenait ce système et cherchait simplement </w:t>
      </w:r>
      <w:r w:rsidR="00CE5FEC">
        <w:rPr>
          <w:lang w:val="fr-CH"/>
        </w:rPr>
        <w:t>à savoir</w:t>
      </w:r>
      <w:r w:rsidRPr="00EC4085">
        <w:rPr>
          <w:lang w:val="fr-CH"/>
        </w:rPr>
        <w:t xml:space="preserve"> précisément pour quelles sections de l</w:t>
      </w:r>
      <w:r w:rsidR="00CE5FEC">
        <w:rPr>
          <w:lang w:val="fr-CH"/>
        </w:rPr>
        <w:t>’</w:t>
      </w:r>
      <w:r w:rsidRPr="00EC4085">
        <w:rPr>
          <w:lang w:val="fr-CH"/>
        </w:rPr>
        <w:t>OMPI, quels traités et quelles unions utilisaient les recettes tirées du PCT.</w:t>
      </w:r>
    </w:p>
    <w:p w:rsidR="00681F4E" w:rsidRPr="00EC4085" w:rsidRDefault="00681F4E" w:rsidP="00681F4E">
      <w:pPr>
        <w:pStyle w:val="ONUMFS"/>
        <w:rPr>
          <w:lang w:val="fr-CH"/>
        </w:rPr>
      </w:pPr>
      <w:r w:rsidRPr="00EC4085">
        <w:rPr>
          <w:lang w:val="fr-CH"/>
        </w:rPr>
        <w:t>La délégation de l</w:t>
      </w:r>
      <w:r w:rsidR="00CE5FEC">
        <w:rPr>
          <w:lang w:val="fr-CH"/>
        </w:rPr>
        <w:t>’</w:t>
      </w:r>
      <w:r w:rsidRPr="00EC4085">
        <w:rPr>
          <w:lang w:val="fr-CH"/>
        </w:rPr>
        <w:t>Australie a déclaré qu</w:t>
      </w:r>
      <w:r w:rsidR="00CE5FEC">
        <w:rPr>
          <w:lang w:val="fr-CH"/>
        </w:rPr>
        <w:t>’</w:t>
      </w:r>
      <w:r w:rsidRPr="00EC4085">
        <w:rPr>
          <w:lang w:val="fr-CH"/>
        </w:rPr>
        <w:t>elle souhaitait faire une déclaration plus générale sur ces questio</w:t>
      </w:r>
      <w:r w:rsidR="001D67E8" w:rsidRPr="00EC4085">
        <w:rPr>
          <w:lang w:val="fr-CH"/>
        </w:rPr>
        <w:t>ns</w:t>
      </w:r>
      <w:r w:rsidR="001D67E8">
        <w:rPr>
          <w:lang w:val="fr-CH"/>
        </w:rPr>
        <w:t xml:space="preserve">.  </w:t>
      </w:r>
      <w:r w:rsidR="001D67E8" w:rsidRPr="00EC4085">
        <w:rPr>
          <w:lang w:val="fr-CH"/>
        </w:rPr>
        <w:t>El</w:t>
      </w:r>
      <w:r w:rsidRPr="00EC4085">
        <w:rPr>
          <w:lang w:val="fr-CH"/>
        </w:rPr>
        <w:t>le partageait bon nombre des inquiétudes soulevées par la délégation des États</w:t>
      </w:r>
      <w:r w:rsidR="001D67E8">
        <w:rPr>
          <w:lang w:val="fr-CH"/>
        </w:rPr>
        <w:noBreakHyphen/>
      </w:r>
      <w:r w:rsidRPr="00EC4085">
        <w:rPr>
          <w:lang w:val="fr-CH"/>
        </w:rPr>
        <w:t>Unis d</w:t>
      </w:r>
      <w:r w:rsidR="00CE5FEC">
        <w:rPr>
          <w:lang w:val="fr-CH"/>
        </w:rPr>
        <w:t>’</w:t>
      </w:r>
      <w:r w:rsidRPr="00EC4085">
        <w:rPr>
          <w:lang w:val="fr-CH"/>
        </w:rPr>
        <w:t>Amérique, notamment celles relatives à la transparence du budget et à la viabilité de l</w:t>
      </w:r>
      <w:r w:rsidR="00CE5FEC">
        <w:rPr>
          <w:lang w:val="fr-CH"/>
        </w:rPr>
        <w:t>’</w:t>
      </w:r>
      <w:r w:rsidRPr="00EC4085">
        <w:rPr>
          <w:lang w:val="fr-CH"/>
        </w:rPr>
        <w:t>Union de Lisbon</w:t>
      </w:r>
      <w:r w:rsidR="001D67E8" w:rsidRPr="00EC4085">
        <w:rPr>
          <w:lang w:val="fr-CH"/>
        </w:rPr>
        <w:t>ne</w:t>
      </w:r>
      <w:r w:rsidR="001D67E8">
        <w:rPr>
          <w:lang w:val="fr-CH"/>
        </w:rPr>
        <w:t xml:space="preserve">.  </w:t>
      </w:r>
      <w:r w:rsidR="001D67E8" w:rsidRPr="00EC4085">
        <w:rPr>
          <w:lang w:val="fr-CH"/>
        </w:rPr>
        <w:t>El</w:t>
      </w:r>
      <w:r w:rsidRPr="00EC4085">
        <w:rPr>
          <w:lang w:val="fr-CH"/>
        </w:rPr>
        <w:t>le souhaitait encourager l</w:t>
      </w:r>
      <w:r w:rsidR="00CE5FEC">
        <w:rPr>
          <w:lang w:val="fr-CH"/>
        </w:rPr>
        <w:t>’</w:t>
      </w:r>
      <w:r w:rsidRPr="00EC4085">
        <w:rPr>
          <w:lang w:val="fr-CH"/>
        </w:rPr>
        <w:t>Union de Lisbonne à concevoir un plan afin de promouvoir la viabilité du système et a indiqué que selon elle, cette démarche devrait se fonder sur l</w:t>
      </w:r>
      <w:r w:rsidR="00CE5FEC">
        <w:rPr>
          <w:lang w:val="fr-CH"/>
        </w:rPr>
        <w:t>’</w:t>
      </w:r>
      <w:r w:rsidRPr="00EC4085">
        <w:rPr>
          <w:lang w:val="fr-CH"/>
        </w:rPr>
        <w:t>excellent document fourni par le Secrétariat et tenir compte de certaines des propositions faites par la délégation des États</w:t>
      </w:r>
      <w:r w:rsidR="001D67E8">
        <w:rPr>
          <w:lang w:val="fr-CH"/>
        </w:rPr>
        <w:noBreakHyphen/>
      </w:r>
      <w:r w:rsidRPr="00EC4085">
        <w:rPr>
          <w:lang w:val="fr-CH"/>
        </w:rPr>
        <w:t>Unis d</w:t>
      </w:r>
      <w:r w:rsidR="00CE5FEC">
        <w:rPr>
          <w:lang w:val="fr-CH"/>
        </w:rPr>
        <w:t>’</w:t>
      </w:r>
      <w:r w:rsidRPr="00EC4085">
        <w:rPr>
          <w:lang w:val="fr-CH"/>
        </w:rPr>
        <w:t>Amérique dans son intervention.</w:t>
      </w:r>
    </w:p>
    <w:p w:rsidR="00681F4E" w:rsidRPr="00EC4085" w:rsidRDefault="00681F4E" w:rsidP="00681F4E">
      <w:pPr>
        <w:pStyle w:val="ONUMFS"/>
        <w:rPr>
          <w:lang w:val="fr-CH"/>
        </w:rPr>
      </w:pPr>
      <w:r w:rsidRPr="00EC4085">
        <w:rPr>
          <w:lang w:val="fr-CH"/>
        </w:rPr>
        <w:t>La délégation du Mexique a déclaré qu</w:t>
      </w:r>
      <w:r w:rsidR="00CE5FEC">
        <w:rPr>
          <w:lang w:val="fr-CH"/>
        </w:rPr>
        <w:t>’</w:t>
      </w:r>
      <w:r w:rsidRPr="00EC4085">
        <w:rPr>
          <w:lang w:val="fr-CH"/>
        </w:rPr>
        <w:t>elle soutenait la déclaration de la délégation de la Suis</w:t>
      </w:r>
      <w:r w:rsidR="001D67E8" w:rsidRPr="00EC4085">
        <w:rPr>
          <w:lang w:val="fr-CH"/>
        </w:rPr>
        <w:t>se</w:t>
      </w:r>
      <w:r w:rsidR="001D67E8">
        <w:rPr>
          <w:lang w:val="fr-CH"/>
        </w:rPr>
        <w:t xml:space="preserve">.  </w:t>
      </w:r>
      <w:r w:rsidR="001D67E8" w:rsidRPr="00EC4085">
        <w:rPr>
          <w:lang w:val="fr-CH"/>
        </w:rPr>
        <w:t xml:space="preserve">À </w:t>
      </w:r>
      <w:r w:rsidRPr="00EC4085">
        <w:rPr>
          <w:lang w:val="fr-CH"/>
        </w:rPr>
        <w:t>ce stade, elle n</w:t>
      </w:r>
      <w:r w:rsidR="00CE5FEC">
        <w:rPr>
          <w:lang w:val="fr-CH"/>
        </w:rPr>
        <w:t>’</w:t>
      </w:r>
      <w:r w:rsidRPr="00EC4085">
        <w:rPr>
          <w:lang w:val="fr-CH"/>
        </w:rPr>
        <w:t>était pas en mesure d</w:t>
      </w:r>
      <w:r w:rsidR="00CE5FEC">
        <w:rPr>
          <w:lang w:val="fr-CH"/>
        </w:rPr>
        <w:t>’</w:t>
      </w:r>
      <w:r w:rsidRPr="00EC4085">
        <w:rPr>
          <w:lang w:val="fr-CH"/>
        </w:rPr>
        <w:t>accepter la proposition à l</w:t>
      </w:r>
      <w:r w:rsidR="00CE5FEC">
        <w:rPr>
          <w:lang w:val="fr-CH"/>
        </w:rPr>
        <w:t>’</w:t>
      </w:r>
      <w:r w:rsidRPr="00EC4085">
        <w:rPr>
          <w:lang w:val="fr-CH"/>
        </w:rPr>
        <w:t>exam</w:t>
      </w:r>
      <w:r w:rsidR="001D67E8" w:rsidRPr="00EC4085">
        <w:rPr>
          <w:lang w:val="fr-CH"/>
        </w:rPr>
        <w:t>en</w:t>
      </w:r>
      <w:r w:rsidR="001D67E8">
        <w:rPr>
          <w:lang w:val="fr-CH"/>
        </w:rPr>
        <w:t xml:space="preserve">.  </w:t>
      </w:r>
      <w:r w:rsidR="001D67E8" w:rsidRPr="00EC4085">
        <w:rPr>
          <w:lang w:val="fr-CH"/>
        </w:rPr>
        <w:t>La</w:t>
      </w:r>
      <w:r w:rsidRPr="00EC4085">
        <w:rPr>
          <w:lang w:val="fr-CH"/>
        </w:rPr>
        <w:t xml:space="preserve"> délégation souhaitait continuer de soutenir le budget unique, qui était couvert par le principe de solidarité du système des </w:t>
      </w:r>
      <w:r w:rsidR="00CE5FEC">
        <w:rPr>
          <w:lang w:val="fr-CH"/>
        </w:rPr>
        <w:t>Nations Uni</w:t>
      </w:r>
      <w:r w:rsidR="001D67E8">
        <w:rPr>
          <w:lang w:val="fr-CH"/>
        </w:rPr>
        <w:t xml:space="preserve">es.  </w:t>
      </w:r>
      <w:r w:rsidR="001D67E8" w:rsidRPr="00EC4085">
        <w:rPr>
          <w:lang w:val="fr-CH"/>
        </w:rPr>
        <w:t>El</w:t>
      </w:r>
      <w:r w:rsidRPr="00EC4085">
        <w:rPr>
          <w:lang w:val="fr-CH"/>
        </w:rPr>
        <w:t>le n</w:t>
      </w:r>
      <w:r w:rsidR="00CE5FEC">
        <w:rPr>
          <w:lang w:val="fr-CH"/>
        </w:rPr>
        <w:t>’</w:t>
      </w:r>
      <w:r w:rsidRPr="00EC4085">
        <w:rPr>
          <w:lang w:val="fr-CH"/>
        </w:rPr>
        <w:t>était donc pas en mesure d</w:t>
      </w:r>
      <w:r w:rsidR="00CE5FEC">
        <w:rPr>
          <w:lang w:val="fr-CH"/>
        </w:rPr>
        <w:t>’</w:t>
      </w:r>
      <w:r w:rsidRPr="00EC4085">
        <w:rPr>
          <w:lang w:val="fr-CH"/>
        </w:rPr>
        <w:t>appuyer la proposition.</w:t>
      </w:r>
    </w:p>
    <w:p w:rsidR="00681F4E" w:rsidRPr="00EC4085" w:rsidRDefault="00681F4E" w:rsidP="00681F4E">
      <w:pPr>
        <w:pStyle w:val="ONUMFS"/>
        <w:rPr>
          <w:lang w:val="fr-CH"/>
        </w:rPr>
      </w:pPr>
      <w:r w:rsidRPr="00EC4085">
        <w:rPr>
          <w:lang w:val="fr-CH"/>
        </w:rPr>
        <w:t>La délégation de Cuba a indiqué qu</w:t>
      </w:r>
      <w:r w:rsidR="00CE5FEC">
        <w:rPr>
          <w:lang w:val="fr-CH"/>
        </w:rPr>
        <w:t>’</w:t>
      </w:r>
      <w:r w:rsidRPr="00EC4085">
        <w:rPr>
          <w:lang w:val="fr-CH"/>
        </w:rPr>
        <w:t>elle soutenait le principe du budget unique adopté par l</w:t>
      </w:r>
      <w:r w:rsidR="00CE5FEC">
        <w:rPr>
          <w:lang w:val="fr-CH"/>
        </w:rPr>
        <w:t>’</w:t>
      </w:r>
      <w:r w:rsidRPr="00EC4085">
        <w:rPr>
          <w:lang w:val="fr-CH"/>
        </w:rPr>
        <w:t>Assemblée générale.</w:t>
      </w:r>
    </w:p>
    <w:p w:rsidR="00681F4E" w:rsidRPr="00EC4085" w:rsidRDefault="00681F4E" w:rsidP="00681F4E">
      <w:pPr>
        <w:pStyle w:val="ONUMFS"/>
        <w:rPr>
          <w:lang w:val="fr-CH"/>
        </w:rPr>
      </w:pPr>
      <w:r w:rsidRPr="00EC4085">
        <w:rPr>
          <w:lang w:val="fr-CH"/>
        </w:rPr>
        <w:t>La délégation de l</w:t>
      </w:r>
      <w:r w:rsidR="00CE5FEC">
        <w:rPr>
          <w:lang w:val="fr-CH"/>
        </w:rPr>
        <w:t>’</w:t>
      </w:r>
      <w:r w:rsidRPr="00EC4085">
        <w:rPr>
          <w:lang w:val="fr-CH"/>
        </w:rPr>
        <w:t>Italie a déclaré partager la position exprimée par la délégation de la Suis</w:t>
      </w:r>
      <w:r w:rsidR="001D67E8" w:rsidRPr="00EC4085">
        <w:rPr>
          <w:lang w:val="fr-CH"/>
        </w:rPr>
        <w:t>se</w:t>
      </w:r>
      <w:r w:rsidR="001D67E8">
        <w:rPr>
          <w:lang w:val="fr-CH"/>
        </w:rPr>
        <w:t xml:space="preserve">.  </w:t>
      </w:r>
      <w:r w:rsidR="001D67E8" w:rsidRPr="00EC4085">
        <w:rPr>
          <w:lang w:val="fr-CH"/>
        </w:rPr>
        <w:t>El</w:t>
      </w:r>
      <w:r w:rsidRPr="00EC4085">
        <w:rPr>
          <w:lang w:val="fr-CH"/>
        </w:rPr>
        <w:t>le n</w:t>
      </w:r>
      <w:r w:rsidR="00CE5FEC">
        <w:rPr>
          <w:lang w:val="fr-CH"/>
        </w:rPr>
        <w:t>’</w:t>
      </w:r>
      <w:r w:rsidRPr="00EC4085">
        <w:rPr>
          <w:lang w:val="fr-CH"/>
        </w:rPr>
        <w:t>était pas en mesure d</w:t>
      </w:r>
      <w:r w:rsidR="00CE5FEC">
        <w:rPr>
          <w:lang w:val="fr-CH"/>
        </w:rPr>
        <w:t>’</w:t>
      </w:r>
      <w:r w:rsidRPr="00EC4085">
        <w:rPr>
          <w:lang w:val="fr-CH"/>
        </w:rPr>
        <w:t>appuyer la proposition contenue dans le document PCT/A/47/8, pour les mêmes raisons que celles déjà exposées par la délégation de la Suisse.</w:t>
      </w:r>
    </w:p>
    <w:p w:rsidR="00681F4E" w:rsidRDefault="00681F4E" w:rsidP="00681F4E">
      <w:pPr>
        <w:pStyle w:val="ONUMFS"/>
        <w:rPr>
          <w:lang w:val="fr-CH"/>
        </w:rPr>
      </w:pPr>
      <w:r w:rsidRPr="00EC4085">
        <w:rPr>
          <w:lang w:val="fr-CH"/>
        </w:rPr>
        <w:t>La délégation de la Hongrie a déclaré qu</w:t>
      </w:r>
      <w:r w:rsidR="00CE5FEC">
        <w:rPr>
          <w:lang w:val="fr-CH"/>
        </w:rPr>
        <w:t>’</w:t>
      </w:r>
      <w:r w:rsidRPr="00EC4085">
        <w:rPr>
          <w:lang w:val="fr-CH"/>
        </w:rPr>
        <w:t>elle avait pris note de la proposition avancée par la délégation des États</w:t>
      </w:r>
      <w:r w:rsidR="001D67E8">
        <w:rPr>
          <w:lang w:val="fr-CH"/>
        </w:rPr>
        <w:noBreakHyphen/>
      </w:r>
      <w:r w:rsidRPr="00EC4085">
        <w:rPr>
          <w:lang w:val="fr-CH"/>
        </w:rPr>
        <w:t>Unis d</w:t>
      </w:r>
      <w:r w:rsidR="00CE5FEC">
        <w:rPr>
          <w:lang w:val="fr-CH"/>
        </w:rPr>
        <w:t>’</w:t>
      </w:r>
      <w:r w:rsidRPr="00EC4085">
        <w:rPr>
          <w:lang w:val="fr-CH"/>
        </w:rPr>
        <w:t>Amériq</w:t>
      </w:r>
      <w:r w:rsidR="001D67E8" w:rsidRPr="00EC4085">
        <w:rPr>
          <w:lang w:val="fr-CH"/>
        </w:rPr>
        <w:t>ue</w:t>
      </w:r>
      <w:r w:rsidR="001D67E8">
        <w:rPr>
          <w:lang w:val="fr-CH"/>
        </w:rPr>
        <w:t xml:space="preserve">.  </w:t>
      </w:r>
      <w:r w:rsidR="001D67E8" w:rsidRPr="00EC4085">
        <w:rPr>
          <w:lang w:val="fr-CH"/>
        </w:rPr>
        <w:t>El</w:t>
      </w:r>
      <w:r w:rsidRPr="00EC4085">
        <w:rPr>
          <w:lang w:val="fr-CH"/>
        </w:rPr>
        <w:t>le était d</w:t>
      </w:r>
      <w:r w:rsidR="00CE5FEC">
        <w:rPr>
          <w:lang w:val="fr-CH"/>
        </w:rPr>
        <w:t>’</w:t>
      </w:r>
      <w:r w:rsidRPr="00EC4085">
        <w:rPr>
          <w:lang w:val="fr-CH"/>
        </w:rPr>
        <w:t>avis que celle</w:t>
      </w:r>
      <w:r w:rsidR="001D67E8">
        <w:rPr>
          <w:lang w:val="fr-CH"/>
        </w:rPr>
        <w:noBreakHyphen/>
      </w:r>
      <w:r w:rsidRPr="00EC4085">
        <w:rPr>
          <w:lang w:val="fr-CH"/>
        </w:rPr>
        <w:t>ci constituerait, pour l</w:t>
      </w:r>
      <w:r w:rsidR="00CE5FEC">
        <w:rPr>
          <w:lang w:val="fr-CH"/>
        </w:rPr>
        <w:t>’</w:t>
      </w:r>
      <w:r w:rsidRPr="00EC4085">
        <w:rPr>
          <w:lang w:val="fr-CH"/>
        </w:rPr>
        <w:t>Organisation, une rupture injustifiée et injustifiable avec le concept de budget uniq</w:t>
      </w:r>
      <w:r w:rsidR="001D67E8" w:rsidRPr="00EC4085">
        <w:rPr>
          <w:lang w:val="fr-CH"/>
        </w:rPr>
        <w:t>ue</w:t>
      </w:r>
      <w:r w:rsidR="001D67E8">
        <w:rPr>
          <w:lang w:val="fr-CH"/>
        </w:rPr>
        <w:t xml:space="preserve">.  </w:t>
      </w:r>
      <w:r w:rsidR="001D67E8" w:rsidRPr="00EC4085">
        <w:rPr>
          <w:lang w:val="fr-CH"/>
        </w:rPr>
        <w:t>Po</w:t>
      </w:r>
      <w:r w:rsidRPr="00EC4085">
        <w:rPr>
          <w:lang w:val="fr-CH"/>
        </w:rPr>
        <w:t>ur cette raison, elle n</w:t>
      </w:r>
      <w:r w:rsidR="00CE5FEC">
        <w:rPr>
          <w:lang w:val="fr-CH"/>
        </w:rPr>
        <w:t>’</w:t>
      </w:r>
      <w:r w:rsidRPr="00EC4085">
        <w:rPr>
          <w:lang w:val="fr-CH"/>
        </w:rPr>
        <w:t>était pas en mesure d</w:t>
      </w:r>
      <w:r w:rsidR="00CE5FEC">
        <w:rPr>
          <w:lang w:val="fr-CH"/>
        </w:rPr>
        <w:t>’</w:t>
      </w:r>
      <w:r w:rsidRPr="00EC4085">
        <w:rPr>
          <w:lang w:val="fr-CH"/>
        </w:rPr>
        <w:t>appuyer cette propositi</w:t>
      </w:r>
      <w:r w:rsidR="001D67E8" w:rsidRPr="00EC4085">
        <w:rPr>
          <w:lang w:val="fr-CH"/>
        </w:rPr>
        <w:t>on</w:t>
      </w:r>
      <w:r w:rsidR="001D67E8">
        <w:rPr>
          <w:lang w:val="fr-CH"/>
        </w:rPr>
        <w:t xml:space="preserve">.  </w:t>
      </w:r>
      <w:r w:rsidR="001D67E8" w:rsidRPr="00EC4085">
        <w:rPr>
          <w:lang w:val="fr-CH"/>
        </w:rPr>
        <w:t>La</w:t>
      </w:r>
      <w:r w:rsidRPr="00EC4085">
        <w:rPr>
          <w:lang w:val="fr-CH"/>
        </w:rPr>
        <w:t xml:space="preserve"> délégation a également souhaité faire part de ses observations sur certains éléments de la déclaration de la délégation des États</w:t>
      </w:r>
      <w:r w:rsidR="001D67E8">
        <w:rPr>
          <w:lang w:val="fr-CH"/>
        </w:rPr>
        <w:noBreakHyphen/>
      </w:r>
      <w:r w:rsidRPr="00EC4085">
        <w:rPr>
          <w:lang w:val="fr-CH"/>
        </w:rPr>
        <w:t>Unis d</w:t>
      </w:r>
      <w:r w:rsidR="00CE5FEC">
        <w:rPr>
          <w:lang w:val="fr-CH"/>
        </w:rPr>
        <w:t>’</w:t>
      </w:r>
      <w:r w:rsidRPr="00EC4085">
        <w:rPr>
          <w:lang w:val="fr-CH"/>
        </w:rPr>
        <w:t>Amériq</w:t>
      </w:r>
      <w:r w:rsidR="001D67E8" w:rsidRPr="00EC4085">
        <w:rPr>
          <w:lang w:val="fr-CH"/>
        </w:rPr>
        <w:t>ue</w:t>
      </w:r>
      <w:r w:rsidR="001D67E8">
        <w:rPr>
          <w:lang w:val="fr-CH"/>
        </w:rPr>
        <w:t xml:space="preserve">.  </w:t>
      </w:r>
      <w:r w:rsidR="001D67E8" w:rsidRPr="00EC4085">
        <w:rPr>
          <w:lang w:val="fr-CH"/>
        </w:rPr>
        <w:t>El</w:t>
      </w:r>
      <w:r w:rsidRPr="00EC4085">
        <w:rPr>
          <w:lang w:val="fr-CH"/>
        </w:rPr>
        <w:t>le estimait qu</w:t>
      </w:r>
      <w:r w:rsidR="00CE5FEC">
        <w:rPr>
          <w:lang w:val="fr-CH"/>
        </w:rPr>
        <w:t>’</w:t>
      </w:r>
      <w:r w:rsidRPr="00EC4085">
        <w:rPr>
          <w:lang w:val="fr-CH"/>
        </w:rPr>
        <w:t>il était faux de déclarer que, à l</w:t>
      </w:r>
      <w:r w:rsidR="00CE5FEC">
        <w:rPr>
          <w:lang w:val="fr-CH"/>
        </w:rPr>
        <w:t>’</w:t>
      </w:r>
      <w:r w:rsidRPr="00EC4085">
        <w:rPr>
          <w:lang w:val="fr-CH"/>
        </w:rPr>
        <w:t>exception du système de Lisbonne, tous les systèmes enregistrement s</w:t>
      </w:r>
      <w:r w:rsidR="00CE5FEC">
        <w:rPr>
          <w:lang w:val="fr-CH"/>
        </w:rPr>
        <w:t>’</w:t>
      </w:r>
      <w:r w:rsidRPr="00EC4085">
        <w:rPr>
          <w:lang w:val="fr-CH"/>
        </w:rPr>
        <w:t>autofinançaie</w:t>
      </w:r>
      <w:r w:rsidR="001D67E8" w:rsidRPr="00EC4085">
        <w:rPr>
          <w:lang w:val="fr-CH"/>
        </w:rPr>
        <w:t>nt</w:t>
      </w:r>
      <w:r w:rsidR="001D67E8">
        <w:rPr>
          <w:lang w:val="fr-CH"/>
        </w:rPr>
        <w:t xml:space="preserve">.  </w:t>
      </w:r>
      <w:r w:rsidR="001D67E8" w:rsidRPr="00EC4085">
        <w:rPr>
          <w:lang w:val="fr-CH"/>
        </w:rPr>
        <w:t>En</w:t>
      </w:r>
      <w:r w:rsidRPr="00EC4085">
        <w:rPr>
          <w:lang w:val="fr-CH"/>
        </w:rPr>
        <w:t xml:space="preserve"> fait, l</w:t>
      </w:r>
      <w:r w:rsidR="00CE5FEC">
        <w:rPr>
          <w:lang w:val="fr-CH"/>
        </w:rPr>
        <w:t>’</w:t>
      </w:r>
      <w:r w:rsidRPr="00EC4085">
        <w:rPr>
          <w:lang w:val="fr-CH"/>
        </w:rPr>
        <w:t xml:space="preserve">Union de </w:t>
      </w:r>
      <w:r w:rsidR="00CE5FEC">
        <w:rPr>
          <w:lang w:val="fr-CH"/>
        </w:rPr>
        <w:t>La Haye</w:t>
      </w:r>
      <w:r w:rsidRPr="00EC4085">
        <w:rPr>
          <w:lang w:val="fr-CH"/>
        </w:rPr>
        <w:t xml:space="preserve"> avait généré un déficit 20 fois plus élevé que celui de l</w:t>
      </w:r>
      <w:r w:rsidR="00CE5FEC">
        <w:rPr>
          <w:lang w:val="fr-CH"/>
        </w:rPr>
        <w:t>’</w:t>
      </w:r>
      <w:r w:rsidRPr="00EC4085">
        <w:rPr>
          <w:lang w:val="fr-CH"/>
        </w:rPr>
        <w:t>Union de Lisbonne, alors que le nombre de membres de cette union était à peine le double de celui de l</w:t>
      </w:r>
      <w:r w:rsidR="00CE5FEC">
        <w:rPr>
          <w:lang w:val="fr-CH"/>
        </w:rPr>
        <w:t>’</w:t>
      </w:r>
      <w:r w:rsidRPr="00EC4085">
        <w:rPr>
          <w:lang w:val="fr-CH"/>
        </w:rPr>
        <w:t>Union de Lisbon</w:t>
      </w:r>
      <w:r w:rsidR="001D67E8" w:rsidRPr="00EC4085">
        <w:rPr>
          <w:lang w:val="fr-CH"/>
        </w:rPr>
        <w:t>ne</w:t>
      </w:r>
      <w:r w:rsidR="001D67E8">
        <w:rPr>
          <w:lang w:val="fr-CH"/>
        </w:rPr>
        <w:t xml:space="preserve">.  </w:t>
      </w:r>
      <w:r w:rsidR="001D67E8" w:rsidRPr="00EC4085">
        <w:rPr>
          <w:lang w:val="fr-CH"/>
        </w:rPr>
        <w:t>La</w:t>
      </w:r>
      <w:r w:rsidRPr="00EC4085">
        <w:rPr>
          <w:lang w:val="fr-CH"/>
        </w:rPr>
        <w:t xml:space="preserve"> délégation a également souhaité préciser que l</w:t>
      </w:r>
      <w:r w:rsidR="00CE5FEC">
        <w:rPr>
          <w:lang w:val="fr-CH"/>
        </w:rPr>
        <w:t>’</w:t>
      </w:r>
      <w:r w:rsidRPr="00EC4085">
        <w:rPr>
          <w:lang w:val="fr-CH"/>
        </w:rPr>
        <w:t>inquiétude qui régnait au sujet de la situation financière de l</w:t>
      </w:r>
      <w:r w:rsidR="00CE5FEC">
        <w:rPr>
          <w:lang w:val="fr-CH"/>
        </w:rPr>
        <w:t>’</w:t>
      </w:r>
      <w:r w:rsidRPr="00EC4085">
        <w:rPr>
          <w:lang w:val="fr-CH"/>
        </w:rPr>
        <w:t>Union de Lisbonne touchait une organisation qui avait engendré un excédent de 37 millions de francs suisses l</w:t>
      </w:r>
      <w:r w:rsidR="00CE5FEC">
        <w:rPr>
          <w:lang w:val="fr-CH"/>
        </w:rPr>
        <w:t>’</w:t>
      </w:r>
      <w:r w:rsidRPr="00EC4085">
        <w:rPr>
          <w:lang w:val="fr-CH"/>
        </w:rPr>
        <w:t>année derniè</w:t>
      </w:r>
      <w:r w:rsidR="001D67E8" w:rsidRPr="00EC4085">
        <w:rPr>
          <w:lang w:val="fr-CH"/>
        </w:rPr>
        <w:t>re</w:t>
      </w:r>
      <w:r w:rsidR="001D67E8">
        <w:rPr>
          <w:lang w:val="fr-CH"/>
        </w:rPr>
        <w:t xml:space="preserve">.  </w:t>
      </w:r>
      <w:r w:rsidR="001D67E8" w:rsidRPr="00EC4085">
        <w:rPr>
          <w:lang w:val="fr-CH"/>
        </w:rPr>
        <w:t>El</w:t>
      </w:r>
      <w:r w:rsidRPr="00EC4085">
        <w:rPr>
          <w:lang w:val="fr-CH"/>
        </w:rPr>
        <w:t>le a en outre souhaité réagir aux observations faites par la délégation des États</w:t>
      </w:r>
      <w:r w:rsidR="001D67E8">
        <w:rPr>
          <w:lang w:val="fr-CH"/>
        </w:rPr>
        <w:noBreakHyphen/>
      </w:r>
      <w:r w:rsidRPr="00EC4085">
        <w:rPr>
          <w:lang w:val="fr-CH"/>
        </w:rPr>
        <w:t>Unis d</w:t>
      </w:r>
      <w:r w:rsidR="00CE5FEC">
        <w:rPr>
          <w:lang w:val="fr-CH"/>
        </w:rPr>
        <w:t>’</w:t>
      </w:r>
      <w:r w:rsidRPr="00EC4085">
        <w:rPr>
          <w:lang w:val="fr-CH"/>
        </w:rPr>
        <w:t>Amérique sur la façon dont la conférence diplomatique avait été convoquée et men</w:t>
      </w:r>
      <w:r w:rsidR="001D67E8" w:rsidRPr="00EC4085">
        <w:rPr>
          <w:lang w:val="fr-CH"/>
        </w:rPr>
        <w:t>ée</w:t>
      </w:r>
      <w:r w:rsidR="001D67E8">
        <w:rPr>
          <w:lang w:val="fr-CH"/>
        </w:rPr>
        <w:t xml:space="preserve">.  </w:t>
      </w:r>
      <w:r w:rsidR="001D67E8" w:rsidRPr="00EC4085">
        <w:rPr>
          <w:lang w:val="fr-CH"/>
        </w:rPr>
        <w:t>El</w:t>
      </w:r>
      <w:r w:rsidRPr="00EC4085">
        <w:rPr>
          <w:lang w:val="fr-CH"/>
        </w:rPr>
        <w:t>le ne pouvait souscrire à l</w:t>
      </w:r>
      <w:r w:rsidR="00CE5FEC">
        <w:rPr>
          <w:lang w:val="fr-CH"/>
        </w:rPr>
        <w:t>’</w:t>
      </w:r>
      <w:r w:rsidRPr="00EC4085">
        <w:rPr>
          <w:lang w:val="fr-CH"/>
        </w:rPr>
        <w:t>idée selon laquelle la conférence diplomatique avait été convoquée illégalement ou qu</w:t>
      </w:r>
      <w:r w:rsidR="00CE5FEC">
        <w:rPr>
          <w:lang w:val="fr-CH"/>
        </w:rPr>
        <w:t>’</w:t>
      </w:r>
      <w:r w:rsidRPr="00EC4085">
        <w:rPr>
          <w:lang w:val="fr-CH"/>
        </w:rPr>
        <w:t>elle s</w:t>
      </w:r>
      <w:r w:rsidR="00CE5FEC">
        <w:rPr>
          <w:lang w:val="fr-CH"/>
        </w:rPr>
        <w:t>’</w:t>
      </w:r>
      <w:r w:rsidRPr="00EC4085">
        <w:rPr>
          <w:lang w:val="fr-CH"/>
        </w:rPr>
        <w:t>était tenue de manière antidémocratiq</w:t>
      </w:r>
      <w:r w:rsidR="001D67E8" w:rsidRPr="00EC4085">
        <w:rPr>
          <w:lang w:val="fr-CH"/>
        </w:rPr>
        <w:t>ue</w:t>
      </w:r>
      <w:r w:rsidR="001D67E8">
        <w:rPr>
          <w:lang w:val="fr-CH"/>
        </w:rPr>
        <w:t xml:space="preserve">.  </w:t>
      </w:r>
      <w:r w:rsidR="001D67E8" w:rsidRPr="00EC4085">
        <w:rPr>
          <w:lang w:val="fr-CH"/>
        </w:rPr>
        <w:t>La</w:t>
      </w:r>
      <w:r w:rsidRPr="00EC4085">
        <w:rPr>
          <w:lang w:val="fr-CH"/>
        </w:rPr>
        <w:t xml:space="preserve"> conférence avait été convoquée en toute conformité avec les dispositions légales en vigueur et jamais, dans l</w:t>
      </w:r>
      <w:r w:rsidR="00CE5FEC">
        <w:rPr>
          <w:lang w:val="fr-CH"/>
        </w:rPr>
        <w:t>’</w:t>
      </w:r>
      <w:r w:rsidRPr="00EC4085">
        <w:rPr>
          <w:lang w:val="fr-CH"/>
        </w:rPr>
        <w:t>histoire des conférences diplomatiques de l</w:t>
      </w:r>
      <w:r w:rsidR="00CE5FEC">
        <w:rPr>
          <w:lang w:val="fr-CH"/>
        </w:rPr>
        <w:t>’</w:t>
      </w:r>
      <w:r w:rsidRPr="00EC4085">
        <w:rPr>
          <w:lang w:val="fr-CH"/>
        </w:rPr>
        <w:t>OMPI, des délégations observatrices n</w:t>
      </w:r>
      <w:r w:rsidR="00CE5FEC">
        <w:rPr>
          <w:lang w:val="fr-CH"/>
        </w:rPr>
        <w:t>’</w:t>
      </w:r>
      <w:r w:rsidRPr="00EC4085">
        <w:rPr>
          <w:lang w:val="fr-CH"/>
        </w:rPr>
        <w:t>avaient pu jouer un rôle aussi actif et contribuer aux négociations dans une mesure telle que lors de la Conférence diplomatique pour l</w:t>
      </w:r>
      <w:r w:rsidR="00CE5FEC">
        <w:rPr>
          <w:lang w:val="fr-CH"/>
        </w:rPr>
        <w:t>’</w:t>
      </w:r>
      <w:r w:rsidRPr="00EC4085">
        <w:rPr>
          <w:lang w:val="fr-CH"/>
        </w:rPr>
        <w:t>adoption de l</w:t>
      </w:r>
      <w:r w:rsidR="00CE5FEC">
        <w:rPr>
          <w:lang w:val="fr-CH"/>
        </w:rPr>
        <w:t>’</w:t>
      </w:r>
      <w:r w:rsidRPr="00EC4085">
        <w:rPr>
          <w:lang w:val="fr-CH"/>
        </w:rPr>
        <w:t>Acte de Genève de l</w:t>
      </w:r>
      <w:r w:rsidR="00CE5FEC">
        <w:rPr>
          <w:lang w:val="fr-CH"/>
        </w:rPr>
        <w:t>’</w:t>
      </w:r>
      <w:r w:rsidRPr="00EC4085">
        <w:rPr>
          <w:lang w:val="fr-CH"/>
        </w:rPr>
        <w:t>Arrangement de Lisbonne.</w:t>
      </w:r>
    </w:p>
    <w:p w:rsidR="00681F4E" w:rsidRDefault="00681F4E" w:rsidP="00681F4E">
      <w:pPr>
        <w:pStyle w:val="ONUMFS"/>
        <w:rPr>
          <w:lang w:val="fr-CH"/>
        </w:rPr>
      </w:pPr>
      <w:r w:rsidRPr="007A6E63">
        <w:rPr>
          <w:lang w:val="fr-CH"/>
        </w:rPr>
        <w:t>La délégation du Japon a déclaré que, dans la mesure où la plupart des activités de l</w:t>
      </w:r>
      <w:r w:rsidR="00CE5FEC">
        <w:rPr>
          <w:lang w:val="fr-CH"/>
        </w:rPr>
        <w:t>’</w:t>
      </w:r>
      <w:r w:rsidRPr="007A6E63">
        <w:rPr>
          <w:lang w:val="fr-CH"/>
        </w:rPr>
        <w:t>OMPI étaient financées par les taxes payées par les déposants selon le</w:t>
      </w:r>
      <w:r>
        <w:rPr>
          <w:lang w:val="fr-CH"/>
        </w:rPr>
        <w:t> </w:t>
      </w:r>
      <w:r w:rsidRPr="007A6E63">
        <w:rPr>
          <w:lang w:val="fr-CH"/>
        </w:rPr>
        <w:t xml:space="preserve">PCT, </w:t>
      </w:r>
      <w:r>
        <w:rPr>
          <w:lang w:val="fr-CH"/>
        </w:rPr>
        <w:t>les</w:t>
      </w:r>
      <w:r w:rsidRPr="007A6E63">
        <w:rPr>
          <w:lang w:val="fr-CH"/>
        </w:rPr>
        <w:t xml:space="preserve"> États membres </w:t>
      </w:r>
      <w:r>
        <w:rPr>
          <w:lang w:val="fr-CH"/>
        </w:rPr>
        <w:t xml:space="preserve">avaient la responsabilité </w:t>
      </w:r>
      <w:r w:rsidRPr="007A6E63">
        <w:rPr>
          <w:lang w:val="fr-CH"/>
        </w:rPr>
        <w:t>d</w:t>
      </w:r>
      <w:r w:rsidR="00CE5FEC">
        <w:rPr>
          <w:lang w:val="fr-CH"/>
        </w:rPr>
        <w:t>’</w:t>
      </w:r>
      <w:r w:rsidRPr="007A6E63">
        <w:rPr>
          <w:lang w:val="fr-CH"/>
        </w:rPr>
        <w:t xml:space="preserve">expliquer à ces déposants comment leur argent était utilisé pour </w:t>
      </w:r>
      <w:r>
        <w:rPr>
          <w:lang w:val="fr-CH"/>
        </w:rPr>
        <w:t>favoriser</w:t>
      </w:r>
      <w:r w:rsidRPr="007A6E63">
        <w:rPr>
          <w:lang w:val="fr-CH"/>
        </w:rPr>
        <w:t xml:space="preserve"> la protection de la propriété intellectuelle dans le monde et développer l</w:t>
      </w:r>
      <w:r w:rsidR="00CE5FEC">
        <w:rPr>
          <w:lang w:val="fr-CH"/>
        </w:rPr>
        <w:t>’</w:t>
      </w:r>
      <w:r w:rsidRPr="007A6E63">
        <w:rPr>
          <w:lang w:val="fr-CH"/>
        </w:rPr>
        <w:t>infrastructure</w:t>
      </w:r>
      <w:r>
        <w:rPr>
          <w:lang w:val="fr-CH"/>
        </w:rPr>
        <w:t xml:space="preserve"> en la matiè</w:t>
      </w:r>
      <w:r w:rsidR="001D67E8">
        <w:rPr>
          <w:lang w:val="fr-CH"/>
        </w:rPr>
        <w:t xml:space="preserve">re.  </w:t>
      </w:r>
      <w:r w:rsidR="001D67E8" w:rsidRPr="007A6E63">
        <w:rPr>
          <w:lang w:val="fr-CH"/>
        </w:rPr>
        <w:t>Da</w:t>
      </w:r>
      <w:r w:rsidRPr="007A6E63">
        <w:rPr>
          <w:lang w:val="fr-CH"/>
        </w:rPr>
        <w:t xml:space="preserve">ns ce contexte, la délégation était généralement favorable au </w:t>
      </w:r>
      <w:r w:rsidRPr="007A6E63">
        <w:rPr>
          <w:lang w:val="fr-CH"/>
        </w:rPr>
        <w:lastRenderedPageBreak/>
        <w:t xml:space="preserve">renforcement de </w:t>
      </w:r>
      <w:r>
        <w:rPr>
          <w:lang w:val="fr-CH"/>
        </w:rPr>
        <w:t>l</w:t>
      </w:r>
      <w:r w:rsidR="00CE5FEC">
        <w:rPr>
          <w:lang w:val="fr-CH"/>
        </w:rPr>
        <w:t>’</w:t>
      </w:r>
      <w:r>
        <w:rPr>
          <w:lang w:val="fr-CH"/>
        </w:rPr>
        <w:t>équité</w:t>
      </w:r>
      <w:r w:rsidRPr="007A6E63">
        <w:rPr>
          <w:lang w:val="fr-CH"/>
        </w:rPr>
        <w:t xml:space="preserve"> et de la transparence en ce qui concernait la situation financière de chaque uni</w:t>
      </w:r>
      <w:r w:rsidR="001D67E8" w:rsidRPr="007A6E63">
        <w:rPr>
          <w:lang w:val="fr-CH"/>
        </w:rPr>
        <w:t>on</w:t>
      </w:r>
      <w:r w:rsidR="001D67E8">
        <w:rPr>
          <w:lang w:val="fr-CH"/>
        </w:rPr>
        <w:t xml:space="preserve">.  </w:t>
      </w:r>
      <w:r w:rsidR="001D67E8" w:rsidRPr="007A6E63">
        <w:rPr>
          <w:lang w:val="fr-CH"/>
        </w:rPr>
        <w:t>En</w:t>
      </w:r>
      <w:r w:rsidRPr="007A6E63">
        <w:rPr>
          <w:lang w:val="fr-CH"/>
        </w:rPr>
        <w:t xml:space="preserve"> outre, toutes les unions devaient faire des efforts sincères pour parvenir à un équilibre entre leurs recettes et leurs dépens</w:t>
      </w:r>
      <w:r w:rsidR="001D67E8" w:rsidRPr="007A6E63">
        <w:rPr>
          <w:lang w:val="fr-CH"/>
        </w:rPr>
        <w:t>es</w:t>
      </w:r>
      <w:r w:rsidR="001D67E8">
        <w:rPr>
          <w:lang w:val="fr-CH"/>
        </w:rPr>
        <w:t xml:space="preserve">.  </w:t>
      </w:r>
      <w:r w:rsidR="001D67E8" w:rsidRPr="007A6E63">
        <w:rPr>
          <w:lang w:val="fr-CH"/>
        </w:rPr>
        <w:t>Da</w:t>
      </w:r>
      <w:r w:rsidRPr="007A6E63">
        <w:rPr>
          <w:lang w:val="fr-CH"/>
        </w:rPr>
        <w:t>ns le même temps, toutefois, la délégation</w:t>
      </w:r>
      <w:r>
        <w:rPr>
          <w:lang w:val="fr-CH"/>
        </w:rPr>
        <w:t xml:space="preserve"> s</w:t>
      </w:r>
      <w:r w:rsidR="00CE5FEC">
        <w:rPr>
          <w:lang w:val="fr-CH"/>
        </w:rPr>
        <w:t>’</w:t>
      </w:r>
      <w:r>
        <w:rPr>
          <w:lang w:val="fr-CH"/>
        </w:rPr>
        <w:t xml:space="preserve">est dite </w:t>
      </w:r>
      <w:r w:rsidRPr="007A6E63">
        <w:rPr>
          <w:lang w:val="fr-CH"/>
        </w:rPr>
        <w:t>satisfaite des pratiques actuelles de l</w:t>
      </w:r>
      <w:r w:rsidR="00CE5FEC">
        <w:rPr>
          <w:lang w:val="fr-CH"/>
        </w:rPr>
        <w:t>’</w:t>
      </w:r>
      <w:r w:rsidRPr="007A6E63">
        <w:rPr>
          <w:lang w:val="fr-CH"/>
        </w:rPr>
        <w:t>OMPI</w:t>
      </w:r>
      <w:r>
        <w:rPr>
          <w:lang w:val="fr-CH"/>
        </w:rPr>
        <w:t xml:space="preserve"> compte tenu de la nécessité de disposer de suffisamment de ressources pour assurer la mise en œuvre efficace de chaque programme et promouvoir le système mondial de la propriété intellectuelle, et étant donné le besoin de veiller au bon fonctionnement de l</w:t>
      </w:r>
      <w:r w:rsidR="00CE5FEC">
        <w:rPr>
          <w:lang w:val="fr-CH"/>
        </w:rPr>
        <w:t>’</w:t>
      </w:r>
      <w:r>
        <w:rPr>
          <w:lang w:val="fr-CH"/>
        </w:rPr>
        <w:t>Organisation dans son ensemble.</w:t>
      </w:r>
    </w:p>
    <w:p w:rsidR="00681F4E" w:rsidRDefault="00681F4E" w:rsidP="00681F4E">
      <w:pPr>
        <w:pStyle w:val="ONUMFS"/>
        <w:rPr>
          <w:lang w:val="fr-CH"/>
        </w:rPr>
      </w:pPr>
      <w:r w:rsidRPr="009E5CE7">
        <w:rPr>
          <w:lang w:val="fr-CH"/>
        </w:rPr>
        <w:t>La délégation de la France a remercié la délégation des États</w:t>
      </w:r>
      <w:r w:rsidR="001D67E8">
        <w:rPr>
          <w:lang w:val="fr-CH"/>
        </w:rPr>
        <w:noBreakHyphen/>
      </w:r>
      <w:r w:rsidRPr="009E5CE7">
        <w:rPr>
          <w:lang w:val="fr-CH"/>
        </w:rPr>
        <w:t>Unis d</w:t>
      </w:r>
      <w:r w:rsidR="00CE5FEC">
        <w:rPr>
          <w:lang w:val="fr-CH"/>
        </w:rPr>
        <w:t>’</w:t>
      </w:r>
      <w:r w:rsidRPr="009E5CE7">
        <w:rPr>
          <w:lang w:val="fr-CH"/>
        </w:rPr>
        <w:t>Amérique pour la proposition qu</w:t>
      </w:r>
      <w:r w:rsidR="00CE5FEC">
        <w:rPr>
          <w:lang w:val="fr-CH"/>
        </w:rPr>
        <w:t>’</w:t>
      </w:r>
      <w:r w:rsidRPr="009E5CE7">
        <w:rPr>
          <w:lang w:val="fr-CH"/>
        </w:rPr>
        <w:t>elle avait soumise à l</w:t>
      </w:r>
      <w:r w:rsidR="00CE5FEC">
        <w:rPr>
          <w:lang w:val="fr-CH"/>
        </w:rPr>
        <w:t>’</w:t>
      </w:r>
      <w:r w:rsidRPr="009E5CE7">
        <w:rPr>
          <w:lang w:val="fr-CH"/>
        </w:rPr>
        <w:t>Assemblée du</w:t>
      </w:r>
      <w:r>
        <w:rPr>
          <w:lang w:val="fr-CH"/>
        </w:rPr>
        <w:t> </w:t>
      </w:r>
      <w:r w:rsidRPr="009E5CE7">
        <w:rPr>
          <w:lang w:val="fr-CH"/>
        </w:rPr>
        <w:t xml:space="preserve">PCT. </w:t>
      </w:r>
      <w:r>
        <w:rPr>
          <w:lang w:val="fr-CH"/>
        </w:rPr>
        <w:t xml:space="preserve"> </w:t>
      </w:r>
      <w:r w:rsidRPr="009E5CE7">
        <w:rPr>
          <w:lang w:val="fr-CH"/>
        </w:rPr>
        <w:t>À ce stade, elle ne souhaitait pas parler de la manière dont les autres unions fonctionnaient;  chaque union aurait sa propre assembl</w:t>
      </w:r>
      <w:r w:rsidR="001D67E8" w:rsidRPr="009E5CE7">
        <w:rPr>
          <w:lang w:val="fr-CH"/>
        </w:rPr>
        <w:t>ée</w:t>
      </w:r>
      <w:r w:rsidR="001D67E8">
        <w:rPr>
          <w:lang w:val="fr-CH"/>
        </w:rPr>
        <w:t xml:space="preserve">.  </w:t>
      </w:r>
      <w:r w:rsidR="001D67E8" w:rsidRPr="009E5CE7">
        <w:rPr>
          <w:lang w:val="fr-CH"/>
        </w:rPr>
        <w:t>La</w:t>
      </w:r>
      <w:r w:rsidRPr="009E5CE7">
        <w:rPr>
          <w:lang w:val="fr-CH"/>
        </w:rPr>
        <w:t xml:space="preserve"> proposition </w:t>
      </w:r>
      <w:r w:rsidR="00122383">
        <w:rPr>
          <w:lang w:val="fr-CH"/>
        </w:rPr>
        <w:t>de la délégation des</w:t>
      </w:r>
      <w:r w:rsidRPr="009E5CE7">
        <w:rPr>
          <w:lang w:val="fr-CH"/>
        </w:rPr>
        <w:t xml:space="preserve"> États</w:t>
      </w:r>
      <w:r w:rsidR="001D67E8">
        <w:rPr>
          <w:lang w:val="fr-CH"/>
        </w:rPr>
        <w:noBreakHyphen/>
      </w:r>
      <w:r w:rsidRPr="009E5CE7">
        <w:rPr>
          <w:lang w:val="fr-CH"/>
        </w:rPr>
        <w:t>Unis d</w:t>
      </w:r>
      <w:r w:rsidR="00CE5FEC">
        <w:rPr>
          <w:lang w:val="fr-CH"/>
        </w:rPr>
        <w:t>’</w:t>
      </w:r>
      <w:r w:rsidRPr="009E5CE7">
        <w:rPr>
          <w:lang w:val="fr-CH"/>
        </w:rPr>
        <w:t>Amérique avait été soigneusement examinée par l</w:t>
      </w:r>
      <w:r w:rsidR="00CE5FEC">
        <w:rPr>
          <w:lang w:val="fr-CH"/>
        </w:rPr>
        <w:t>’</w:t>
      </w:r>
      <w:r w:rsidRPr="009E5CE7">
        <w:rPr>
          <w:lang w:val="fr-CH"/>
        </w:rPr>
        <w:t>Institut national de la propriété industrielle (INPI) à Par</w:t>
      </w:r>
      <w:r w:rsidR="001D67E8" w:rsidRPr="009E5CE7">
        <w:rPr>
          <w:lang w:val="fr-CH"/>
        </w:rPr>
        <w:t>is</w:t>
      </w:r>
      <w:r w:rsidR="001D67E8">
        <w:rPr>
          <w:lang w:val="fr-CH"/>
        </w:rPr>
        <w:t xml:space="preserve">.  </w:t>
      </w:r>
      <w:r w:rsidR="001D67E8" w:rsidRPr="009E5CE7">
        <w:rPr>
          <w:lang w:val="fr-CH"/>
        </w:rPr>
        <w:t>Pa</w:t>
      </w:r>
      <w:r w:rsidRPr="009E5CE7">
        <w:rPr>
          <w:lang w:val="fr-CH"/>
        </w:rPr>
        <w:t xml:space="preserve">r principe, la délégation ne pouvait pas appuyer cette proposition car elle ouvrait une boîte de Pandore, </w:t>
      </w:r>
      <w:r w:rsidR="00CE5FEC">
        <w:rPr>
          <w:lang w:val="fr-CH"/>
        </w:rPr>
        <w:t>à savoir</w:t>
      </w:r>
      <w:r w:rsidRPr="009E5CE7">
        <w:rPr>
          <w:lang w:val="fr-CH"/>
        </w:rPr>
        <w:t xml:space="preserve"> la nécessité de redemander tous les deux</w:t>
      </w:r>
      <w:r>
        <w:rPr>
          <w:lang w:val="fr-CH"/>
        </w:rPr>
        <w:t> </w:t>
      </w:r>
      <w:r w:rsidRPr="009E5CE7">
        <w:rPr>
          <w:lang w:val="fr-CH"/>
        </w:rPr>
        <w:t>ans à l</w:t>
      </w:r>
      <w:r w:rsidR="00CE5FEC">
        <w:rPr>
          <w:lang w:val="fr-CH"/>
        </w:rPr>
        <w:t>’</w:t>
      </w:r>
      <w:r w:rsidRPr="009E5CE7">
        <w:rPr>
          <w:lang w:val="fr-CH"/>
        </w:rPr>
        <w:t>Union du</w:t>
      </w:r>
      <w:r>
        <w:rPr>
          <w:lang w:val="fr-CH"/>
        </w:rPr>
        <w:t> </w:t>
      </w:r>
      <w:r w:rsidRPr="009E5CE7">
        <w:rPr>
          <w:lang w:val="fr-CH"/>
        </w:rPr>
        <w:t xml:space="preserve">PCT </w:t>
      </w:r>
      <w:r>
        <w:rPr>
          <w:lang w:val="fr-CH"/>
        </w:rPr>
        <w:t>si elle acceptait ou non de financer certaines activit</w:t>
      </w:r>
      <w:r w:rsidR="001D67E8">
        <w:rPr>
          <w:lang w:val="fr-CH"/>
        </w:rPr>
        <w:t>és.  La</w:t>
      </w:r>
      <w:r>
        <w:rPr>
          <w:lang w:val="fr-CH"/>
        </w:rPr>
        <w:t xml:space="preserve"> délégation a rappelé que les missions permanentes avaient participé avec la délégation des États</w:t>
      </w:r>
      <w:r w:rsidR="001D67E8">
        <w:rPr>
          <w:lang w:val="fr-CH"/>
        </w:rPr>
        <w:noBreakHyphen/>
      </w:r>
      <w:r>
        <w:rPr>
          <w:lang w:val="fr-CH"/>
        </w:rPr>
        <w:t>Unis d</w:t>
      </w:r>
      <w:r w:rsidR="00CE5FEC">
        <w:rPr>
          <w:lang w:val="fr-CH"/>
        </w:rPr>
        <w:t>’</w:t>
      </w:r>
      <w:r>
        <w:rPr>
          <w:lang w:val="fr-CH"/>
        </w:rPr>
        <w:t>Amérique à une session lors de laquelle elles s</w:t>
      </w:r>
      <w:r w:rsidR="00CE5FEC">
        <w:rPr>
          <w:lang w:val="fr-CH"/>
        </w:rPr>
        <w:t>’</w:t>
      </w:r>
      <w:r>
        <w:rPr>
          <w:lang w:val="fr-CH"/>
        </w:rPr>
        <w:t>étaient penchées sur la façon dont le budget s</w:t>
      </w:r>
      <w:r w:rsidR="00CE5FEC">
        <w:rPr>
          <w:lang w:val="fr-CH"/>
        </w:rPr>
        <w:t>’</w:t>
      </w:r>
      <w:r>
        <w:rPr>
          <w:lang w:val="fr-CH"/>
        </w:rPr>
        <w:t>articula</w:t>
      </w:r>
      <w:r w:rsidR="001D67E8">
        <w:rPr>
          <w:lang w:val="fr-CH"/>
        </w:rPr>
        <w:t>it.  Pa</w:t>
      </w:r>
      <w:r>
        <w:rPr>
          <w:lang w:val="fr-CH"/>
        </w:rPr>
        <w:t>s moins de 76% des recettes provenaient du PCT;  la délégation était d</w:t>
      </w:r>
      <w:r w:rsidR="00CE5FEC">
        <w:rPr>
          <w:lang w:val="fr-CH"/>
        </w:rPr>
        <w:t>’</w:t>
      </w:r>
      <w:r>
        <w:rPr>
          <w:lang w:val="fr-CH"/>
        </w:rPr>
        <w:t>avis qu</w:t>
      </w:r>
      <w:r w:rsidR="00CE5FEC">
        <w:rPr>
          <w:lang w:val="fr-CH"/>
        </w:rPr>
        <w:t>’</w:t>
      </w:r>
      <w:r>
        <w:rPr>
          <w:lang w:val="fr-CH"/>
        </w:rPr>
        <w:t xml:space="preserve">il ne fallait pas ouvrir cette </w:t>
      </w:r>
      <w:r w:rsidRPr="005C3787">
        <w:rPr>
          <w:lang w:val="fr-CH"/>
        </w:rPr>
        <w:t>boîte de Pandore</w:t>
      </w:r>
      <w:r>
        <w:rPr>
          <w:lang w:val="fr-CH"/>
        </w:rPr>
        <w:t>, car cela créerait un précédent qui pourrait s</w:t>
      </w:r>
      <w:r w:rsidR="00CE5FEC">
        <w:rPr>
          <w:lang w:val="fr-CH"/>
        </w:rPr>
        <w:t>’</w:t>
      </w:r>
      <w:r>
        <w:rPr>
          <w:lang w:val="fr-CH"/>
        </w:rPr>
        <w:t>appliquer, dans quelques années, aux dépenses liées à l</w:t>
      </w:r>
      <w:r w:rsidR="00CE5FEC">
        <w:rPr>
          <w:lang w:val="fr-CH"/>
        </w:rPr>
        <w:t>’</w:t>
      </w:r>
      <w:r w:rsidRPr="005C3787">
        <w:rPr>
          <w:lang w:val="fr-CH"/>
        </w:rPr>
        <w:t>Académie de l</w:t>
      </w:r>
      <w:r w:rsidR="00CE5FEC">
        <w:rPr>
          <w:lang w:val="fr-CH"/>
        </w:rPr>
        <w:t>’</w:t>
      </w:r>
      <w:r w:rsidRPr="005C3787">
        <w:rPr>
          <w:lang w:val="fr-CH"/>
        </w:rPr>
        <w:t>OMPI</w:t>
      </w:r>
      <w:r>
        <w:rPr>
          <w:lang w:val="fr-CH"/>
        </w:rPr>
        <w:t xml:space="preserve"> ou aux dépenses de développement, par exemp</w:t>
      </w:r>
      <w:r w:rsidR="001D67E8">
        <w:rPr>
          <w:lang w:val="fr-CH"/>
        </w:rPr>
        <w:t>le.  La</w:t>
      </w:r>
      <w:r>
        <w:rPr>
          <w:lang w:val="fr-CH"/>
        </w:rPr>
        <w:t xml:space="preserve"> délégation souhaitait donc s</w:t>
      </w:r>
      <w:r w:rsidR="00CE5FEC">
        <w:rPr>
          <w:lang w:val="fr-CH"/>
        </w:rPr>
        <w:t>’</w:t>
      </w:r>
      <w:r>
        <w:rPr>
          <w:lang w:val="fr-CH"/>
        </w:rPr>
        <w:t>en tenir au principe du budget unique, ce moteur central qui procurait ressources et avantages à la majorité des 12 programmes qui n</w:t>
      </w:r>
      <w:r w:rsidR="00CE5FEC">
        <w:rPr>
          <w:lang w:val="fr-CH"/>
        </w:rPr>
        <w:t>’</w:t>
      </w:r>
      <w:r>
        <w:rPr>
          <w:lang w:val="fr-CH"/>
        </w:rPr>
        <w:t>étaient pas financés par leurs propres recett</w:t>
      </w:r>
      <w:r w:rsidR="001D67E8">
        <w:rPr>
          <w:lang w:val="fr-CH"/>
        </w:rPr>
        <w:t>es.  La</w:t>
      </w:r>
      <w:r>
        <w:rPr>
          <w:lang w:val="fr-CH"/>
        </w:rPr>
        <w:t xml:space="preserve"> délégation tenait néanmoins à remercier la délégation des États</w:t>
      </w:r>
      <w:r w:rsidR="001D67E8">
        <w:rPr>
          <w:lang w:val="fr-CH"/>
        </w:rPr>
        <w:noBreakHyphen/>
      </w:r>
      <w:r>
        <w:rPr>
          <w:lang w:val="fr-CH"/>
        </w:rPr>
        <w:t>Unis d</w:t>
      </w:r>
      <w:r w:rsidR="00CE5FEC">
        <w:rPr>
          <w:lang w:val="fr-CH"/>
        </w:rPr>
        <w:t>’</w:t>
      </w:r>
      <w:r>
        <w:rPr>
          <w:lang w:val="fr-CH"/>
        </w:rPr>
        <w:t>Amérique pour avoir porté cette question à l</w:t>
      </w:r>
      <w:r w:rsidR="00CE5FEC">
        <w:rPr>
          <w:lang w:val="fr-CH"/>
        </w:rPr>
        <w:t>’</w:t>
      </w:r>
      <w:r>
        <w:rPr>
          <w:lang w:val="fr-CH"/>
        </w:rPr>
        <w:t>attention à l</w:t>
      </w:r>
      <w:r w:rsidR="00CE5FEC">
        <w:rPr>
          <w:lang w:val="fr-CH"/>
        </w:rPr>
        <w:t>’</w:t>
      </w:r>
      <w:r>
        <w:rPr>
          <w:lang w:val="fr-CH"/>
        </w:rPr>
        <w:t>Assemblée, ce qui avait permis à tous de mieux comprendre comment le budget de l</w:t>
      </w:r>
      <w:r w:rsidR="00CE5FEC">
        <w:rPr>
          <w:lang w:val="fr-CH"/>
        </w:rPr>
        <w:t>’</w:t>
      </w:r>
      <w:r>
        <w:rPr>
          <w:lang w:val="fr-CH"/>
        </w:rPr>
        <w:t>OMPI était construit.</w:t>
      </w:r>
    </w:p>
    <w:p w:rsidR="00681F4E" w:rsidRDefault="00681F4E" w:rsidP="00681F4E">
      <w:pPr>
        <w:pStyle w:val="ONUMFS"/>
        <w:rPr>
          <w:lang w:val="fr-CH"/>
        </w:rPr>
      </w:pPr>
      <w:r>
        <w:rPr>
          <w:lang w:val="fr-CH"/>
        </w:rPr>
        <w:t xml:space="preserve">La délégation du Portugal, concernant la proposition présentée dans le document </w:t>
      </w:r>
      <w:r w:rsidRPr="000D10C4">
        <w:rPr>
          <w:lang w:val="fr-CH"/>
        </w:rPr>
        <w:t>PCT/A/47/8</w:t>
      </w:r>
      <w:r>
        <w:rPr>
          <w:lang w:val="fr-CH"/>
        </w:rPr>
        <w:t>, a rappelé l</w:t>
      </w:r>
      <w:r w:rsidR="00CE5FEC">
        <w:rPr>
          <w:lang w:val="fr-CH"/>
        </w:rPr>
        <w:t>’</w:t>
      </w:r>
      <w:r>
        <w:rPr>
          <w:lang w:val="fr-CH"/>
        </w:rPr>
        <w:t xml:space="preserve">importance de rester fidèle au </w:t>
      </w:r>
      <w:r w:rsidRPr="000D10C4">
        <w:rPr>
          <w:lang w:val="fr-CH"/>
        </w:rPr>
        <w:t>principe du budget unique</w:t>
      </w:r>
      <w:r>
        <w:rPr>
          <w:lang w:val="fr-CH"/>
        </w:rPr>
        <w:t>, qui offrait de nombreux avantages à l</w:t>
      </w:r>
      <w:r w:rsidR="00CE5FEC">
        <w:rPr>
          <w:lang w:val="fr-CH"/>
        </w:rPr>
        <w:t>’</w:t>
      </w:r>
      <w:r>
        <w:rPr>
          <w:lang w:val="fr-CH"/>
        </w:rPr>
        <w:t>Organisati</w:t>
      </w:r>
      <w:r w:rsidR="001D67E8">
        <w:rPr>
          <w:lang w:val="fr-CH"/>
        </w:rPr>
        <w:t>on.  La</w:t>
      </w:r>
      <w:r>
        <w:rPr>
          <w:lang w:val="fr-CH"/>
        </w:rPr>
        <w:t xml:space="preserve"> délégation n</w:t>
      </w:r>
      <w:r w:rsidR="00CE5FEC">
        <w:rPr>
          <w:lang w:val="fr-CH"/>
        </w:rPr>
        <w:t>’</w:t>
      </w:r>
      <w:r>
        <w:rPr>
          <w:lang w:val="fr-CH"/>
        </w:rPr>
        <w:t>était donc pas en mesure d</w:t>
      </w:r>
      <w:r w:rsidR="00CE5FEC">
        <w:rPr>
          <w:lang w:val="fr-CH"/>
        </w:rPr>
        <w:t>’</w:t>
      </w:r>
      <w:r>
        <w:rPr>
          <w:lang w:val="fr-CH"/>
        </w:rPr>
        <w:t>appuyer la proposition, tout comme d</w:t>
      </w:r>
      <w:r w:rsidR="00CE5FEC">
        <w:rPr>
          <w:lang w:val="fr-CH"/>
        </w:rPr>
        <w:t>’</w:t>
      </w:r>
      <w:r>
        <w:rPr>
          <w:lang w:val="fr-CH"/>
        </w:rPr>
        <w:t>autres délégations qui s</w:t>
      </w:r>
      <w:r w:rsidR="00CE5FEC">
        <w:rPr>
          <w:lang w:val="fr-CH"/>
        </w:rPr>
        <w:t>’</w:t>
      </w:r>
      <w:r>
        <w:rPr>
          <w:lang w:val="fr-CH"/>
        </w:rPr>
        <w:t>étaient exprimées plus tôt.</w:t>
      </w:r>
    </w:p>
    <w:p w:rsidR="00681F4E" w:rsidRDefault="00681F4E" w:rsidP="00681F4E">
      <w:pPr>
        <w:pStyle w:val="ONUMFS"/>
        <w:rPr>
          <w:lang w:val="fr-CH"/>
        </w:rPr>
      </w:pPr>
      <w:r>
        <w:rPr>
          <w:lang w:val="fr-CH"/>
        </w:rPr>
        <w:t xml:space="preserve">La délégation du </w:t>
      </w:r>
      <w:r w:rsidRPr="00F20C4D">
        <w:rPr>
          <w:lang w:val="fr-CH"/>
        </w:rPr>
        <w:t xml:space="preserve">Monténégro </w:t>
      </w:r>
      <w:r>
        <w:rPr>
          <w:lang w:val="fr-CH"/>
        </w:rPr>
        <w:t xml:space="preserve">a fait siennes les déclarations des délégations de la </w:t>
      </w:r>
      <w:r w:rsidRPr="00F20C4D">
        <w:rPr>
          <w:lang w:val="fr-CH"/>
        </w:rPr>
        <w:t xml:space="preserve">Suisse </w:t>
      </w:r>
      <w:r>
        <w:rPr>
          <w:lang w:val="fr-CH"/>
        </w:rPr>
        <w:t>et de la</w:t>
      </w:r>
      <w:r w:rsidRPr="00F20C4D">
        <w:rPr>
          <w:lang w:val="fr-CH"/>
        </w:rPr>
        <w:t xml:space="preserve"> Hongrie</w:t>
      </w:r>
      <w:r>
        <w:rPr>
          <w:lang w:val="fr-CH"/>
        </w:rPr>
        <w:t xml:space="preserve"> sur la proposition soumise par </w:t>
      </w:r>
      <w:r w:rsidR="00122383">
        <w:rPr>
          <w:lang w:val="fr-CH"/>
        </w:rPr>
        <w:t>la délégation des</w:t>
      </w:r>
      <w:r>
        <w:rPr>
          <w:lang w:val="fr-CH"/>
        </w:rPr>
        <w:t xml:space="preserve"> États</w:t>
      </w:r>
      <w:r w:rsidR="001D67E8">
        <w:rPr>
          <w:lang w:val="fr-CH"/>
        </w:rPr>
        <w:noBreakHyphen/>
      </w:r>
      <w:r>
        <w:rPr>
          <w:lang w:val="fr-CH"/>
        </w:rPr>
        <w:t>Unis d</w:t>
      </w:r>
      <w:r w:rsidR="00CE5FEC">
        <w:rPr>
          <w:lang w:val="fr-CH"/>
        </w:rPr>
        <w:t>’</w:t>
      </w:r>
      <w:r>
        <w:rPr>
          <w:lang w:val="fr-CH"/>
        </w:rPr>
        <w:t>Amériq</w:t>
      </w:r>
      <w:r w:rsidR="001D67E8">
        <w:rPr>
          <w:lang w:val="fr-CH"/>
        </w:rPr>
        <w:t>ue.  El</w:t>
      </w:r>
      <w:r>
        <w:rPr>
          <w:lang w:val="fr-CH"/>
        </w:rPr>
        <w:t xml:space="preserve">le souscrivait tout particulièrement aux observations </w:t>
      </w:r>
      <w:r w:rsidR="00122383">
        <w:rPr>
          <w:lang w:val="fr-CH"/>
        </w:rPr>
        <w:t xml:space="preserve">faites par </w:t>
      </w:r>
      <w:r>
        <w:rPr>
          <w:lang w:val="fr-CH"/>
        </w:rPr>
        <w:t>la délégation de la Hongrie quant à la conférence diplomatique pour l</w:t>
      </w:r>
      <w:r w:rsidR="00CE5FEC">
        <w:rPr>
          <w:lang w:val="fr-CH"/>
        </w:rPr>
        <w:t>’</w:t>
      </w:r>
      <w:r>
        <w:rPr>
          <w:lang w:val="fr-CH"/>
        </w:rPr>
        <w:t>adoption de l</w:t>
      </w:r>
      <w:r w:rsidR="00CE5FEC">
        <w:rPr>
          <w:lang w:val="fr-CH"/>
        </w:rPr>
        <w:t>’</w:t>
      </w:r>
      <w:r>
        <w:rPr>
          <w:lang w:val="fr-CH"/>
        </w:rPr>
        <w:t>Acte de Genève de l</w:t>
      </w:r>
      <w:r w:rsidR="00CE5FEC">
        <w:rPr>
          <w:lang w:val="fr-CH"/>
        </w:rPr>
        <w:t>’</w:t>
      </w:r>
      <w:r w:rsidRPr="00757929">
        <w:rPr>
          <w:lang w:val="fr-CH"/>
        </w:rPr>
        <w:t>Arrangement de Lisbon</w:t>
      </w:r>
      <w:r w:rsidR="001D67E8" w:rsidRPr="00757929">
        <w:rPr>
          <w:lang w:val="fr-CH"/>
        </w:rPr>
        <w:t>ne</w:t>
      </w:r>
      <w:r w:rsidR="001D67E8">
        <w:rPr>
          <w:lang w:val="fr-CH"/>
        </w:rPr>
        <w:t>.  En</w:t>
      </w:r>
      <w:r>
        <w:rPr>
          <w:lang w:val="fr-CH"/>
        </w:rPr>
        <w:t xml:space="preserve"> conclusion, elle s</w:t>
      </w:r>
      <w:r w:rsidR="00CE5FEC">
        <w:rPr>
          <w:lang w:val="fr-CH"/>
        </w:rPr>
        <w:t>’</w:t>
      </w:r>
      <w:r>
        <w:rPr>
          <w:lang w:val="fr-CH"/>
        </w:rPr>
        <w:t xml:space="preserve">est dite favorable au </w:t>
      </w:r>
      <w:r w:rsidRPr="00757929">
        <w:rPr>
          <w:lang w:val="fr-CH"/>
        </w:rPr>
        <w:t>principe d</w:t>
      </w:r>
      <w:r w:rsidR="00CE5FEC">
        <w:rPr>
          <w:lang w:val="fr-CH"/>
        </w:rPr>
        <w:t>’</w:t>
      </w:r>
      <w:r w:rsidRPr="00757929">
        <w:rPr>
          <w:lang w:val="fr-CH"/>
        </w:rPr>
        <w:t>u</w:t>
      </w:r>
      <w:r>
        <w:rPr>
          <w:lang w:val="fr-CH"/>
        </w:rPr>
        <w:t>n</w:t>
      </w:r>
      <w:r w:rsidRPr="00757929">
        <w:rPr>
          <w:lang w:val="fr-CH"/>
        </w:rPr>
        <w:t xml:space="preserve"> budget unique</w:t>
      </w:r>
      <w:r>
        <w:rPr>
          <w:lang w:val="fr-CH"/>
        </w:rPr>
        <w:t>.</w:t>
      </w:r>
    </w:p>
    <w:p w:rsidR="00681F4E" w:rsidRDefault="00681F4E" w:rsidP="00681F4E">
      <w:pPr>
        <w:pStyle w:val="ONUMFS"/>
        <w:rPr>
          <w:lang w:val="fr-CH"/>
        </w:rPr>
      </w:pPr>
      <w:r>
        <w:rPr>
          <w:lang w:val="fr-CH"/>
        </w:rPr>
        <w:t>La délégation de la</w:t>
      </w:r>
      <w:r w:rsidRPr="00757929">
        <w:rPr>
          <w:lang w:val="fr-CH"/>
        </w:rPr>
        <w:t xml:space="preserve"> République dominicaine</w:t>
      </w:r>
      <w:r>
        <w:rPr>
          <w:lang w:val="fr-CH"/>
        </w:rPr>
        <w:t xml:space="preserve"> a fait savoir qu</w:t>
      </w:r>
      <w:r w:rsidR="00CE5FEC">
        <w:rPr>
          <w:lang w:val="fr-CH"/>
        </w:rPr>
        <w:t>’</w:t>
      </w:r>
      <w:r>
        <w:rPr>
          <w:lang w:val="fr-CH"/>
        </w:rPr>
        <w:t xml:space="preserve">elle soutenait le </w:t>
      </w:r>
      <w:r w:rsidRPr="00757929">
        <w:rPr>
          <w:lang w:val="fr-CH"/>
        </w:rPr>
        <w:t>principe du budget unique</w:t>
      </w:r>
      <w:r>
        <w:rPr>
          <w:lang w:val="fr-CH"/>
        </w:rPr>
        <w:t>.</w:t>
      </w:r>
    </w:p>
    <w:p w:rsidR="00681F4E" w:rsidRDefault="00681F4E" w:rsidP="00681F4E">
      <w:pPr>
        <w:pStyle w:val="ONUMFS"/>
        <w:rPr>
          <w:lang w:val="fr-CH"/>
        </w:rPr>
      </w:pPr>
      <w:r>
        <w:rPr>
          <w:lang w:val="fr-CH"/>
        </w:rPr>
        <w:t>La délégation de l</w:t>
      </w:r>
      <w:r w:rsidR="00CE5FEC">
        <w:rPr>
          <w:lang w:val="fr-CH"/>
        </w:rPr>
        <w:t>’</w:t>
      </w:r>
      <w:r>
        <w:rPr>
          <w:lang w:val="fr-CH"/>
        </w:rPr>
        <w:t xml:space="preserve">Ouganda a déclaré que la </w:t>
      </w:r>
      <w:r w:rsidRPr="00757929">
        <w:rPr>
          <w:lang w:val="fr-CH"/>
        </w:rPr>
        <w:t xml:space="preserve">proposition </w:t>
      </w:r>
      <w:r w:rsidR="00122383">
        <w:rPr>
          <w:lang w:val="fr-CH"/>
        </w:rPr>
        <w:t>de la délégation des</w:t>
      </w:r>
      <w:r w:rsidRPr="00757929">
        <w:rPr>
          <w:lang w:val="fr-CH"/>
        </w:rPr>
        <w:t xml:space="preserve"> États</w:t>
      </w:r>
      <w:r w:rsidR="001D67E8">
        <w:rPr>
          <w:lang w:val="fr-CH"/>
        </w:rPr>
        <w:noBreakHyphen/>
      </w:r>
      <w:r w:rsidRPr="00757929">
        <w:rPr>
          <w:lang w:val="fr-CH"/>
        </w:rPr>
        <w:t>Unis d</w:t>
      </w:r>
      <w:r w:rsidR="00CE5FEC">
        <w:rPr>
          <w:lang w:val="fr-CH"/>
        </w:rPr>
        <w:t>’</w:t>
      </w:r>
      <w:r w:rsidRPr="00757929">
        <w:rPr>
          <w:lang w:val="fr-CH"/>
        </w:rPr>
        <w:t>Amérique</w:t>
      </w:r>
      <w:r>
        <w:rPr>
          <w:lang w:val="fr-CH"/>
        </w:rPr>
        <w:t xml:space="preserve"> paraissait certes convaincante, mais qu</w:t>
      </w:r>
      <w:r w:rsidR="00CE5FEC">
        <w:rPr>
          <w:lang w:val="fr-CH"/>
        </w:rPr>
        <w:t>’</w:t>
      </w:r>
      <w:r>
        <w:rPr>
          <w:lang w:val="fr-CH"/>
        </w:rPr>
        <w:t>elle ne pouvait pas l</w:t>
      </w:r>
      <w:r w:rsidR="00CE5FEC">
        <w:rPr>
          <w:lang w:val="fr-CH"/>
        </w:rPr>
        <w:t>’</w:t>
      </w:r>
      <w:r>
        <w:rPr>
          <w:lang w:val="fr-CH"/>
        </w:rPr>
        <w:t>appuyer pour la simple raison que cela marquait une rupture avec le principe du budget unique respecté jusqu</w:t>
      </w:r>
      <w:r w:rsidR="00CE5FEC">
        <w:rPr>
          <w:lang w:val="fr-CH"/>
        </w:rPr>
        <w:t>’</w:t>
      </w:r>
      <w:r>
        <w:rPr>
          <w:lang w:val="fr-CH"/>
        </w:rPr>
        <w:t>alors.</w:t>
      </w:r>
    </w:p>
    <w:p w:rsidR="00681F4E" w:rsidRDefault="00681F4E" w:rsidP="00681F4E">
      <w:pPr>
        <w:pStyle w:val="ONUMFS"/>
        <w:rPr>
          <w:lang w:val="fr-CH"/>
        </w:rPr>
      </w:pPr>
      <w:r>
        <w:rPr>
          <w:lang w:val="fr-CH"/>
        </w:rPr>
        <w:t xml:space="preserve">La délégation de la </w:t>
      </w:r>
      <w:r w:rsidRPr="005B686F">
        <w:rPr>
          <w:lang w:val="fr-CH"/>
        </w:rPr>
        <w:t>République populaire démocratique de Corée</w:t>
      </w:r>
      <w:r>
        <w:rPr>
          <w:lang w:val="fr-CH"/>
        </w:rPr>
        <w:t xml:space="preserve"> a indiqué qu</w:t>
      </w:r>
      <w:r w:rsidR="00CE5FEC">
        <w:rPr>
          <w:lang w:val="fr-CH"/>
        </w:rPr>
        <w:t>’</w:t>
      </w:r>
      <w:r>
        <w:rPr>
          <w:lang w:val="fr-CH"/>
        </w:rPr>
        <w:t>elle ne pouvait pas appuyer la proposition et qu</w:t>
      </w:r>
      <w:r w:rsidR="00CE5FEC">
        <w:rPr>
          <w:lang w:val="fr-CH"/>
        </w:rPr>
        <w:t>’</w:t>
      </w:r>
      <w:r>
        <w:rPr>
          <w:lang w:val="fr-CH"/>
        </w:rPr>
        <w:t xml:space="preserve">elle défendait le </w:t>
      </w:r>
      <w:r w:rsidRPr="005B686F">
        <w:rPr>
          <w:lang w:val="fr-CH"/>
        </w:rPr>
        <w:t>budget unique de l</w:t>
      </w:r>
      <w:r w:rsidR="00CE5FEC">
        <w:rPr>
          <w:lang w:val="fr-CH"/>
        </w:rPr>
        <w:t>’</w:t>
      </w:r>
      <w:r w:rsidRPr="005B686F">
        <w:rPr>
          <w:lang w:val="fr-CH"/>
        </w:rPr>
        <w:t>OMPI</w:t>
      </w:r>
      <w:r>
        <w:rPr>
          <w:lang w:val="fr-CH"/>
        </w:rPr>
        <w:t>.</w:t>
      </w:r>
    </w:p>
    <w:p w:rsidR="00681F4E" w:rsidRDefault="00681F4E" w:rsidP="00681F4E">
      <w:pPr>
        <w:pStyle w:val="ONUMFS"/>
        <w:rPr>
          <w:lang w:val="fr-CH"/>
        </w:rPr>
      </w:pPr>
      <w:r>
        <w:rPr>
          <w:lang w:val="fr-CH"/>
        </w:rPr>
        <w:t>La délégation de Monaco a annoncé que, comme la grande majorité des délégations qui avaient pris la parole jusqu</w:t>
      </w:r>
      <w:r w:rsidR="00CE5FEC">
        <w:rPr>
          <w:lang w:val="fr-CH"/>
        </w:rPr>
        <w:t>’</w:t>
      </w:r>
      <w:r>
        <w:rPr>
          <w:lang w:val="fr-CH"/>
        </w:rPr>
        <w:t>ici, elle n</w:t>
      </w:r>
      <w:r w:rsidR="00CE5FEC">
        <w:rPr>
          <w:lang w:val="fr-CH"/>
        </w:rPr>
        <w:t>’</w:t>
      </w:r>
      <w:r>
        <w:rPr>
          <w:lang w:val="fr-CH"/>
        </w:rPr>
        <w:t>était pas en mesure d</w:t>
      </w:r>
      <w:r w:rsidR="00CE5FEC">
        <w:rPr>
          <w:lang w:val="fr-CH"/>
        </w:rPr>
        <w:t>’</w:t>
      </w:r>
      <w:r>
        <w:rPr>
          <w:lang w:val="fr-CH"/>
        </w:rPr>
        <w:t xml:space="preserve">appuyer la proposition formulée par </w:t>
      </w:r>
      <w:r w:rsidR="00122383">
        <w:rPr>
          <w:lang w:val="fr-CH"/>
        </w:rPr>
        <w:t>la délégation des</w:t>
      </w:r>
      <w:r>
        <w:rPr>
          <w:lang w:val="fr-CH"/>
        </w:rPr>
        <w:t xml:space="preserve"> États</w:t>
      </w:r>
      <w:r w:rsidR="001D67E8">
        <w:rPr>
          <w:lang w:val="fr-CH"/>
        </w:rPr>
        <w:noBreakHyphen/>
      </w:r>
      <w:r>
        <w:rPr>
          <w:lang w:val="fr-CH"/>
        </w:rPr>
        <w:t>Unis d</w:t>
      </w:r>
      <w:r w:rsidR="00CE5FEC">
        <w:rPr>
          <w:lang w:val="fr-CH"/>
        </w:rPr>
        <w:t>’</w:t>
      </w:r>
      <w:r>
        <w:rPr>
          <w:lang w:val="fr-CH"/>
        </w:rPr>
        <w:t>Amériq</w:t>
      </w:r>
      <w:r w:rsidR="001D67E8">
        <w:rPr>
          <w:lang w:val="fr-CH"/>
        </w:rPr>
        <w:t>ue.  Ce</w:t>
      </w:r>
      <w:r>
        <w:rPr>
          <w:lang w:val="fr-CH"/>
        </w:rPr>
        <w:t>tte position de principe était fondée sur les arguments qui avaient été avancés par d</w:t>
      </w:r>
      <w:r w:rsidR="00CE5FEC">
        <w:rPr>
          <w:lang w:val="fr-CH"/>
        </w:rPr>
        <w:t>’</w:t>
      </w:r>
      <w:r>
        <w:rPr>
          <w:lang w:val="fr-CH"/>
        </w:rPr>
        <w:t>autres délégatio</w:t>
      </w:r>
      <w:r w:rsidR="001D67E8">
        <w:rPr>
          <w:lang w:val="fr-CH"/>
        </w:rPr>
        <w:t>ns.  La</w:t>
      </w:r>
      <w:r>
        <w:rPr>
          <w:lang w:val="fr-CH"/>
        </w:rPr>
        <w:t xml:space="preserve"> délégation était très attachée au </w:t>
      </w:r>
      <w:r w:rsidRPr="00F54177">
        <w:rPr>
          <w:lang w:val="fr-CH"/>
        </w:rPr>
        <w:t>principe du budget unique</w:t>
      </w:r>
      <w:r>
        <w:rPr>
          <w:lang w:val="fr-CH"/>
        </w:rPr>
        <w:t>, conformément aux réformes qui avaient été adoptées en 2003 et que Monaco avait officiellement acceptées en 2004.</w:t>
      </w:r>
    </w:p>
    <w:p w:rsidR="00681F4E" w:rsidRDefault="00681F4E" w:rsidP="00681F4E">
      <w:pPr>
        <w:pStyle w:val="ONUMFS"/>
        <w:rPr>
          <w:lang w:val="fr-CH"/>
        </w:rPr>
      </w:pPr>
      <w:r>
        <w:rPr>
          <w:lang w:val="fr-CH"/>
        </w:rPr>
        <w:lastRenderedPageBreak/>
        <w:t>La délégation de la Géorgie s</w:t>
      </w:r>
      <w:r w:rsidR="00CE5FEC">
        <w:rPr>
          <w:lang w:val="fr-CH"/>
        </w:rPr>
        <w:t>’</w:t>
      </w:r>
      <w:r>
        <w:rPr>
          <w:lang w:val="fr-CH"/>
        </w:rPr>
        <w:t xml:space="preserve">est pleinement associée aux déclarations faites par </w:t>
      </w:r>
      <w:r w:rsidR="00122383">
        <w:rPr>
          <w:lang w:val="fr-CH"/>
        </w:rPr>
        <w:t>les délégations de la</w:t>
      </w:r>
      <w:r>
        <w:rPr>
          <w:lang w:val="fr-CH"/>
        </w:rPr>
        <w:t xml:space="preserve"> Suisse et </w:t>
      </w:r>
      <w:r w:rsidR="00122383">
        <w:rPr>
          <w:lang w:val="fr-CH"/>
        </w:rPr>
        <w:t xml:space="preserve">de </w:t>
      </w:r>
      <w:r>
        <w:rPr>
          <w:lang w:val="fr-CH"/>
        </w:rPr>
        <w:t xml:space="preserve">la Hongrie, et soutenait le </w:t>
      </w:r>
      <w:r w:rsidRPr="00F54177">
        <w:rPr>
          <w:lang w:val="fr-CH"/>
        </w:rPr>
        <w:t>principe du budget unique</w:t>
      </w:r>
      <w:r>
        <w:rPr>
          <w:lang w:val="fr-CH"/>
        </w:rPr>
        <w:t xml:space="preserve"> </w:t>
      </w:r>
      <w:r w:rsidRPr="00F54177">
        <w:rPr>
          <w:lang w:val="fr-CH"/>
        </w:rPr>
        <w:t>de l</w:t>
      </w:r>
      <w:r w:rsidR="00CE5FEC">
        <w:rPr>
          <w:lang w:val="fr-CH"/>
        </w:rPr>
        <w:t>’</w:t>
      </w:r>
      <w:r w:rsidRPr="00F54177">
        <w:rPr>
          <w:lang w:val="fr-CH"/>
        </w:rPr>
        <w:t>OMPI</w:t>
      </w:r>
      <w:r>
        <w:rPr>
          <w:lang w:val="fr-CH"/>
        </w:rPr>
        <w:t>.</w:t>
      </w:r>
    </w:p>
    <w:p w:rsidR="00681F4E" w:rsidRDefault="00681F4E" w:rsidP="00681F4E">
      <w:pPr>
        <w:pStyle w:val="ONUMFS"/>
        <w:rPr>
          <w:lang w:val="fr-CH"/>
        </w:rPr>
      </w:pPr>
      <w:r>
        <w:rPr>
          <w:lang w:val="fr-CH"/>
        </w:rPr>
        <w:t>La Délégation de la Serbie s</w:t>
      </w:r>
      <w:r w:rsidR="00CE5FEC">
        <w:rPr>
          <w:lang w:val="fr-CH"/>
        </w:rPr>
        <w:t>’</w:t>
      </w:r>
      <w:r>
        <w:rPr>
          <w:lang w:val="fr-CH"/>
        </w:rPr>
        <w:t xml:space="preserve">est dite favorable au </w:t>
      </w:r>
      <w:r w:rsidRPr="00F26684">
        <w:rPr>
          <w:lang w:val="fr-CH"/>
        </w:rPr>
        <w:t>budget unique</w:t>
      </w:r>
      <w:r>
        <w:rPr>
          <w:lang w:val="fr-CH"/>
        </w:rPr>
        <w:t>.</w:t>
      </w:r>
    </w:p>
    <w:p w:rsidR="00681F4E" w:rsidRDefault="00681F4E" w:rsidP="00681F4E">
      <w:pPr>
        <w:pStyle w:val="ONUMFS"/>
        <w:rPr>
          <w:lang w:val="fr-CH"/>
        </w:rPr>
      </w:pPr>
      <w:r w:rsidRPr="00F26684">
        <w:rPr>
          <w:lang w:val="fr-CH"/>
        </w:rPr>
        <w:t xml:space="preserve">La délégation de la Bulgarie </w:t>
      </w:r>
      <w:r>
        <w:rPr>
          <w:lang w:val="fr-CH"/>
        </w:rPr>
        <w:t xml:space="preserve">a souscrit </w:t>
      </w:r>
      <w:r w:rsidRPr="00F26684">
        <w:rPr>
          <w:lang w:val="fr-CH"/>
        </w:rPr>
        <w:t xml:space="preserve">aux déclarations </w:t>
      </w:r>
      <w:r>
        <w:rPr>
          <w:lang w:val="fr-CH"/>
        </w:rPr>
        <w:t xml:space="preserve">prononcées </w:t>
      </w:r>
      <w:r w:rsidRPr="00F26684">
        <w:rPr>
          <w:lang w:val="fr-CH"/>
        </w:rPr>
        <w:t xml:space="preserve">par </w:t>
      </w:r>
      <w:r w:rsidR="00122383">
        <w:rPr>
          <w:lang w:val="fr-CH"/>
        </w:rPr>
        <w:t xml:space="preserve">les délégations de </w:t>
      </w:r>
      <w:r w:rsidRPr="00F26684">
        <w:rPr>
          <w:lang w:val="fr-CH"/>
        </w:rPr>
        <w:t>la Suisse et</w:t>
      </w:r>
      <w:r>
        <w:rPr>
          <w:lang w:val="fr-CH"/>
        </w:rPr>
        <w:t xml:space="preserve"> </w:t>
      </w:r>
      <w:r w:rsidR="00122383">
        <w:rPr>
          <w:lang w:val="fr-CH"/>
        </w:rPr>
        <w:t xml:space="preserve">de </w:t>
      </w:r>
      <w:r w:rsidRPr="00F26684">
        <w:rPr>
          <w:lang w:val="fr-CH"/>
        </w:rPr>
        <w:t>la Hongrie</w:t>
      </w:r>
      <w:r>
        <w:rPr>
          <w:lang w:val="fr-CH"/>
        </w:rPr>
        <w:t>.</w:t>
      </w:r>
    </w:p>
    <w:p w:rsidR="00681F4E" w:rsidRDefault="00681F4E" w:rsidP="00681F4E">
      <w:pPr>
        <w:pStyle w:val="ONUMFS"/>
        <w:rPr>
          <w:lang w:val="fr-CH"/>
        </w:rPr>
      </w:pPr>
      <w:r>
        <w:rPr>
          <w:lang w:val="fr-CH"/>
        </w:rPr>
        <w:t>La délégation de la Croatie s</w:t>
      </w:r>
      <w:r w:rsidR="00CE5FEC">
        <w:rPr>
          <w:lang w:val="fr-CH"/>
        </w:rPr>
        <w:t>’</w:t>
      </w:r>
      <w:r>
        <w:rPr>
          <w:lang w:val="fr-CH"/>
        </w:rPr>
        <w:t xml:space="preserve">est associée aux déclarations faites par les délégations favorables au </w:t>
      </w:r>
      <w:r w:rsidRPr="00F54177">
        <w:rPr>
          <w:lang w:val="fr-CH"/>
        </w:rPr>
        <w:t>principe du budget unique</w:t>
      </w:r>
      <w:r>
        <w:rPr>
          <w:lang w:val="fr-CH"/>
        </w:rPr>
        <w:t>, dans une organisation qui comptait une douzaine d</w:t>
      </w:r>
      <w:r w:rsidR="00CE5FEC">
        <w:rPr>
          <w:lang w:val="fr-CH"/>
        </w:rPr>
        <w:t>’</w:t>
      </w:r>
      <w:r>
        <w:rPr>
          <w:lang w:val="fr-CH"/>
        </w:rPr>
        <w:t>unions et 130 programmes et dont près de trois quarts des recettes provenaient d</w:t>
      </w:r>
      <w:r w:rsidR="00CE5FEC">
        <w:rPr>
          <w:lang w:val="fr-CH"/>
        </w:rPr>
        <w:t>’</w:t>
      </w:r>
      <w:r>
        <w:rPr>
          <w:lang w:val="fr-CH"/>
        </w:rPr>
        <w:t xml:space="preserve">un seul système, </w:t>
      </w:r>
      <w:r w:rsidR="00CE5FEC">
        <w:rPr>
          <w:lang w:val="fr-CH"/>
        </w:rPr>
        <w:t>à savoir</w:t>
      </w:r>
      <w:r>
        <w:rPr>
          <w:lang w:val="fr-CH"/>
        </w:rPr>
        <w:t xml:space="preserve"> celui du PCT.  Selon la délégation, l</w:t>
      </w:r>
      <w:r w:rsidR="00CE5FEC">
        <w:rPr>
          <w:lang w:val="fr-CH"/>
        </w:rPr>
        <w:t>’</w:t>
      </w:r>
      <w:r>
        <w:rPr>
          <w:lang w:val="fr-CH"/>
        </w:rPr>
        <w:t xml:space="preserve">adoption de la proposition </w:t>
      </w:r>
      <w:r w:rsidR="00B802E8">
        <w:rPr>
          <w:lang w:val="fr-CH"/>
        </w:rPr>
        <w:t>de la délégation des</w:t>
      </w:r>
      <w:r>
        <w:rPr>
          <w:lang w:val="fr-CH"/>
        </w:rPr>
        <w:t xml:space="preserve"> États</w:t>
      </w:r>
      <w:r w:rsidR="001D67E8">
        <w:rPr>
          <w:lang w:val="fr-CH"/>
        </w:rPr>
        <w:noBreakHyphen/>
      </w:r>
      <w:r>
        <w:rPr>
          <w:lang w:val="fr-CH"/>
        </w:rPr>
        <w:t>Unis d</w:t>
      </w:r>
      <w:r w:rsidR="00CE5FEC">
        <w:rPr>
          <w:lang w:val="fr-CH"/>
        </w:rPr>
        <w:t>’</w:t>
      </w:r>
      <w:r>
        <w:rPr>
          <w:lang w:val="fr-CH"/>
        </w:rPr>
        <w:t>Amérique compromettrait sérieusement la bonne santé financière de l</w:t>
      </w:r>
      <w:r w:rsidR="00CE5FEC">
        <w:rPr>
          <w:lang w:val="fr-CH"/>
        </w:rPr>
        <w:t>’</w:t>
      </w:r>
      <w:r>
        <w:rPr>
          <w:lang w:val="fr-CH"/>
        </w:rPr>
        <w:t>Organisati</w:t>
      </w:r>
      <w:r w:rsidR="001D67E8">
        <w:rPr>
          <w:lang w:val="fr-CH"/>
        </w:rPr>
        <w:t>on.  El</w:t>
      </w:r>
      <w:r>
        <w:rPr>
          <w:lang w:val="fr-CH"/>
        </w:rPr>
        <w:t>le ne pouvait donc pas appuyer cette proposition.</w:t>
      </w:r>
    </w:p>
    <w:p w:rsidR="00681F4E" w:rsidRDefault="00681F4E" w:rsidP="00681F4E">
      <w:pPr>
        <w:pStyle w:val="ONUMFS"/>
        <w:rPr>
          <w:lang w:val="fr-CH"/>
        </w:rPr>
      </w:pPr>
      <w:r>
        <w:rPr>
          <w:lang w:val="fr-CH"/>
        </w:rPr>
        <w:t xml:space="preserve">La délégation de la Slovaquie </w:t>
      </w:r>
      <w:r w:rsidRPr="007B2611">
        <w:rPr>
          <w:lang w:val="fr-CH"/>
        </w:rPr>
        <w:t>a souscrit aux déclarations</w:t>
      </w:r>
      <w:r>
        <w:rPr>
          <w:lang w:val="fr-CH"/>
        </w:rPr>
        <w:t xml:space="preserve"> des délégations de la </w:t>
      </w:r>
      <w:r w:rsidRPr="007B2611">
        <w:rPr>
          <w:lang w:val="fr-CH"/>
        </w:rPr>
        <w:t xml:space="preserve">Hongrie, </w:t>
      </w:r>
      <w:r>
        <w:rPr>
          <w:lang w:val="fr-CH"/>
        </w:rPr>
        <w:t xml:space="preserve">de la </w:t>
      </w:r>
      <w:r w:rsidRPr="007B2611">
        <w:rPr>
          <w:lang w:val="fr-CH"/>
        </w:rPr>
        <w:t>Suisse</w:t>
      </w:r>
      <w:r>
        <w:rPr>
          <w:lang w:val="fr-CH"/>
        </w:rPr>
        <w:t>,</w:t>
      </w:r>
      <w:r w:rsidRPr="007B2611">
        <w:rPr>
          <w:lang w:val="fr-CH"/>
        </w:rPr>
        <w:t xml:space="preserve"> </w:t>
      </w:r>
      <w:r>
        <w:rPr>
          <w:lang w:val="fr-CH"/>
        </w:rPr>
        <w:t xml:space="preserve">de la France et des autres délégations qui avaient défendu le </w:t>
      </w:r>
      <w:r w:rsidRPr="00F54177">
        <w:rPr>
          <w:lang w:val="fr-CH"/>
        </w:rPr>
        <w:t>principe du budget uniq</w:t>
      </w:r>
      <w:r w:rsidR="001D67E8" w:rsidRPr="00F54177">
        <w:rPr>
          <w:lang w:val="fr-CH"/>
        </w:rPr>
        <w:t>ue</w:t>
      </w:r>
      <w:r w:rsidR="001D67E8">
        <w:rPr>
          <w:lang w:val="fr-CH"/>
        </w:rPr>
        <w:t>.  El</w:t>
      </w:r>
      <w:r>
        <w:rPr>
          <w:lang w:val="fr-CH"/>
        </w:rPr>
        <w:t>le croyait comprendre que la proposition des États</w:t>
      </w:r>
      <w:r w:rsidR="001D67E8">
        <w:rPr>
          <w:lang w:val="fr-CH"/>
        </w:rPr>
        <w:noBreakHyphen/>
      </w:r>
      <w:r>
        <w:rPr>
          <w:lang w:val="fr-CH"/>
        </w:rPr>
        <w:t>Unis d</w:t>
      </w:r>
      <w:r w:rsidR="00CE5FEC">
        <w:rPr>
          <w:lang w:val="fr-CH"/>
        </w:rPr>
        <w:t>’</w:t>
      </w:r>
      <w:r>
        <w:rPr>
          <w:lang w:val="fr-CH"/>
        </w:rPr>
        <w:t>Amérique visait à modifier radicalement la méthode de répartition des fonds entre les différentes unio</w:t>
      </w:r>
      <w:r w:rsidR="001D67E8">
        <w:rPr>
          <w:lang w:val="fr-CH"/>
        </w:rPr>
        <w:t>ns.  Du</w:t>
      </w:r>
      <w:r>
        <w:rPr>
          <w:lang w:val="fr-CH"/>
        </w:rPr>
        <w:t xml:space="preserve"> point de vue de la délégation, cela porterait gravement atteinte au principe qui avait été </w:t>
      </w:r>
      <w:r w:rsidRPr="00831A6F">
        <w:rPr>
          <w:lang w:val="fr-CH"/>
        </w:rPr>
        <w:t xml:space="preserve">convenu </w:t>
      </w:r>
      <w:r>
        <w:rPr>
          <w:lang w:val="fr-CH"/>
        </w:rPr>
        <w:t>à propos des secteurs</w:t>
      </w:r>
      <w:r w:rsidRPr="00831A6F">
        <w:rPr>
          <w:lang w:val="fr-CH"/>
        </w:rPr>
        <w:t xml:space="preserve"> qui ne dégageaient pas d</w:t>
      </w:r>
      <w:r w:rsidR="00CE5FEC">
        <w:rPr>
          <w:lang w:val="fr-CH"/>
        </w:rPr>
        <w:t>’</w:t>
      </w:r>
      <w:r w:rsidRPr="00831A6F">
        <w:rPr>
          <w:lang w:val="fr-CH"/>
        </w:rPr>
        <w:t>excéde</w:t>
      </w:r>
      <w:r w:rsidR="001D67E8" w:rsidRPr="00831A6F">
        <w:rPr>
          <w:lang w:val="fr-CH"/>
        </w:rPr>
        <w:t>nt</w:t>
      </w:r>
      <w:r w:rsidR="001D67E8">
        <w:rPr>
          <w:lang w:val="fr-CH"/>
        </w:rPr>
        <w:t>.  El</w:t>
      </w:r>
      <w:r>
        <w:rPr>
          <w:lang w:val="fr-CH"/>
        </w:rPr>
        <w:t>le estimait donc que le système devrait être conservé en l</w:t>
      </w:r>
      <w:r w:rsidR="00CE5FEC">
        <w:rPr>
          <w:lang w:val="fr-CH"/>
        </w:rPr>
        <w:t>’</w:t>
      </w:r>
      <w:r>
        <w:rPr>
          <w:lang w:val="fr-CH"/>
        </w:rPr>
        <w:t>état.</w:t>
      </w:r>
    </w:p>
    <w:p w:rsidR="00681F4E" w:rsidRDefault="00681F4E" w:rsidP="00681F4E">
      <w:pPr>
        <w:pStyle w:val="ONUMFS"/>
        <w:rPr>
          <w:lang w:val="fr-CH"/>
        </w:rPr>
      </w:pPr>
      <w:r>
        <w:rPr>
          <w:lang w:val="fr-CH"/>
        </w:rPr>
        <w:t>La délégation de la Tunisie s</w:t>
      </w:r>
      <w:r w:rsidR="00CE5FEC">
        <w:rPr>
          <w:lang w:val="fr-CH"/>
        </w:rPr>
        <w:t>’</w:t>
      </w:r>
      <w:r>
        <w:rPr>
          <w:lang w:val="fr-CH"/>
        </w:rPr>
        <w:t>est rangée aux côtés des délégations qui s</w:t>
      </w:r>
      <w:r w:rsidR="00CE5FEC">
        <w:rPr>
          <w:lang w:val="fr-CH"/>
        </w:rPr>
        <w:t>’</w:t>
      </w:r>
      <w:r>
        <w:rPr>
          <w:lang w:val="fr-CH"/>
        </w:rPr>
        <w:t xml:space="preserve">étaient prononcées en faveur du </w:t>
      </w:r>
      <w:r w:rsidRPr="00F54177">
        <w:rPr>
          <w:lang w:val="fr-CH"/>
        </w:rPr>
        <w:t>budget unique</w:t>
      </w:r>
      <w:r>
        <w:rPr>
          <w:lang w:val="fr-CH"/>
        </w:rPr>
        <w:t xml:space="preserve"> </w:t>
      </w:r>
      <w:r w:rsidRPr="00F54177">
        <w:rPr>
          <w:lang w:val="fr-CH"/>
        </w:rPr>
        <w:t>de l</w:t>
      </w:r>
      <w:r w:rsidR="00CE5FEC">
        <w:rPr>
          <w:lang w:val="fr-CH"/>
        </w:rPr>
        <w:t>’</w:t>
      </w:r>
      <w:r w:rsidRPr="00F54177">
        <w:rPr>
          <w:lang w:val="fr-CH"/>
        </w:rPr>
        <w:t>OMPI</w:t>
      </w:r>
      <w:r>
        <w:rPr>
          <w:lang w:val="fr-CH"/>
        </w:rPr>
        <w:t>.</w:t>
      </w:r>
    </w:p>
    <w:p w:rsidR="00681F4E" w:rsidRPr="001E3A42" w:rsidRDefault="00681F4E" w:rsidP="00681F4E">
      <w:pPr>
        <w:pStyle w:val="ONUMFS"/>
        <w:rPr>
          <w:lang w:val="fr-CH"/>
        </w:rPr>
      </w:pPr>
      <w:r w:rsidRPr="00822985">
        <w:rPr>
          <w:lang w:val="fr-CH"/>
        </w:rPr>
        <w:t>La délégation des États</w:t>
      </w:r>
      <w:r w:rsidR="001D67E8">
        <w:rPr>
          <w:lang w:val="fr-CH"/>
        </w:rPr>
        <w:noBreakHyphen/>
      </w:r>
      <w:r w:rsidRPr="00822985">
        <w:rPr>
          <w:lang w:val="fr-CH"/>
        </w:rPr>
        <w:t>Unis d</w:t>
      </w:r>
      <w:r w:rsidR="00CE5FEC">
        <w:rPr>
          <w:lang w:val="fr-CH"/>
        </w:rPr>
        <w:t>’</w:t>
      </w:r>
      <w:r w:rsidRPr="00822985">
        <w:rPr>
          <w:lang w:val="fr-CH"/>
        </w:rPr>
        <w:t>Amérique a remercié toutes les délégations qui avaient commenté sa propositi</w:t>
      </w:r>
      <w:r w:rsidR="001D67E8" w:rsidRPr="00822985">
        <w:rPr>
          <w:lang w:val="fr-CH"/>
        </w:rPr>
        <w:t>on</w:t>
      </w:r>
      <w:r w:rsidR="001D67E8">
        <w:rPr>
          <w:lang w:val="fr-CH"/>
        </w:rPr>
        <w:t xml:space="preserve">.  </w:t>
      </w:r>
      <w:r w:rsidR="001D67E8" w:rsidRPr="00822985">
        <w:rPr>
          <w:lang w:val="fr-CH"/>
        </w:rPr>
        <w:t>El</w:t>
      </w:r>
      <w:r w:rsidRPr="00822985">
        <w:rPr>
          <w:lang w:val="fr-CH"/>
        </w:rPr>
        <w:t>le a noté que certaines questions avaient été posées au Secrétariat et elle avait elle</w:t>
      </w:r>
      <w:r w:rsidR="001D67E8">
        <w:rPr>
          <w:lang w:val="fr-CH"/>
        </w:rPr>
        <w:noBreakHyphen/>
      </w:r>
      <w:r w:rsidRPr="00822985">
        <w:rPr>
          <w:lang w:val="fr-CH"/>
        </w:rPr>
        <w:t>même quelques questions à pos</w:t>
      </w:r>
      <w:r w:rsidR="001D67E8" w:rsidRPr="00822985">
        <w:rPr>
          <w:lang w:val="fr-CH"/>
        </w:rPr>
        <w:t>er</w:t>
      </w:r>
      <w:r w:rsidR="001D67E8">
        <w:rPr>
          <w:lang w:val="fr-CH"/>
        </w:rPr>
        <w:t xml:space="preserve">.  </w:t>
      </w:r>
      <w:r w:rsidR="001D67E8" w:rsidRPr="00822985">
        <w:rPr>
          <w:lang w:val="fr-CH"/>
        </w:rPr>
        <w:t>El</w:t>
      </w:r>
      <w:r w:rsidRPr="00822985">
        <w:rPr>
          <w:lang w:val="fr-CH"/>
        </w:rPr>
        <w:t xml:space="preserve">le souhaitait en outre dissiper certains malentendus autour du budget dit </w:t>
      </w:r>
      <w:r>
        <w:rPr>
          <w:lang w:val="fr-CH"/>
        </w:rPr>
        <w:t>“</w:t>
      </w:r>
      <w:r w:rsidRPr="00822985">
        <w:rPr>
          <w:lang w:val="fr-CH"/>
        </w:rPr>
        <w:t>unique</w:t>
      </w:r>
      <w:r>
        <w:rPr>
          <w:lang w:val="fr-CH"/>
        </w:rPr>
        <w:t xml:space="preserve">”. </w:t>
      </w:r>
      <w:r w:rsidRPr="00822985">
        <w:rPr>
          <w:lang w:val="fr-CH"/>
        </w:rPr>
        <w:t xml:space="preserve"> Les États</w:t>
      </w:r>
      <w:r w:rsidR="001D67E8">
        <w:rPr>
          <w:lang w:val="fr-CH"/>
        </w:rPr>
        <w:noBreakHyphen/>
      </w:r>
      <w:r w:rsidRPr="00822985">
        <w:rPr>
          <w:lang w:val="fr-CH"/>
        </w:rPr>
        <w:t>Unis d</w:t>
      </w:r>
      <w:r w:rsidR="00CE5FEC">
        <w:rPr>
          <w:lang w:val="fr-CH"/>
        </w:rPr>
        <w:t>’</w:t>
      </w:r>
      <w:r w:rsidRPr="00822985">
        <w:rPr>
          <w:lang w:val="fr-CH"/>
        </w:rPr>
        <w:t>Amérique avaient toujours défendu ce qu</w:t>
      </w:r>
      <w:r w:rsidR="00CE5FEC">
        <w:rPr>
          <w:lang w:val="fr-CH"/>
        </w:rPr>
        <w:t>’</w:t>
      </w:r>
      <w:r w:rsidRPr="00822985">
        <w:rPr>
          <w:lang w:val="fr-CH"/>
        </w:rPr>
        <w:t>il était convenu d</w:t>
      </w:r>
      <w:r w:rsidR="00CE5FEC">
        <w:rPr>
          <w:lang w:val="fr-CH"/>
        </w:rPr>
        <w:t>’</w:t>
      </w:r>
      <w:r w:rsidRPr="00822985">
        <w:rPr>
          <w:lang w:val="fr-CH"/>
        </w:rPr>
        <w:t>appeler le système de contribution unique</w:t>
      </w:r>
      <w:r>
        <w:rPr>
          <w:lang w:val="fr-CH"/>
        </w:rPr>
        <w:t>,</w:t>
      </w:r>
      <w:r w:rsidRPr="00822985">
        <w:rPr>
          <w:lang w:val="fr-CH"/>
        </w:rPr>
        <w:t xml:space="preserve"> et </w:t>
      </w:r>
      <w:r>
        <w:rPr>
          <w:lang w:val="fr-CH"/>
        </w:rPr>
        <w:t xml:space="preserve">ils </w:t>
      </w:r>
      <w:r w:rsidRPr="00822985">
        <w:rPr>
          <w:lang w:val="fr-CH"/>
        </w:rPr>
        <w:t>avaient soumis un document d</w:t>
      </w:r>
      <w:r w:rsidR="00CE5FEC">
        <w:rPr>
          <w:lang w:val="fr-CH"/>
        </w:rPr>
        <w:t>’</w:t>
      </w:r>
      <w:r w:rsidRPr="00822985">
        <w:rPr>
          <w:lang w:val="fr-CH"/>
        </w:rPr>
        <w:t>information qui présentait leur point de vue à la session en cours des assemblées ainsi qu</w:t>
      </w:r>
      <w:r w:rsidR="00CE5FEC">
        <w:rPr>
          <w:lang w:val="fr-CH"/>
        </w:rPr>
        <w:t>’</w:t>
      </w:r>
      <w:r w:rsidRPr="00822985">
        <w:rPr>
          <w:lang w:val="fr-CH"/>
        </w:rPr>
        <w:t xml:space="preserve">au </w:t>
      </w:r>
      <w:r w:rsidR="00B802E8">
        <w:rPr>
          <w:lang w:val="fr-CH"/>
        </w:rPr>
        <w:t>PBC</w:t>
      </w:r>
      <w:r w:rsidR="001D67E8">
        <w:rPr>
          <w:lang w:val="fr-CH"/>
        </w:rPr>
        <w:t xml:space="preserve">.  </w:t>
      </w:r>
      <w:r w:rsidR="001D67E8" w:rsidRPr="00822985">
        <w:rPr>
          <w:lang w:val="fr-CH"/>
        </w:rPr>
        <w:t>Ce</w:t>
      </w:r>
      <w:r w:rsidRPr="00822985">
        <w:rPr>
          <w:lang w:val="fr-CH"/>
        </w:rPr>
        <w:t xml:space="preserve">pendant, ils tenaient </w:t>
      </w:r>
      <w:r w:rsidR="00CE5FEC">
        <w:rPr>
          <w:lang w:val="fr-CH"/>
        </w:rPr>
        <w:t>à savoir</w:t>
      </w:r>
      <w:r w:rsidRPr="00822985">
        <w:rPr>
          <w:lang w:val="fr-CH"/>
        </w:rPr>
        <w:t xml:space="preserve"> ce que le Secrétariat entendait par système de contribution unique et si ce système était supposé financer les unions d</w:t>
      </w:r>
      <w:r w:rsidR="00CE5FEC">
        <w:rPr>
          <w:lang w:val="fr-CH"/>
        </w:rPr>
        <w:t>’</w:t>
      </w:r>
      <w:r w:rsidRPr="00822985">
        <w:rPr>
          <w:lang w:val="fr-CH"/>
        </w:rPr>
        <w:t>enregistrement financées par des tax</w:t>
      </w:r>
      <w:r w:rsidR="001D67E8" w:rsidRPr="00822985">
        <w:rPr>
          <w:lang w:val="fr-CH"/>
        </w:rPr>
        <w:t>es</w:t>
      </w:r>
      <w:r w:rsidR="001D67E8">
        <w:rPr>
          <w:lang w:val="fr-CH"/>
        </w:rPr>
        <w:t xml:space="preserve">.  </w:t>
      </w:r>
      <w:r w:rsidR="001D67E8" w:rsidRPr="00822985">
        <w:rPr>
          <w:lang w:val="fr-CH"/>
        </w:rPr>
        <w:t>La</w:t>
      </w:r>
      <w:r w:rsidRPr="00822985">
        <w:rPr>
          <w:lang w:val="fr-CH"/>
        </w:rPr>
        <w:t xml:space="preserve"> deuxième question qui se posait était de savoir s</w:t>
      </w:r>
      <w:r w:rsidR="00CE5FEC">
        <w:rPr>
          <w:lang w:val="fr-CH"/>
        </w:rPr>
        <w:t>’</w:t>
      </w:r>
      <w:r w:rsidRPr="00822985">
        <w:rPr>
          <w:lang w:val="fr-CH"/>
        </w:rPr>
        <w:t xml:space="preserve">il existait réellement un concept </w:t>
      </w:r>
      <w:r>
        <w:rPr>
          <w:lang w:val="fr-CH"/>
        </w:rPr>
        <w:t>de “</w:t>
      </w:r>
      <w:r w:rsidRPr="00822985">
        <w:rPr>
          <w:lang w:val="fr-CH"/>
        </w:rPr>
        <w:t>budget unique</w:t>
      </w:r>
      <w:r>
        <w:rPr>
          <w:lang w:val="fr-CH"/>
        </w:rPr>
        <w:t>”</w:t>
      </w:r>
      <w:r w:rsidRPr="00822985">
        <w:rPr>
          <w:lang w:val="fr-CH"/>
        </w:rPr>
        <w:t xml:space="preserve"> en vigue</w:t>
      </w:r>
      <w:r w:rsidR="001D67E8" w:rsidRPr="00822985">
        <w:rPr>
          <w:lang w:val="fr-CH"/>
        </w:rPr>
        <w:t>ur</w:t>
      </w:r>
      <w:r w:rsidR="001D67E8">
        <w:rPr>
          <w:lang w:val="fr-CH"/>
        </w:rPr>
        <w:t xml:space="preserve">.  </w:t>
      </w:r>
      <w:r w:rsidR="001D67E8" w:rsidRPr="00822985">
        <w:rPr>
          <w:lang w:val="fr-CH"/>
        </w:rPr>
        <w:t>La</w:t>
      </w:r>
      <w:r w:rsidRPr="00822985">
        <w:rPr>
          <w:lang w:val="fr-CH"/>
        </w:rPr>
        <w:t xml:space="preserve"> délégation croyait comprendre que la réforme statutaire de</w:t>
      </w:r>
      <w:r>
        <w:rPr>
          <w:lang w:val="fr-CH"/>
        </w:rPr>
        <w:t> </w:t>
      </w:r>
      <w:r w:rsidRPr="00822985">
        <w:rPr>
          <w:lang w:val="fr-CH"/>
        </w:rPr>
        <w:t>2003 n</w:t>
      </w:r>
      <w:r w:rsidR="00CE5FEC">
        <w:rPr>
          <w:lang w:val="fr-CH"/>
        </w:rPr>
        <w:t>’</w:t>
      </w:r>
      <w:r>
        <w:rPr>
          <w:lang w:val="fr-CH"/>
        </w:rPr>
        <w:t>était pas entrée en vigueur et que, en vérité, l</w:t>
      </w:r>
      <w:r w:rsidR="00CE5FEC">
        <w:rPr>
          <w:lang w:val="fr-CH"/>
        </w:rPr>
        <w:t>’</w:t>
      </w:r>
      <w:r>
        <w:rPr>
          <w:lang w:val="fr-CH"/>
        </w:rPr>
        <w:t>idée d</w:t>
      </w:r>
      <w:r w:rsidR="00CE5FEC">
        <w:rPr>
          <w:lang w:val="fr-CH"/>
        </w:rPr>
        <w:t>’</w:t>
      </w:r>
      <w:r>
        <w:rPr>
          <w:lang w:val="fr-CH"/>
        </w:rPr>
        <w:t>un budget unique avait été rejet</w:t>
      </w:r>
      <w:r w:rsidR="001D67E8">
        <w:rPr>
          <w:lang w:val="fr-CH"/>
        </w:rPr>
        <w:t>ée.  La</w:t>
      </w:r>
      <w:r>
        <w:rPr>
          <w:lang w:val="fr-CH"/>
        </w:rPr>
        <w:t xml:space="preserve"> délégation appuyait sans réserve le </w:t>
      </w:r>
      <w:r w:rsidRPr="00822985">
        <w:rPr>
          <w:lang w:val="fr-CH"/>
        </w:rPr>
        <w:t>système de contribution unique</w:t>
      </w:r>
      <w:r>
        <w:rPr>
          <w:lang w:val="fr-CH"/>
        </w:rPr>
        <w:t xml:space="preserve"> et, comme elle l</w:t>
      </w:r>
      <w:r w:rsidR="00CE5FEC">
        <w:rPr>
          <w:lang w:val="fr-CH"/>
        </w:rPr>
        <w:t>’</w:t>
      </w:r>
      <w:r>
        <w:rPr>
          <w:lang w:val="fr-CH"/>
        </w:rPr>
        <w:t>avait mentionné dans une précédente déclaration, elle était tout à fait favorable à l</w:t>
      </w:r>
      <w:r w:rsidR="00CE5FEC">
        <w:rPr>
          <w:lang w:val="fr-CH"/>
        </w:rPr>
        <w:t>’</w:t>
      </w:r>
      <w:r>
        <w:rPr>
          <w:lang w:val="fr-CH"/>
        </w:rPr>
        <w:t>utilisation des recettes du PCT pour financer toutes les activités de l</w:t>
      </w:r>
      <w:r w:rsidR="00CE5FEC">
        <w:rPr>
          <w:lang w:val="fr-CH"/>
        </w:rPr>
        <w:t>’</w:t>
      </w:r>
      <w:r>
        <w:rPr>
          <w:lang w:val="fr-CH"/>
        </w:rPr>
        <w:t>OMPI approuvées par l</w:t>
      </w:r>
      <w:r w:rsidR="00CE5FEC">
        <w:rPr>
          <w:lang w:val="fr-CH"/>
        </w:rPr>
        <w:t>’</w:t>
      </w:r>
      <w:r>
        <w:rPr>
          <w:lang w:val="fr-CH"/>
        </w:rPr>
        <w:t>ensemble des membres de l</w:t>
      </w:r>
      <w:r w:rsidR="00CE5FEC">
        <w:rPr>
          <w:lang w:val="fr-CH"/>
        </w:rPr>
        <w:t>’</w:t>
      </w:r>
      <w:r>
        <w:rPr>
          <w:lang w:val="fr-CH"/>
        </w:rPr>
        <w:t>Organisati</w:t>
      </w:r>
      <w:r w:rsidR="001D67E8">
        <w:rPr>
          <w:lang w:val="fr-CH"/>
        </w:rPr>
        <w:t>on.  La</w:t>
      </w:r>
      <w:r>
        <w:rPr>
          <w:lang w:val="fr-CH"/>
        </w:rPr>
        <w:t xml:space="preserve"> délégation a demandé au Secrétariat des éclaircissements sur les questions posées par la délégation de la République islamique d</w:t>
      </w:r>
      <w:r w:rsidR="00CE5FEC">
        <w:rPr>
          <w:lang w:val="fr-CH"/>
        </w:rPr>
        <w:t>’</w:t>
      </w:r>
      <w:r>
        <w:rPr>
          <w:lang w:val="fr-CH"/>
        </w:rPr>
        <w:t>Iran</w:t>
      </w:r>
      <w:r w:rsidRPr="00976CA8">
        <w:rPr>
          <w:lang w:val="fr-CH"/>
        </w:rPr>
        <w:t>,</w:t>
      </w:r>
      <w:r>
        <w:rPr>
          <w:lang w:val="fr-CH"/>
        </w:rPr>
        <w:t xml:space="preserve"> car ces éléments étaient aussi source de confusion pour el</w:t>
      </w:r>
      <w:r w:rsidR="001D67E8">
        <w:rPr>
          <w:lang w:val="fr-CH"/>
        </w:rPr>
        <w:t>le.  En</w:t>
      </w:r>
      <w:r>
        <w:rPr>
          <w:lang w:val="fr-CH"/>
        </w:rPr>
        <w:t>fin, elle a demandé que le présent point reste ouvert jusqu</w:t>
      </w:r>
      <w:r w:rsidR="00CE5FEC">
        <w:rPr>
          <w:lang w:val="fr-CH"/>
        </w:rPr>
        <w:t>’</w:t>
      </w:r>
      <w:r>
        <w:rPr>
          <w:lang w:val="fr-CH"/>
        </w:rPr>
        <w:t>à ce que tous les points de nature budgétaire inscrits à l</w:t>
      </w:r>
      <w:r w:rsidR="00CE5FEC">
        <w:rPr>
          <w:lang w:val="fr-CH"/>
        </w:rPr>
        <w:t>’</w:t>
      </w:r>
      <w:r>
        <w:rPr>
          <w:lang w:val="fr-CH"/>
        </w:rPr>
        <w:t>ordre du jour aient été réglés.</w:t>
      </w:r>
    </w:p>
    <w:p w:rsidR="003974A4" w:rsidRPr="0080470E" w:rsidRDefault="003974A4" w:rsidP="003974A4">
      <w:pPr>
        <w:pStyle w:val="ONUMFS"/>
        <w:rPr>
          <w:lang w:val="fr-CH"/>
        </w:rPr>
      </w:pPr>
      <w:r w:rsidRPr="0080470E">
        <w:rPr>
          <w:lang w:val="fr-CH"/>
        </w:rPr>
        <w:t>Le Directeur général a évoqué les deux</w:t>
      </w:r>
      <w:r>
        <w:rPr>
          <w:lang w:val="fr-CH"/>
        </w:rPr>
        <w:t> </w:t>
      </w:r>
      <w:r w:rsidRPr="0080470E">
        <w:rPr>
          <w:lang w:val="fr-CH"/>
        </w:rPr>
        <w:t xml:space="preserve">questions </w:t>
      </w:r>
      <w:r>
        <w:rPr>
          <w:lang w:val="fr-CH"/>
        </w:rPr>
        <w:t>p</w:t>
      </w:r>
      <w:r w:rsidRPr="0080470E">
        <w:rPr>
          <w:lang w:val="fr-CH"/>
        </w:rPr>
        <w:t>o</w:t>
      </w:r>
      <w:r>
        <w:rPr>
          <w:lang w:val="fr-CH"/>
        </w:rPr>
        <w:t>s</w:t>
      </w:r>
      <w:r w:rsidRPr="0080470E">
        <w:rPr>
          <w:lang w:val="fr-CH"/>
        </w:rPr>
        <w:t xml:space="preserve">ées par la délégation de </w:t>
      </w:r>
      <w:r>
        <w:rPr>
          <w:lang w:val="fr-CH"/>
        </w:rPr>
        <w:t xml:space="preserve">la </w:t>
      </w:r>
      <w:r w:rsidRPr="0080470E">
        <w:rPr>
          <w:lang w:val="fr-CH"/>
        </w:rPr>
        <w:t xml:space="preserve">République islamique </w:t>
      </w:r>
      <w:r>
        <w:rPr>
          <w:lang w:val="fr-CH"/>
        </w:rPr>
        <w:t>d</w:t>
      </w:r>
      <w:r w:rsidR="00CE5FEC">
        <w:rPr>
          <w:lang w:val="fr-CH"/>
        </w:rPr>
        <w:t>’</w:t>
      </w:r>
      <w:r>
        <w:rPr>
          <w:lang w:val="fr-CH"/>
        </w:rPr>
        <w:t>Ir</w:t>
      </w:r>
      <w:r w:rsidR="001D67E8">
        <w:rPr>
          <w:lang w:val="fr-CH"/>
        </w:rPr>
        <w:t xml:space="preserve">an.  </w:t>
      </w:r>
      <w:r w:rsidR="001D67E8" w:rsidRPr="0080470E">
        <w:rPr>
          <w:lang w:val="fr-CH"/>
        </w:rPr>
        <w:t>La</w:t>
      </w:r>
      <w:r w:rsidRPr="0080470E">
        <w:rPr>
          <w:lang w:val="fr-CH"/>
        </w:rPr>
        <w:t xml:space="preserve"> première</w:t>
      </w:r>
      <w:r>
        <w:rPr>
          <w:lang w:val="fr-CH"/>
        </w:rPr>
        <w:t> </w:t>
      </w:r>
      <w:r w:rsidRPr="0080470E">
        <w:rPr>
          <w:lang w:val="fr-CH"/>
        </w:rPr>
        <w:t>question portait sur le lien existant entre l</w:t>
      </w:r>
      <w:r w:rsidR="00CE5FEC">
        <w:rPr>
          <w:lang w:val="fr-CH"/>
        </w:rPr>
        <w:t>’</w:t>
      </w:r>
      <w:r w:rsidRPr="0080470E">
        <w:rPr>
          <w:lang w:val="fr-CH"/>
        </w:rPr>
        <w:t>Union du</w:t>
      </w:r>
      <w:r>
        <w:rPr>
          <w:lang w:val="fr-CH"/>
        </w:rPr>
        <w:t> </w:t>
      </w:r>
      <w:r w:rsidRPr="0080470E">
        <w:rPr>
          <w:lang w:val="fr-CH"/>
        </w:rPr>
        <w:t>PCT et l</w:t>
      </w:r>
      <w:r w:rsidR="00CE5FEC">
        <w:rPr>
          <w:lang w:val="fr-CH"/>
        </w:rPr>
        <w:t>’</w:t>
      </w:r>
      <w:r w:rsidRPr="0080470E">
        <w:rPr>
          <w:lang w:val="fr-CH"/>
        </w:rPr>
        <w:t>Union de Lisbonne et les raisons de soumettre la proposition à l</w:t>
      </w:r>
      <w:r w:rsidR="00CE5FEC">
        <w:rPr>
          <w:lang w:val="fr-CH"/>
        </w:rPr>
        <w:t>’</w:t>
      </w:r>
      <w:r w:rsidRPr="0080470E">
        <w:rPr>
          <w:lang w:val="fr-CH"/>
        </w:rPr>
        <w:t>Assemblée de l</w:t>
      </w:r>
      <w:r w:rsidR="00CE5FEC">
        <w:rPr>
          <w:lang w:val="fr-CH"/>
        </w:rPr>
        <w:t>’</w:t>
      </w:r>
      <w:r w:rsidRPr="0080470E">
        <w:rPr>
          <w:lang w:val="fr-CH"/>
        </w:rPr>
        <w:t>Union du</w:t>
      </w:r>
      <w:r>
        <w:rPr>
          <w:lang w:val="fr-CH"/>
        </w:rPr>
        <w:t> </w:t>
      </w:r>
      <w:r w:rsidRPr="0080470E">
        <w:rPr>
          <w:lang w:val="fr-CH"/>
        </w:rPr>
        <w:t>PCT pour des questions concerna</w:t>
      </w:r>
      <w:r>
        <w:rPr>
          <w:lang w:val="fr-CH"/>
        </w:rPr>
        <w:t>n</w:t>
      </w:r>
      <w:r w:rsidRPr="0080470E">
        <w:rPr>
          <w:lang w:val="fr-CH"/>
        </w:rPr>
        <w:t>t l</w:t>
      </w:r>
      <w:r w:rsidR="00CE5FEC">
        <w:rPr>
          <w:lang w:val="fr-CH"/>
        </w:rPr>
        <w:t>’</w:t>
      </w:r>
      <w:r w:rsidRPr="0080470E">
        <w:rPr>
          <w:lang w:val="fr-CH"/>
        </w:rPr>
        <w:t>Union de Lisbon</w:t>
      </w:r>
      <w:r w:rsidR="001D67E8" w:rsidRPr="0080470E">
        <w:rPr>
          <w:lang w:val="fr-CH"/>
        </w:rPr>
        <w:t>ne</w:t>
      </w:r>
      <w:r w:rsidR="001D67E8">
        <w:rPr>
          <w:lang w:val="fr-CH"/>
        </w:rPr>
        <w:t xml:space="preserve">.  </w:t>
      </w:r>
      <w:r w:rsidR="001D67E8" w:rsidRPr="0080470E">
        <w:rPr>
          <w:lang w:val="fr-CH"/>
        </w:rPr>
        <w:t>Ce</w:t>
      </w:r>
      <w:r w:rsidRPr="0080470E">
        <w:rPr>
          <w:lang w:val="fr-CH"/>
        </w:rPr>
        <w:t>tte question concernait la délégation des États</w:t>
      </w:r>
      <w:r w:rsidR="001D67E8">
        <w:rPr>
          <w:lang w:val="fr-CH"/>
        </w:rPr>
        <w:noBreakHyphen/>
      </w:r>
      <w:r w:rsidRPr="0080470E">
        <w:rPr>
          <w:lang w:val="fr-CH"/>
        </w:rPr>
        <w:t>Unis d</w:t>
      </w:r>
      <w:r w:rsidR="00CE5FEC">
        <w:rPr>
          <w:lang w:val="fr-CH"/>
        </w:rPr>
        <w:t>’</w:t>
      </w:r>
      <w:r w:rsidRPr="0080470E">
        <w:rPr>
          <w:lang w:val="fr-CH"/>
        </w:rPr>
        <w:t>Amérique</w:t>
      </w:r>
      <w:r w:rsidR="00544893">
        <w:rPr>
          <w:lang w:val="fr-CH"/>
        </w:rPr>
        <w:t>,</w:t>
      </w:r>
      <w:r w:rsidRPr="0080470E">
        <w:rPr>
          <w:lang w:val="fr-CH"/>
        </w:rPr>
        <w:t xml:space="preserve"> qui avait présenté la propositi</w:t>
      </w:r>
      <w:r w:rsidR="001D67E8" w:rsidRPr="0080470E">
        <w:rPr>
          <w:lang w:val="fr-CH"/>
        </w:rPr>
        <w:t>on</w:t>
      </w:r>
      <w:r w:rsidR="001D67E8">
        <w:rPr>
          <w:lang w:val="fr-CH"/>
        </w:rPr>
        <w:t xml:space="preserve">.  </w:t>
      </w:r>
      <w:r w:rsidR="001D67E8" w:rsidRPr="0080470E">
        <w:rPr>
          <w:lang w:val="fr-CH"/>
        </w:rPr>
        <w:t>La</w:t>
      </w:r>
      <w:r w:rsidRPr="0080470E">
        <w:rPr>
          <w:lang w:val="fr-CH"/>
        </w:rPr>
        <w:t xml:space="preserve"> deuxième</w:t>
      </w:r>
      <w:r>
        <w:rPr>
          <w:lang w:val="fr-CH"/>
        </w:rPr>
        <w:t> </w:t>
      </w:r>
      <w:r w:rsidRPr="0080470E">
        <w:rPr>
          <w:lang w:val="fr-CH"/>
        </w:rPr>
        <w:t>question portait sur la base de répartition des recettes du</w:t>
      </w:r>
      <w:r>
        <w:rPr>
          <w:lang w:val="fr-CH"/>
        </w:rPr>
        <w:t> </w:t>
      </w:r>
      <w:r w:rsidRPr="0080470E">
        <w:rPr>
          <w:lang w:val="fr-CH"/>
        </w:rPr>
        <w:t>PCT en faveur d</w:t>
      </w:r>
      <w:r w:rsidR="00CE5FEC">
        <w:rPr>
          <w:lang w:val="fr-CH"/>
        </w:rPr>
        <w:t>’</w:t>
      </w:r>
      <w:r w:rsidRPr="0080470E">
        <w:rPr>
          <w:lang w:val="fr-CH"/>
        </w:rPr>
        <w:t>autres programmes menés par l</w:t>
      </w:r>
      <w:r w:rsidR="00CE5FEC">
        <w:rPr>
          <w:lang w:val="fr-CH"/>
        </w:rPr>
        <w:t>’</w:t>
      </w:r>
      <w:r w:rsidRPr="0080470E">
        <w:rPr>
          <w:lang w:val="fr-CH"/>
        </w:rPr>
        <w:t>OMPI</w:t>
      </w:r>
      <w:r w:rsidR="00544893">
        <w:rPr>
          <w:lang w:val="fr-CH"/>
        </w:rPr>
        <w:t>.  Cette question</w:t>
      </w:r>
      <w:r>
        <w:rPr>
          <w:lang w:val="fr-CH"/>
        </w:rPr>
        <w:t xml:space="preserve"> </w:t>
      </w:r>
      <w:r w:rsidRPr="0080470E">
        <w:rPr>
          <w:lang w:val="fr-CH"/>
        </w:rPr>
        <w:t xml:space="preserve">était </w:t>
      </w:r>
      <w:r w:rsidR="00544893">
        <w:rPr>
          <w:lang w:val="fr-CH"/>
        </w:rPr>
        <w:t>examinée</w:t>
      </w:r>
      <w:r w:rsidRPr="0080470E">
        <w:rPr>
          <w:lang w:val="fr-CH"/>
        </w:rPr>
        <w:t xml:space="preserve"> </w:t>
      </w:r>
      <w:r>
        <w:rPr>
          <w:lang w:val="fr-CH"/>
        </w:rPr>
        <w:t>dans l</w:t>
      </w:r>
      <w:r w:rsidRPr="0080470E">
        <w:rPr>
          <w:lang w:val="fr-CH"/>
        </w:rPr>
        <w:t>e</w:t>
      </w:r>
      <w:r w:rsidR="00544893">
        <w:rPr>
          <w:lang w:val="fr-CH"/>
        </w:rPr>
        <w:t xml:space="preserve"> cadre du</w:t>
      </w:r>
      <w:r w:rsidR="00B802E8">
        <w:rPr>
          <w:lang w:val="fr-CH"/>
        </w:rPr>
        <w:t> PBC</w:t>
      </w:r>
      <w:r w:rsidR="001D67E8">
        <w:rPr>
          <w:lang w:val="fr-CH"/>
        </w:rPr>
        <w:t xml:space="preserve">.  </w:t>
      </w:r>
      <w:r w:rsidR="001D67E8" w:rsidRPr="0080470E">
        <w:rPr>
          <w:lang w:val="fr-CH"/>
        </w:rPr>
        <w:t>Le</w:t>
      </w:r>
      <w:r w:rsidRPr="0080470E">
        <w:rPr>
          <w:lang w:val="fr-CH"/>
        </w:rPr>
        <w:t xml:space="preserve"> Bureau international avait communiqué les états financiers aux </w:t>
      </w:r>
      <w:r>
        <w:rPr>
          <w:lang w:val="fr-CH"/>
        </w:rPr>
        <w:t>É</w:t>
      </w:r>
      <w:r w:rsidRPr="0080470E">
        <w:rPr>
          <w:lang w:val="fr-CH"/>
        </w:rPr>
        <w:t>tats membres en même temps qu</w:t>
      </w:r>
      <w:r>
        <w:rPr>
          <w:lang w:val="fr-CH"/>
        </w:rPr>
        <w:t>e le</w:t>
      </w:r>
      <w:r w:rsidRPr="0080470E">
        <w:rPr>
          <w:lang w:val="fr-CH"/>
        </w:rPr>
        <w:t xml:space="preserve"> projet de programme et budg</w:t>
      </w:r>
      <w:r w:rsidR="001D67E8" w:rsidRPr="0080470E">
        <w:rPr>
          <w:lang w:val="fr-CH"/>
        </w:rPr>
        <w:t>et</w:t>
      </w:r>
      <w:r w:rsidR="001D67E8">
        <w:rPr>
          <w:lang w:val="fr-CH"/>
        </w:rPr>
        <w:t xml:space="preserve">.  </w:t>
      </w:r>
      <w:r w:rsidR="001D67E8" w:rsidRPr="0080470E">
        <w:rPr>
          <w:lang w:val="fr-CH"/>
        </w:rPr>
        <w:t>Le</w:t>
      </w:r>
      <w:r w:rsidRPr="0080470E">
        <w:rPr>
          <w:lang w:val="fr-CH"/>
        </w:rPr>
        <w:t xml:space="preserve"> projet de programme et budget </w:t>
      </w:r>
      <w:r>
        <w:rPr>
          <w:lang w:val="fr-CH"/>
        </w:rPr>
        <w:t>comporta</w:t>
      </w:r>
      <w:r w:rsidRPr="0080470E">
        <w:rPr>
          <w:lang w:val="fr-CH"/>
        </w:rPr>
        <w:t xml:space="preserve">it </w:t>
      </w:r>
      <w:r w:rsidRPr="0080470E">
        <w:rPr>
          <w:lang w:val="fr-CH"/>
        </w:rPr>
        <w:lastRenderedPageBreak/>
        <w:t>deux</w:t>
      </w:r>
      <w:r>
        <w:rPr>
          <w:lang w:val="fr-CH"/>
        </w:rPr>
        <w:t> </w:t>
      </w:r>
      <w:r w:rsidRPr="0080470E">
        <w:rPr>
          <w:lang w:val="fr-CH"/>
        </w:rPr>
        <w:t>p</w:t>
      </w:r>
      <w:r>
        <w:rPr>
          <w:lang w:val="fr-CH"/>
        </w:rPr>
        <w:t>résentatio</w:t>
      </w:r>
      <w:r w:rsidRPr="0080470E">
        <w:rPr>
          <w:lang w:val="fr-CH"/>
        </w:rPr>
        <w:t>ns</w:t>
      </w:r>
      <w:r>
        <w:rPr>
          <w:lang w:val="fr-CH"/>
        </w:rPr>
        <w:t> </w:t>
      </w:r>
      <w:r w:rsidRPr="0080470E">
        <w:rPr>
          <w:lang w:val="fr-CH"/>
        </w:rPr>
        <w:t xml:space="preserve">: une présentation </w:t>
      </w:r>
      <w:r>
        <w:rPr>
          <w:lang w:val="fr-CH"/>
        </w:rPr>
        <w:t>globale</w:t>
      </w:r>
      <w:r w:rsidRPr="0080470E">
        <w:rPr>
          <w:lang w:val="fr-CH"/>
        </w:rPr>
        <w:t xml:space="preserve"> du budget </w:t>
      </w:r>
      <w:r>
        <w:rPr>
          <w:lang w:val="fr-CH"/>
        </w:rPr>
        <w:t>par</w:t>
      </w:r>
      <w:r w:rsidRPr="0080470E">
        <w:rPr>
          <w:lang w:val="fr-CH"/>
        </w:rPr>
        <w:t xml:space="preserve"> programme et, dans ses annexes, une présentation de</w:t>
      </w:r>
      <w:r>
        <w:rPr>
          <w:lang w:val="fr-CH"/>
        </w:rPr>
        <w:t>s</w:t>
      </w:r>
      <w:r w:rsidRPr="0080470E">
        <w:rPr>
          <w:lang w:val="fr-CH"/>
        </w:rPr>
        <w:t xml:space="preserve"> source</w:t>
      </w:r>
      <w:r>
        <w:rPr>
          <w:lang w:val="fr-CH"/>
        </w:rPr>
        <w:t>s</w:t>
      </w:r>
      <w:r w:rsidRPr="0080470E">
        <w:rPr>
          <w:lang w:val="fr-CH"/>
        </w:rPr>
        <w:t xml:space="preserve"> de financement </w:t>
      </w:r>
      <w:r>
        <w:rPr>
          <w:lang w:val="fr-CH"/>
        </w:rPr>
        <w:t>par u</w:t>
      </w:r>
      <w:r w:rsidRPr="0080470E">
        <w:rPr>
          <w:lang w:val="fr-CH"/>
        </w:rPr>
        <w:t>nion.</w:t>
      </w:r>
    </w:p>
    <w:p w:rsidR="003974A4" w:rsidRDefault="003974A4" w:rsidP="003974A4">
      <w:pPr>
        <w:pStyle w:val="ONUMFS"/>
        <w:rPr>
          <w:lang w:val="fr-CH"/>
        </w:rPr>
      </w:pPr>
      <w:r w:rsidRPr="0080470E">
        <w:rPr>
          <w:lang w:val="fr-CH"/>
        </w:rPr>
        <w:t>Le Secrétariat a répondu à la question posée par la délégation des États</w:t>
      </w:r>
      <w:r w:rsidR="001D67E8">
        <w:rPr>
          <w:lang w:val="fr-CH"/>
        </w:rPr>
        <w:noBreakHyphen/>
      </w:r>
      <w:r w:rsidRPr="0080470E">
        <w:rPr>
          <w:lang w:val="fr-CH"/>
        </w:rPr>
        <w:t>Unis d</w:t>
      </w:r>
      <w:r w:rsidR="00CE5FEC">
        <w:rPr>
          <w:lang w:val="fr-CH"/>
        </w:rPr>
        <w:t>’</w:t>
      </w:r>
      <w:r w:rsidRPr="0080470E">
        <w:rPr>
          <w:lang w:val="fr-CH"/>
        </w:rPr>
        <w:t>Amérique sur le système de contribution uniq</w:t>
      </w:r>
      <w:r w:rsidR="001D67E8" w:rsidRPr="0080470E">
        <w:rPr>
          <w:lang w:val="fr-CH"/>
        </w:rPr>
        <w:t>ue</w:t>
      </w:r>
      <w:r w:rsidR="001D67E8">
        <w:rPr>
          <w:lang w:val="fr-CH"/>
        </w:rPr>
        <w:t xml:space="preserve">.  </w:t>
      </w:r>
      <w:r w:rsidR="001D67E8" w:rsidRPr="0080470E">
        <w:rPr>
          <w:lang w:val="fr-CH"/>
        </w:rPr>
        <w:t>Ce</w:t>
      </w:r>
      <w:r w:rsidRPr="0080470E">
        <w:rPr>
          <w:lang w:val="fr-CH"/>
        </w:rPr>
        <w:t xml:space="preserve"> système </w:t>
      </w:r>
      <w:r>
        <w:rPr>
          <w:lang w:val="fr-CH"/>
        </w:rPr>
        <w:t>renvoy</w:t>
      </w:r>
      <w:r w:rsidRPr="0080470E">
        <w:rPr>
          <w:lang w:val="fr-CH"/>
        </w:rPr>
        <w:t xml:space="preserve">ait à la pratique </w:t>
      </w:r>
      <w:r>
        <w:rPr>
          <w:lang w:val="fr-CH"/>
        </w:rPr>
        <w:t>suivie en matière de</w:t>
      </w:r>
      <w:r w:rsidRPr="0080470E">
        <w:rPr>
          <w:lang w:val="fr-CH"/>
        </w:rPr>
        <w:t xml:space="preserve"> contributions des </w:t>
      </w:r>
      <w:r>
        <w:rPr>
          <w:lang w:val="fr-CH"/>
        </w:rPr>
        <w:t>É</w:t>
      </w:r>
      <w:r w:rsidRPr="0080470E">
        <w:rPr>
          <w:lang w:val="fr-CH"/>
        </w:rPr>
        <w:t>tats membres de l</w:t>
      </w:r>
      <w:r w:rsidR="00CE5FEC">
        <w:rPr>
          <w:lang w:val="fr-CH"/>
        </w:rPr>
        <w:t>’</w:t>
      </w:r>
      <w:r w:rsidRPr="0080470E">
        <w:rPr>
          <w:lang w:val="fr-CH"/>
        </w:rPr>
        <w:t>OMPI depuis 1994.  En</w:t>
      </w:r>
      <w:r>
        <w:rPr>
          <w:lang w:val="fr-CH"/>
        </w:rPr>
        <w:t> </w:t>
      </w:r>
      <w:r w:rsidRPr="0080470E">
        <w:rPr>
          <w:lang w:val="fr-CH"/>
        </w:rPr>
        <w:t xml:space="preserve">1993, les assemblées des </w:t>
      </w:r>
      <w:r>
        <w:rPr>
          <w:lang w:val="fr-CH"/>
        </w:rPr>
        <w:t>É</w:t>
      </w:r>
      <w:r w:rsidRPr="0080470E">
        <w:rPr>
          <w:lang w:val="fr-CH"/>
        </w:rPr>
        <w:t xml:space="preserve">tats membres </w:t>
      </w:r>
      <w:r>
        <w:rPr>
          <w:lang w:val="fr-CH"/>
        </w:rPr>
        <w:t>avaient</w:t>
      </w:r>
      <w:r w:rsidRPr="0080470E">
        <w:rPr>
          <w:lang w:val="fr-CH"/>
        </w:rPr>
        <w:t xml:space="preserve"> décidé que tout pays adhérant à la Convention instituant l</w:t>
      </w:r>
      <w:r w:rsidR="00CE5FEC">
        <w:rPr>
          <w:lang w:val="fr-CH"/>
        </w:rPr>
        <w:t>’</w:t>
      </w:r>
      <w:r w:rsidRPr="0080470E">
        <w:rPr>
          <w:lang w:val="fr-CH"/>
        </w:rPr>
        <w:t>OMPI</w:t>
      </w:r>
      <w:r>
        <w:rPr>
          <w:lang w:val="fr-CH"/>
        </w:rPr>
        <w:t>, laquelle est</w:t>
      </w:r>
      <w:r w:rsidRPr="0080470E">
        <w:rPr>
          <w:lang w:val="fr-CH"/>
        </w:rPr>
        <w:t xml:space="preserve"> financée par des contributions</w:t>
      </w:r>
      <w:r>
        <w:rPr>
          <w:lang w:val="fr-CH"/>
        </w:rPr>
        <w:t>,</w:t>
      </w:r>
      <w:r w:rsidRPr="0080470E">
        <w:rPr>
          <w:lang w:val="fr-CH"/>
        </w:rPr>
        <w:t xml:space="preserve"> ainsi qu</w:t>
      </w:r>
      <w:r w:rsidR="00CE5FEC">
        <w:rPr>
          <w:lang w:val="fr-CH"/>
        </w:rPr>
        <w:t>’</w:t>
      </w:r>
      <w:r w:rsidRPr="0080470E">
        <w:rPr>
          <w:lang w:val="fr-CH"/>
        </w:rPr>
        <w:t>à n</w:t>
      </w:r>
      <w:r w:rsidR="00CE5FEC">
        <w:rPr>
          <w:lang w:val="fr-CH"/>
        </w:rPr>
        <w:t>’</w:t>
      </w:r>
      <w:r w:rsidRPr="0080470E">
        <w:rPr>
          <w:lang w:val="fr-CH"/>
        </w:rPr>
        <w:t>importe laquelle des six</w:t>
      </w:r>
      <w:r>
        <w:rPr>
          <w:lang w:val="fr-CH"/>
        </w:rPr>
        <w:t> </w:t>
      </w:r>
      <w:r w:rsidRPr="0080470E">
        <w:rPr>
          <w:lang w:val="fr-CH"/>
        </w:rPr>
        <w:t xml:space="preserve">unions financées par </w:t>
      </w:r>
      <w:r>
        <w:rPr>
          <w:lang w:val="fr-CH"/>
        </w:rPr>
        <w:t>d</w:t>
      </w:r>
      <w:r w:rsidRPr="0080470E">
        <w:rPr>
          <w:lang w:val="fr-CH"/>
        </w:rPr>
        <w:t>es contributions (Paris, Berne, I</w:t>
      </w:r>
      <w:r>
        <w:rPr>
          <w:lang w:val="fr-CH"/>
        </w:rPr>
        <w:t>PC</w:t>
      </w:r>
      <w:r w:rsidRPr="0080470E">
        <w:rPr>
          <w:lang w:val="fr-CH"/>
        </w:rPr>
        <w:t>, Nice, Locarno et Vienne) paierait une contribution unique à l</w:t>
      </w:r>
      <w:r w:rsidR="00CE5FEC">
        <w:rPr>
          <w:lang w:val="fr-CH"/>
        </w:rPr>
        <w:t>’</w:t>
      </w:r>
      <w:r w:rsidRPr="0080470E">
        <w:rPr>
          <w:lang w:val="fr-CH"/>
        </w:rPr>
        <w:t>Organisation plutôt que le montant de la contribution correspondant au nombre de traités auquel il était partie.</w:t>
      </w:r>
    </w:p>
    <w:p w:rsidR="003974A4" w:rsidRPr="0080470E" w:rsidRDefault="003974A4" w:rsidP="003974A4">
      <w:pPr>
        <w:pStyle w:val="ONUMFS"/>
        <w:rPr>
          <w:lang w:val="fr-CH"/>
        </w:rPr>
      </w:pPr>
      <w:r w:rsidRPr="0080470E">
        <w:rPr>
          <w:lang w:val="fr-CH"/>
        </w:rPr>
        <w:t>La délégation des États</w:t>
      </w:r>
      <w:r w:rsidR="001D67E8">
        <w:rPr>
          <w:lang w:val="fr-CH"/>
        </w:rPr>
        <w:noBreakHyphen/>
      </w:r>
      <w:r w:rsidRPr="0080470E">
        <w:rPr>
          <w:lang w:val="fr-CH"/>
        </w:rPr>
        <w:t>Unis d</w:t>
      </w:r>
      <w:r w:rsidR="00CE5FEC">
        <w:rPr>
          <w:lang w:val="fr-CH"/>
        </w:rPr>
        <w:t>’</w:t>
      </w:r>
      <w:r w:rsidRPr="0080470E">
        <w:rPr>
          <w:lang w:val="fr-CH"/>
        </w:rPr>
        <w:t xml:space="preserve">Amérique a </w:t>
      </w:r>
      <w:r>
        <w:rPr>
          <w:lang w:val="fr-CH"/>
        </w:rPr>
        <w:t>formulé plus clairement les</w:t>
      </w:r>
      <w:r w:rsidRPr="0080470E">
        <w:rPr>
          <w:lang w:val="fr-CH"/>
        </w:rPr>
        <w:t xml:space="preserve"> questions posées au Secrétari</w:t>
      </w:r>
      <w:r w:rsidR="001D67E8" w:rsidRPr="0080470E">
        <w:rPr>
          <w:lang w:val="fr-CH"/>
        </w:rPr>
        <w:t>at</w:t>
      </w:r>
      <w:r w:rsidR="001D67E8">
        <w:rPr>
          <w:lang w:val="fr-CH"/>
        </w:rPr>
        <w:t xml:space="preserve">.  </w:t>
      </w:r>
      <w:r w:rsidR="001D67E8" w:rsidRPr="0080470E">
        <w:rPr>
          <w:lang w:val="fr-CH"/>
        </w:rPr>
        <w:t>El</w:t>
      </w:r>
      <w:r w:rsidRPr="0080470E">
        <w:rPr>
          <w:lang w:val="fr-CH"/>
        </w:rPr>
        <w:t>le souhaitait tout d</w:t>
      </w:r>
      <w:r w:rsidR="00CE5FEC">
        <w:rPr>
          <w:lang w:val="fr-CH"/>
        </w:rPr>
        <w:t>’</w:t>
      </w:r>
      <w:r w:rsidRPr="0080470E">
        <w:rPr>
          <w:lang w:val="fr-CH"/>
        </w:rPr>
        <w:t xml:space="preserve">abord savoir </w:t>
      </w:r>
      <w:r>
        <w:rPr>
          <w:lang w:val="fr-CH"/>
        </w:rPr>
        <w:t>à</w:t>
      </w:r>
      <w:r w:rsidRPr="0080470E">
        <w:rPr>
          <w:lang w:val="fr-CH"/>
        </w:rPr>
        <w:t xml:space="preserve"> quel</w:t>
      </w:r>
      <w:r>
        <w:rPr>
          <w:lang w:val="fr-CH"/>
        </w:rPr>
        <w:t xml:space="preserve"> titr</w:t>
      </w:r>
      <w:r w:rsidRPr="0080470E">
        <w:rPr>
          <w:lang w:val="fr-CH"/>
        </w:rPr>
        <w:t>e l</w:t>
      </w:r>
      <w:r w:rsidR="00CE5FEC">
        <w:rPr>
          <w:lang w:val="fr-CH"/>
        </w:rPr>
        <w:t>’</w:t>
      </w:r>
      <w:r w:rsidRPr="0080470E">
        <w:rPr>
          <w:lang w:val="fr-CH"/>
        </w:rPr>
        <w:t>Union du</w:t>
      </w:r>
      <w:r>
        <w:rPr>
          <w:lang w:val="fr-CH"/>
        </w:rPr>
        <w:t> </w:t>
      </w:r>
      <w:r w:rsidRPr="0080470E">
        <w:rPr>
          <w:lang w:val="fr-CH"/>
        </w:rPr>
        <w:t>PCT finançait d</w:t>
      </w:r>
      <w:r w:rsidR="00CE5FEC">
        <w:rPr>
          <w:lang w:val="fr-CH"/>
        </w:rPr>
        <w:t>’</w:t>
      </w:r>
      <w:r w:rsidRPr="0080470E">
        <w:rPr>
          <w:lang w:val="fr-CH"/>
        </w:rPr>
        <w:t>autres programmes en dehors de l</w:t>
      </w:r>
      <w:r w:rsidR="00CE5FEC">
        <w:rPr>
          <w:lang w:val="fr-CH"/>
        </w:rPr>
        <w:t>’</w:t>
      </w:r>
      <w:r w:rsidRPr="0080470E">
        <w:rPr>
          <w:lang w:val="fr-CH"/>
        </w:rPr>
        <w:t>uni</w:t>
      </w:r>
      <w:r w:rsidR="001D67E8" w:rsidRPr="0080470E">
        <w:rPr>
          <w:lang w:val="fr-CH"/>
        </w:rPr>
        <w:t>on</w:t>
      </w:r>
      <w:r w:rsidR="001D67E8">
        <w:rPr>
          <w:lang w:val="fr-CH"/>
        </w:rPr>
        <w:t xml:space="preserve">.  </w:t>
      </w:r>
      <w:r w:rsidR="001D67E8" w:rsidRPr="0080470E">
        <w:rPr>
          <w:lang w:val="fr-CH"/>
        </w:rPr>
        <w:t>En</w:t>
      </w:r>
      <w:r w:rsidRPr="0080470E">
        <w:rPr>
          <w:lang w:val="fr-CH"/>
        </w:rPr>
        <w:t xml:space="preserve"> second</w:t>
      </w:r>
      <w:r>
        <w:rPr>
          <w:lang w:val="fr-CH"/>
        </w:rPr>
        <w:t> </w:t>
      </w:r>
      <w:r w:rsidRPr="0080470E">
        <w:rPr>
          <w:lang w:val="fr-CH"/>
        </w:rPr>
        <w:t xml:space="preserve">lieu, elle demandait des </w:t>
      </w:r>
      <w:r>
        <w:rPr>
          <w:lang w:val="fr-CH"/>
        </w:rPr>
        <w:t>éclaircissement</w:t>
      </w:r>
      <w:r w:rsidRPr="0080470E">
        <w:rPr>
          <w:lang w:val="fr-CH"/>
        </w:rPr>
        <w:t xml:space="preserve">s concernant le budget unique et </w:t>
      </w:r>
      <w:r>
        <w:rPr>
          <w:lang w:val="fr-CH"/>
        </w:rPr>
        <w:t>se demand</w:t>
      </w:r>
      <w:r w:rsidRPr="0080470E">
        <w:rPr>
          <w:lang w:val="fr-CH"/>
        </w:rPr>
        <w:t>ait s</w:t>
      </w:r>
      <w:r w:rsidR="00CE5FEC">
        <w:rPr>
          <w:lang w:val="fr-CH"/>
        </w:rPr>
        <w:t>’</w:t>
      </w:r>
      <w:r w:rsidRPr="0080470E">
        <w:rPr>
          <w:lang w:val="fr-CH"/>
        </w:rPr>
        <w:t>il prévoyait une répartition particulière d</w:t>
      </w:r>
      <w:r w:rsidR="00CE5FEC">
        <w:rPr>
          <w:lang w:val="fr-CH"/>
        </w:rPr>
        <w:t>’</w:t>
      </w:r>
      <w:r w:rsidRPr="0080470E">
        <w:rPr>
          <w:lang w:val="fr-CH"/>
        </w:rPr>
        <w:t>une union à l</w:t>
      </w:r>
      <w:r w:rsidR="00CE5FEC">
        <w:rPr>
          <w:lang w:val="fr-CH"/>
        </w:rPr>
        <w:t>’</w:t>
      </w:r>
      <w:r w:rsidRPr="0080470E">
        <w:rPr>
          <w:lang w:val="fr-CH"/>
        </w:rPr>
        <w:t xml:space="preserve">autre ou si une union financée par les recettes devait </w:t>
      </w:r>
      <w:r>
        <w:rPr>
          <w:lang w:val="fr-CH"/>
        </w:rPr>
        <w:t>débattre d</w:t>
      </w:r>
      <w:r w:rsidRPr="0080470E">
        <w:rPr>
          <w:lang w:val="fr-CH"/>
        </w:rPr>
        <w:t>u financement d</w:t>
      </w:r>
      <w:r w:rsidR="00CE5FEC">
        <w:rPr>
          <w:lang w:val="fr-CH"/>
        </w:rPr>
        <w:t>’</w:t>
      </w:r>
      <w:r w:rsidRPr="0080470E">
        <w:rPr>
          <w:lang w:val="fr-CH"/>
        </w:rPr>
        <w:t xml:space="preserve">une autre union.  </w:t>
      </w:r>
      <w:r>
        <w:rPr>
          <w:lang w:val="fr-CH"/>
        </w:rPr>
        <w:t>À </w:t>
      </w:r>
      <w:r w:rsidRPr="0080470E">
        <w:rPr>
          <w:lang w:val="fr-CH"/>
        </w:rPr>
        <w:t>cet égard, la délégation estimait qu</w:t>
      </w:r>
      <w:r w:rsidR="00CE5FEC">
        <w:rPr>
          <w:lang w:val="fr-CH"/>
        </w:rPr>
        <w:t>’</w:t>
      </w:r>
      <w:r w:rsidRPr="0080470E">
        <w:rPr>
          <w:lang w:val="fr-CH"/>
        </w:rPr>
        <w:t>il y avait eu un malentendu donnant à penser que sa proposition aurait une incidence sur le budget uniq</w:t>
      </w:r>
      <w:r w:rsidR="001D67E8" w:rsidRPr="0080470E">
        <w:rPr>
          <w:lang w:val="fr-CH"/>
        </w:rPr>
        <w:t>ue</w:t>
      </w:r>
      <w:r w:rsidR="001D67E8">
        <w:rPr>
          <w:lang w:val="fr-CH"/>
        </w:rPr>
        <w:t xml:space="preserve">.  </w:t>
      </w:r>
      <w:r w:rsidR="001D67E8" w:rsidRPr="0080470E">
        <w:rPr>
          <w:lang w:val="fr-CH"/>
        </w:rPr>
        <w:t>Se</w:t>
      </w:r>
      <w:r w:rsidRPr="0080470E">
        <w:rPr>
          <w:lang w:val="fr-CH"/>
        </w:rPr>
        <w:t>lon elle, le budget unique qui avait été proposé dans le cadre de la réforme statutaire n</w:t>
      </w:r>
      <w:r w:rsidR="00CE5FEC">
        <w:rPr>
          <w:lang w:val="fr-CH"/>
        </w:rPr>
        <w:t>’</w:t>
      </w:r>
      <w:r w:rsidRPr="0080470E">
        <w:rPr>
          <w:lang w:val="fr-CH"/>
        </w:rPr>
        <w:t>avait jamais été adopté.</w:t>
      </w:r>
    </w:p>
    <w:p w:rsidR="003974A4" w:rsidRPr="0080470E" w:rsidRDefault="003974A4" w:rsidP="003974A4">
      <w:pPr>
        <w:pStyle w:val="ONUMFS"/>
        <w:rPr>
          <w:lang w:val="fr-CH"/>
        </w:rPr>
      </w:pPr>
      <w:r w:rsidRPr="0080470E">
        <w:rPr>
          <w:lang w:val="fr-CH"/>
        </w:rPr>
        <w:t>Le Directeur général a répondu aux questions posées par la délégation des États</w:t>
      </w:r>
      <w:r w:rsidR="001D67E8">
        <w:rPr>
          <w:lang w:val="fr-CH"/>
        </w:rPr>
        <w:noBreakHyphen/>
      </w:r>
      <w:r w:rsidRPr="0080470E">
        <w:rPr>
          <w:lang w:val="fr-CH"/>
        </w:rPr>
        <w:t>Unis d</w:t>
      </w:r>
      <w:r w:rsidR="00CE5FEC">
        <w:rPr>
          <w:lang w:val="fr-CH"/>
        </w:rPr>
        <w:t>’</w:t>
      </w:r>
      <w:r w:rsidRPr="0080470E">
        <w:rPr>
          <w:lang w:val="fr-CH"/>
        </w:rPr>
        <w:t>Amérique en expliquant que l</w:t>
      </w:r>
      <w:r w:rsidR="00CE5FEC">
        <w:rPr>
          <w:lang w:val="fr-CH"/>
        </w:rPr>
        <w:t>’</w:t>
      </w:r>
      <w:r w:rsidRPr="0080470E">
        <w:rPr>
          <w:lang w:val="fr-CH"/>
        </w:rPr>
        <w:t>autorisation de dépenses découlait du processus d</w:t>
      </w:r>
      <w:r w:rsidR="00CE5FEC">
        <w:rPr>
          <w:lang w:val="fr-CH"/>
        </w:rPr>
        <w:t>’</w:t>
      </w:r>
      <w:r w:rsidRPr="0080470E">
        <w:rPr>
          <w:lang w:val="fr-CH"/>
        </w:rPr>
        <w:t>approbation du programme et budget.  L</w:t>
      </w:r>
      <w:r w:rsidR="00CE5FEC">
        <w:rPr>
          <w:lang w:val="fr-CH"/>
        </w:rPr>
        <w:t>’</w:t>
      </w:r>
      <w:r w:rsidRPr="0080470E">
        <w:rPr>
          <w:lang w:val="fr-CH"/>
        </w:rPr>
        <w:t xml:space="preserve">OMPI était un cas particulier </w:t>
      </w:r>
      <w:r>
        <w:rPr>
          <w:lang w:val="fr-CH"/>
        </w:rPr>
        <w:t xml:space="preserve">puisque </w:t>
      </w:r>
      <w:r w:rsidRPr="0080470E">
        <w:rPr>
          <w:lang w:val="fr-CH"/>
        </w:rPr>
        <w:t xml:space="preserve">les contributions des </w:t>
      </w:r>
      <w:r>
        <w:rPr>
          <w:lang w:val="fr-CH"/>
        </w:rPr>
        <w:t>É</w:t>
      </w:r>
      <w:r w:rsidRPr="0080470E">
        <w:rPr>
          <w:lang w:val="fr-CH"/>
        </w:rPr>
        <w:t>tats membres représentaient 5% des recettes, le solde provenant des opérations des systèmes du</w:t>
      </w:r>
      <w:r>
        <w:rPr>
          <w:lang w:val="fr-CH"/>
        </w:rPr>
        <w:t> </w:t>
      </w:r>
      <w:r w:rsidRPr="0080470E">
        <w:rPr>
          <w:lang w:val="fr-CH"/>
        </w:rPr>
        <w:t xml:space="preserve">PCT, de Madrid et de </w:t>
      </w:r>
      <w:r w:rsidR="00CE5FEC">
        <w:rPr>
          <w:lang w:val="fr-CH"/>
        </w:rPr>
        <w:t>La Ha</w:t>
      </w:r>
      <w:r w:rsidR="001D67E8">
        <w:rPr>
          <w:lang w:val="fr-CH"/>
        </w:rPr>
        <w:t>ye.  C’é</w:t>
      </w:r>
      <w:r>
        <w:rPr>
          <w:lang w:val="fr-CH"/>
        </w:rPr>
        <w:t>taient donc les États membres qui autorisaient les dépenses</w:t>
      </w:r>
      <w:r w:rsidRPr="0080470E">
        <w:rPr>
          <w:lang w:val="fr-CH"/>
        </w:rPr>
        <w:t xml:space="preserve"> </w:t>
      </w:r>
      <w:r>
        <w:rPr>
          <w:lang w:val="fr-CH"/>
        </w:rPr>
        <w:t xml:space="preserve">en </w:t>
      </w:r>
      <w:r w:rsidRPr="0080470E">
        <w:rPr>
          <w:lang w:val="fr-CH"/>
        </w:rPr>
        <w:t>appro</w:t>
      </w:r>
      <w:r>
        <w:rPr>
          <w:lang w:val="fr-CH"/>
        </w:rPr>
        <w:t>uvant le</w:t>
      </w:r>
      <w:r w:rsidRPr="0080470E">
        <w:rPr>
          <w:lang w:val="fr-CH"/>
        </w:rPr>
        <w:t xml:space="preserve"> budget, c</w:t>
      </w:r>
      <w:r>
        <w:rPr>
          <w:lang w:val="fr-CH"/>
        </w:rPr>
        <w:t>omm</w:t>
      </w:r>
      <w:r w:rsidRPr="0080470E">
        <w:rPr>
          <w:lang w:val="fr-CH"/>
        </w:rPr>
        <w:t xml:space="preserve">e </w:t>
      </w:r>
      <w:r>
        <w:rPr>
          <w:lang w:val="fr-CH"/>
        </w:rPr>
        <w:t>cela</w:t>
      </w:r>
      <w:r w:rsidRPr="0080470E">
        <w:rPr>
          <w:lang w:val="fr-CH"/>
        </w:rPr>
        <w:t xml:space="preserve"> avait été le cas depuis que l</w:t>
      </w:r>
      <w:r w:rsidR="00CE5FEC">
        <w:rPr>
          <w:lang w:val="fr-CH"/>
        </w:rPr>
        <w:t>’</w:t>
      </w:r>
      <w:r w:rsidRPr="0080470E">
        <w:rPr>
          <w:lang w:val="fr-CH"/>
        </w:rPr>
        <w:t>Organisation avait pris sa forme actuelle en</w:t>
      </w:r>
      <w:r>
        <w:rPr>
          <w:lang w:val="fr-CH"/>
        </w:rPr>
        <w:t> </w:t>
      </w:r>
      <w:r w:rsidRPr="0080470E">
        <w:rPr>
          <w:lang w:val="fr-CH"/>
        </w:rPr>
        <w:t xml:space="preserve">1970.  </w:t>
      </w:r>
      <w:r>
        <w:rPr>
          <w:lang w:val="fr-CH"/>
        </w:rPr>
        <w:t>S</w:t>
      </w:r>
      <w:r w:rsidR="00CE5FEC">
        <w:rPr>
          <w:lang w:val="fr-CH"/>
        </w:rPr>
        <w:t>’</w:t>
      </w:r>
      <w:r>
        <w:rPr>
          <w:lang w:val="fr-CH"/>
        </w:rPr>
        <w:t>agissant du</w:t>
      </w:r>
      <w:r w:rsidRPr="0080470E">
        <w:rPr>
          <w:lang w:val="fr-CH"/>
        </w:rPr>
        <w:t xml:space="preserve"> budget unique, la délégation des États</w:t>
      </w:r>
      <w:r w:rsidR="001D67E8">
        <w:rPr>
          <w:lang w:val="fr-CH"/>
        </w:rPr>
        <w:noBreakHyphen/>
      </w:r>
      <w:r w:rsidRPr="0080470E">
        <w:rPr>
          <w:lang w:val="fr-CH"/>
        </w:rPr>
        <w:t>Unis d</w:t>
      </w:r>
      <w:r w:rsidR="00CE5FEC">
        <w:rPr>
          <w:lang w:val="fr-CH"/>
        </w:rPr>
        <w:t>’</w:t>
      </w:r>
      <w:r w:rsidRPr="0080470E">
        <w:rPr>
          <w:lang w:val="fr-CH"/>
        </w:rPr>
        <w:t>Amérique avait raison de dire que l</w:t>
      </w:r>
      <w:r w:rsidR="00CE5FEC">
        <w:rPr>
          <w:lang w:val="fr-CH"/>
        </w:rPr>
        <w:t>’</w:t>
      </w:r>
      <w:r w:rsidRPr="0080470E">
        <w:rPr>
          <w:lang w:val="fr-CH"/>
        </w:rPr>
        <w:t xml:space="preserve">expression “budget unique” était </w:t>
      </w:r>
      <w:r w:rsidR="00544893">
        <w:rPr>
          <w:lang w:val="fr-CH"/>
        </w:rPr>
        <w:t>une</w:t>
      </w:r>
      <w:r w:rsidRPr="0080470E">
        <w:rPr>
          <w:lang w:val="fr-CH"/>
        </w:rPr>
        <w:t xml:space="preserve"> f</w:t>
      </w:r>
      <w:r>
        <w:rPr>
          <w:lang w:val="fr-CH"/>
        </w:rPr>
        <w:t xml:space="preserve">ormulation employée par </w:t>
      </w:r>
      <w:r w:rsidRPr="0080470E">
        <w:rPr>
          <w:lang w:val="fr-CH"/>
        </w:rPr>
        <w:t>les membres de l</w:t>
      </w:r>
      <w:r w:rsidR="00CE5FEC">
        <w:rPr>
          <w:lang w:val="fr-CH"/>
        </w:rPr>
        <w:t>’</w:t>
      </w:r>
      <w:r w:rsidRPr="0080470E">
        <w:rPr>
          <w:lang w:val="fr-CH"/>
        </w:rPr>
        <w:t xml:space="preserve">OMPI </w:t>
      </w:r>
      <w:r>
        <w:rPr>
          <w:lang w:val="fr-CH"/>
        </w:rPr>
        <w:t>pour désigner</w:t>
      </w:r>
      <w:r w:rsidRPr="0080470E">
        <w:rPr>
          <w:lang w:val="fr-CH"/>
        </w:rPr>
        <w:t xml:space="preserve"> la présentation du programme et budget dans un seul document qui </w:t>
      </w:r>
      <w:r>
        <w:rPr>
          <w:lang w:val="fr-CH"/>
        </w:rPr>
        <w:t>présen</w:t>
      </w:r>
      <w:r w:rsidRPr="0080470E">
        <w:rPr>
          <w:lang w:val="fr-CH"/>
        </w:rPr>
        <w:t>tait les finances de l</w:t>
      </w:r>
      <w:r w:rsidR="00CE5FEC">
        <w:rPr>
          <w:lang w:val="fr-CH"/>
        </w:rPr>
        <w:t>’</w:t>
      </w:r>
      <w:r w:rsidRPr="0080470E">
        <w:rPr>
          <w:lang w:val="fr-CH"/>
        </w:rPr>
        <w:t>Organisation dont les re</w:t>
      </w:r>
      <w:r>
        <w:rPr>
          <w:lang w:val="fr-CH"/>
        </w:rPr>
        <w:t>cett</w:t>
      </w:r>
      <w:r w:rsidRPr="0080470E">
        <w:rPr>
          <w:lang w:val="fr-CH"/>
        </w:rPr>
        <w:t xml:space="preserve">es provenaient des différentes unions et les dépenses proposées </w:t>
      </w:r>
      <w:r>
        <w:rPr>
          <w:lang w:val="fr-CH"/>
        </w:rPr>
        <w:t>au titre d</w:t>
      </w:r>
      <w:r w:rsidRPr="0080470E">
        <w:rPr>
          <w:lang w:val="fr-CH"/>
        </w:rPr>
        <w:t>es différents programmes</w:t>
      </w:r>
      <w:r w:rsidR="001D67E8">
        <w:rPr>
          <w:lang w:val="fr-CH"/>
        </w:rPr>
        <w:t xml:space="preserve">.  </w:t>
      </w:r>
      <w:r w:rsidR="001D67E8" w:rsidRPr="0080470E">
        <w:rPr>
          <w:lang w:val="fr-CH"/>
        </w:rPr>
        <w:t>Co</w:t>
      </w:r>
      <w:r w:rsidRPr="0080470E">
        <w:rPr>
          <w:lang w:val="fr-CH"/>
        </w:rPr>
        <w:t xml:space="preserve">mme indiqué dans la réponse à la question posée par la délégation de </w:t>
      </w:r>
      <w:r>
        <w:rPr>
          <w:lang w:val="fr-CH"/>
        </w:rPr>
        <w:t xml:space="preserve">la </w:t>
      </w:r>
      <w:r w:rsidRPr="0080470E">
        <w:rPr>
          <w:lang w:val="fr-CH"/>
        </w:rPr>
        <w:t xml:space="preserve">République islamique </w:t>
      </w:r>
      <w:r>
        <w:rPr>
          <w:lang w:val="fr-CH"/>
        </w:rPr>
        <w:t>d</w:t>
      </w:r>
      <w:r w:rsidR="00CE5FEC">
        <w:rPr>
          <w:lang w:val="fr-CH"/>
        </w:rPr>
        <w:t>’</w:t>
      </w:r>
      <w:r>
        <w:rPr>
          <w:lang w:val="fr-CH"/>
        </w:rPr>
        <w:t>Iran</w:t>
      </w:r>
      <w:r w:rsidRPr="0080470E">
        <w:rPr>
          <w:lang w:val="fr-CH"/>
        </w:rPr>
        <w:t>, le projet de programme et budget co</w:t>
      </w:r>
      <w:r>
        <w:rPr>
          <w:lang w:val="fr-CH"/>
        </w:rPr>
        <w:t>mportait</w:t>
      </w:r>
      <w:r w:rsidRPr="0080470E">
        <w:rPr>
          <w:lang w:val="fr-CH"/>
        </w:rPr>
        <w:t xml:space="preserve"> deux</w:t>
      </w:r>
      <w:r>
        <w:rPr>
          <w:lang w:val="fr-CH"/>
        </w:rPr>
        <w:t> </w:t>
      </w:r>
      <w:r w:rsidRPr="0080470E">
        <w:rPr>
          <w:lang w:val="fr-CH"/>
        </w:rPr>
        <w:t xml:space="preserve">présentations, une </w:t>
      </w:r>
      <w:r w:rsidR="00544893">
        <w:rPr>
          <w:lang w:val="fr-CH"/>
        </w:rPr>
        <w:t xml:space="preserve">présentation unifiée </w:t>
      </w:r>
      <w:r w:rsidRPr="0080470E">
        <w:rPr>
          <w:lang w:val="fr-CH"/>
        </w:rPr>
        <w:t>par programme et la deuxième qui expos</w:t>
      </w:r>
      <w:r>
        <w:rPr>
          <w:lang w:val="fr-CH"/>
        </w:rPr>
        <w:t>ait</w:t>
      </w:r>
      <w:r w:rsidRPr="0080470E">
        <w:rPr>
          <w:lang w:val="fr-CH"/>
        </w:rPr>
        <w:t xml:space="preserve"> les sources de financement par uni</w:t>
      </w:r>
      <w:r w:rsidR="001D67E8" w:rsidRPr="0080470E">
        <w:rPr>
          <w:lang w:val="fr-CH"/>
        </w:rPr>
        <w:t>on</w:t>
      </w:r>
      <w:r w:rsidR="001D67E8">
        <w:rPr>
          <w:lang w:val="fr-CH"/>
        </w:rPr>
        <w:t xml:space="preserve">.  </w:t>
      </w:r>
      <w:r w:rsidR="001D67E8" w:rsidRPr="0080470E">
        <w:rPr>
          <w:lang w:val="fr-CH"/>
        </w:rPr>
        <w:t>Le</w:t>
      </w:r>
      <w:r w:rsidRPr="0080470E">
        <w:rPr>
          <w:lang w:val="fr-CH"/>
        </w:rPr>
        <w:t>s choses se compliqu</w:t>
      </w:r>
      <w:r>
        <w:rPr>
          <w:lang w:val="fr-CH"/>
        </w:rPr>
        <w:t>ai</w:t>
      </w:r>
      <w:r w:rsidRPr="0080470E">
        <w:rPr>
          <w:lang w:val="fr-CH"/>
        </w:rPr>
        <w:t xml:space="preserve">ent avec les dépenses communes à toutes les unions, notamment </w:t>
      </w:r>
      <w:r>
        <w:rPr>
          <w:lang w:val="fr-CH"/>
        </w:rPr>
        <w:t xml:space="preserve">celles engagées </w:t>
      </w:r>
      <w:r w:rsidRPr="0080470E">
        <w:rPr>
          <w:lang w:val="fr-CH"/>
        </w:rPr>
        <w:t>au titre des bâtiments, des ressources humaines, de l</w:t>
      </w:r>
      <w:r w:rsidR="00CE5FEC">
        <w:rPr>
          <w:lang w:val="fr-CH"/>
        </w:rPr>
        <w:t>’</w:t>
      </w:r>
      <w:r w:rsidRPr="0080470E">
        <w:rPr>
          <w:lang w:val="fr-CH"/>
        </w:rPr>
        <w:t>administration et des financ</w:t>
      </w:r>
      <w:r w:rsidR="001D67E8" w:rsidRPr="0080470E">
        <w:rPr>
          <w:lang w:val="fr-CH"/>
        </w:rPr>
        <w:t>es</w:t>
      </w:r>
      <w:r w:rsidR="001D67E8">
        <w:rPr>
          <w:lang w:val="fr-CH"/>
        </w:rPr>
        <w:t xml:space="preserve">.  </w:t>
      </w:r>
      <w:r w:rsidR="001D67E8" w:rsidRPr="0080470E">
        <w:rPr>
          <w:lang w:val="fr-CH"/>
        </w:rPr>
        <w:t>Ce</w:t>
      </w:r>
      <w:r w:rsidRPr="0080470E">
        <w:rPr>
          <w:lang w:val="fr-CH"/>
        </w:rPr>
        <w:t>s dépenses communes concernaient l</w:t>
      </w:r>
      <w:r w:rsidR="00CE5FEC">
        <w:rPr>
          <w:lang w:val="fr-CH"/>
        </w:rPr>
        <w:t>’</w:t>
      </w:r>
      <w:r w:rsidRPr="0080470E">
        <w:rPr>
          <w:lang w:val="fr-CH"/>
        </w:rPr>
        <w:t>ensemble des unions, traités et programmes au sein de l</w:t>
      </w:r>
      <w:r w:rsidR="00CE5FEC">
        <w:rPr>
          <w:lang w:val="fr-CH"/>
        </w:rPr>
        <w:t>’</w:t>
      </w:r>
      <w:r w:rsidRPr="0080470E">
        <w:rPr>
          <w:lang w:val="fr-CH"/>
        </w:rPr>
        <w:t>Organisati</w:t>
      </w:r>
      <w:r w:rsidR="001D67E8" w:rsidRPr="0080470E">
        <w:rPr>
          <w:lang w:val="fr-CH"/>
        </w:rPr>
        <w:t>on</w:t>
      </w:r>
      <w:r w:rsidR="001D67E8">
        <w:rPr>
          <w:lang w:val="fr-CH"/>
        </w:rPr>
        <w:t>.  À</w:t>
      </w:r>
      <w:r w:rsidR="001D67E8" w:rsidRPr="0080470E">
        <w:rPr>
          <w:lang w:val="fr-CH"/>
        </w:rPr>
        <w:t xml:space="preserve"> </w:t>
      </w:r>
      <w:r w:rsidRPr="0080470E">
        <w:rPr>
          <w:lang w:val="fr-CH"/>
        </w:rPr>
        <w:t xml:space="preserve">cet égard, le Directeur général </w:t>
      </w:r>
      <w:r>
        <w:rPr>
          <w:lang w:val="fr-CH"/>
        </w:rPr>
        <w:t xml:space="preserve">a évoqué </w:t>
      </w:r>
      <w:r w:rsidRPr="0080470E">
        <w:rPr>
          <w:lang w:val="fr-CH"/>
        </w:rPr>
        <w:t xml:space="preserve">une présentation faite </w:t>
      </w:r>
      <w:r>
        <w:rPr>
          <w:lang w:val="fr-CH"/>
        </w:rPr>
        <w:t xml:space="preserve">la semaine dernière </w:t>
      </w:r>
      <w:r w:rsidRPr="0080470E">
        <w:rPr>
          <w:lang w:val="fr-CH"/>
        </w:rPr>
        <w:t xml:space="preserve">par le Secrétariat à la demande des </w:t>
      </w:r>
      <w:r>
        <w:rPr>
          <w:lang w:val="fr-CH"/>
        </w:rPr>
        <w:t>É</w:t>
      </w:r>
      <w:r w:rsidRPr="0080470E">
        <w:rPr>
          <w:lang w:val="fr-CH"/>
        </w:rPr>
        <w:t>tats membres</w:t>
      </w:r>
      <w:r>
        <w:rPr>
          <w:lang w:val="fr-CH"/>
        </w:rPr>
        <w:t xml:space="preserve"> et</w:t>
      </w:r>
      <w:r w:rsidRPr="0080470E">
        <w:rPr>
          <w:lang w:val="fr-CH"/>
        </w:rPr>
        <w:t xml:space="preserve"> dont les</w:t>
      </w:r>
      <w:r>
        <w:rPr>
          <w:lang w:val="fr-CH"/>
        </w:rPr>
        <w:t xml:space="preserve"> diaposi</w:t>
      </w:r>
      <w:r w:rsidRPr="0080470E">
        <w:rPr>
          <w:lang w:val="fr-CH"/>
        </w:rPr>
        <w:t>t</w:t>
      </w:r>
      <w:r>
        <w:rPr>
          <w:lang w:val="fr-CH"/>
        </w:rPr>
        <w:t>iv</w:t>
      </w:r>
      <w:r w:rsidRPr="0080470E">
        <w:rPr>
          <w:lang w:val="fr-CH"/>
        </w:rPr>
        <w:t xml:space="preserve">es avaient été </w:t>
      </w:r>
      <w:r>
        <w:rPr>
          <w:lang w:val="fr-CH"/>
        </w:rPr>
        <w:t>diffusé</w:t>
      </w:r>
      <w:r w:rsidR="001D67E8">
        <w:rPr>
          <w:lang w:val="fr-CH"/>
        </w:rPr>
        <w:t xml:space="preserve">es.  </w:t>
      </w:r>
      <w:r w:rsidR="001D67E8" w:rsidRPr="0080470E">
        <w:rPr>
          <w:lang w:val="fr-CH"/>
        </w:rPr>
        <w:t>La</w:t>
      </w:r>
      <w:r w:rsidRPr="0080470E">
        <w:rPr>
          <w:lang w:val="fr-CH"/>
        </w:rPr>
        <w:t xml:space="preserve"> répartition des dépenses communes était effect</w:t>
      </w:r>
      <w:r>
        <w:rPr>
          <w:lang w:val="fr-CH"/>
        </w:rPr>
        <w:t>u</w:t>
      </w:r>
      <w:r w:rsidRPr="0080470E">
        <w:rPr>
          <w:lang w:val="fr-CH"/>
        </w:rPr>
        <w:t>ée selon une formule complexe qui avait été expliquée à l</w:t>
      </w:r>
      <w:r w:rsidR="00CE5FEC">
        <w:rPr>
          <w:lang w:val="fr-CH"/>
        </w:rPr>
        <w:t>’</w:t>
      </w:r>
      <w:r w:rsidRPr="0080470E">
        <w:rPr>
          <w:lang w:val="fr-CH"/>
        </w:rPr>
        <w:t>occasion de la présentation.</w:t>
      </w:r>
    </w:p>
    <w:p w:rsidR="003974A4" w:rsidRPr="0080470E" w:rsidRDefault="003974A4" w:rsidP="003974A4">
      <w:pPr>
        <w:pStyle w:val="ONUMFS"/>
        <w:rPr>
          <w:lang w:val="fr-CH"/>
        </w:rPr>
      </w:pPr>
      <w:r w:rsidRPr="0080470E">
        <w:rPr>
          <w:lang w:val="fr-CH"/>
        </w:rPr>
        <w:t>La délégation des États</w:t>
      </w:r>
      <w:r w:rsidR="001D67E8">
        <w:rPr>
          <w:lang w:val="fr-CH"/>
        </w:rPr>
        <w:noBreakHyphen/>
      </w:r>
      <w:r w:rsidRPr="0080470E">
        <w:rPr>
          <w:lang w:val="fr-CH"/>
        </w:rPr>
        <w:t>Unis d</w:t>
      </w:r>
      <w:r w:rsidR="00CE5FEC">
        <w:rPr>
          <w:lang w:val="fr-CH"/>
        </w:rPr>
        <w:t>’</w:t>
      </w:r>
      <w:r w:rsidRPr="0080470E">
        <w:rPr>
          <w:lang w:val="fr-CH"/>
        </w:rPr>
        <w:t>Amérique a remercié le Directeur général pour sa réponse et a souhaité préciser que le fait que l</w:t>
      </w:r>
      <w:r w:rsidR="00CE5FEC">
        <w:rPr>
          <w:lang w:val="fr-CH"/>
        </w:rPr>
        <w:t>’</w:t>
      </w:r>
      <w:r w:rsidRPr="0080470E">
        <w:rPr>
          <w:lang w:val="fr-CH"/>
        </w:rPr>
        <w:t>Assemblée de l</w:t>
      </w:r>
      <w:r w:rsidR="00CE5FEC">
        <w:rPr>
          <w:lang w:val="fr-CH"/>
        </w:rPr>
        <w:t>’</w:t>
      </w:r>
      <w:r w:rsidRPr="0080470E">
        <w:rPr>
          <w:lang w:val="fr-CH"/>
        </w:rPr>
        <w:t>Union du</w:t>
      </w:r>
      <w:r>
        <w:rPr>
          <w:lang w:val="fr-CH"/>
        </w:rPr>
        <w:t> </w:t>
      </w:r>
      <w:r w:rsidRPr="0080470E">
        <w:rPr>
          <w:lang w:val="fr-CH"/>
        </w:rPr>
        <w:t xml:space="preserve">PCT adopte la décision proposée de ne pas subventionner une union qui génère des recettes ne porterait pas atteinte au budget unique, demandant </w:t>
      </w:r>
      <w:r>
        <w:rPr>
          <w:lang w:val="fr-CH"/>
        </w:rPr>
        <w:t xml:space="preserve">à </w:t>
      </w:r>
      <w:r w:rsidRPr="0080470E">
        <w:rPr>
          <w:lang w:val="fr-CH"/>
        </w:rPr>
        <w:t>quel</w:t>
      </w:r>
      <w:r>
        <w:rPr>
          <w:lang w:val="fr-CH"/>
        </w:rPr>
        <w:t xml:space="preserve"> titre</w:t>
      </w:r>
      <w:r w:rsidRPr="0080470E">
        <w:rPr>
          <w:lang w:val="fr-CH"/>
        </w:rPr>
        <w:t xml:space="preserve"> l</w:t>
      </w:r>
      <w:r w:rsidR="00CE5FEC">
        <w:rPr>
          <w:lang w:val="fr-CH"/>
        </w:rPr>
        <w:t>’</w:t>
      </w:r>
      <w:r w:rsidRPr="0080470E">
        <w:rPr>
          <w:lang w:val="fr-CH"/>
        </w:rPr>
        <w:t xml:space="preserve">Union de Lisbonne </w:t>
      </w:r>
      <w:r>
        <w:rPr>
          <w:lang w:val="fr-CH"/>
        </w:rPr>
        <w:t>était financée</w:t>
      </w:r>
      <w:r w:rsidRPr="0080470E">
        <w:rPr>
          <w:lang w:val="fr-CH"/>
        </w:rPr>
        <w:t xml:space="preserve"> par d</w:t>
      </w:r>
      <w:r w:rsidR="00CE5FEC">
        <w:rPr>
          <w:lang w:val="fr-CH"/>
        </w:rPr>
        <w:t>’</w:t>
      </w:r>
      <w:r w:rsidRPr="0080470E">
        <w:rPr>
          <w:lang w:val="fr-CH"/>
        </w:rPr>
        <w:t>autres unions générant des recettes sans leur accord exprès.</w:t>
      </w:r>
    </w:p>
    <w:p w:rsidR="003974A4" w:rsidRDefault="003974A4" w:rsidP="003974A4">
      <w:pPr>
        <w:pStyle w:val="ONUMFS"/>
        <w:rPr>
          <w:lang w:val="fr-CH"/>
        </w:rPr>
      </w:pPr>
      <w:r w:rsidRPr="0080470E">
        <w:rPr>
          <w:lang w:val="fr-CH"/>
        </w:rPr>
        <w:t>Le Directeur général a répondu aux autres questions posées par la délégation des États</w:t>
      </w:r>
      <w:r w:rsidR="001D67E8">
        <w:rPr>
          <w:lang w:val="fr-CH"/>
        </w:rPr>
        <w:noBreakHyphen/>
      </w:r>
      <w:r w:rsidRPr="0080470E">
        <w:rPr>
          <w:lang w:val="fr-CH"/>
        </w:rPr>
        <w:t>Unis d</w:t>
      </w:r>
      <w:r w:rsidR="00CE5FEC">
        <w:rPr>
          <w:lang w:val="fr-CH"/>
        </w:rPr>
        <w:t>’</w:t>
      </w:r>
      <w:r w:rsidRPr="0080470E">
        <w:rPr>
          <w:lang w:val="fr-CH"/>
        </w:rPr>
        <w:t>Amériq</w:t>
      </w:r>
      <w:r w:rsidR="001D67E8" w:rsidRPr="0080470E">
        <w:rPr>
          <w:lang w:val="fr-CH"/>
        </w:rPr>
        <w:t>ue</w:t>
      </w:r>
      <w:r w:rsidR="001D67E8">
        <w:rPr>
          <w:lang w:val="fr-CH"/>
        </w:rPr>
        <w:t xml:space="preserve">.  </w:t>
      </w:r>
      <w:r w:rsidR="00544893">
        <w:rPr>
          <w:lang w:val="fr-CH"/>
        </w:rPr>
        <w:t>U</w:t>
      </w:r>
      <w:r w:rsidRPr="0080470E">
        <w:rPr>
          <w:lang w:val="fr-CH"/>
        </w:rPr>
        <w:t>ne éventuelle décision de l</w:t>
      </w:r>
      <w:r w:rsidR="00CE5FEC">
        <w:rPr>
          <w:lang w:val="fr-CH"/>
        </w:rPr>
        <w:t>’</w:t>
      </w:r>
      <w:r w:rsidRPr="0080470E">
        <w:rPr>
          <w:lang w:val="fr-CH"/>
        </w:rPr>
        <w:t>Union du</w:t>
      </w:r>
      <w:r>
        <w:rPr>
          <w:lang w:val="fr-CH"/>
        </w:rPr>
        <w:t> </w:t>
      </w:r>
      <w:r w:rsidRPr="0080470E">
        <w:rPr>
          <w:lang w:val="fr-CH"/>
        </w:rPr>
        <w:t>PCT de ne pas subventionner une union particulière gén</w:t>
      </w:r>
      <w:r>
        <w:rPr>
          <w:lang w:val="fr-CH"/>
        </w:rPr>
        <w:t>érant</w:t>
      </w:r>
      <w:r w:rsidRPr="0080470E">
        <w:rPr>
          <w:lang w:val="fr-CH"/>
        </w:rPr>
        <w:t xml:space="preserve"> des recettes comme l</w:t>
      </w:r>
      <w:r w:rsidR="00CE5FEC">
        <w:rPr>
          <w:lang w:val="fr-CH"/>
        </w:rPr>
        <w:t>’</w:t>
      </w:r>
      <w:r w:rsidR="00544893">
        <w:rPr>
          <w:lang w:val="fr-CH"/>
        </w:rPr>
        <w:t>Union de Lisbonne</w:t>
      </w:r>
      <w:r w:rsidRPr="0080470E">
        <w:rPr>
          <w:lang w:val="fr-CH"/>
        </w:rPr>
        <w:t xml:space="preserve"> ne porterait atteinte à aucune autre partie du “budget unique”, même s</w:t>
      </w:r>
      <w:r w:rsidR="00CE5FEC">
        <w:rPr>
          <w:lang w:val="fr-CH"/>
        </w:rPr>
        <w:t>’</w:t>
      </w:r>
      <w:r w:rsidRPr="0080470E">
        <w:rPr>
          <w:lang w:val="fr-CH"/>
        </w:rPr>
        <w:t>il n</w:t>
      </w:r>
      <w:r w:rsidR="00CE5FEC">
        <w:rPr>
          <w:lang w:val="fr-CH"/>
        </w:rPr>
        <w:t>’</w:t>
      </w:r>
      <w:r w:rsidRPr="0080470E">
        <w:rPr>
          <w:lang w:val="fr-CH"/>
        </w:rPr>
        <w:t xml:space="preserve">y avait en fait </w:t>
      </w:r>
      <w:r>
        <w:rPr>
          <w:lang w:val="fr-CH"/>
        </w:rPr>
        <w:t xml:space="preserve">pas </w:t>
      </w:r>
      <w:r w:rsidRPr="0080470E">
        <w:rPr>
          <w:lang w:val="fr-CH"/>
        </w:rPr>
        <w:t>de budget unique</w:t>
      </w:r>
      <w:r>
        <w:rPr>
          <w:lang w:val="fr-CH"/>
        </w:rPr>
        <w:t>,</w:t>
      </w:r>
      <w:r w:rsidRPr="0080470E">
        <w:rPr>
          <w:lang w:val="fr-CH"/>
        </w:rPr>
        <w:t xml:space="preserve"> mais plutôt une présentation unique du budg</w:t>
      </w:r>
      <w:r w:rsidR="001D67E8" w:rsidRPr="0080470E">
        <w:rPr>
          <w:lang w:val="fr-CH"/>
        </w:rPr>
        <w:t>et</w:t>
      </w:r>
      <w:r w:rsidR="001D67E8">
        <w:rPr>
          <w:lang w:val="fr-CH"/>
        </w:rPr>
        <w:t xml:space="preserve">.  </w:t>
      </w:r>
      <w:r w:rsidR="001D67E8" w:rsidRPr="0080470E">
        <w:rPr>
          <w:lang w:val="fr-CH"/>
        </w:rPr>
        <w:t>Ce</w:t>
      </w:r>
      <w:r w:rsidRPr="0080470E">
        <w:rPr>
          <w:lang w:val="fr-CH"/>
        </w:rPr>
        <w:t>tte décision n</w:t>
      </w:r>
      <w:r w:rsidR="00CE5FEC">
        <w:rPr>
          <w:lang w:val="fr-CH"/>
        </w:rPr>
        <w:t>’</w:t>
      </w:r>
      <w:r w:rsidRPr="0080470E">
        <w:rPr>
          <w:lang w:val="fr-CH"/>
        </w:rPr>
        <w:t xml:space="preserve">affecterait pas </w:t>
      </w:r>
      <w:r>
        <w:rPr>
          <w:lang w:val="fr-CH"/>
        </w:rPr>
        <w:t>davantage</w:t>
      </w:r>
      <w:r w:rsidRPr="0080470E">
        <w:rPr>
          <w:lang w:val="fr-CH"/>
        </w:rPr>
        <w:t xml:space="preserve"> le partage des recettes d</w:t>
      </w:r>
      <w:r w:rsidR="00CE5FEC">
        <w:rPr>
          <w:lang w:val="fr-CH"/>
        </w:rPr>
        <w:t>’</w:t>
      </w:r>
      <w:r w:rsidRPr="0080470E">
        <w:rPr>
          <w:lang w:val="fr-CH"/>
        </w:rPr>
        <w:t>autres unions en faveur de l</w:t>
      </w:r>
      <w:r w:rsidR="00CE5FEC">
        <w:rPr>
          <w:lang w:val="fr-CH"/>
        </w:rPr>
        <w:t>’</w:t>
      </w:r>
      <w:r w:rsidRPr="0080470E">
        <w:rPr>
          <w:lang w:val="fr-CH"/>
        </w:rPr>
        <w:t xml:space="preserve">Union de Lisbonne, ni le partage des recettes </w:t>
      </w:r>
      <w:r w:rsidRPr="0080470E">
        <w:rPr>
          <w:lang w:val="fr-CH"/>
        </w:rPr>
        <w:lastRenderedPageBreak/>
        <w:t>du</w:t>
      </w:r>
      <w:r>
        <w:rPr>
          <w:lang w:val="fr-CH"/>
        </w:rPr>
        <w:t> </w:t>
      </w:r>
      <w:r w:rsidRPr="0080470E">
        <w:rPr>
          <w:lang w:val="fr-CH"/>
        </w:rPr>
        <w:t>PCT avec les unions autres que l</w:t>
      </w:r>
      <w:r w:rsidR="00CE5FEC">
        <w:rPr>
          <w:lang w:val="fr-CH"/>
        </w:rPr>
        <w:t>’</w:t>
      </w:r>
      <w:r w:rsidRPr="0080470E">
        <w:rPr>
          <w:lang w:val="fr-CH"/>
        </w:rPr>
        <w:t>Union de Lisbon</w:t>
      </w:r>
      <w:r w:rsidR="001D67E8" w:rsidRPr="0080470E">
        <w:rPr>
          <w:lang w:val="fr-CH"/>
        </w:rPr>
        <w:t>ne</w:t>
      </w:r>
      <w:r w:rsidR="001D67E8">
        <w:rPr>
          <w:lang w:val="fr-CH"/>
        </w:rPr>
        <w:t xml:space="preserve">.  </w:t>
      </w:r>
      <w:r w:rsidR="001D67E8" w:rsidRPr="0080470E">
        <w:rPr>
          <w:lang w:val="fr-CH"/>
        </w:rPr>
        <w:t>Co</w:t>
      </w:r>
      <w:r w:rsidRPr="0080470E">
        <w:rPr>
          <w:lang w:val="fr-CH"/>
        </w:rPr>
        <w:t xml:space="preserve">ncernant </w:t>
      </w:r>
      <w:r>
        <w:rPr>
          <w:lang w:val="fr-CH"/>
        </w:rPr>
        <w:t xml:space="preserve">la question de savoir à quel titre </w:t>
      </w:r>
      <w:r w:rsidRPr="0080470E">
        <w:rPr>
          <w:lang w:val="fr-CH"/>
        </w:rPr>
        <w:t>l</w:t>
      </w:r>
      <w:r w:rsidR="00CE5FEC">
        <w:rPr>
          <w:lang w:val="fr-CH"/>
        </w:rPr>
        <w:t>’</w:t>
      </w:r>
      <w:r w:rsidRPr="0080470E">
        <w:rPr>
          <w:lang w:val="fr-CH"/>
        </w:rPr>
        <w:t xml:space="preserve">Union de Lisbonne </w:t>
      </w:r>
      <w:r>
        <w:rPr>
          <w:lang w:val="fr-CH"/>
        </w:rPr>
        <w:t>était financée par</w:t>
      </w:r>
      <w:r w:rsidRPr="0080470E">
        <w:rPr>
          <w:lang w:val="fr-CH"/>
        </w:rPr>
        <w:t xml:space="preserve"> d</w:t>
      </w:r>
      <w:r w:rsidR="00CE5FEC">
        <w:rPr>
          <w:lang w:val="fr-CH"/>
        </w:rPr>
        <w:t>’</w:t>
      </w:r>
      <w:r w:rsidRPr="0080470E">
        <w:rPr>
          <w:lang w:val="fr-CH"/>
        </w:rPr>
        <w:t xml:space="preserve">autres unions générant des recettes, </w:t>
      </w:r>
      <w:r>
        <w:rPr>
          <w:lang w:val="fr-CH"/>
        </w:rPr>
        <w:t>ce pouvoir était conféré</w:t>
      </w:r>
      <w:r w:rsidRPr="0080470E">
        <w:rPr>
          <w:lang w:val="fr-CH"/>
        </w:rPr>
        <w:t xml:space="preserve"> </w:t>
      </w:r>
      <w:r>
        <w:rPr>
          <w:lang w:val="fr-CH"/>
        </w:rPr>
        <w:t>par</w:t>
      </w:r>
      <w:r w:rsidRPr="0080470E">
        <w:rPr>
          <w:lang w:val="fr-CH"/>
        </w:rPr>
        <w:t xml:space="preserve"> l</w:t>
      </w:r>
      <w:r w:rsidR="00CE5FEC">
        <w:rPr>
          <w:lang w:val="fr-CH"/>
        </w:rPr>
        <w:t>’</w:t>
      </w:r>
      <w:r w:rsidRPr="0080470E">
        <w:rPr>
          <w:lang w:val="fr-CH"/>
        </w:rPr>
        <w:t xml:space="preserve">adoption du programme et budget, dont le paragraphe de décision </w:t>
      </w:r>
      <w:r>
        <w:rPr>
          <w:lang w:val="fr-CH"/>
        </w:rPr>
        <w:t xml:space="preserve">faisait état </w:t>
      </w:r>
      <w:r w:rsidR="00544893">
        <w:rPr>
          <w:lang w:val="fr-CH"/>
        </w:rPr>
        <w:t>de l’approbation de toutes l</w:t>
      </w:r>
      <w:r w:rsidRPr="0080470E">
        <w:rPr>
          <w:lang w:val="fr-CH"/>
        </w:rPr>
        <w:t>es unions administrées par l</w:t>
      </w:r>
      <w:r w:rsidR="00CE5FEC">
        <w:rPr>
          <w:lang w:val="fr-CH"/>
        </w:rPr>
        <w:t>’</w:t>
      </w:r>
      <w:r w:rsidRPr="0080470E">
        <w:rPr>
          <w:lang w:val="fr-CH"/>
        </w:rPr>
        <w:t xml:space="preserve">OMPI.  Les différentes unions, </w:t>
      </w:r>
      <w:r w:rsidR="00CE5FEC">
        <w:rPr>
          <w:lang w:val="fr-CH"/>
        </w:rPr>
        <w:t>y compris</w:t>
      </w:r>
      <w:r w:rsidRPr="0080470E">
        <w:rPr>
          <w:lang w:val="fr-CH"/>
        </w:rPr>
        <w:t xml:space="preserve"> l</w:t>
      </w:r>
      <w:r w:rsidR="00CE5FEC">
        <w:rPr>
          <w:lang w:val="fr-CH"/>
        </w:rPr>
        <w:t>’</w:t>
      </w:r>
      <w:r w:rsidRPr="0080470E">
        <w:rPr>
          <w:lang w:val="fr-CH"/>
        </w:rPr>
        <w:t>Union du</w:t>
      </w:r>
      <w:r>
        <w:rPr>
          <w:lang w:val="fr-CH"/>
        </w:rPr>
        <w:t> </w:t>
      </w:r>
      <w:r w:rsidRPr="0080470E">
        <w:rPr>
          <w:lang w:val="fr-CH"/>
        </w:rPr>
        <w:t xml:space="preserve">PCT, </w:t>
      </w:r>
      <w:r>
        <w:rPr>
          <w:lang w:val="fr-CH"/>
        </w:rPr>
        <w:t xml:space="preserve">approuvaient </w:t>
      </w:r>
      <w:r w:rsidRPr="0080470E">
        <w:rPr>
          <w:lang w:val="fr-CH"/>
        </w:rPr>
        <w:t>ainsi expr</w:t>
      </w:r>
      <w:r>
        <w:rPr>
          <w:lang w:val="fr-CH"/>
        </w:rPr>
        <w:t>essément les</w:t>
      </w:r>
      <w:r w:rsidRPr="0080470E">
        <w:rPr>
          <w:lang w:val="fr-CH"/>
        </w:rPr>
        <w:t xml:space="preserve"> dépenses de l</w:t>
      </w:r>
      <w:r w:rsidR="00CE5FEC">
        <w:rPr>
          <w:lang w:val="fr-CH"/>
        </w:rPr>
        <w:t>’</w:t>
      </w:r>
      <w:r w:rsidRPr="0080470E">
        <w:rPr>
          <w:lang w:val="fr-CH"/>
        </w:rPr>
        <w:t>Union de Lisbonne en adoptant le budget de l</w:t>
      </w:r>
      <w:r w:rsidR="00CE5FEC">
        <w:rPr>
          <w:lang w:val="fr-CH"/>
        </w:rPr>
        <w:t>’</w:t>
      </w:r>
      <w:r w:rsidRPr="0080470E">
        <w:rPr>
          <w:lang w:val="fr-CH"/>
        </w:rPr>
        <w:t>Organisation.</w:t>
      </w:r>
    </w:p>
    <w:p w:rsidR="003974A4" w:rsidRDefault="003974A4" w:rsidP="003974A4">
      <w:pPr>
        <w:pStyle w:val="ONUMFS"/>
        <w:rPr>
          <w:lang w:val="fr-CH"/>
        </w:rPr>
      </w:pPr>
      <w:r w:rsidRPr="0080470E">
        <w:rPr>
          <w:lang w:val="fr-CH"/>
        </w:rPr>
        <w:t>La délégation des États</w:t>
      </w:r>
      <w:r w:rsidR="001D67E8">
        <w:rPr>
          <w:lang w:val="fr-CH"/>
        </w:rPr>
        <w:noBreakHyphen/>
      </w:r>
      <w:r w:rsidRPr="0080470E">
        <w:rPr>
          <w:lang w:val="fr-CH"/>
        </w:rPr>
        <w:t>Unis d</w:t>
      </w:r>
      <w:r w:rsidR="00CE5FEC">
        <w:rPr>
          <w:lang w:val="fr-CH"/>
        </w:rPr>
        <w:t>’</w:t>
      </w:r>
      <w:r w:rsidRPr="0080470E">
        <w:rPr>
          <w:lang w:val="fr-CH"/>
        </w:rPr>
        <w:t xml:space="preserve">Amérique a jugé que la réponse du Directeur général et du Secrétariat </w:t>
      </w:r>
      <w:r>
        <w:rPr>
          <w:lang w:val="fr-CH"/>
        </w:rPr>
        <w:t xml:space="preserve">avait </w:t>
      </w:r>
      <w:r w:rsidRPr="0080470E">
        <w:rPr>
          <w:lang w:val="fr-CH"/>
        </w:rPr>
        <w:t>contribu</w:t>
      </w:r>
      <w:r>
        <w:rPr>
          <w:lang w:val="fr-CH"/>
        </w:rPr>
        <w:t>é</w:t>
      </w:r>
      <w:r w:rsidRPr="0080470E">
        <w:rPr>
          <w:lang w:val="fr-CH"/>
        </w:rPr>
        <w:t xml:space="preserve"> à </w:t>
      </w:r>
      <w:r>
        <w:rPr>
          <w:lang w:val="fr-CH"/>
        </w:rPr>
        <w:t>dissiper</w:t>
      </w:r>
      <w:r w:rsidRPr="0080470E">
        <w:rPr>
          <w:lang w:val="fr-CH"/>
        </w:rPr>
        <w:t xml:space="preserve"> la confusion apparente </w:t>
      </w:r>
      <w:r>
        <w:rPr>
          <w:lang w:val="fr-CH"/>
        </w:rPr>
        <w:t>entour</w:t>
      </w:r>
      <w:r w:rsidRPr="0080470E">
        <w:rPr>
          <w:lang w:val="fr-CH"/>
        </w:rPr>
        <w:t>ant le système de contribution unique, la non</w:t>
      </w:r>
      <w:r w:rsidR="001D67E8">
        <w:rPr>
          <w:lang w:val="fr-CH"/>
        </w:rPr>
        <w:noBreakHyphen/>
      </w:r>
      <w:r w:rsidRPr="0080470E">
        <w:rPr>
          <w:lang w:val="fr-CH"/>
        </w:rPr>
        <w:t>existence d</w:t>
      </w:r>
      <w:r w:rsidR="00CE5FEC">
        <w:rPr>
          <w:lang w:val="fr-CH"/>
        </w:rPr>
        <w:t>’</w:t>
      </w:r>
      <w:r w:rsidRPr="0080470E">
        <w:rPr>
          <w:lang w:val="fr-CH"/>
        </w:rPr>
        <w:t>un “budget unique” et la procédure au sein de l</w:t>
      </w:r>
      <w:r w:rsidR="00CE5FEC">
        <w:rPr>
          <w:lang w:val="fr-CH"/>
        </w:rPr>
        <w:t>’</w:t>
      </w:r>
      <w:r w:rsidRPr="0080470E">
        <w:rPr>
          <w:lang w:val="fr-CH"/>
        </w:rPr>
        <w:t xml:space="preserve">OMPI </w:t>
      </w:r>
      <w:r>
        <w:rPr>
          <w:lang w:val="fr-CH"/>
        </w:rPr>
        <w:t>visant à</w:t>
      </w:r>
      <w:r w:rsidRPr="0080470E">
        <w:rPr>
          <w:lang w:val="fr-CH"/>
        </w:rPr>
        <w:t xml:space="preserve"> assurer la cohérence entre les unions qui génèrent des recettes et celles qui sont financées par des contributio</w:t>
      </w:r>
      <w:r w:rsidR="001D67E8" w:rsidRPr="0080470E">
        <w:rPr>
          <w:lang w:val="fr-CH"/>
        </w:rPr>
        <w:t>ns</w:t>
      </w:r>
      <w:r w:rsidR="001D67E8">
        <w:rPr>
          <w:lang w:val="fr-CH"/>
        </w:rPr>
        <w:t xml:space="preserve">.  </w:t>
      </w:r>
      <w:r w:rsidR="001D67E8" w:rsidRPr="0080470E">
        <w:rPr>
          <w:lang w:val="fr-CH"/>
        </w:rPr>
        <w:t>La</w:t>
      </w:r>
      <w:r w:rsidRPr="0080470E">
        <w:rPr>
          <w:lang w:val="fr-CH"/>
        </w:rPr>
        <w:t xml:space="preserve"> délégation a conclu en demandant que ce point de l</w:t>
      </w:r>
      <w:r w:rsidR="00CE5FEC">
        <w:rPr>
          <w:lang w:val="fr-CH"/>
        </w:rPr>
        <w:t>’</w:t>
      </w:r>
      <w:r w:rsidRPr="0080470E">
        <w:rPr>
          <w:lang w:val="fr-CH"/>
        </w:rPr>
        <w:t>ordre du jour soit laissé ouvert dans l</w:t>
      </w:r>
      <w:r w:rsidR="00CE5FEC">
        <w:rPr>
          <w:lang w:val="fr-CH"/>
        </w:rPr>
        <w:t>’</w:t>
      </w:r>
      <w:r w:rsidRPr="0080470E">
        <w:rPr>
          <w:lang w:val="fr-CH"/>
        </w:rPr>
        <w:t>attente des autres points en suspens concernant le budget de l</w:t>
      </w:r>
      <w:r w:rsidR="00CE5FEC">
        <w:rPr>
          <w:lang w:val="fr-CH"/>
        </w:rPr>
        <w:t>’</w:t>
      </w:r>
      <w:r w:rsidRPr="0080470E">
        <w:rPr>
          <w:lang w:val="fr-CH"/>
        </w:rPr>
        <w:t>Organisation.</w:t>
      </w:r>
    </w:p>
    <w:p w:rsidR="00175C65" w:rsidRDefault="00175C65" w:rsidP="00175C65">
      <w:pPr>
        <w:pStyle w:val="ONUMFS"/>
        <w:tabs>
          <w:tab w:val="clear" w:pos="567"/>
        </w:tabs>
      </w:pPr>
      <w:r>
        <w:t xml:space="preserve">Le président a annoncé que le point 19 de l’ordre du jour </w:t>
      </w:r>
      <w:r w:rsidR="00807945">
        <w:t xml:space="preserve">“Système du PCT” </w:t>
      </w:r>
      <w:r>
        <w:t xml:space="preserve">resterait ouvert en attendant l’issue des consultations informelles </w:t>
      </w:r>
      <w:r w:rsidR="00544893">
        <w:t xml:space="preserve">sur le </w:t>
      </w:r>
      <w:r>
        <w:t>document</w:t>
      </w:r>
      <w:r w:rsidR="00807945" w:rsidRPr="00807945">
        <w:t xml:space="preserve"> </w:t>
      </w:r>
      <w:r w:rsidR="00807945" w:rsidRPr="00085228">
        <w:t>PCT/A/47/8</w:t>
      </w:r>
      <w:r w:rsidR="00807945">
        <w:t xml:space="preserve"> (</w:t>
      </w:r>
      <w:r w:rsidR="0023745E" w:rsidRPr="00EF7E9A">
        <w:t>actuellement menées sur des questions connexes couvertes par d’autres points de l’ordre du jour</w:t>
      </w:r>
      <w:r w:rsidR="00807945">
        <w:t>).</w:t>
      </w:r>
    </w:p>
    <w:p w:rsidR="00175C65" w:rsidRPr="0023745E" w:rsidRDefault="0023745E" w:rsidP="00175C65">
      <w:pPr>
        <w:pStyle w:val="ONUMFS"/>
        <w:tabs>
          <w:tab w:val="clear" w:pos="567"/>
        </w:tabs>
      </w:pPr>
      <w:r w:rsidRPr="0023745E">
        <w:t>Durant la session, l</w:t>
      </w:r>
      <w:r w:rsidR="00175C65" w:rsidRPr="0023745E">
        <w:t xml:space="preserve">e président de l’Assemblée générale a donné à la plénière </w:t>
      </w:r>
      <w:r w:rsidRPr="0023745E">
        <w:t xml:space="preserve">des assemblées, y compris de l’Assemblée de l’Union du PCT, </w:t>
      </w:r>
      <w:r w:rsidR="00175C65" w:rsidRPr="0023745E">
        <w:t>des informations régulières</w:t>
      </w:r>
      <w:r w:rsidRPr="0023745E">
        <w:t xml:space="preserve"> </w:t>
      </w:r>
      <w:r w:rsidR="00175C65" w:rsidRPr="0023745E">
        <w:t xml:space="preserve">sur </w:t>
      </w:r>
      <w:r w:rsidRPr="0023745E">
        <w:t>l’évolution</w:t>
      </w:r>
      <w:r w:rsidR="00175C65" w:rsidRPr="0023745E">
        <w:t xml:space="preserve"> de ces consultations informelles.  Il en est rendu compte sous le point 11 de l’ordre du jour (“Rapport du Comité du programme et budget”).</w:t>
      </w:r>
    </w:p>
    <w:p w:rsidR="00807945" w:rsidRPr="00451C17" w:rsidRDefault="00451C17" w:rsidP="00451C17">
      <w:pPr>
        <w:pStyle w:val="ONUMFS"/>
        <w:ind w:left="567"/>
      </w:pPr>
      <w:r w:rsidRPr="00451C17">
        <w:t>L</w:t>
      </w:r>
      <w:r w:rsidR="00040D89">
        <w:t>’</w:t>
      </w:r>
      <w:r w:rsidRPr="00451C17">
        <w:t>Assemblée de l</w:t>
      </w:r>
      <w:r w:rsidR="00040D89">
        <w:t>’</w:t>
      </w:r>
      <w:r w:rsidRPr="00451C17">
        <w:t>Union du PCT a examiné le document PCT/A/47/8 mais n</w:t>
      </w:r>
      <w:r w:rsidR="00040D89">
        <w:t>’</w:t>
      </w:r>
      <w:r w:rsidRPr="00451C17">
        <w:t>est pas parvenue à un consensus.</w:t>
      </w:r>
    </w:p>
    <w:p w:rsidR="003974A4" w:rsidRDefault="003974A4" w:rsidP="003974A4">
      <w:pPr>
        <w:rPr>
          <w:lang w:val="fr-CH"/>
        </w:rPr>
      </w:pPr>
    </w:p>
    <w:p w:rsidR="003974A4" w:rsidRPr="0080470E" w:rsidRDefault="003974A4" w:rsidP="003974A4">
      <w:pPr>
        <w:rPr>
          <w:lang w:val="fr-CH"/>
        </w:rPr>
      </w:pPr>
    </w:p>
    <w:p w:rsidR="000C226F" w:rsidRDefault="000C226F">
      <w:pPr>
        <w:pStyle w:val="Endofdocument-Annex"/>
      </w:pPr>
      <w:r>
        <w:t>[Les annexes suivent]</w:t>
      </w:r>
    </w:p>
    <w:p w:rsidR="000C226F" w:rsidRDefault="000C226F" w:rsidP="000C226F">
      <w:pPr>
        <w:sectPr w:rsidR="000C226F" w:rsidSect="00AF4C30">
          <w:headerReference w:type="default" r:id="rId10"/>
          <w:endnotePr>
            <w:numFmt w:val="decimal"/>
          </w:endnotePr>
          <w:pgSz w:w="11907" w:h="16840" w:code="9"/>
          <w:pgMar w:top="567" w:right="1134" w:bottom="1418" w:left="1418" w:header="510" w:footer="1021" w:gutter="0"/>
          <w:cols w:space="720"/>
          <w:titlePg/>
          <w:docGrid w:linePitch="299"/>
        </w:sectPr>
      </w:pPr>
    </w:p>
    <w:p w:rsidR="000C226F" w:rsidRPr="002E1F87" w:rsidRDefault="000C226F" w:rsidP="009E5CBD">
      <w:pPr>
        <w:jc w:val="center"/>
        <w:rPr>
          <w:caps/>
        </w:rPr>
      </w:pPr>
      <w:bookmarkStart w:id="3" w:name="annexe7"/>
      <w:r w:rsidRPr="002E1F87">
        <w:rPr>
          <w:caps/>
          <w:color w:val="000000"/>
        </w:rPr>
        <w:lastRenderedPageBreak/>
        <w:t>Modifications du règlement d</w:t>
      </w:r>
      <w:r w:rsidR="00CE5FEC">
        <w:rPr>
          <w:caps/>
          <w:color w:val="000000"/>
        </w:rPr>
        <w:t>’</w:t>
      </w:r>
      <w:r w:rsidRPr="002E1F87">
        <w:rPr>
          <w:caps/>
          <w:color w:val="000000"/>
        </w:rPr>
        <w:t>exécution du PCT</w:t>
      </w:r>
      <w:r w:rsidRPr="002E1F87">
        <w:rPr>
          <w:caps/>
          <w:color w:val="000000"/>
        </w:rPr>
        <w:br/>
      </w:r>
      <w:r w:rsidRPr="002E1F87">
        <w:rPr>
          <w:caps/>
        </w:rPr>
        <w:t xml:space="preserve">devant entrer en vigueur le </w:t>
      </w:r>
      <w:r w:rsidR="00CE5FEC" w:rsidRPr="002E1F87">
        <w:rPr>
          <w:caps/>
        </w:rPr>
        <w:t>1</w:t>
      </w:r>
      <w:r w:rsidR="00CE5FEC" w:rsidRPr="002E1F87">
        <w:rPr>
          <w:caps/>
          <w:vertAlign w:val="superscript"/>
        </w:rPr>
        <w:t>er</w:t>
      </w:r>
      <w:r w:rsidR="00CE5FEC">
        <w:rPr>
          <w:caps/>
        </w:rPr>
        <w:t> </w:t>
      </w:r>
      <w:r w:rsidR="00CE5FEC" w:rsidRPr="002E1F87">
        <w:rPr>
          <w:caps/>
        </w:rPr>
        <w:t>juillet</w:t>
      </w:r>
      <w:r w:rsidR="00CE5FEC">
        <w:rPr>
          <w:caps/>
        </w:rPr>
        <w:t> </w:t>
      </w:r>
      <w:r w:rsidR="00CE5FEC" w:rsidRPr="002E1F87">
        <w:rPr>
          <w:caps/>
        </w:rPr>
        <w:t>20</w:t>
      </w:r>
      <w:r w:rsidRPr="002E1F87">
        <w:rPr>
          <w:caps/>
        </w:rPr>
        <w:t>16</w:t>
      </w:r>
    </w:p>
    <w:p w:rsidR="000C226F" w:rsidRPr="002E1F87" w:rsidRDefault="000C226F" w:rsidP="009E5CBD">
      <w:pPr>
        <w:jc w:val="center"/>
        <w:rPr>
          <w:caps/>
        </w:rPr>
      </w:pPr>
    </w:p>
    <w:p w:rsidR="000C226F" w:rsidRDefault="000C226F" w:rsidP="009E5CBD">
      <w:pPr>
        <w:jc w:val="center"/>
      </w:pPr>
    </w:p>
    <w:p w:rsidR="000C226F" w:rsidRDefault="000C226F" w:rsidP="009E5CBD">
      <w:pPr>
        <w:jc w:val="center"/>
      </w:pPr>
      <w:r>
        <w:t>TABLE DES MATIÈRES</w:t>
      </w:r>
    </w:p>
    <w:p w:rsidR="000C226F" w:rsidRDefault="000C226F" w:rsidP="009E5CBD"/>
    <w:p w:rsidR="00137143" w:rsidRPr="003F5852" w:rsidRDefault="000C226F">
      <w:pPr>
        <w:pStyle w:val="TOC1"/>
        <w:rPr>
          <w:rFonts w:asciiTheme="minorHAnsi" w:eastAsiaTheme="minorEastAsia" w:hAnsiTheme="minorHAnsi" w:cstheme="minorBidi"/>
          <w:noProof/>
          <w:szCs w:val="22"/>
          <w:lang w:val="fr-CH" w:eastAsia="en-US"/>
        </w:rPr>
      </w:pPr>
      <w:r>
        <w:fldChar w:fldCharType="begin"/>
      </w:r>
      <w:r>
        <w:instrText xml:space="preserve"> TOC \b annexe7 \t "Leg # Title;1;Leg SubRule #;2" </w:instrText>
      </w:r>
      <w:r>
        <w:fldChar w:fldCharType="separate"/>
      </w:r>
      <w:r w:rsidR="00137143">
        <w:rPr>
          <w:noProof/>
        </w:rPr>
        <w:t>Règle 9   Expressions, etc., à ne pas utiliser</w:t>
      </w:r>
      <w:r w:rsidR="00137143">
        <w:rPr>
          <w:noProof/>
        </w:rPr>
        <w:tab/>
      </w:r>
      <w:r w:rsidR="00137143">
        <w:rPr>
          <w:noProof/>
        </w:rPr>
        <w:fldChar w:fldCharType="begin"/>
      </w:r>
      <w:r w:rsidR="00137143">
        <w:rPr>
          <w:noProof/>
        </w:rPr>
        <w:instrText xml:space="preserve"> PAGEREF _Toc442349521 \h </w:instrText>
      </w:r>
      <w:r w:rsidR="00137143">
        <w:rPr>
          <w:noProof/>
        </w:rPr>
      </w:r>
      <w:r w:rsidR="00137143">
        <w:rPr>
          <w:noProof/>
        </w:rPr>
        <w:fldChar w:fldCharType="separate"/>
      </w:r>
      <w:r w:rsidR="00952DA0">
        <w:rPr>
          <w:noProof/>
        </w:rPr>
        <w:t>2</w:t>
      </w:r>
      <w:r w:rsidR="00137143">
        <w:rPr>
          <w:noProof/>
        </w:rPr>
        <w:fldChar w:fldCharType="end"/>
      </w:r>
    </w:p>
    <w:p w:rsidR="00137143" w:rsidRPr="003F5852" w:rsidRDefault="00137143">
      <w:pPr>
        <w:pStyle w:val="TOC2"/>
        <w:tabs>
          <w:tab w:val="right" w:leader="dot" w:pos="9345"/>
        </w:tabs>
        <w:rPr>
          <w:rFonts w:asciiTheme="minorHAnsi" w:eastAsiaTheme="minorEastAsia" w:hAnsiTheme="minorHAnsi" w:cstheme="minorBidi"/>
          <w:noProof/>
          <w:szCs w:val="22"/>
          <w:lang w:val="fr-CH" w:eastAsia="en-US"/>
        </w:rPr>
      </w:pPr>
      <w:r w:rsidRPr="00042D17">
        <w:rPr>
          <w:iCs/>
          <w:noProof/>
        </w:rPr>
        <w:t>9.1</w:t>
      </w:r>
      <w:r w:rsidRPr="00042D17">
        <w:rPr>
          <w:i/>
          <w:noProof/>
        </w:rPr>
        <w:t>   [Sans changement]  Définition</w:t>
      </w:r>
      <w:r>
        <w:rPr>
          <w:noProof/>
        </w:rPr>
        <w:tab/>
      </w:r>
      <w:r>
        <w:rPr>
          <w:noProof/>
        </w:rPr>
        <w:fldChar w:fldCharType="begin"/>
      </w:r>
      <w:r>
        <w:rPr>
          <w:noProof/>
        </w:rPr>
        <w:instrText xml:space="preserve"> PAGEREF _Toc442349522 \h </w:instrText>
      </w:r>
      <w:r>
        <w:rPr>
          <w:noProof/>
        </w:rPr>
      </w:r>
      <w:r>
        <w:rPr>
          <w:noProof/>
        </w:rPr>
        <w:fldChar w:fldCharType="separate"/>
      </w:r>
      <w:r w:rsidR="00952DA0">
        <w:rPr>
          <w:noProof/>
        </w:rPr>
        <w:t>2</w:t>
      </w:r>
      <w:r>
        <w:rPr>
          <w:noProof/>
        </w:rPr>
        <w:fldChar w:fldCharType="end"/>
      </w:r>
    </w:p>
    <w:p w:rsidR="00137143" w:rsidRPr="003F5852" w:rsidRDefault="00137143">
      <w:pPr>
        <w:pStyle w:val="TOC2"/>
        <w:tabs>
          <w:tab w:val="right" w:leader="dot" w:pos="9345"/>
        </w:tabs>
        <w:rPr>
          <w:rFonts w:asciiTheme="minorHAnsi" w:eastAsiaTheme="minorEastAsia" w:hAnsiTheme="minorHAnsi" w:cstheme="minorBidi"/>
          <w:noProof/>
          <w:szCs w:val="22"/>
          <w:lang w:val="fr-CH" w:eastAsia="en-US"/>
        </w:rPr>
      </w:pPr>
      <w:r w:rsidRPr="00042D17">
        <w:rPr>
          <w:iCs/>
          <w:noProof/>
        </w:rPr>
        <w:t>9.2</w:t>
      </w:r>
      <w:r>
        <w:rPr>
          <w:noProof/>
        </w:rPr>
        <w:t>   </w:t>
      </w:r>
      <w:r w:rsidRPr="00042D17">
        <w:rPr>
          <w:i/>
          <w:iCs/>
          <w:noProof/>
        </w:rPr>
        <w:t>Observation quant aux irrégularités</w:t>
      </w:r>
      <w:r>
        <w:rPr>
          <w:noProof/>
        </w:rPr>
        <w:tab/>
      </w:r>
      <w:r>
        <w:rPr>
          <w:noProof/>
        </w:rPr>
        <w:fldChar w:fldCharType="begin"/>
      </w:r>
      <w:r>
        <w:rPr>
          <w:noProof/>
        </w:rPr>
        <w:instrText xml:space="preserve"> PAGEREF _Toc442349523 \h </w:instrText>
      </w:r>
      <w:r>
        <w:rPr>
          <w:noProof/>
        </w:rPr>
      </w:r>
      <w:r>
        <w:rPr>
          <w:noProof/>
        </w:rPr>
        <w:fldChar w:fldCharType="separate"/>
      </w:r>
      <w:r w:rsidR="00952DA0">
        <w:rPr>
          <w:noProof/>
        </w:rPr>
        <w:t>2</w:t>
      </w:r>
      <w:r>
        <w:rPr>
          <w:noProof/>
        </w:rPr>
        <w:fldChar w:fldCharType="end"/>
      </w:r>
    </w:p>
    <w:p w:rsidR="00137143" w:rsidRPr="003F5852" w:rsidRDefault="00137143">
      <w:pPr>
        <w:pStyle w:val="TOC2"/>
        <w:tabs>
          <w:tab w:val="right" w:leader="dot" w:pos="9345"/>
        </w:tabs>
        <w:rPr>
          <w:rFonts w:asciiTheme="minorHAnsi" w:eastAsiaTheme="minorEastAsia" w:hAnsiTheme="minorHAnsi" w:cstheme="minorBidi"/>
          <w:noProof/>
          <w:szCs w:val="22"/>
          <w:lang w:val="fr-CH" w:eastAsia="en-US"/>
        </w:rPr>
      </w:pPr>
      <w:r w:rsidRPr="00042D17">
        <w:rPr>
          <w:iCs/>
          <w:noProof/>
        </w:rPr>
        <w:t>9.3</w:t>
      </w:r>
      <w:r w:rsidRPr="00042D17">
        <w:rPr>
          <w:i/>
          <w:noProof/>
        </w:rPr>
        <w:t>   [Sans changement]  Référence à l’article 21.6)</w:t>
      </w:r>
      <w:r>
        <w:rPr>
          <w:noProof/>
        </w:rPr>
        <w:tab/>
      </w:r>
      <w:r>
        <w:rPr>
          <w:noProof/>
        </w:rPr>
        <w:fldChar w:fldCharType="begin"/>
      </w:r>
      <w:r>
        <w:rPr>
          <w:noProof/>
        </w:rPr>
        <w:instrText xml:space="preserve"> PAGEREF _Toc442349524 \h </w:instrText>
      </w:r>
      <w:r>
        <w:rPr>
          <w:noProof/>
        </w:rPr>
      </w:r>
      <w:r>
        <w:rPr>
          <w:noProof/>
        </w:rPr>
        <w:fldChar w:fldCharType="separate"/>
      </w:r>
      <w:r w:rsidR="00952DA0">
        <w:rPr>
          <w:noProof/>
        </w:rPr>
        <w:t>2</w:t>
      </w:r>
      <w:r>
        <w:rPr>
          <w:noProof/>
        </w:rPr>
        <w:fldChar w:fldCharType="end"/>
      </w:r>
    </w:p>
    <w:p w:rsidR="00137143" w:rsidRPr="003F5852" w:rsidRDefault="00137143">
      <w:pPr>
        <w:pStyle w:val="TOC1"/>
        <w:rPr>
          <w:rFonts w:asciiTheme="minorHAnsi" w:eastAsiaTheme="minorEastAsia" w:hAnsiTheme="minorHAnsi" w:cstheme="minorBidi"/>
          <w:noProof/>
          <w:szCs w:val="22"/>
          <w:lang w:val="fr-CH" w:eastAsia="en-US"/>
        </w:rPr>
      </w:pPr>
      <w:r>
        <w:rPr>
          <w:noProof/>
        </w:rPr>
        <w:t>Règle 26</w:t>
      </w:r>
      <w:r w:rsidRPr="00042D17">
        <w:rPr>
          <w:i/>
          <w:noProof/>
        </w:rPr>
        <w:t>bis</w:t>
      </w:r>
      <w:r>
        <w:rPr>
          <w:noProof/>
        </w:rPr>
        <w:t xml:space="preserve">  Correction ou adjonction de revendications de priorité</w:t>
      </w:r>
      <w:r>
        <w:rPr>
          <w:noProof/>
        </w:rPr>
        <w:tab/>
      </w:r>
      <w:r>
        <w:rPr>
          <w:noProof/>
        </w:rPr>
        <w:fldChar w:fldCharType="begin"/>
      </w:r>
      <w:r>
        <w:rPr>
          <w:noProof/>
        </w:rPr>
        <w:instrText xml:space="preserve"> PAGEREF _Toc442349525 \h </w:instrText>
      </w:r>
      <w:r>
        <w:rPr>
          <w:noProof/>
        </w:rPr>
      </w:r>
      <w:r>
        <w:rPr>
          <w:noProof/>
        </w:rPr>
        <w:fldChar w:fldCharType="separate"/>
      </w:r>
      <w:r w:rsidR="00952DA0">
        <w:rPr>
          <w:noProof/>
        </w:rPr>
        <w:t>3</w:t>
      </w:r>
      <w:r>
        <w:rPr>
          <w:noProof/>
        </w:rPr>
        <w:fldChar w:fldCharType="end"/>
      </w:r>
    </w:p>
    <w:p w:rsidR="00137143" w:rsidRPr="003F5852" w:rsidRDefault="00137143">
      <w:pPr>
        <w:pStyle w:val="TOC2"/>
        <w:tabs>
          <w:tab w:val="right" w:leader="dot" w:pos="9345"/>
        </w:tabs>
        <w:rPr>
          <w:rFonts w:asciiTheme="minorHAnsi" w:eastAsiaTheme="minorEastAsia" w:hAnsiTheme="minorHAnsi" w:cstheme="minorBidi"/>
          <w:noProof/>
          <w:szCs w:val="22"/>
          <w:lang w:val="fr-CH" w:eastAsia="en-US"/>
        </w:rPr>
      </w:pPr>
      <w:r w:rsidRPr="00042D17">
        <w:rPr>
          <w:iCs/>
          <w:noProof/>
        </w:rPr>
        <w:t>26</w:t>
      </w:r>
      <w:r w:rsidRPr="00042D17">
        <w:rPr>
          <w:i/>
          <w:noProof/>
        </w:rPr>
        <w:t>bis</w:t>
      </w:r>
      <w:r w:rsidRPr="00042D17">
        <w:rPr>
          <w:iCs/>
          <w:noProof/>
        </w:rPr>
        <w:t>.1 et 26</w:t>
      </w:r>
      <w:r w:rsidRPr="00042D17">
        <w:rPr>
          <w:i/>
          <w:noProof/>
        </w:rPr>
        <w:t>bis</w:t>
      </w:r>
      <w:r w:rsidRPr="00042D17">
        <w:rPr>
          <w:iCs/>
          <w:noProof/>
        </w:rPr>
        <w:t>.2   </w:t>
      </w:r>
      <w:r w:rsidRPr="00042D17">
        <w:rPr>
          <w:i/>
          <w:noProof/>
        </w:rPr>
        <w:t>[Sans changement]</w:t>
      </w:r>
      <w:r>
        <w:rPr>
          <w:noProof/>
        </w:rPr>
        <w:tab/>
      </w:r>
      <w:r>
        <w:rPr>
          <w:noProof/>
        </w:rPr>
        <w:fldChar w:fldCharType="begin"/>
      </w:r>
      <w:r>
        <w:rPr>
          <w:noProof/>
        </w:rPr>
        <w:instrText xml:space="preserve"> PAGEREF _Toc442349526 \h </w:instrText>
      </w:r>
      <w:r>
        <w:rPr>
          <w:noProof/>
        </w:rPr>
      </w:r>
      <w:r>
        <w:rPr>
          <w:noProof/>
        </w:rPr>
        <w:fldChar w:fldCharType="separate"/>
      </w:r>
      <w:r w:rsidR="00952DA0">
        <w:rPr>
          <w:noProof/>
        </w:rPr>
        <w:t>3</w:t>
      </w:r>
      <w:r>
        <w:rPr>
          <w:noProof/>
        </w:rPr>
        <w:fldChar w:fldCharType="end"/>
      </w:r>
    </w:p>
    <w:p w:rsidR="00137143" w:rsidRPr="003F5852" w:rsidRDefault="00137143">
      <w:pPr>
        <w:pStyle w:val="TOC2"/>
        <w:tabs>
          <w:tab w:val="right" w:leader="dot" w:pos="9345"/>
        </w:tabs>
        <w:rPr>
          <w:rFonts w:asciiTheme="minorHAnsi" w:eastAsiaTheme="minorEastAsia" w:hAnsiTheme="minorHAnsi" w:cstheme="minorBidi"/>
          <w:noProof/>
          <w:szCs w:val="22"/>
          <w:lang w:val="fr-CH" w:eastAsia="en-US"/>
        </w:rPr>
      </w:pPr>
      <w:r w:rsidRPr="00042D17">
        <w:rPr>
          <w:iCs/>
          <w:noProof/>
        </w:rPr>
        <w:t>26</w:t>
      </w:r>
      <w:r w:rsidRPr="00042D17">
        <w:rPr>
          <w:i/>
          <w:noProof/>
        </w:rPr>
        <w:t>bis</w:t>
      </w:r>
      <w:r w:rsidRPr="00042D17">
        <w:rPr>
          <w:iCs/>
          <w:noProof/>
        </w:rPr>
        <w:t>.3   </w:t>
      </w:r>
      <w:r w:rsidRPr="00042D17">
        <w:rPr>
          <w:i/>
          <w:noProof/>
        </w:rPr>
        <w:t>Restauration du droit de priorité par l’office récepteur</w:t>
      </w:r>
      <w:r>
        <w:rPr>
          <w:noProof/>
        </w:rPr>
        <w:tab/>
      </w:r>
      <w:r>
        <w:rPr>
          <w:noProof/>
        </w:rPr>
        <w:fldChar w:fldCharType="begin"/>
      </w:r>
      <w:r>
        <w:rPr>
          <w:noProof/>
        </w:rPr>
        <w:instrText xml:space="preserve"> PAGEREF _Toc442349527 \h </w:instrText>
      </w:r>
      <w:r>
        <w:rPr>
          <w:noProof/>
        </w:rPr>
      </w:r>
      <w:r>
        <w:rPr>
          <w:noProof/>
        </w:rPr>
        <w:fldChar w:fldCharType="separate"/>
      </w:r>
      <w:r w:rsidR="00952DA0">
        <w:rPr>
          <w:noProof/>
        </w:rPr>
        <w:t>3</w:t>
      </w:r>
      <w:r>
        <w:rPr>
          <w:noProof/>
        </w:rPr>
        <w:fldChar w:fldCharType="end"/>
      </w:r>
    </w:p>
    <w:p w:rsidR="00137143" w:rsidRPr="003F5852" w:rsidRDefault="00137143">
      <w:pPr>
        <w:pStyle w:val="TOC1"/>
        <w:rPr>
          <w:rFonts w:asciiTheme="minorHAnsi" w:eastAsiaTheme="minorEastAsia" w:hAnsiTheme="minorHAnsi" w:cstheme="minorBidi"/>
          <w:noProof/>
          <w:szCs w:val="22"/>
          <w:lang w:val="fr-CH" w:eastAsia="en-US"/>
        </w:rPr>
      </w:pPr>
      <w:r>
        <w:rPr>
          <w:noProof/>
        </w:rPr>
        <w:t>Règle 48   Publication internationale</w:t>
      </w:r>
      <w:r>
        <w:rPr>
          <w:noProof/>
        </w:rPr>
        <w:tab/>
      </w:r>
      <w:r>
        <w:rPr>
          <w:noProof/>
        </w:rPr>
        <w:fldChar w:fldCharType="begin"/>
      </w:r>
      <w:r>
        <w:rPr>
          <w:noProof/>
        </w:rPr>
        <w:instrText xml:space="preserve"> PAGEREF _Toc442349528 \h </w:instrText>
      </w:r>
      <w:r>
        <w:rPr>
          <w:noProof/>
        </w:rPr>
      </w:r>
      <w:r>
        <w:rPr>
          <w:noProof/>
        </w:rPr>
        <w:fldChar w:fldCharType="separate"/>
      </w:r>
      <w:r w:rsidR="00952DA0">
        <w:rPr>
          <w:noProof/>
        </w:rPr>
        <w:t>5</w:t>
      </w:r>
      <w:r>
        <w:rPr>
          <w:noProof/>
        </w:rPr>
        <w:fldChar w:fldCharType="end"/>
      </w:r>
    </w:p>
    <w:p w:rsidR="00137143" w:rsidRPr="003F5852" w:rsidRDefault="00137143">
      <w:pPr>
        <w:pStyle w:val="TOC2"/>
        <w:tabs>
          <w:tab w:val="right" w:leader="dot" w:pos="9345"/>
        </w:tabs>
        <w:rPr>
          <w:rFonts w:asciiTheme="minorHAnsi" w:eastAsiaTheme="minorEastAsia" w:hAnsiTheme="minorHAnsi" w:cstheme="minorBidi"/>
          <w:noProof/>
          <w:szCs w:val="22"/>
          <w:lang w:val="fr-CH" w:eastAsia="en-US"/>
        </w:rPr>
      </w:pPr>
      <w:r w:rsidRPr="00042D17">
        <w:rPr>
          <w:iCs/>
          <w:noProof/>
        </w:rPr>
        <w:t>48.1</w:t>
      </w:r>
      <w:r w:rsidRPr="00042D17">
        <w:rPr>
          <w:i/>
          <w:noProof/>
        </w:rPr>
        <w:t>   [Sans changement]</w:t>
      </w:r>
      <w:r>
        <w:rPr>
          <w:noProof/>
        </w:rPr>
        <w:tab/>
      </w:r>
      <w:r>
        <w:rPr>
          <w:noProof/>
        </w:rPr>
        <w:fldChar w:fldCharType="begin"/>
      </w:r>
      <w:r>
        <w:rPr>
          <w:noProof/>
        </w:rPr>
        <w:instrText xml:space="preserve"> PAGEREF _Toc442349529 \h </w:instrText>
      </w:r>
      <w:r>
        <w:rPr>
          <w:noProof/>
        </w:rPr>
      </w:r>
      <w:r>
        <w:rPr>
          <w:noProof/>
        </w:rPr>
        <w:fldChar w:fldCharType="separate"/>
      </w:r>
      <w:r w:rsidR="00952DA0">
        <w:rPr>
          <w:noProof/>
        </w:rPr>
        <w:t>5</w:t>
      </w:r>
      <w:r>
        <w:rPr>
          <w:noProof/>
        </w:rPr>
        <w:fldChar w:fldCharType="end"/>
      </w:r>
    </w:p>
    <w:p w:rsidR="00137143" w:rsidRPr="003F5852" w:rsidRDefault="00137143">
      <w:pPr>
        <w:pStyle w:val="TOC2"/>
        <w:tabs>
          <w:tab w:val="right" w:leader="dot" w:pos="9345"/>
        </w:tabs>
        <w:rPr>
          <w:rFonts w:asciiTheme="minorHAnsi" w:eastAsiaTheme="minorEastAsia" w:hAnsiTheme="minorHAnsi" w:cstheme="minorBidi"/>
          <w:noProof/>
          <w:szCs w:val="22"/>
          <w:lang w:val="fr-CH" w:eastAsia="en-US"/>
        </w:rPr>
      </w:pPr>
      <w:r w:rsidRPr="00042D17">
        <w:rPr>
          <w:iCs/>
          <w:noProof/>
        </w:rPr>
        <w:t>48.2</w:t>
      </w:r>
      <w:r w:rsidRPr="00042D17">
        <w:rPr>
          <w:i/>
          <w:noProof/>
        </w:rPr>
        <w:t>   Contenu</w:t>
      </w:r>
      <w:r>
        <w:rPr>
          <w:noProof/>
        </w:rPr>
        <w:tab/>
      </w:r>
      <w:r>
        <w:rPr>
          <w:noProof/>
        </w:rPr>
        <w:fldChar w:fldCharType="begin"/>
      </w:r>
      <w:r>
        <w:rPr>
          <w:noProof/>
        </w:rPr>
        <w:instrText xml:space="preserve"> PAGEREF _Toc442349530 \h </w:instrText>
      </w:r>
      <w:r>
        <w:rPr>
          <w:noProof/>
        </w:rPr>
      </w:r>
      <w:r>
        <w:rPr>
          <w:noProof/>
        </w:rPr>
        <w:fldChar w:fldCharType="separate"/>
      </w:r>
      <w:r w:rsidR="00952DA0">
        <w:rPr>
          <w:noProof/>
        </w:rPr>
        <w:t>5</w:t>
      </w:r>
      <w:r>
        <w:rPr>
          <w:noProof/>
        </w:rPr>
        <w:fldChar w:fldCharType="end"/>
      </w:r>
    </w:p>
    <w:p w:rsidR="00137143" w:rsidRPr="003F5852" w:rsidRDefault="00137143">
      <w:pPr>
        <w:pStyle w:val="TOC2"/>
        <w:tabs>
          <w:tab w:val="right" w:leader="dot" w:pos="9345"/>
        </w:tabs>
        <w:rPr>
          <w:rFonts w:asciiTheme="minorHAnsi" w:eastAsiaTheme="minorEastAsia" w:hAnsiTheme="minorHAnsi" w:cstheme="minorBidi"/>
          <w:noProof/>
          <w:szCs w:val="22"/>
          <w:lang w:val="fr-CH" w:eastAsia="en-US"/>
        </w:rPr>
      </w:pPr>
      <w:r w:rsidRPr="00042D17">
        <w:rPr>
          <w:iCs/>
          <w:noProof/>
        </w:rPr>
        <w:t>48.3 à 48.6</w:t>
      </w:r>
      <w:r w:rsidRPr="00042D17">
        <w:rPr>
          <w:i/>
          <w:noProof/>
        </w:rPr>
        <w:t>   [Sans changement]</w:t>
      </w:r>
      <w:r>
        <w:rPr>
          <w:noProof/>
        </w:rPr>
        <w:tab/>
      </w:r>
      <w:r>
        <w:rPr>
          <w:noProof/>
        </w:rPr>
        <w:fldChar w:fldCharType="begin"/>
      </w:r>
      <w:r>
        <w:rPr>
          <w:noProof/>
        </w:rPr>
        <w:instrText xml:space="preserve"> PAGEREF _Toc442349531 \h </w:instrText>
      </w:r>
      <w:r>
        <w:rPr>
          <w:noProof/>
        </w:rPr>
      </w:r>
      <w:r>
        <w:rPr>
          <w:noProof/>
        </w:rPr>
        <w:fldChar w:fldCharType="separate"/>
      </w:r>
      <w:r w:rsidR="00952DA0">
        <w:rPr>
          <w:noProof/>
        </w:rPr>
        <w:t>7</w:t>
      </w:r>
      <w:r>
        <w:rPr>
          <w:noProof/>
        </w:rPr>
        <w:fldChar w:fldCharType="end"/>
      </w:r>
    </w:p>
    <w:p w:rsidR="00137143" w:rsidRPr="003F5852" w:rsidRDefault="00137143">
      <w:pPr>
        <w:pStyle w:val="TOC1"/>
        <w:rPr>
          <w:rFonts w:asciiTheme="minorHAnsi" w:eastAsiaTheme="minorEastAsia" w:hAnsiTheme="minorHAnsi" w:cstheme="minorBidi"/>
          <w:noProof/>
          <w:szCs w:val="22"/>
          <w:lang w:val="fr-CH" w:eastAsia="en-US"/>
        </w:rPr>
      </w:pPr>
      <w:r>
        <w:rPr>
          <w:noProof/>
        </w:rPr>
        <w:t>Règle 82</w:t>
      </w:r>
      <w:r w:rsidRPr="00042D17">
        <w:rPr>
          <w:i/>
          <w:noProof/>
        </w:rPr>
        <w:t xml:space="preserve">quater </w:t>
      </w:r>
      <w:r>
        <w:rPr>
          <w:noProof/>
        </w:rPr>
        <w:t xml:space="preserve"> Excuse de retard dans l’observation de délais</w:t>
      </w:r>
      <w:r>
        <w:rPr>
          <w:noProof/>
        </w:rPr>
        <w:tab/>
      </w:r>
      <w:r>
        <w:rPr>
          <w:noProof/>
        </w:rPr>
        <w:fldChar w:fldCharType="begin"/>
      </w:r>
      <w:r>
        <w:rPr>
          <w:noProof/>
        </w:rPr>
        <w:instrText xml:space="preserve"> PAGEREF _Toc442349532 \h </w:instrText>
      </w:r>
      <w:r>
        <w:rPr>
          <w:noProof/>
        </w:rPr>
      </w:r>
      <w:r>
        <w:rPr>
          <w:noProof/>
        </w:rPr>
        <w:fldChar w:fldCharType="separate"/>
      </w:r>
      <w:r w:rsidR="00952DA0">
        <w:rPr>
          <w:noProof/>
        </w:rPr>
        <w:t>8</w:t>
      </w:r>
      <w:r>
        <w:rPr>
          <w:noProof/>
        </w:rPr>
        <w:fldChar w:fldCharType="end"/>
      </w:r>
    </w:p>
    <w:p w:rsidR="00137143" w:rsidRPr="003F5852" w:rsidRDefault="00137143">
      <w:pPr>
        <w:pStyle w:val="TOC2"/>
        <w:tabs>
          <w:tab w:val="right" w:leader="dot" w:pos="9345"/>
        </w:tabs>
        <w:rPr>
          <w:rFonts w:asciiTheme="minorHAnsi" w:eastAsiaTheme="minorEastAsia" w:hAnsiTheme="minorHAnsi" w:cstheme="minorBidi"/>
          <w:noProof/>
          <w:szCs w:val="22"/>
          <w:lang w:val="fr-CH" w:eastAsia="en-US"/>
        </w:rPr>
      </w:pPr>
      <w:r w:rsidRPr="00042D17">
        <w:rPr>
          <w:rFonts w:eastAsia="Arial Unicode MS"/>
          <w:iCs/>
          <w:noProof/>
        </w:rPr>
        <w:t>82</w:t>
      </w:r>
      <w:r w:rsidRPr="00042D17">
        <w:rPr>
          <w:rFonts w:eastAsia="Arial Unicode MS"/>
          <w:i/>
          <w:noProof/>
        </w:rPr>
        <w:t>quater</w:t>
      </w:r>
      <w:r w:rsidRPr="00042D17">
        <w:rPr>
          <w:rFonts w:eastAsia="Arial Unicode MS"/>
          <w:iCs/>
          <w:noProof/>
        </w:rPr>
        <w:t>.1   </w:t>
      </w:r>
      <w:r w:rsidRPr="00042D17">
        <w:rPr>
          <w:rFonts w:eastAsia="Arial Unicode MS"/>
          <w:i/>
          <w:noProof/>
        </w:rPr>
        <w:t>Excuse de retard dans l’observation de délais</w:t>
      </w:r>
      <w:r>
        <w:rPr>
          <w:noProof/>
        </w:rPr>
        <w:tab/>
      </w:r>
      <w:r>
        <w:rPr>
          <w:noProof/>
        </w:rPr>
        <w:fldChar w:fldCharType="begin"/>
      </w:r>
      <w:r>
        <w:rPr>
          <w:noProof/>
        </w:rPr>
        <w:instrText xml:space="preserve"> PAGEREF _Toc442349533 \h </w:instrText>
      </w:r>
      <w:r>
        <w:rPr>
          <w:noProof/>
        </w:rPr>
      </w:r>
      <w:r>
        <w:rPr>
          <w:noProof/>
        </w:rPr>
        <w:fldChar w:fldCharType="separate"/>
      </w:r>
      <w:r w:rsidR="00952DA0">
        <w:rPr>
          <w:noProof/>
        </w:rPr>
        <w:t>8</w:t>
      </w:r>
      <w:r>
        <w:rPr>
          <w:noProof/>
        </w:rPr>
        <w:fldChar w:fldCharType="end"/>
      </w:r>
    </w:p>
    <w:p w:rsidR="00137143" w:rsidRPr="003F5852" w:rsidRDefault="00137143">
      <w:pPr>
        <w:pStyle w:val="TOC1"/>
        <w:rPr>
          <w:rFonts w:asciiTheme="minorHAnsi" w:eastAsiaTheme="minorEastAsia" w:hAnsiTheme="minorHAnsi" w:cstheme="minorBidi"/>
          <w:noProof/>
          <w:szCs w:val="22"/>
          <w:lang w:val="fr-CH" w:eastAsia="en-US"/>
        </w:rPr>
      </w:pPr>
      <w:r>
        <w:rPr>
          <w:noProof/>
        </w:rPr>
        <w:t>Règle 92 Correspondance</w:t>
      </w:r>
      <w:r>
        <w:rPr>
          <w:noProof/>
        </w:rPr>
        <w:tab/>
      </w:r>
      <w:r>
        <w:rPr>
          <w:noProof/>
        </w:rPr>
        <w:fldChar w:fldCharType="begin"/>
      </w:r>
      <w:r>
        <w:rPr>
          <w:noProof/>
        </w:rPr>
        <w:instrText xml:space="preserve"> PAGEREF _Toc442349534 \h </w:instrText>
      </w:r>
      <w:r>
        <w:rPr>
          <w:noProof/>
        </w:rPr>
      </w:r>
      <w:r>
        <w:rPr>
          <w:noProof/>
        </w:rPr>
        <w:fldChar w:fldCharType="separate"/>
      </w:r>
      <w:r w:rsidR="00952DA0">
        <w:rPr>
          <w:noProof/>
        </w:rPr>
        <w:t>9</w:t>
      </w:r>
      <w:r>
        <w:rPr>
          <w:noProof/>
        </w:rPr>
        <w:fldChar w:fldCharType="end"/>
      </w:r>
    </w:p>
    <w:p w:rsidR="00137143" w:rsidRPr="003F5852" w:rsidRDefault="00137143">
      <w:pPr>
        <w:pStyle w:val="TOC2"/>
        <w:tabs>
          <w:tab w:val="right" w:leader="dot" w:pos="9345"/>
        </w:tabs>
        <w:rPr>
          <w:rFonts w:asciiTheme="minorHAnsi" w:eastAsiaTheme="minorEastAsia" w:hAnsiTheme="minorHAnsi" w:cstheme="minorBidi"/>
          <w:noProof/>
          <w:szCs w:val="22"/>
          <w:lang w:val="fr-CH" w:eastAsia="en-US"/>
        </w:rPr>
      </w:pPr>
      <w:r w:rsidRPr="00042D17">
        <w:rPr>
          <w:iCs/>
          <w:noProof/>
        </w:rPr>
        <w:t>92.1</w:t>
      </w:r>
      <w:r w:rsidRPr="00042D17">
        <w:rPr>
          <w:i/>
          <w:noProof/>
        </w:rPr>
        <w:t xml:space="preserve"> </w:t>
      </w:r>
      <w:r w:rsidRPr="00042D17">
        <w:rPr>
          <w:iCs/>
          <w:noProof/>
        </w:rPr>
        <w:t xml:space="preserve"> </w:t>
      </w:r>
      <w:r w:rsidRPr="00042D17">
        <w:rPr>
          <w:i/>
          <w:noProof/>
        </w:rPr>
        <w:t>[Sans changement]</w:t>
      </w:r>
      <w:r>
        <w:rPr>
          <w:noProof/>
        </w:rPr>
        <w:tab/>
      </w:r>
      <w:r>
        <w:rPr>
          <w:noProof/>
        </w:rPr>
        <w:fldChar w:fldCharType="begin"/>
      </w:r>
      <w:r>
        <w:rPr>
          <w:noProof/>
        </w:rPr>
        <w:instrText xml:space="preserve"> PAGEREF _Toc442349535 \h </w:instrText>
      </w:r>
      <w:r>
        <w:rPr>
          <w:noProof/>
        </w:rPr>
      </w:r>
      <w:r>
        <w:rPr>
          <w:noProof/>
        </w:rPr>
        <w:fldChar w:fldCharType="separate"/>
      </w:r>
      <w:r w:rsidR="00952DA0">
        <w:rPr>
          <w:noProof/>
        </w:rPr>
        <w:t>9</w:t>
      </w:r>
      <w:r>
        <w:rPr>
          <w:noProof/>
        </w:rPr>
        <w:fldChar w:fldCharType="end"/>
      </w:r>
    </w:p>
    <w:p w:rsidR="00137143" w:rsidRPr="003F5852" w:rsidRDefault="00137143">
      <w:pPr>
        <w:pStyle w:val="TOC2"/>
        <w:tabs>
          <w:tab w:val="right" w:leader="dot" w:pos="9345"/>
        </w:tabs>
        <w:rPr>
          <w:rFonts w:asciiTheme="minorHAnsi" w:eastAsiaTheme="minorEastAsia" w:hAnsiTheme="minorHAnsi" w:cstheme="minorBidi"/>
          <w:noProof/>
          <w:szCs w:val="22"/>
          <w:lang w:val="fr-CH" w:eastAsia="en-US"/>
        </w:rPr>
      </w:pPr>
      <w:r w:rsidRPr="00042D17">
        <w:rPr>
          <w:iCs/>
          <w:noProof/>
        </w:rPr>
        <w:t xml:space="preserve">92.2  </w:t>
      </w:r>
      <w:r w:rsidRPr="00042D17">
        <w:rPr>
          <w:i/>
          <w:noProof/>
        </w:rPr>
        <w:t>Langues</w:t>
      </w:r>
      <w:r>
        <w:rPr>
          <w:noProof/>
        </w:rPr>
        <w:tab/>
      </w:r>
      <w:r>
        <w:rPr>
          <w:noProof/>
        </w:rPr>
        <w:fldChar w:fldCharType="begin"/>
      </w:r>
      <w:r>
        <w:rPr>
          <w:noProof/>
        </w:rPr>
        <w:instrText xml:space="preserve"> PAGEREF _Toc442349536 \h </w:instrText>
      </w:r>
      <w:r>
        <w:rPr>
          <w:noProof/>
        </w:rPr>
      </w:r>
      <w:r>
        <w:rPr>
          <w:noProof/>
        </w:rPr>
        <w:fldChar w:fldCharType="separate"/>
      </w:r>
      <w:r w:rsidR="00952DA0">
        <w:rPr>
          <w:noProof/>
        </w:rPr>
        <w:t>9</w:t>
      </w:r>
      <w:r>
        <w:rPr>
          <w:noProof/>
        </w:rPr>
        <w:fldChar w:fldCharType="end"/>
      </w:r>
    </w:p>
    <w:p w:rsidR="00137143" w:rsidRPr="003F5852" w:rsidRDefault="00137143">
      <w:pPr>
        <w:pStyle w:val="TOC2"/>
        <w:tabs>
          <w:tab w:val="right" w:leader="dot" w:pos="9345"/>
        </w:tabs>
        <w:rPr>
          <w:rFonts w:asciiTheme="minorHAnsi" w:eastAsiaTheme="minorEastAsia" w:hAnsiTheme="minorHAnsi" w:cstheme="minorBidi"/>
          <w:noProof/>
          <w:szCs w:val="22"/>
          <w:lang w:val="fr-CH" w:eastAsia="en-US"/>
        </w:rPr>
      </w:pPr>
      <w:r w:rsidRPr="00042D17">
        <w:rPr>
          <w:iCs/>
          <w:noProof/>
        </w:rPr>
        <w:t xml:space="preserve">92.3 et 92.4 </w:t>
      </w:r>
      <w:r w:rsidRPr="00042D17">
        <w:rPr>
          <w:i/>
          <w:noProof/>
        </w:rPr>
        <w:t xml:space="preserve"> [Sans changement]</w:t>
      </w:r>
      <w:r>
        <w:rPr>
          <w:noProof/>
        </w:rPr>
        <w:tab/>
      </w:r>
      <w:r>
        <w:rPr>
          <w:noProof/>
        </w:rPr>
        <w:fldChar w:fldCharType="begin"/>
      </w:r>
      <w:r>
        <w:rPr>
          <w:noProof/>
        </w:rPr>
        <w:instrText xml:space="preserve"> PAGEREF _Toc442349537 \h </w:instrText>
      </w:r>
      <w:r>
        <w:rPr>
          <w:noProof/>
        </w:rPr>
      </w:r>
      <w:r>
        <w:rPr>
          <w:noProof/>
        </w:rPr>
        <w:fldChar w:fldCharType="separate"/>
      </w:r>
      <w:r w:rsidR="00952DA0">
        <w:rPr>
          <w:noProof/>
        </w:rPr>
        <w:t>9</w:t>
      </w:r>
      <w:r>
        <w:rPr>
          <w:noProof/>
        </w:rPr>
        <w:fldChar w:fldCharType="end"/>
      </w:r>
    </w:p>
    <w:p w:rsidR="00137143" w:rsidRPr="003F5852" w:rsidRDefault="00137143">
      <w:pPr>
        <w:pStyle w:val="TOC1"/>
        <w:rPr>
          <w:rFonts w:asciiTheme="minorHAnsi" w:eastAsiaTheme="minorEastAsia" w:hAnsiTheme="minorHAnsi" w:cstheme="minorBidi"/>
          <w:noProof/>
          <w:szCs w:val="22"/>
          <w:lang w:val="fr-CH" w:eastAsia="en-US"/>
        </w:rPr>
      </w:pPr>
      <w:r>
        <w:rPr>
          <w:noProof/>
        </w:rPr>
        <w:t>Règle 94   Accès aux dossiers</w:t>
      </w:r>
      <w:r>
        <w:rPr>
          <w:noProof/>
        </w:rPr>
        <w:tab/>
      </w:r>
      <w:r>
        <w:rPr>
          <w:noProof/>
        </w:rPr>
        <w:fldChar w:fldCharType="begin"/>
      </w:r>
      <w:r>
        <w:rPr>
          <w:noProof/>
        </w:rPr>
        <w:instrText xml:space="preserve"> PAGEREF _Toc442349538 \h </w:instrText>
      </w:r>
      <w:r>
        <w:rPr>
          <w:noProof/>
        </w:rPr>
      </w:r>
      <w:r>
        <w:rPr>
          <w:noProof/>
        </w:rPr>
        <w:fldChar w:fldCharType="separate"/>
      </w:r>
      <w:r w:rsidR="00952DA0">
        <w:rPr>
          <w:noProof/>
        </w:rPr>
        <w:t>10</w:t>
      </w:r>
      <w:r>
        <w:rPr>
          <w:noProof/>
        </w:rPr>
        <w:fldChar w:fldCharType="end"/>
      </w:r>
    </w:p>
    <w:p w:rsidR="00137143" w:rsidRPr="003F5852" w:rsidRDefault="00137143">
      <w:pPr>
        <w:pStyle w:val="TOC2"/>
        <w:tabs>
          <w:tab w:val="right" w:leader="dot" w:pos="9345"/>
        </w:tabs>
        <w:rPr>
          <w:rFonts w:asciiTheme="minorHAnsi" w:eastAsiaTheme="minorEastAsia" w:hAnsiTheme="minorHAnsi" w:cstheme="minorBidi"/>
          <w:noProof/>
          <w:szCs w:val="22"/>
          <w:lang w:val="fr-CH" w:eastAsia="en-US"/>
        </w:rPr>
      </w:pPr>
      <w:r w:rsidRPr="00042D17">
        <w:rPr>
          <w:iCs/>
          <w:noProof/>
        </w:rPr>
        <w:t>94.1</w:t>
      </w:r>
      <w:r w:rsidRPr="00042D17">
        <w:rPr>
          <w:i/>
          <w:noProof/>
        </w:rPr>
        <w:t>   Accès au dossier détenu par le Bureau international</w:t>
      </w:r>
      <w:r>
        <w:rPr>
          <w:noProof/>
        </w:rPr>
        <w:tab/>
      </w:r>
      <w:r>
        <w:rPr>
          <w:noProof/>
        </w:rPr>
        <w:fldChar w:fldCharType="begin"/>
      </w:r>
      <w:r>
        <w:rPr>
          <w:noProof/>
        </w:rPr>
        <w:instrText xml:space="preserve"> PAGEREF _Toc442349539 \h </w:instrText>
      </w:r>
      <w:r>
        <w:rPr>
          <w:noProof/>
        </w:rPr>
      </w:r>
      <w:r>
        <w:rPr>
          <w:noProof/>
        </w:rPr>
        <w:fldChar w:fldCharType="separate"/>
      </w:r>
      <w:r w:rsidR="00952DA0">
        <w:rPr>
          <w:noProof/>
        </w:rPr>
        <w:t>10</w:t>
      </w:r>
      <w:r>
        <w:rPr>
          <w:noProof/>
        </w:rPr>
        <w:fldChar w:fldCharType="end"/>
      </w:r>
    </w:p>
    <w:p w:rsidR="00137143" w:rsidRPr="003F5852" w:rsidRDefault="00137143">
      <w:pPr>
        <w:pStyle w:val="TOC2"/>
        <w:tabs>
          <w:tab w:val="right" w:leader="dot" w:pos="9345"/>
        </w:tabs>
        <w:rPr>
          <w:rFonts w:asciiTheme="minorHAnsi" w:eastAsiaTheme="minorEastAsia" w:hAnsiTheme="minorHAnsi" w:cstheme="minorBidi"/>
          <w:noProof/>
          <w:szCs w:val="22"/>
          <w:lang w:val="fr-CH" w:eastAsia="en-US"/>
        </w:rPr>
      </w:pPr>
      <w:r>
        <w:rPr>
          <w:noProof/>
        </w:rPr>
        <w:t>94.1</w:t>
      </w:r>
      <w:r w:rsidRPr="00042D17">
        <w:rPr>
          <w:i/>
          <w:iCs/>
          <w:noProof/>
        </w:rPr>
        <w:t>bis</w:t>
      </w:r>
      <w:r>
        <w:rPr>
          <w:noProof/>
        </w:rPr>
        <w:t>   </w:t>
      </w:r>
      <w:r w:rsidRPr="00042D17">
        <w:rPr>
          <w:i/>
          <w:iCs/>
          <w:noProof/>
        </w:rPr>
        <w:t>Accès au dossier détenu par l’office récepteur</w:t>
      </w:r>
      <w:r>
        <w:rPr>
          <w:noProof/>
        </w:rPr>
        <w:tab/>
      </w:r>
      <w:r>
        <w:rPr>
          <w:noProof/>
        </w:rPr>
        <w:fldChar w:fldCharType="begin"/>
      </w:r>
      <w:r>
        <w:rPr>
          <w:noProof/>
        </w:rPr>
        <w:instrText xml:space="preserve"> PAGEREF _Toc442349540 \h </w:instrText>
      </w:r>
      <w:r>
        <w:rPr>
          <w:noProof/>
        </w:rPr>
      </w:r>
      <w:r>
        <w:rPr>
          <w:noProof/>
        </w:rPr>
        <w:fldChar w:fldCharType="separate"/>
      </w:r>
      <w:r w:rsidR="00952DA0">
        <w:rPr>
          <w:noProof/>
        </w:rPr>
        <w:t>11</w:t>
      </w:r>
      <w:r>
        <w:rPr>
          <w:noProof/>
        </w:rPr>
        <w:fldChar w:fldCharType="end"/>
      </w:r>
    </w:p>
    <w:p w:rsidR="00137143" w:rsidRPr="003F5852" w:rsidRDefault="00137143">
      <w:pPr>
        <w:pStyle w:val="TOC2"/>
        <w:tabs>
          <w:tab w:val="right" w:leader="dot" w:pos="9345"/>
        </w:tabs>
        <w:rPr>
          <w:rFonts w:asciiTheme="minorHAnsi" w:eastAsiaTheme="minorEastAsia" w:hAnsiTheme="minorHAnsi" w:cstheme="minorBidi"/>
          <w:noProof/>
          <w:szCs w:val="22"/>
          <w:lang w:val="fr-CH" w:eastAsia="en-US"/>
        </w:rPr>
      </w:pPr>
      <w:r>
        <w:rPr>
          <w:noProof/>
        </w:rPr>
        <w:t>94.1</w:t>
      </w:r>
      <w:r w:rsidRPr="00042D17">
        <w:rPr>
          <w:i/>
          <w:iCs/>
          <w:noProof/>
        </w:rPr>
        <w:t>ter</w:t>
      </w:r>
      <w:r>
        <w:rPr>
          <w:noProof/>
        </w:rPr>
        <w:t>   </w:t>
      </w:r>
      <w:r w:rsidRPr="00042D17">
        <w:rPr>
          <w:i/>
          <w:iCs/>
          <w:noProof/>
        </w:rPr>
        <w:t>Accès au dossier détenu par l’administration chargée de la recherche internationale</w:t>
      </w:r>
      <w:r>
        <w:rPr>
          <w:noProof/>
        </w:rPr>
        <w:tab/>
      </w:r>
      <w:r>
        <w:rPr>
          <w:noProof/>
        </w:rPr>
        <w:fldChar w:fldCharType="begin"/>
      </w:r>
      <w:r>
        <w:rPr>
          <w:noProof/>
        </w:rPr>
        <w:instrText xml:space="preserve"> PAGEREF _Toc442349541 \h </w:instrText>
      </w:r>
      <w:r>
        <w:rPr>
          <w:noProof/>
        </w:rPr>
      </w:r>
      <w:r>
        <w:rPr>
          <w:noProof/>
        </w:rPr>
        <w:fldChar w:fldCharType="separate"/>
      </w:r>
      <w:r w:rsidR="00952DA0">
        <w:rPr>
          <w:noProof/>
        </w:rPr>
        <w:t>11</w:t>
      </w:r>
      <w:r>
        <w:rPr>
          <w:noProof/>
        </w:rPr>
        <w:fldChar w:fldCharType="end"/>
      </w:r>
    </w:p>
    <w:p w:rsidR="00137143" w:rsidRPr="003F5852" w:rsidRDefault="00137143">
      <w:pPr>
        <w:pStyle w:val="TOC2"/>
        <w:tabs>
          <w:tab w:val="right" w:leader="dot" w:pos="9345"/>
        </w:tabs>
        <w:rPr>
          <w:rFonts w:asciiTheme="minorHAnsi" w:eastAsiaTheme="minorEastAsia" w:hAnsiTheme="minorHAnsi" w:cstheme="minorBidi"/>
          <w:noProof/>
          <w:szCs w:val="22"/>
          <w:lang w:val="fr-CH" w:eastAsia="en-US"/>
        </w:rPr>
      </w:pPr>
      <w:r>
        <w:rPr>
          <w:noProof/>
        </w:rPr>
        <w:t>94.2</w:t>
      </w:r>
      <w:r w:rsidRPr="00042D17">
        <w:rPr>
          <w:iCs/>
          <w:noProof/>
        </w:rPr>
        <w:t>   </w:t>
      </w:r>
      <w:r w:rsidRPr="00042D17">
        <w:rPr>
          <w:i/>
          <w:noProof/>
        </w:rPr>
        <w:t>Accès au dossier détenu par l’administration chargée de l’examen préliminaire international</w:t>
      </w:r>
      <w:r>
        <w:rPr>
          <w:noProof/>
        </w:rPr>
        <w:tab/>
      </w:r>
      <w:r>
        <w:rPr>
          <w:noProof/>
        </w:rPr>
        <w:fldChar w:fldCharType="begin"/>
      </w:r>
      <w:r>
        <w:rPr>
          <w:noProof/>
        </w:rPr>
        <w:instrText xml:space="preserve"> PAGEREF _Toc442349542 \h </w:instrText>
      </w:r>
      <w:r>
        <w:rPr>
          <w:noProof/>
        </w:rPr>
      </w:r>
      <w:r>
        <w:rPr>
          <w:noProof/>
        </w:rPr>
        <w:fldChar w:fldCharType="separate"/>
      </w:r>
      <w:r w:rsidR="00952DA0">
        <w:rPr>
          <w:noProof/>
        </w:rPr>
        <w:t>12</w:t>
      </w:r>
      <w:r>
        <w:rPr>
          <w:noProof/>
        </w:rPr>
        <w:fldChar w:fldCharType="end"/>
      </w:r>
    </w:p>
    <w:p w:rsidR="00137143" w:rsidRPr="003F5852" w:rsidRDefault="00137143">
      <w:pPr>
        <w:pStyle w:val="TOC2"/>
        <w:tabs>
          <w:tab w:val="right" w:leader="dot" w:pos="9345"/>
        </w:tabs>
        <w:rPr>
          <w:rFonts w:asciiTheme="minorHAnsi" w:eastAsiaTheme="minorEastAsia" w:hAnsiTheme="minorHAnsi" w:cstheme="minorBidi"/>
          <w:noProof/>
          <w:szCs w:val="22"/>
          <w:lang w:val="fr-CH" w:eastAsia="en-US"/>
        </w:rPr>
      </w:pPr>
      <w:r>
        <w:rPr>
          <w:noProof/>
        </w:rPr>
        <w:t>94.2</w:t>
      </w:r>
      <w:r w:rsidRPr="00042D17">
        <w:rPr>
          <w:i/>
          <w:iCs/>
          <w:noProof/>
        </w:rPr>
        <w:t>bis</w:t>
      </w:r>
      <w:r>
        <w:rPr>
          <w:noProof/>
        </w:rPr>
        <w:t>   </w:t>
      </w:r>
      <w:r w:rsidRPr="00042D17">
        <w:rPr>
          <w:i/>
          <w:iCs/>
          <w:noProof/>
        </w:rPr>
        <w:t>Accès au dossier détenu par l’office désigné</w:t>
      </w:r>
      <w:r>
        <w:rPr>
          <w:noProof/>
        </w:rPr>
        <w:tab/>
      </w:r>
      <w:r>
        <w:rPr>
          <w:noProof/>
        </w:rPr>
        <w:fldChar w:fldCharType="begin"/>
      </w:r>
      <w:r>
        <w:rPr>
          <w:noProof/>
        </w:rPr>
        <w:instrText xml:space="preserve"> PAGEREF _Toc442349543 \h </w:instrText>
      </w:r>
      <w:r>
        <w:rPr>
          <w:noProof/>
        </w:rPr>
      </w:r>
      <w:r>
        <w:rPr>
          <w:noProof/>
        </w:rPr>
        <w:fldChar w:fldCharType="separate"/>
      </w:r>
      <w:r w:rsidR="00952DA0">
        <w:rPr>
          <w:noProof/>
        </w:rPr>
        <w:t>12</w:t>
      </w:r>
      <w:r>
        <w:rPr>
          <w:noProof/>
        </w:rPr>
        <w:fldChar w:fldCharType="end"/>
      </w:r>
    </w:p>
    <w:p w:rsidR="00137143" w:rsidRPr="003F5852" w:rsidRDefault="00137143">
      <w:pPr>
        <w:pStyle w:val="TOC2"/>
        <w:tabs>
          <w:tab w:val="right" w:leader="dot" w:pos="9345"/>
        </w:tabs>
        <w:rPr>
          <w:rFonts w:asciiTheme="minorHAnsi" w:eastAsiaTheme="minorEastAsia" w:hAnsiTheme="minorHAnsi" w:cstheme="minorBidi"/>
          <w:noProof/>
          <w:szCs w:val="22"/>
          <w:lang w:val="fr-CH" w:eastAsia="en-US"/>
        </w:rPr>
      </w:pPr>
      <w:r w:rsidRPr="00042D17">
        <w:rPr>
          <w:iCs/>
          <w:noProof/>
        </w:rPr>
        <w:t>94.3</w:t>
      </w:r>
      <w:r w:rsidRPr="00042D17">
        <w:rPr>
          <w:i/>
          <w:noProof/>
        </w:rPr>
        <w:t>   Accès au dossier détenu par l’office élu</w:t>
      </w:r>
      <w:r>
        <w:rPr>
          <w:noProof/>
        </w:rPr>
        <w:tab/>
      </w:r>
      <w:r>
        <w:rPr>
          <w:noProof/>
        </w:rPr>
        <w:fldChar w:fldCharType="begin"/>
      </w:r>
      <w:r>
        <w:rPr>
          <w:noProof/>
        </w:rPr>
        <w:instrText xml:space="preserve"> PAGEREF _Toc442349544 \h </w:instrText>
      </w:r>
      <w:r>
        <w:rPr>
          <w:noProof/>
        </w:rPr>
      </w:r>
      <w:r>
        <w:rPr>
          <w:noProof/>
        </w:rPr>
        <w:fldChar w:fldCharType="separate"/>
      </w:r>
      <w:r w:rsidR="00952DA0">
        <w:rPr>
          <w:noProof/>
        </w:rPr>
        <w:t>12</w:t>
      </w:r>
      <w:r>
        <w:rPr>
          <w:noProof/>
        </w:rPr>
        <w:fldChar w:fldCharType="end"/>
      </w:r>
    </w:p>
    <w:p w:rsidR="000C226F" w:rsidRDefault="000C226F" w:rsidP="009E5CBD">
      <w:r>
        <w:fldChar w:fldCharType="end"/>
      </w:r>
    </w:p>
    <w:p w:rsidR="000C226F" w:rsidRDefault="000C226F" w:rsidP="009E5CBD"/>
    <w:p w:rsidR="000C226F" w:rsidRPr="00E40450" w:rsidRDefault="000C226F" w:rsidP="009E5CBD">
      <w:pPr>
        <w:pStyle w:val="LegTitle"/>
        <w:spacing w:line="240" w:lineRule="auto"/>
      </w:pPr>
      <w:bookmarkStart w:id="4" w:name="_Toc442349521"/>
      <w:r w:rsidRPr="00E40450">
        <w:lastRenderedPageBreak/>
        <w:t>Règle</w:t>
      </w:r>
      <w:r>
        <w:t> </w:t>
      </w:r>
      <w:r w:rsidRPr="00E40450">
        <w:t xml:space="preserve">9  </w:t>
      </w:r>
      <w:r w:rsidRPr="00E40450">
        <w:br/>
        <w:t>Expressions, etc., à ne pas utiliser</w:t>
      </w:r>
      <w:bookmarkEnd w:id="4"/>
    </w:p>
    <w:p w:rsidR="00CE5FEC" w:rsidRDefault="000C226F" w:rsidP="009E5CBD">
      <w:pPr>
        <w:pStyle w:val="LegSubRule"/>
        <w:spacing w:line="240" w:lineRule="auto"/>
        <w:rPr>
          <w:i/>
        </w:rPr>
      </w:pPr>
      <w:bookmarkStart w:id="5" w:name="_Toc442349522"/>
      <w:r w:rsidRPr="00B401AA">
        <w:rPr>
          <w:iCs/>
        </w:rPr>
        <w:t>9.1</w:t>
      </w:r>
      <w:r w:rsidRPr="00370D62">
        <w:rPr>
          <w:i/>
        </w:rPr>
        <w:t>   [Sans changement]  Définition</w:t>
      </w:r>
      <w:bookmarkEnd w:id="5"/>
    </w:p>
    <w:p w:rsidR="000C226F" w:rsidRPr="00E40450" w:rsidRDefault="000C226F" w:rsidP="009E5CBD">
      <w:pPr>
        <w:pStyle w:val="Lega"/>
        <w:spacing w:line="240" w:lineRule="auto"/>
      </w:pPr>
      <w:r w:rsidRPr="00E40450">
        <w:tab/>
        <w:t>La demande internationale ne doit pas contenir :</w:t>
      </w:r>
    </w:p>
    <w:p w:rsidR="000C226F" w:rsidRPr="00E40450" w:rsidRDefault="000C226F" w:rsidP="009E5CBD">
      <w:pPr>
        <w:pStyle w:val="Legi"/>
        <w:spacing w:line="240" w:lineRule="auto"/>
      </w:pPr>
      <w:r w:rsidRPr="00E40450">
        <w:tab/>
        <w:t>i)</w:t>
      </w:r>
      <w:r w:rsidRPr="00E40450">
        <w:tab/>
        <w:t>d</w:t>
      </w:r>
      <w:r w:rsidR="00CE5FEC">
        <w:t>’</w:t>
      </w:r>
      <w:r w:rsidRPr="00E40450">
        <w:t>expressions ou de dessins contraires aux bonnes mœurs;</w:t>
      </w:r>
    </w:p>
    <w:p w:rsidR="000C226F" w:rsidRPr="00E40450" w:rsidRDefault="000C226F" w:rsidP="009E5CBD">
      <w:pPr>
        <w:pStyle w:val="Legi"/>
        <w:spacing w:line="240" w:lineRule="auto"/>
      </w:pPr>
      <w:r w:rsidRPr="00E40450">
        <w:tab/>
        <w:t>ii)</w:t>
      </w:r>
      <w:r w:rsidRPr="00E40450">
        <w:tab/>
        <w:t>d</w:t>
      </w:r>
      <w:r w:rsidR="00CE5FEC">
        <w:t>’</w:t>
      </w:r>
      <w:r w:rsidRPr="00E40450">
        <w:t>expressions ou de dessins contraires à l</w:t>
      </w:r>
      <w:r w:rsidR="00CE5FEC">
        <w:t>’</w:t>
      </w:r>
      <w:r w:rsidRPr="00E40450">
        <w:t>ordre public;</w:t>
      </w:r>
    </w:p>
    <w:p w:rsidR="000C226F" w:rsidRPr="00E40450" w:rsidRDefault="000C226F" w:rsidP="009E5CBD">
      <w:pPr>
        <w:pStyle w:val="Legi"/>
        <w:spacing w:line="240" w:lineRule="auto"/>
      </w:pPr>
      <w:r w:rsidRPr="00E40450">
        <w:tab/>
        <w:t>iii)</w:t>
      </w:r>
      <w:r w:rsidRPr="00E40450">
        <w:tab/>
        <w:t>de déclarations dénigrantes quant à des produits ou procédés d</w:t>
      </w:r>
      <w:r w:rsidR="00CE5FEC">
        <w:t>’</w:t>
      </w:r>
      <w:r w:rsidRPr="00E40450">
        <w:t>un tiers ou quant aux mérites ou à la validité de demandes ou de brevets d</w:t>
      </w:r>
      <w:r w:rsidR="00CE5FEC">
        <w:t>’</w:t>
      </w:r>
      <w:r w:rsidRPr="00E40450">
        <w:t>un tiers (de simples comparaisons avec l</w:t>
      </w:r>
      <w:r w:rsidR="00CE5FEC">
        <w:t>’</w:t>
      </w:r>
      <w:r w:rsidRPr="00E40450">
        <w:t>état de la technique ne sont pas considérées comme dénigrantes en soi);</w:t>
      </w:r>
    </w:p>
    <w:p w:rsidR="000C226F" w:rsidRPr="00E40450" w:rsidRDefault="000C226F" w:rsidP="009E5CBD">
      <w:pPr>
        <w:pStyle w:val="Legi"/>
        <w:spacing w:line="240" w:lineRule="auto"/>
      </w:pPr>
      <w:r w:rsidRPr="00E40450">
        <w:tab/>
        <w:t>iv)</w:t>
      </w:r>
      <w:r w:rsidRPr="00E40450">
        <w:tab/>
        <w:t>de déclarations ou d</w:t>
      </w:r>
      <w:r w:rsidR="00CE5FEC">
        <w:t>’</w:t>
      </w:r>
      <w:r w:rsidRPr="00E40450">
        <w:t>autres éléments manifestement non pertinents ou superflus en l</w:t>
      </w:r>
      <w:r w:rsidR="00CE5FEC">
        <w:t>’</w:t>
      </w:r>
      <w:r w:rsidRPr="00E40450">
        <w:t>espèce.</w:t>
      </w:r>
    </w:p>
    <w:p w:rsidR="000C226F" w:rsidRPr="00E40450" w:rsidRDefault="000C226F" w:rsidP="009E5CBD">
      <w:pPr>
        <w:pStyle w:val="LegSubRule"/>
        <w:spacing w:line="240" w:lineRule="auto"/>
      </w:pPr>
      <w:bookmarkStart w:id="6" w:name="_Toc442349523"/>
      <w:r w:rsidRPr="00B401AA">
        <w:rPr>
          <w:iCs/>
        </w:rPr>
        <w:t>9.2</w:t>
      </w:r>
      <w:r w:rsidRPr="00370D62">
        <w:t>   </w:t>
      </w:r>
      <w:r w:rsidRPr="00D96836">
        <w:rPr>
          <w:i/>
          <w:iCs/>
        </w:rPr>
        <w:t>Observation quant aux irrégularités</w:t>
      </w:r>
      <w:bookmarkEnd w:id="6"/>
    </w:p>
    <w:p w:rsidR="000C226F" w:rsidRPr="00E40450" w:rsidRDefault="000C226F" w:rsidP="009E5CBD">
      <w:pPr>
        <w:pStyle w:val="Lega"/>
        <w:spacing w:line="240" w:lineRule="auto"/>
      </w:pPr>
      <w:r w:rsidRPr="00E40450">
        <w:tab/>
        <w:t>L</w:t>
      </w:r>
      <w:r w:rsidR="00CE5FEC">
        <w:t>’</w:t>
      </w:r>
      <w:r w:rsidRPr="00E40450">
        <w:t>office récepteur</w:t>
      </w:r>
      <w:r w:rsidRPr="00705695">
        <w:t>,</w:t>
      </w:r>
      <w:r w:rsidRPr="00E40450">
        <w:t xml:space="preserve"> l</w:t>
      </w:r>
      <w:r w:rsidR="00CE5FEC">
        <w:t>’</w:t>
      </w:r>
      <w:r w:rsidRPr="00E40450">
        <w:t>administration chargée de la recherche internationale</w:t>
      </w:r>
      <w:r w:rsidRPr="006356A1">
        <w:t>, l</w:t>
      </w:r>
      <w:r w:rsidR="00CE5FEC">
        <w:t>’</w:t>
      </w:r>
      <w:r w:rsidRPr="006356A1">
        <w:t>administration indiquée pour la recherche supplémentaire et le Bureau international</w:t>
      </w:r>
      <w:r w:rsidRPr="00E40450">
        <w:t xml:space="preserve"> peuvent faire observer que la demande internationale ne répond pas aux prescriptions de la règle 9.1 et proposer au déposant de la corriger volontairement en conséquence</w:t>
      </w:r>
      <w:r w:rsidRPr="006356A1">
        <w:t>, auquel cas l</w:t>
      </w:r>
      <w:r w:rsidR="00CE5FEC">
        <w:t>’</w:t>
      </w:r>
      <w:r w:rsidRPr="006356A1">
        <w:t>office récepteur, l</w:t>
      </w:r>
      <w:r w:rsidR="00CE5FEC">
        <w:t>’</w:t>
      </w:r>
      <w:r w:rsidRPr="006356A1">
        <w:t>administration compétente chargée de la recherche internationale, l</w:t>
      </w:r>
      <w:r w:rsidR="00CE5FEC">
        <w:t>’</w:t>
      </w:r>
      <w:r w:rsidRPr="006356A1">
        <w:t>administration compétente indiquée pour la recherche supplémentaire et le Bureau international, selon le cas, sont informés de la proposition.</w:t>
      </w:r>
    </w:p>
    <w:p w:rsidR="000C226F" w:rsidRPr="00370D62" w:rsidRDefault="000C226F" w:rsidP="009E5CBD">
      <w:pPr>
        <w:pStyle w:val="LegSubRule"/>
        <w:spacing w:line="240" w:lineRule="auto"/>
        <w:rPr>
          <w:i/>
        </w:rPr>
      </w:pPr>
      <w:bookmarkStart w:id="7" w:name="_Toc442349524"/>
      <w:r w:rsidRPr="00B401AA">
        <w:rPr>
          <w:iCs/>
        </w:rPr>
        <w:t>9.3</w:t>
      </w:r>
      <w:r w:rsidRPr="00370D62">
        <w:rPr>
          <w:i/>
        </w:rPr>
        <w:t>   [Sans changement]  Référence à l</w:t>
      </w:r>
      <w:r w:rsidR="00CE5FEC">
        <w:rPr>
          <w:i/>
        </w:rPr>
        <w:t>’</w:t>
      </w:r>
      <w:r w:rsidRPr="00370D62">
        <w:rPr>
          <w:i/>
        </w:rPr>
        <w:t>article</w:t>
      </w:r>
      <w:r>
        <w:rPr>
          <w:i/>
        </w:rPr>
        <w:t> </w:t>
      </w:r>
      <w:r w:rsidRPr="00370D62">
        <w:rPr>
          <w:i/>
        </w:rPr>
        <w:t>21.6)</w:t>
      </w:r>
      <w:bookmarkEnd w:id="7"/>
    </w:p>
    <w:p w:rsidR="000C226F" w:rsidRPr="00E40450" w:rsidRDefault="000C226F" w:rsidP="009E5CBD">
      <w:pPr>
        <w:pStyle w:val="Lega"/>
        <w:spacing w:line="240" w:lineRule="auto"/>
      </w:pPr>
      <w:r w:rsidRPr="00E40450">
        <w:tab/>
        <w:t>Les “déclarations dénigrantes” mentionnées à l</w:t>
      </w:r>
      <w:r w:rsidR="00CE5FEC">
        <w:t>’</w:t>
      </w:r>
      <w:r w:rsidRPr="00E40450">
        <w:t>article 21.6) ont le sens précisé à la règle 9.1.iii).</w:t>
      </w:r>
    </w:p>
    <w:p w:rsidR="000C226F" w:rsidRPr="00C271C3" w:rsidRDefault="000C226F" w:rsidP="009E5CBD">
      <w:pPr>
        <w:pStyle w:val="LegTitle"/>
        <w:spacing w:line="240" w:lineRule="auto"/>
      </w:pPr>
      <w:bookmarkStart w:id="8" w:name="_Toc442349525"/>
      <w:r w:rsidRPr="00C271C3">
        <w:lastRenderedPageBreak/>
        <w:t>Règle 26</w:t>
      </w:r>
      <w:r w:rsidRPr="00C271C3">
        <w:rPr>
          <w:i/>
        </w:rPr>
        <w:t>bis</w:t>
      </w:r>
      <w:r w:rsidRPr="00C271C3">
        <w:t xml:space="preserve"> </w:t>
      </w:r>
      <w:r w:rsidRPr="00C271C3">
        <w:br/>
        <w:t>Correction ou adjonction de revendications de priorité</w:t>
      </w:r>
      <w:bookmarkEnd w:id="8"/>
    </w:p>
    <w:p w:rsidR="000C226F" w:rsidRPr="00370D62" w:rsidRDefault="000C226F" w:rsidP="009E5CBD">
      <w:pPr>
        <w:pStyle w:val="LegSubRule"/>
        <w:spacing w:line="240" w:lineRule="auto"/>
        <w:rPr>
          <w:i/>
        </w:rPr>
      </w:pPr>
      <w:bookmarkStart w:id="9" w:name="_Toc442349526"/>
      <w:r w:rsidRPr="00A603F2">
        <w:rPr>
          <w:iCs/>
        </w:rPr>
        <w:t>26</w:t>
      </w:r>
      <w:r w:rsidRPr="00A603F2">
        <w:rPr>
          <w:i/>
        </w:rPr>
        <w:t>bis</w:t>
      </w:r>
      <w:r w:rsidRPr="00A603F2">
        <w:rPr>
          <w:iCs/>
        </w:rPr>
        <w:t>.1 et 26</w:t>
      </w:r>
      <w:r w:rsidRPr="00A603F2">
        <w:rPr>
          <w:i/>
        </w:rPr>
        <w:t>bis</w:t>
      </w:r>
      <w:r w:rsidRPr="00A603F2">
        <w:rPr>
          <w:iCs/>
        </w:rPr>
        <w:t>.2   </w:t>
      </w:r>
      <w:r w:rsidRPr="00370D62">
        <w:rPr>
          <w:i/>
        </w:rPr>
        <w:t>[Sans changement]</w:t>
      </w:r>
      <w:bookmarkEnd w:id="9"/>
    </w:p>
    <w:p w:rsidR="00CE5FEC" w:rsidRDefault="000C226F" w:rsidP="009E5CBD">
      <w:pPr>
        <w:pStyle w:val="LegSubRule"/>
        <w:spacing w:line="240" w:lineRule="auto"/>
        <w:rPr>
          <w:i/>
        </w:rPr>
      </w:pPr>
      <w:bookmarkStart w:id="10" w:name="_Toc442349527"/>
      <w:r w:rsidRPr="00A603F2">
        <w:rPr>
          <w:iCs/>
        </w:rPr>
        <w:t>26</w:t>
      </w:r>
      <w:r w:rsidRPr="00D01E6A">
        <w:rPr>
          <w:i/>
        </w:rPr>
        <w:t>bis</w:t>
      </w:r>
      <w:r w:rsidRPr="00A603F2">
        <w:rPr>
          <w:iCs/>
        </w:rPr>
        <w:t>.3   </w:t>
      </w:r>
      <w:r w:rsidRPr="00370D62">
        <w:rPr>
          <w:i/>
        </w:rPr>
        <w:t>Restauration du droit de priorité par l</w:t>
      </w:r>
      <w:r w:rsidR="00CE5FEC">
        <w:rPr>
          <w:i/>
        </w:rPr>
        <w:t>’</w:t>
      </w:r>
      <w:r w:rsidRPr="00370D62">
        <w:rPr>
          <w:i/>
        </w:rPr>
        <w:t>office récepteur</w:t>
      </w:r>
      <w:bookmarkEnd w:id="10"/>
    </w:p>
    <w:p w:rsidR="000C226F" w:rsidRPr="00C271C3" w:rsidRDefault="000C226F" w:rsidP="009E5CBD">
      <w:pPr>
        <w:pStyle w:val="Lega"/>
        <w:spacing w:line="240" w:lineRule="auto"/>
      </w:pPr>
      <w:r w:rsidRPr="00C271C3">
        <w:tab/>
        <w:t>a) à e)  </w:t>
      </w:r>
      <w:r w:rsidRPr="00A603F2">
        <w:rPr>
          <w:i/>
          <w:iCs/>
        </w:rPr>
        <w:t>[Sans changement]</w:t>
      </w:r>
    </w:p>
    <w:p w:rsidR="00CE5FEC" w:rsidRDefault="000C226F" w:rsidP="009E5CBD">
      <w:pPr>
        <w:pStyle w:val="Lega"/>
        <w:spacing w:line="240" w:lineRule="auto"/>
      </w:pPr>
      <w:r w:rsidRPr="00C271C3">
        <w:tab/>
        <w:t>f)  L</w:t>
      </w:r>
      <w:r w:rsidR="00CE5FEC">
        <w:t>’</w:t>
      </w:r>
      <w:r w:rsidRPr="00C271C3">
        <w:t>office récepteur peut exiger qu</w:t>
      </w:r>
      <w:r w:rsidR="00CE5FEC">
        <w:t>’</w:t>
      </w:r>
      <w:r w:rsidRPr="00C271C3">
        <w:t>une déclaration ou d</w:t>
      </w:r>
      <w:r w:rsidR="00CE5FEC">
        <w:t>’</w:t>
      </w:r>
      <w:r w:rsidRPr="00C271C3">
        <w:t>autres preuves à l</w:t>
      </w:r>
      <w:r w:rsidR="00CE5FEC">
        <w:t>’</w:t>
      </w:r>
      <w:r w:rsidRPr="00C271C3">
        <w:t>appui de l</w:t>
      </w:r>
      <w:r w:rsidR="00CE5FEC">
        <w:t>’</w:t>
      </w:r>
      <w:r w:rsidRPr="00C271C3">
        <w:t>exposé des motifs visé à l</w:t>
      </w:r>
      <w:r w:rsidR="00CE5FEC">
        <w:t>’</w:t>
      </w:r>
      <w:r w:rsidRPr="00C271C3">
        <w:t>alinéa </w:t>
      </w:r>
      <w:r w:rsidRPr="00D96836">
        <w:t>b</w:t>
      </w:r>
      <w:proofErr w:type="gramStart"/>
      <w:r w:rsidRPr="00D96836">
        <w:t>)ii</w:t>
      </w:r>
      <w:proofErr w:type="gramEnd"/>
      <w:r w:rsidRPr="00D96836">
        <w:t>)</w:t>
      </w:r>
      <w:r w:rsidRPr="00C271C3">
        <w:t xml:space="preserve"> lui soient remises dans un délai raisonnable en l</w:t>
      </w:r>
      <w:r w:rsidR="00CE5FEC">
        <w:t>’</w:t>
      </w:r>
      <w:r w:rsidRPr="00C271C3">
        <w:t>espèce.</w:t>
      </w:r>
    </w:p>
    <w:p w:rsidR="000C226F" w:rsidRPr="00C271C3" w:rsidRDefault="000C226F" w:rsidP="009E5CBD">
      <w:pPr>
        <w:pStyle w:val="Lega"/>
        <w:spacing w:line="240" w:lineRule="auto"/>
      </w:pPr>
      <w:r w:rsidRPr="00C271C3">
        <w:tab/>
        <w:t>g)  </w:t>
      </w:r>
      <w:r w:rsidRPr="00A603F2">
        <w:rPr>
          <w:i/>
          <w:iCs/>
        </w:rPr>
        <w:t>[Sans changement]</w:t>
      </w:r>
    </w:p>
    <w:p w:rsidR="000C226F" w:rsidRPr="00C271C3" w:rsidRDefault="000C226F" w:rsidP="009E5CBD">
      <w:pPr>
        <w:pStyle w:val="Lega"/>
        <w:spacing w:line="240" w:lineRule="auto"/>
      </w:pPr>
      <w:r w:rsidRPr="00C271C3">
        <w:tab/>
        <w:t>h)  À bref délai, l</w:t>
      </w:r>
      <w:r w:rsidR="00CE5FEC">
        <w:t>’</w:t>
      </w:r>
      <w:r w:rsidRPr="00C271C3">
        <w:t>office récepteur</w:t>
      </w:r>
    </w:p>
    <w:p w:rsidR="000C226F" w:rsidRPr="00C271C3" w:rsidRDefault="000C226F" w:rsidP="009E5CBD">
      <w:pPr>
        <w:pStyle w:val="Legiindent"/>
        <w:spacing w:line="240" w:lineRule="auto"/>
      </w:pPr>
      <w:r w:rsidRPr="00C271C3">
        <w:tab/>
        <w:t>i)</w:t>
      </w:r>
      <w:r>
        <w:tab/>
      </w:r>
      <w:r>
        <w:rPr>
          <w:i/>
          <w:iCs/>
        </w:rPr>
        <w:t>[S</w:t>
      </w:r>
      <w:r w:rsidRPr="00A603F2">
        <w:rPr>
          <w:i/>
          <w:iCs/>
        </w:rPr>
        <w:t>ans changement]</w:t>
      </w:r>
      <w:r w:rsidRPr="00C271C3">
        <w:t>  notifie au Bureau international la réception d</w:t>
      </w:r>
      <w:r w:rsidR="00CE5FEC">
        <w:t>’</w:t>
      </w:r>
      <w:r w:rsidRPr="00C271C3">
        <w:t>une requête présentée selon l</w:t>
      </w:r>
      <w:r w:rsidR="00CE5FEC">
        <w:t>’</w:t>
      </w:r>
      <w:r w:rsidRPr="00C271C3">
        <w:t>alinéa a);</w:t>
      </w:r>
    </w:p>
    <w:p w:rsidR="000C226F" w:rsidRPr="00C271C3" w:rsidRDefault="000C226F" w:rsidP="009E5CBD">
      <w:pPr>
        <w:pStyle w:val="Legiindent"/>
        <w:spacing w:line="240" w:lineRule="auto"/>
      </w:pPr>
      <w:r>
        <w:tab/>
      </w:r>
      <w:r w:rsidRPr="00C271C3">
        <w:rPr>
          <w:color w:val="000000"/>
        </w:rPr>
        <w:t>ii)</w:t>
      </w:r>
      <w:r>
        <w:rPr>
          <w:color w:val="000000"/>
        </w:rPr>
        <w:tab/>
      </w:r>
      <w:r>
        <w:rPr>
          <w:i/>
          <w:iCs/>
          <w:color w:val="000000"/>
        </w:rPr>
        <w:t>[S</w:t>
      </w:r>
      <w:r w:rsidRPr="00A603F2">
        <w:rPr>
          <w:i/>
          <w:iCs/>
          <w:color w:val="000000"/>
        </w:rPr>
        <w:t>ans changement] </w:t>
      </w:r>
      <w:r w:rsidRPr="00C271C3">
        <w:rPr>
          <w:color w:val="000000"/>
        </w:rPr>
        <w:t> se prononce sur la requête;</w:t>
      </w:r>
    </w:p>
    <w:p w:rsidR="000C226F" w:rsidRPr="00C271C3" w:rsidRDefault="000C226F" w:rsidP="009E5CBD">
      <w:pPr>
        <w:pStyle w:val="Legiindent"/>
        <w:spacing w:line="240" w:lineRule="auto"/>
      </w:pPr>
      <w:r>
        <w:tab/>
        <w:t>iii)</w:t>
      </w:r>
      <w:r>
        <w:tab/>
      </w:r>
      <w:r w:rsidRPr="00C271C3">
        <w:t>notifie au déposant et au Bureau international sa décision et indique le critère de restauration sur lequel se fonde la décision</w:t>
      </w:r>
      <w:r w:rsidRPr="00D96836">
        <w:t>;</w:t>
      </w:r>
    </w:p>
    <w:p w:rsidR="000C226F" w:rsidRPr="00705695" w:rsidRDefault="000C226F" w:rsidP="009E5CBD">
      <w:pPr>
        <w:pStyle w:val="Legiindent"/>
        <w:spacing w:line="240" w:lineRule="auto"/>
      </w:pPr>
      <w:r w:rsidRPr="00D96836">
        <w:tab/>
        <w:t>iv)</w:t>
      </w:r>
      <w:r w:rsidRPr="00D96836">
        <w:tab/>
        <w:t>sous réserve de l</w:t>
      </w:r>
      <w:r w:rsidR="00CE5FEC">
        <w:t>’</w:t>
      </w:r>
      <w:r w:rsidRPr="00D96836">
        <w:t>alinéa h</w:t>
      </w:r>
      <w:r w:rsidR="001D67E8">
        <w:noBreakHyphen/>
      </w:r>
      <w:r w:rsidRPr="00D96836">
        <w:rPr>
          <w:i/>
          <w:iCs/>
        </w:rPr>
        <w:t>bis</w:t>
      </w:r>
      <w:r w:rsidRPr="00D96836">
        <w:t>), transmet au Bureau international tous les documents reçus du déposant relatifs à la requête visée à l</w:t>
      </w:r>
      <w:r w:rsidR="00CE5FEC">
        <w:t>’</w:t>
      </w:r>
      <w:r w:rsidRPr="00D96836">
        <w:t>alinéa a) (</w:t>
      </w:r>
      <w:r w:rsidR="00CE5FEC">
        <w:t>y compris</w:t>
      </w:r>
      <w:r w:rsidRPr="00D96836">
        <w:t xml:space="preserve"> une copie de la requête proprement dite, tout exposé des motifs visé à l</w:t>
      </w:r>
      <w:r w:rsidR="00CE5FEC">
        <w:t>’</w:t>
      </w:r>
      <w:r w:rsidRPr="00D96836">
        <w:t>alinéa b)ii) et toute déclaration ou autres preuves visées à l</w:t>
      </w:r>
      <w:r w:rsidR="00CE5FEC">
        <w:t>’</w:t>
      </w:r>
      <w:r w:rsidRPr="00D96836">
        <w:t>alinéa f)).</w:t>
      </w:r>
    </w:p>
    <w:p w:rsidR="000C226F" w:rsidRDefault="000C226F" w:rsidP="009E5CBD">
      <w:pPr>
        <w:pageBreakBefore/>
        <w:tabs>
          <w:tab w:val="left" w:pos="567"/>
        </w:tabs>
        <w:spacing w:after="360" w:line="480" w:lineRule="auto"/>
        <w:jc w:val="center"/>
        <w:rPr>
          <w:rFonts w:eastAsia="Times New Roman" w:cs="Times New Roman"/>
          <w:i/>
          <w:lang w:eastAsia="en-US"/>
        </w:rPr>
      </w:pPr>
      <w:r w:rsidRPr="00276E37">
        <w:rPr>
          <w:rFonts w:eastAsia="Times New Roman" w:cs="Times New Roman"/>
          <w:i/>
          <w:lang w:eastAsia="en-US"/>
        </w:rPr>
        <w:lastRenderedPageBreak/>
        <w:t>[Règle 2</w:t>
      </w:r>
      <w:r w:rsidR="00510E51">
        <w:rPr>
          <w:rFonts w:eastAsia="Times New Roman" w:cs="Times New Roman"/>
          <w:i/>
          <w:lang w:eastAsia="en-US"/>
        </w:rPr>
        <w:t>6</w:t>
      </w:r>
      <w:r w:rsidRPr="00E5791A">
        <w:rPr>
          <w:rFonts w:eastAsia="Times New Roman" w:cs="Times New Roman"/>
          <w:i/>
          <w:iCs/>
          <w:lang w:eastAsia="en-US"/>
        </w:rPr>
        <w:t>bis</w:t>
      </w:r>
      <w:r w:rsidRPr="00276E37">
        <w:rPr>
          <w:rFonts w:eastAsia="Times New Roman" w:cs="Times New Roman"/>
          <w:i/>
          <w:lang w:eastAsia="en-US"/>
        </w:rPr>
        <w:t>.</w:t>
      </w:r>
      <w:r>
        <w:rPr>
          <w:rFonts w:eastAsia="Times New Roman" w:cs="Times New Roman"/>
          <w:i/>
          <w:lang w:eastAsia="en-US"/>
        </w:rPr>
        <w:t>3)</w:t>
      </w:r>
      <w:r w:rsidRPr="00276E37">
        <w:rPr>
          <w:rFonts w:eastAsia="Times New Roman" w:cs="Times New Roman"/>
          <w:i/>
          <w:lang w:eastAsia="en-US"/>
        </w:rPr>
        <w:t>, suite]</w:t>
      </w:r>
    </w:p>
    <w:p w:rsidR="00CE5FEC" w:rsidRDefault="000C226F" w:rsidP="009E5CBD">
      <w:pPr>
        <w:pStyle w:val="Lega"/>
        <w:spacing w:line="240" w:lineRule="auto"/>
      </w:pPr>
      <w:r w:rsidRPr="00D96836">
        <w:tab/>
      </w:r>
      <w:proofErr w:type="gramStart"/>
      <w:r w:rsidRPr="00D96836">
        <w:t>h</w:t>
      </w:r>
      <w:r w:rsidR="001D67E8">
        <w:noBreakHyphen/>
      </w:r>
      <w:r w:rsidRPr="00D96836">
        <w:rPr>
          <w:i/>
          <w:iCs/>
        </w:rPr>
        <w:t>bis</w:t>
      </w:r>
      <w:proofErr w:type="gramEnd"/>
      <w:r w:rsidRPr="00D96836">
        <w:t>)  L</w:t>
      </w:r>
      <w:r w:rsidR="00CE5FEC">
        <w:t>’</w:t>
      </w:r>
      <w:r w:rsidRPr="00D96836">
        <w:t>office récepteur, sur requête motivée du déposant ou sur sa propre décision, ne transmet pas de documents ou de parties de documents reçus dans le cadre de la requête visée à l</w:t>
      </w:r>
      <w:r w:rsidR="00CE5FEC">
        <w:t>’</w:t>
      </w:r>
      <w:r w:rsidRPr="00D96836">
        <w:t>alinéa a), s</w:t>
      </w:r>
      <w:r w:rsidR="00CE5FEC">
        <w:t>’</w:t>
      </w:r>
      <w:r w:rsidRPr="00D96836">
        <w:t>il constate que</w:t>
      </w:r>
    </w:p>
    <w:p w:rsidR="000C226F" w:rsidRPr="00E40450" w:rsidRDefault="000C226F" w:rsidP="009E5CBD">
      <w:pPr>
        <w:pStyle w:val="Legiindent"/>
        <w:spacing w:line="240" w:lineRule="auto"/>
      </w:pPr>
      <w:r w:rsidRPr="00D96836">
        <w:tab/>
        <w:t>i)</w:t>
      </w:r>
      <w:r w:rsidRPr="00D96836">
        <w:tab/>
        <w:t>ce document ou cette partie de document ne sert manifestement pas à informer le public sur la demande internationale;</w:t>
      </w:r>
    </w:p>
    <w:p w:rsidR="000C226F" w:rsidRDefault="000C226F" w:rsidP="009E5CBD">
      <w:pPr>
        <w:pStyle w:val="Legiindent"/>
        <w:spacing w:line="240" w:lineRule="auto"/>
      </w:pPr>
      <w:r w:rsidRPr="00D96836">
        <w:tab/>
        <w:t>ii)</w:t>
      </w:r>
      <w:r w:rsidRPr="00D96836">
        <w:tab/>
        <w:t>la publication de ce document ou de cette partie de document, ou l</w:t>
      </w:r>
      <w:r w:rsidR="00CE5FEC">
        <w:t>’</w:t>
      </w:r>
      <w:r w:rsidRPr="00D96836">
        <w:t>accès du public à ce document ou à cette partie de document, porterait clairement atteinte aux intérêts personnels ou économiques d</w:t>
      </w:r>
      <w:r w:rsidR="00CE5FEC">
        <w:t>’</w:t>
      </w:r>
      <w:r w:rsidRPr="00D96836">
        <w:t>une personne donnée;  et</w:t>
      </w:r>
    </w:p>
    <w:p w:rsidR="000C226F" w:rsidRPr="00705695" w:rsidRDefault="000C226F" w:rsidP="009E5CBD">
      <w:pPr>
        <w:pStyle w:val="Legiindent"/>
        <w:spacing w:line="240" w:lineRule="auto"/>
      </w:pPr>
      <w:r w:rsidRPr="00D96836">
        <w:tab/>
        <w:t>iii)</w:t>
      </w:r>
      <w:r w:rsidRPr="00D96836">
        <w:tab/>
        <w:t>l</w:t>
      </w:r>
      <w:r w:rsidR="00CE5FEC">
        <w:t>’</w:t>
      </w:r>
      <w:r w:rsidRPr="00D96836">
        <w:t>intérêt du public d</w:t>
      </w:r>
      <w:r w:rsidR="00CE5FEC">
        <w:t>’</w:t>
      </w:r>
      <w:r w:rsidRPr="00D96836">
        <w:t>avoir accès à ce document ou à cette partie de document ne prévaut pas.</w:t>
      </w:r>
    </w:p>
    <w:p w:rsidR="000C226F" w:rsidRPr="00705695" w:rsidRDefault="000C226F" w:rsidP="009E5CBD">
      <w:pPr>
        <w:pStyle w:val="Lega"/>
        <w:spacing w:line="240" w:lineRule="auto"/>
      </w:pPr>
      <w:r w:rsidRPr="00D96836">
        <w:t>Lorsque l</w:t>
      </w:r>
      <w:r w:rsidR="00CE5FEC">
        <w:t>’</w:t>
      </w:r>
      <w:r w:rsidRPr="00D96836">
        <w:t>office récepteur décide de ne pas transmettre de documents ou de parties de documents au Bureau international, il notifie sa décision au Bureau international.</w:t>
      </w:r>
    </w:p>
    <w:p w:rsidR="000C226F" w:rsidRPr="00C271C3" w:rsidRDefault="000C226F" w:rsidP="009E5CBD">
      <w:pPr>
        <w:pStyle w:val="Lega"/>
        <w:spacing w:line="240" w:lineRule="auto"/>
      </w:pPr>
      <w:r w:rsidRPr="00C271C3">
        <w:tab/>
        <w:t>i) et j)  </w:t>
      </w:r>
      <w:r w:rsidRPr="00A603F2">
        <w:rPr>
          <w:i/>
          <w:iCs/>
        </w:rPr>
        <w:t>[Sans changement]</w:t>
      </w:r>
    </w:p>
    <w:p w:rsidR="000C226F" w:rsidRPr="00E40450" w:rsidRDefault="000C226F" w:rsidP="009E5CBD">
      <w:pPr>
        <w:pStyle w:val="LegTitle"/>
        <w:spacing w:line="240" w:lineRule="auto"/>
      </w:pPr>
      <w:bookmarkStart w:id="11" w:name="_Toc442349528"/>
      <w:r w:rsidRPr="00E40450">
        <w:lastRenderedPageBreak/>
        <w:t xml:space="preserve">Règle 48  </w:t>
      </w:r>
      <w:r w:rsidRPr="00E40450">
        <w:br/>
        <w:t>Publication internationale</w:t>
      </w:r>
      <w:bookmarkEnd w:id="11"/>
    </w:p>
    <w:p w:rsidR="000C226F" w:rsidRPr="00370D62" w:rsidRDefault="000C226F" w:rsidP="009E5CBD">
      <w:pPr>
        <w:pStyle w:val="LegSubRule"/>
        <w:spacing w:line="240" w:lineRule="auto"/>
        <w:rPr>
          <w:i/>
        </w:rPr>
      </w:pPr>
      <w:bookmarkStart w:id="12" w:name="_Toc442349529"/>
      <w:r w:rsidRPr="00B401AA">
        <w:rPr>
          <w:iCs/>
        </w:rPr>
        <w:t>48.1</w:t>
      </w:r>
      <w:r w:rsidRPr="00370D62">
        <w:rPr>
          <w:i/>
        </w:rPr>
        <w:t>   [Sans changement]</w:t>
      </w:r>
      <w:bookmarkEnd w:id="12"/>
    </w:p>
    <w:p w:rsidR="000C226F" w:rsidRPr="00370D62" w:rsidRDefault="000C226F" w:rsidP="009E5CBD">
      <w:pPr>
        <w:pStyle w:val="LegSubRule"/>
        <w:spacing w:line="240" w:lineRule="auto"/>
        <w:rPr>
          <w:i/>
        </w:rPr>
      </w:pPr>
      <w:bookmarkStart w:id="13" w:name="_Toc442349530"/>
      <w:r w:rsidRPr="00B401AA">
        <w:rPr>
          <w:iCs/>
        </w:rPr>
        <w:t>48.2</w:t>
      </w:r>
      <w:r w:rsidRPr="00370D62">
        <w:rPr>
          <w:i/>
        </w:rPr>
        <w:t>   Contenu</w:t>
      </w:r>
      <w:bookmarkEnd w:id="13"/>
    </w:p>
    <w:p w:rsidR="000C226F" w:rsidRDefault="000C226F" w:rsidP="009E5CBD">
      <w:pPr>
        <w:pStyle w:val="Lega"/>
        <w:spacing w:line="240" w:lineRule="auto"/>
      </w:pPr>
      <w:r w:rsidRPr="00E40450">
        <w:tab/>
        <w:t>a)   </w:t>
      </w:r>
      <w:r w:rsidRPr="00D4413E">
        <w:rPr>
          <w:i/>
        </w:rPr>
        <w:t>[Sans changement]</w:t>
      </w:r>
    </w:p>
    <w:p w:rsidR="00CE5FEC" w:rsidRDefault="000C226F" w:rsidP="009E5CBD">
      <w:pPr>
        <w:pStyle w:val="Lega"/>
        <w:spacing w:line="240" w:lineRule="auto"/>
      </w:pPr>
      <w:r w:rsidRPr="00C271C3">
        <w:tab/>
        <w:t>b)  Sous réserve de l</w:t>
      </w:r>
      <w:r w:rsidR="00CE5FEC">
        <w:t>’</w:t>
      </w:r>
      <w:r w:rsidRPr="00C271C3">
        <w:t>alinéa c), la page de couverture comprend</w:t>
      </w:r>
      <w:r w:rsidR="001D67E8">
        <w:t> </w:t>
      </w:r>
      <w:r w:rsidRPr="00C271C3">
        <w:t>:</w:t>
      </w:r>
    </w:p>
    <w:p w:rsidR="00CE5FEC" w:rsidRDefault="000C226F" w:rsidP="009E5CBD">
      <w:pPr>
        <w:pStyle w:val="Legiindent"/>
        <w:spacing w:line="240" w:lineRule="auto"/>
        <w:rPr>
          <w:i/>
        </w:rPr>
      </w:pPr>
      <w:r>
        <w:tab/>
      </w:r>
      <w:r w:rsidRPr="00C271C3">
        <w:t>i)</w:t>
      </w:r>
      <w:r>
        <w:tab/>
      </w:r>
      <w:r w:rsidRPr="00C271C3">
        <w:t xml:space="preserve">à vi) </w:t>
      </w:r>
      <w:r>
        <w:t xml:space="preserve"> </w:t>
      </w:r>
      <w:r w:rsidRPr="00D4413E">
        <w:rPr>
          <w:i/>
        </w:rPr>
        <w:t>[Sans changement]</w:t>
      </w:r>
    </w:p>
    <w:p w:rsidR="000C226F" w:rsidRPr="00C271C3" w:rsidRDefault="000C226F" w:rsidP="009E5CBD">
      <w:pPr>
        <w:pStyle w:val="Legiindent"/>
        <w:spacing w:line="240" w:lineRule="auto"/>
      </w:pPr>
      <w:r>
        <w:tab/>
        <w:t>vii)</w:t>
      </w:r>
      <w:r>
        <w:tab/>
      </w:r>
      <w:r w:rsidRPr="00C271C3">
        <w:t>le cas échéant, une indication selon laquelle la demande internationale publiée contient des renseignements relatifs à une requête en restauration du droit de priorité présentée selon la règle 26</w:t>
      </w:r>
      <w:r w:rsidRPr="00C271C3">
        <w:rPr>
          <w:i/>
        </w:rPr>
        <w:t>bis</w:t>
      </w:r>
      <w:r w:rsidRPr="00C271C3">
        <w:t>.3 et la décision de l</w:t>
      </w:r>
      <w:r w:rsidR="00CE5FEC">
        <w:t>’</w:t>
      </w:r>
      <w:r w:rsidRPr="00C271C3">
        <w:t>office récepteur en ce qui concerne cette requête</w:t>
      </w:r>
      <w:r w:rsidRPr="00D96836">
        <w:t>.</w:t>
      </w:r>
    </w:p>
    <w:p w:rsidR="000C226F" w:rsidRPr="00C271C3" w:rsidRDefault="000C226F" w:rsidP="009E5CBD">
      <w:pPr>
        <w:pStyle w:val="Legiindent"/>
        <w:spacing w:line="240" w:lineRule="auto"/>
      </w:pPr>
      <w:r w:rsidRPr="00C271C3">
        <w:tab/>
      </w:r>
      <w:r w:rsidRPr="006356A1">
        <w:t>viii)</w:t>
      </w:r>
      <w:r w:rsidRPr="00C271C3">
        <w:tab/>
      </w:r>
      <w:r w:rsidRPr="00D96836">
        <w:t>[supprimé]</w:t>
      </w:r>
    </w:p>
    <w:p w:rsidR="000C226F" w:rsidRPr="00E40450" w:rsidRDefault="000C226F" w:rsidP="009E5CBD">
      <w:pPr>
        <w:pStyle w:val="Lega"/>
        <w:spacing w:line="240" w:lineRule="auto"/>
      </w:pPr>
      <w:r>
        <w:tab/>
        <w:t xml:space="preserve">c) </w:t>
      </w:r>
      <w:r w:rsidRPr="00E40450">
        <w:t>à k)  </w:t>
      </w:r>
      <w:r w:rsidRPr="00D4413E">
        <w:rPr>
          <w:i/>
        </w:rPr>
        <w:t>[Sans changement]</w:t>
      </w:r>
    </w:p>
    <w:p w:rsidR="00CE5FEC" w:rsidRDefault="000C226F" w:rsidP="009E5CBD">
      <w:pPr>
        <w:pStyle w:val="Lega"/>
        <w:spacing w:line="240" w:lineRule="auto"/>
      </w:pPr>
      <w:r w:rsidRPr="00E40450">
        <w:tab/>
      </w:r>
      <w:r w:rsidRPr="00D96836">
        <w:t>l)  Sur requête motivée du déposant reçue par le Bureau international avant l</w:t>
      </w:r>
      <w:r w:rsidR="00CE5FEC">
        <w:t>’</w:t>
      </w:r>
      <w:r w:rsidRPr="00D96836">
        <w:t>achèvement de la</w:t>
      </w:r>
      <w:bookmarkStart w:id="14" w:name="_GoBack"/>
      <w:bookmarkEnd w:id="14"/>
      <w:r w:rsidRPr="00D96836">
        <w:t xml:space="preserve"> préparation technique de la publication internationale, le Bureau international exclut de la publication tout renseignement, s</w:t>
      </w:r>
      <w:r w:rsidR="00CE5FEC">
        <w:t>’</w:t>
      </w:r>
      <w:r w:rsidRPr="00D96836">
        <w:t>il constate que</w:t>
      </w:r>
    </w:p>
    <w:p w:rsidR="000C226F" w:rsidRPr="00E40450" w:rsidRDefault="000C226F" w:rsidP="009E5CBD">
      <w:pPr>
        <w:pStyle w:val="Legiindent"/>
        <w:spacing w:line="240" w:lineRule="auto"/>
      </w:pPr>
      <w:r w:rsidRPr="00E40450">
        <w:tab/>
      </w:r>
      <w:r w:rsidRPr="00D96836">
        <w:t>i)</w:t>
      </w:r>
      <w:r w:rsidRPr="00D96836">
        <w:tab/>
        <w:t>ce renseignement ne sert manifestement pas à informer le public sur la demande internationale;</w:t>
      </w:r>
    </w:p>
    <w:p w:rsidR="00CE5FEC" w:rsidRDefault="000C226F" w:rsidP="009E5CBD">
      <w:pPr>
        <w:pStyle w:val="Legiindent"/>
        <w:spacing w:line="240" w:lineRule="auto"/>
      </w:pPr>
      <w:r w:rsidRPr="00E40450">
        <w:tab/>
      </w:r>
      <w:r w:rsidRPr="00D96836">
        <w:t>ii)</w:t>
      </w:r>
      <w:r w:rsidRPr="00D96836">
        <w:tab/>
        <w:t>la publication de ce renseignement porterait clairement atteinte aux intérêts personnels ou économiques d</w:t>
      </w:r>
      <w:r w:rsidR="00CE5FEC">
        <w:t>’</w:t>
      </w:r>
      <w:r w:rsidRPr="00D96836">
        <w:t>une personne donnée;  et</w:t>
      </w:r>
    </w:p>
    <w:p w:rsidR="000C226F" w:rsidRDefault="000C226F" w:rsidP="009E5CBD">
      <w:pPr>
        <w:pStyle w:val="Legiindent"/>
        <w:spacing w:line="240" w:lineRule="auto"/>
      </w:pPr>
      <w:r w:rsidRPr="00D96836">
        <w:tab/>
        <w:t>iii)</w:t>
      </w:r>
      <w:r w:rsidRPr="00D96836">
        <w:tab/>
        <w:t>l</w:t>
      </w:r>
      <w:r w:rsidR="00CE5FEC">
        <w:t>’</w:t>
      </w:r>
      <w:r w:rsidRPr="00D96836">
        <w:t>intérêt du public d</w:t>
      </w:r>
      <w:r w:rsidR="00CE5FEC">
        <w:t>’</w:t>
      </w:r>
      <w:r w:rsidRPr="00D96836">
        <w:t>avoir accès à ce renseignement ne prévaut pas.</w:t>
      </w:r>
    </w:p>
    <w:p w:rsidR="000C226F" w:rsidRPr="00E40450" w:rsidRDefault="000C226F" w:rsidP="009E5CBD">
      <w:pPr>
        <w:pStyle w:val="Lega"/>
        <w:spacing w:line="240" w:lineRule="auto"/>
      </w:pPr>
      <w:r w:rsidRPr="00705695">
        <w:t>La règle 26.4 s</w:t>
      </w:r>
      <w:r w:rsidR="00CE5FEC">
        <w:t>’</w:t>
      </w:r>
      <w:r w:rsidRPr="00705695">
        <w:t>applique mutatis mutandis quant à la procédure à suivre par le déposant pour présenter les renseignements faisant l</w:t>
      </w:r>
      <w:r w:rsidR="00CE5FEC">
        <w:t>’</w:t>
      </w:r>
      <w:r w:rsidRPr="00705695">
        <w:t>objet d</w:t>
      </w:r>
      <w:r w:rsidR="00CE5FEC">
        <w:t>’</w:t>
      </w:r>
      <w:r w:rsidRPr="00705695">
        <w:t>une requête soumise en vertu du présent alinéa.</w:t>
      </w:r>
    </w:p>
    <w:p w:rsidR="00CE5FEC" w:rsidRDefault="000C226F" w:rsidP="009E5CBD">
      <w:pPr>
        <w:pStyle w:val="Lega"/>
        <w:spacing w:line="240" w:lineRule="auto"/>
      </w:pPr>
      <w:r w:rsidRPr="00705695">
        <w:tab/>
        <w:t>m)  Lorsque l</w:t>
      </w:r>
      <w:r w:rsidR="00CE5FEC">
        <w:t>’</w:t>
      </w:r>
      <w:r w:rsidRPr="00705695">
        <w:t>office récepteur, l</w:t>
      </w:r>
      <w:r w:rsidR="00CE5FEC">
        <w:t>’</w:t>
      </w:r>
      <w:r w:rsidRPr="00705695">
        <w:t>administration chargée de la recherche internationale, l</w:t>
      </w:r>
      <w:r w:rsidR="00CE5FEC">
        <w:t>’</w:t>
      </w:r>
      <w:r w:rsidRPr="00705695">
        <w:t>administration indiquée pour la recherche supplémentaire ou le Bureau international constate la présence de renseignements remplissant les critères énoncés à l</w:t>
      </w:r>
      <w:r w:rsidR="00CE5FEC">
        <w:t>’</w:t>
      </w:r>
      <w:r w:rsidRPr="00705695">
        <w:t>alinéa l), cet office, administration ou bureau peut proposer au déposant d</w:t>
      </w:r>
      <w:r w:rsidR="00CE5FEC">
        <w:t>’</w:t>
      </w:r>
      <w:r w:rsidRPr="00705695">
        <w:t>en demander l</w:t>
      </w:r>
      <w:r w:rsidR="00CE5FEC">
        <w:t>’</w:t>
      </w:r>
      <w:r w:rsidRPr="00705695">
        <w:t>exclusion de la publication internationale conformément à l</w:t>
      </w:r>
      <w:r w:rsidR="00CE5FEC">
        <w:t>’</w:t>
      </w:r>
      <w:r w:rsidRPr="00705695">
        <w:t>alinéa l).</w:t>
      </w:r>
    </w:p>
    <w:p w:rsidR="000C226F" w:rsidRDefault="000C226F" w:rsidP="009E5CBD">
      <w:pPr>
        <w:pageBreakBefore/>
        <w:tabs>
          <w:tab w:val="left" w:pos="567"/>
        </w:tabs>
        <w:spacing w:after="360" w:line="480" w:lineRule="auto"/>
        <w:jc w:val="center"/>
        <w:rPr>
          <w:rFonts w:eastAsia="Times New Roman" w:cs="Times New Roman"/>
          <w:i/>
          <w:lang w:eastAsia="en-US"/>
        </w:rPr>
      </w:pPr>
      <w:r w:rsidRPr="00276E37">
        <w:rPr>
          <w:rFonts w:eastAsia="Times New Roman" w:cs="Times New Roman"/>
          <w:i/>
          <w:lang w:eastAsia="en-US"/>
        </w:rPr>
        <w:lastRenderedPageBreak/>
        <w:t>[Règle </w:t>
      </w:r>
      <w:r>
        <w:rPr>
          <w:rFonts w:eastAsia="Times New Roman" w:cs="Times New Roman"/>
          <w:i/>
          <w:lang w:eastAsia="en-US"/>
        </w:rPr>
        <w:t>48</w:t>
      </w:r>
      <w:r w:rsidRPr="00276E37">
        <w:rPr>
          <w:rFonts w:eastAsia="Times New Roman" w:cs="Times New Roman"/>
          <w:i/>
          <w:lang w:eastAsia="en-US"/>
        </w:rPr>
        <w:t>.2, suite]</w:t>
      </w:r>
    </w:p>
    <w:p w:rsidR="000C226F" w:rsidRPr="00705695" w:rsidRDefault="000C226F" w:rsidP="009E5CBD">
      <w:pPr>
        <w:pStyle w:val="Lega"/>
        <w:spacing w:line="240" w:lineRule="auto"/>
      </w:pPr>
      <w:r w:rsidRPr="00705695">
        <w:tab/>
        <w:t>n)  Lorsque le Bureau international a exclu de la publication internationale des renseignements conformément à l</w:t>
      </w:r>
      <w:r w:rsidR="00CE5FEC">
        <w:t>’</w:t>
      </w:r>
      <w:r w:rsidRPr="00705695">
        <w:t>alinéa l) et que ces renseignements figurent aussi dans le dossier de la demande internationale détenu par l</w:t>
      </w:r>
      <w:r w:rsidR="00CE5FEC">
        <w:t>’</w:t>
      </w:r>
      <w:r w:rsidRPr="00705695">
        <w:t>office récepteur, l</w:t>
      </w:r>
      <w:r w:rsidR="00CE5FEC">
        <w:t>’</w:t>
      </w:r>
      <w:r w:rsidRPr="00705695">
        <w:t>administration chargée de la recherche internationale, l</w:t>
      </w:r>
      <w:r w:rsidR="00CE5FEC">
        <w:t>’</w:t>
      </w:r>
      <w:r w:rsidRPr="00705695">
        <w:t>administration indiquée pour la recherche supplémentaire ou l</w:t>
      </w:r>
      <w:r w:rsidR="00CE5FEC">
        <w:t>’</w:t>
      </w:r>
      <w:r w:rsidRPr="00705695">
        <w:t>administration chargée de l</w:t>
      </w:r>
      <w:r w:rsidR="00CE5FEC">
        <w:t>’</w:t>
      </w:r>
      <w:r w:rsidRPr="00705695">
        <w:t>examen préliminaire international, le Bureau international en informe à bref délai cet office ou cette administration.</w:t>
      </w:r>
    </w:p>
    <w:p w:rsidR="000C226F" w:rsidRPr="00370D62" w:rsidRDefault="000C226F" w:rsidP="009E5CBD">
      <w:pPr>
        <w:pStyle w:val="LegSubRule"/>
        <w:spacing w:line="240" w:lineRule="auto"/>
        <w:rPr>
          <w:i/>
        </w:rPr>
      </w:pPr>
      <w:bookmarkStart w:id="15" w:name="_Toc442349531"/>
      <w:r w:rsidRPr="00B401AA">
        <w:rPr>
          <w:iCs/>
        </w:rPr>
        <w:t>48.3 à 48.6</w:t>
      </w:r>
      <w:r w:rsidRPr="00370D62">
        <w:rPr>
          <w:i/>
        </w:rPr>
        <w:t>   [Sans changement]</w:t>
      </w:r>
      <w:bookmarkEnd w:id="15"/>
    </w:p>
    <w:p w:rsidR="000C226F" w:rsidRPr="00587C85" w:rsidRDefault="000C226F" w:rsidP="009E5CBD">
      <w:pPr>
        <w:pStyle w:val="LegTitle"/>
        <w:spacing w:line="240" w:lineRule="auto"/>
      </w:pPr>
      <w:bookmarkStart w:id="16" w:name="_Toc442349532"/>
      <w:r w:rsidRPr="00587C85">
        <w:lastRenderedPageBreak/>
        <w:t>Règle 82</w:t>
      </w:r>
      <w:r w:rsidRPr="00587C85">
        <w:rPr>
          <w:i/>
        </w:rPr>
        <w:t xml:space="preserve">quater </w:t>
      </w:r>
      <w:r w:rsidRPr="00587C85">
        <w:br/>
        <w:t>Excuse de retard dans l</w:t>
      </w:r>
      <w:r w:rsidR="00CE5FEC">
        <w:t>’</w:t>
      </w:r>
      <w:r w:rsidRPr="00587C85">
        <w:t>observation de délais</w:t>
      </w:r>
      <w:bookmarkEnd w:id="16"/>
    </w:p>
    <w:p w:rsidR="000C226F" w:rsidRPr="00631C14" w:rsidRDefault="000C226F" w:rsidP="009E5CBD">
      <w:pPr>
        <w:pStyle w:val="LegSubRule"/>
        <w:spacing w:line="240" w:lineRule="auto"/>
        <w:rPr>
          <w:rFonts w:eastAsia="Arial Unicode MS"/>
          <w:i/>
        </w:rPr>
      </w:pPr>
      <w:bookmarkStart w:id="17" w:name="_Toc442349533"/>
      <w:r w:rsidRPr="00A603F2">
        <w:rPr>
          <w:rFonts w:eastAsia="Arial Unicode MS"/>
          <w:iCs/>
        </w:rPr>
        <w:t>82</w:t>
      </w:r>
      <w:r w:rsidRPr="00631C14">
        <w:rPr>
          <w:rFonts w:eastAsia="Arial Unicode MS"/>
          <w:i/>
        </w:rPr>
        <w:t>quater</w:t>
      </w:r>
      <w:r w:rsidRPr="00A603F2">
        <w:rPr>
          <w:rFonts w:eastAsia="Arial Unicode MS"/>
          <w:iCs/>
        </w:rPr>
        <w:t>.1   </w:t>
      </w:r>
      <w:r w:rsidRPr="00631C14">
        <w:rPr>
          <w:rFonts w:eastAsia="Arial Unicode MS"/>
          <w:i/>
        </w:rPr>
        <w:t>Excuse de retard dans l</w:t>
      </w:r>
      <w:r w:rsidR="00CE5FEC">
        <w:rPr>
          <w:rFonts w:eastAsia="Arial Unicode MS"/>
          <w:i/>
        </w:rPr>
        <w:t>’</w:t>
      </w:r>
      <w:r w:rsidRPr="00631C14">
        <w:rPr>
          <w:rFonts w:eastAsia="Arial Unicode MS"/>
          <w:i/>
        </w:rPr>
        <w:t>observation de délais</w:t>
      </w:r>
      <w:bookmarkEnd w:id="17"/>
    </w:p>
    <w:p w:rsidR="000C226F" w:rsidRPr="00587C85" w:rsidRDefault="000C226F" w:rsidP="009E5CBD">
      <w:pPr>
        <w:pStyle w:val="Lega"/>
        <w:spacing w:line="240" w:lineRule="auto"/>
      </w:pPr>
      <w:r w:rsidRPr="00587C85">
        <w:tab/>
        <w:t>a)  Toute partie intéressée peut faire la preuve qu</w:t>
      </w:r>
      <w:r w:rsidR="00CE5FEC">
        <w:t>’</w:t>
      </w:r>
      <w:r w:rsidRPr="00587C85">
        <w:t>un délai prévu dans le règlement d</w:t>
      </w:r>
      <w:r w:rsidR="00CE5FEC">
        <w:t>’</w:t>
      </w:r>
      <w:r w:rsidRPr="00587C85">
        <w:t>exécution pour l</w:t>
      </w:r>
      <w:r w:rsidR="00CE5FEC">
        <w:t>’</w:t>
      </w:r>
      <w:r w:rsidRPr="00587C85">
        <w:t>accomplissement d</w:t>
      </w:r>
      <w:r w:rsidR="00CE5FEC">
        <w:t>’</w:t>
      </w:r>
      <w:r w:rsidRPr="00587C85">
        <w:t>un acte devant l</w:t>
      </w:r>
      <w:r w:rsidR="00CE5FEC">
        <w:t>’</w:t>
      </w:r>
      <w:r w:rsidRPr="00587C85">
        <w:t>office récepteur, l</w:t>
      </w:r>
      <w:r w:rsidR="00CE5FEC">
        <w:t>’</w:t>
      </w:r>
      <w:r w:rsidRPr="00587C85">
        <w:t>administration chargée de la recherche internationale, l</w:t>
      </w:r>
      <w:r w:rsidR="00CE5FEC">
        <w:t>’</w:t>
      </w:r>
      <w:r w:rsidRPr="00587C85">
        <w:t>administration indiquée pour la recherche supplémentaire, l</w:t>
      </w:r>
      <w:r w:rsidR="00CE5FEC">
        <w:t>’</w:t>
      </w:r>
      <w:r w:rsidRPr="00587C85">
        <w:t>administration chargée de l</w:t>
      </w:r>
      <w:r w:rsidR="00CE5FEC">
        <w:t>’</w:t>
      </w:r>
      <w:r w:rsidRPr="00587C85">
        <w:t>examen préliminaire international ou le Bureau international n</w:t>
      </w:r>
      <w:r w:rsidR="00CE5FEC">
        <w:t>’</w:t>
      </w:r>
      <w:r w:rsidRPr="00587C85">
        <w:t xml:space="preserve">a pas été respecté en raison de guerre, de révolution, de désordre civil, de grève, de calamité </w:t>
      </w:r>
      <w:r w:rsidRPr="00705695">
        <w:t>naturelle, d</w:t>
      </w:r>
      <w:r w:rsidR="00CE5FEC">
        <w:t>’</w:t>
      </w:r>
      <w:r w:rsidRPr="00705695">
        <w:t>une indisponibilité générale des services de communication électronique ou d</w:t>
      </w:r>
      <w:r w:rsidR="00CE5FEC">
        <w:t>’</w:t>
      </w:r>
      <w:r w:rsidRPr="00705695">
        <w:t xml:space="preserve">autres </w:t>
      </w:r>
      <w:r w:rsidRPr="00587C85">
        <w:t xml:space="preserve">raisons semblables, dans la localité où la partie intéressée </w:t>
      </w:r>
      <w:proofErr w:type="spellStart"/>
      <w:r w:rsidRPr="00587C85">
        <w:t>a</w:t>
      </w:r>
      <w:proofErr w:type="spellEnd"/>
      <w:r w:rsidRPr="00587C85">
        <w:t xml:space="preserve"> son domicile, son siège ou sa résidence, et que les mesures nécessaires ont été prises dès que cela a été raisonnablement possible.</w:t>
      </w:r>
    </w:p>
    <w:p w:rsidR="000C226F" w:rsidRPr="00587C85" w:rsidRDefault="000C226F" w:rsidP="009E5CBD">
      <w:pPr>
        <w:pStyle w:val="Lega"/>
        <w:spacing w:line="240" w:lineRule="auto"/>
      </w:pPr>
      <w:r w:rsidRPr="00587C85">
        <w:tab/>
        <w:t>b)  </w:t>
      </w:r>
      <w:r w:rsidRPr="00D4413E">
        <w:rPr>
          <w:i/>
        </w:rPr>
        <w:t>[Sans changement]</w:t>
      </w:r>
      <w:r w:rsidRPr="00587C85">
        <w:t xml:space="preserve">  Cette preuve doit être adressée à l</w:t>
      </w:r>
      <w:r w:rsidR="00CE5FEC">
        <w:t>’</w:t>
      </w:r>
      <w:r w:rsidRPr="00587C85">
        <w:t>office, à l</w:t>
      </w:r>
      <w:r w:rsidR="00CE5FEC">
        <w:t>’</w:t>
      </w:r>
      <w:r w:rsidRPr="00587C85">
        <w:t>administration ou au Bureau international, selon le cas, au plus tard six mois après l</w:t>
      </w:r>
      <w:r w:rsidR="00CE5FEC">
        <w:t>’</w:t>
      </w:r>
      <w:r w:rsidRPr="00587C85">
        <w:t>expiration du délai applicable en l</w:t>
      </w:r>
      <w:r w:rsidR="00CE5FEC">
        <w:t>’</w:t>
      </w:r>
      <w:r w:rsidRPr="00587C85">
        <w:t>espè</w:t>
      </w:r>
      <w:r w:rsidR="001D67E8" w:rsidRPr="00587C85">
        <w:t>ce</w:t>
      </w:r>
      <w:r w:rsidR="001D67E8">
        <w:t xml:space="preserve">.  </w:t>
      </w:r>
      <w:r w:rsidR="001D67E8" w:rsidRPr="00587C85">
        <w:t>Si</w:t>
      </w:r>
      <w:r w:rsidRPr="00587C85">
        <w:t>, au vu de la preuve produite, le destinataire est convaincu que de telles circonstances ont existé, le retard dans l</w:t>
      </w:r>
      <w:r w:rsidR="00CE5FEC">
        <w:t>’</w:t>
      </w:r>
      <w:r w:rsidRPr="00587C85">
        <w:t>observation du délai est excusé.</w:t>
      </w:r>
    </w:p>
    <w:p w:rsidR="000C226F" w:rsidRPr="00587C85" w:rsidRDefault="000C226F" w:rsidP="009E5CBD">
      <w:pPr>
        <w:pStyle w:val="Lega"/>
        <w:spacing w:line="240" w:lineRule="auto"/>
      </w:pPr>
      <w:r w:rsidRPr="00587C85">
        <w:tab/>
        <w:t>c)  </w:t>
      </w:r>
      <w:r w:rsidRPr="00D4413E">
        <w:rPr>
          <w:i/>
        </w:rPr>
        <w:t xml:space="preserve">[Sans changement]  </w:t>
      </w:r>
      <w:r w:rsidRPr="00587C85">
        <w:t>L</w:t>
      </w:r>
      <w:r w:rsidR="00CE5FEC">
        <w:t>’</w:t>
      </w:r>
      <w:r w:rsidRPr="00587C85">
        <w:t>excuse de retard n</w:t>
      </w:r>
      <w:r w:rsidR="00CE5FEC">
        <w:t>’</w:t>
      </w:r>
      <w:r w:rsidRPr="00587C85">
        <w:t>a pas à être prise en considération par un office désigné ou élu devant lequel le déposant, au moment où la décision d</w:t>
      </w:r>
      <w:r w:rsidR="00CE5FEC">
        <w:t>’</w:t>
      </w:r>
      <w:r w:rsidRPr="00587C85">
        <w:t>excuser ce retard est prise, a déjà accompli les actes visés à l</w:t>
      </w:r>
      <w:r w:rsidR="00CE5FEC">
        <w:t>’</w:t>
      </w:r>
      <w:r w:rsidRPr="00587C85">
        <w:t>article 22 ou à l</w:t>
      </w:r>
      <w:r w:rsidR="00CE5FEC">
        <w:t>’</w:t>
      </w:r>
      <w:r w:rsidRPr="00587C85">
        <w:t>article 39.</w:t>
      </w:r>
    </w:p>
    <w:p w:rsidR="000C226F" w:rsidRPr="00587C85" w:rsidRDefault="000C226F" w:rsidP="009E5CBD">
      <w:pPr>
        <w:pStyle w:val="LegTitle"/>
        <w:spacing w:line="240" w:lineRule="auto"/>
      </w:pPr>
      <w:bookmarkStart w:id="18" w:name="_Toc442349534"/>
      <w:r w:rsidRPr="00587C85">
        <w:lastRenderedPageBreak/>
        <w:t>Règle 92</w:t>
      </w:r>
      <w:r w:rsidRPr="00587C85">
        <w:br/>
        <w:t>Correspondance</w:t>
      </w:r>
      <w:bookmarkEnd w:id="18"/>
    </w:p>
    <w:p w:rsidR="000C226F" w:rsidRPr="00631C14" w:rsidRDefault="000C226F" w:rsidP="009E5CBD">
      <w:pPr>
        <w:pStyle w:val="LegSubRule"/>
        <w:spacing w:line="240" w:lineRule="auto"/>
        <w:rPr>
          <w:i/>
        </w:rPr>
      </w:pPr>
      <w:bookmarkStart w:id="19" w:name="_Toc442349535"/>
      <w:r w:rsidRPr="00A603F2">
        <w:rPr>
          <w:iCs/>
        </w:rPr>
        <w:t>92.1</w:t>
      </w:r>
      <w:r w:rsidRPr="00631C14">
        <w:rPr>
          <w:i/>
        </w:rPr>
        <w:t xml:space="preserve"> </w:t>
      </w:r>
      <w:r w:rsidRPr="00A603F2">
        <w:rPr>
          <w:iCs/>
        </w:rPr>
        <w:t xml:space="preserve"> </w:t>
      </w:r>
      <w:r w:rsidRPr="00631C14">
        <w:rPr>
          <w:i/>
        </w:rPr>
        <w:t>[Sans changement]</w:t>
      </w:r>
      <w:bookmarkEnd w:id="19"/>
    </w:p>
    <w:p w:rsidR="000C226F" w:rsidRPr="00631C14" w:rsidRDefault="000C226F" w:rsidP="009E5CBD">
      <w:pPr>
        <w:pStyle w:val="LegSubRule"/>
        <w:spacing w:line="240" w:lineRule="auto"/>
        <w:rPr>
          <w:i/>
        </w:rPr>
      </w:pPr>
      <w:bookmarkStart w:id="20" w:name="_Toc442349536"/>
      <w:r w:rsidRPr="00A603F2">
        <w:rPr>
          <w:iCs/>
        </w:rPr>
        <w:t xml:space="preserve">92.2  </w:t>
      </w:r>
      <w:r w:rsidRPr="00631C14">
        <w:rPr>
          <w:i/>
        </w:rPr>
        <w:t>Langues</w:t>
      </w:r>
      <w:bookmarkEnd w:id="20"/>
    </w:p>
    <w:p w:rsidR="000C226F" w:rsidRPr="00587C85" w:rsidRDefault="000C226F" w:rsidP="009E5CBD">
      <w:pPr>
        <w:pStyle w:val="Lega"/>
        <w:spacing w:line="240" w:lineRule="auto"/>
      </w:pPr>
      <w:r w:rsidRPr="00587C85">
        <w:tab/>
        <w:t xml:space="preserve">a) </w:t>
      </w:r>
      <w:r>
        <w:t xml:space="preserve"> </w:t>
      </w:r>
      <w:r w:rsidRPr="00587C85">
        <w:rPr>
          <w:i/>
        </w:rPr>
        <w:t>[Sans changement]</w:t>
      </w:r>
      <w:r w:rsidRPr="00587C85">
        <w:t xml:space="preserve"> </w:t>
      </w:r>
      <w:r>
        <w:t xml:space="preserve"> </w:t>
      </w:r>
      <w:r w:rsidRPr="00587C85">
        <w:t>Sous réserve des règles 55.1 et 55.3 et de l</w:t>
      </w:r>
      <w:r w:rsidR="00CE5FEC">
        <w:t>’</w:t>
      </w:r>
      <w:r w:rsidRPr="00587C85">
        <w:t>alinéa b) de la présente règle, toute lettre ou tout document remis par le déposant à l</w:t>
      </w:r>
      <w:r w:rsidR="00CE5FEC">
        <w:t>’</w:t>
      </w:r>
      <w:r w:rsidRPr="00587C85">
        <w:t>administration chargée de la recherche internationale ou à l</w:t>
      </w:r>
      <w:r w:rsidR="00CE5FEC">
        <w:t>’</w:t>
      </w:r>
      <w:r w:rsidRPr="00587C85">
        <w:t>administration chargée de l</w:t>
      </w:r>
      <w:r w:rsidR="00CE5FEC">
        <w:t>’</w:t>
      </w:r>
      <w:r w:rsidRPr="00587C85">
        <w:t>examen préliminaire international doit être rédigé dans la même langue que la demande internationale qu</w:t>
      </w:r>
      <w:r w:rsidR="00CE5FEC">
        <w:t>’</w:t>
      </w:r>
      <w:r w:rsidRPr="00587C85">
        <w:t>il concer</w:t>
      </w:r>
      <w:r w:rsidR="001D67E8" w:rsidRPr="00587C85">
        <w:t>ne</w:t>
      </w:r>
      <w:r w:rsidR="001D67E8">
        <w:t xml:space="preserve">.  </w:t>
      </w:r>
      <w:r w:rsidR="001D67E8" w:rsidRPr="00587C85">
        <w:t>Ce</w:t>
      </w:r>
      <w:r w:rsidRPr="00587C85">
        <w:t>pendant, si une traduction de la demande internationale a été transmise en vertu de la règle 23.1.b) ou remise en vertu de la règle 55.2, la langue de cette traduction doit être utilisée.</w:t>
      </w:r>
    </w:p>
    <w:p w:rsidR="000C226F" w:rsidRPr="00587C85" w:rsidRDefault="000C226F" w:rsidP="009E5CBD">
      <w:pPr>
        <w:pStyle w:val="Lega"/>
        <w:spacing w:line="240" w:lineRule="auto"/>
      </w:pPr>
      <w:r w:rsidRPr="00587C85">
        <w:tab/>
        <w:t>b)</w:t>
      </w:r>
      <w:r>
        <w:t xml:space="preserve"> </w:t>
      </w:r>
      <w:r w:rsidRPr="00587C85">
        <w:t xml:space="preserve"> </w:t>
      </w:r>
      <w:r w:rsidRPr="00587C85">
        <w:rPr>
          <w:i/>
        </w:rPr>
        <w:t>[Sans changement]</w:t>
      </w:r>
      <w:r w:rsidRPr="00587C85">
        <w:t xml:space="preserve"> </w:t>
      </w:r>
      <w:r>
        <w:t xml:space="preserve"> </w:t>
      </w:r>
      <w:r w:rsidRPr="00587C85">
        <w:t>Toute lettre du déposant à l</w:t>
      </w:r>
      <w:r w:rsidR="00CE5FEC">
        <w:t>’</w:t>
      </w:r>
      <w:r w:rsidRPr="00587C85">
        <w:t>administration chargée de la recherche internationale ou à l</w:t>
      </w:r>
      <w:r w:rsidR="00CE5FEC">
        <w:t>’</w:t>
      </w:r>
      <w:r w:rsidRPr="00587C85">
        <w:t>administration chargée de l</w:t>
      </w:r>
      <w:r w:rsidR="00CE5FEC">
        <w:t>’</w:t>
      </w:r>
      <w:r w:rsidRPr="00587C85">
        <w:t>examen préliminaire international peut être rédigée dans une langue autre que celle de la demande internationale si ladite administration autorise l</w:t>
      </w:r>
      <w:r w:rsidR="00CE5FEC">
        <w:t>’</w:t>
      </w:r>
      <w:r w:rsidRPr="00587C85">
        <w:t>usage de cette langue.</w:t>
      </w:r>
    </w:p>
    <w:p w:rsidR="000C226F" w:rsidRPr="00587C85" w:rsidRDefault="000C226F" w:rsidP="009E5CBD">
      <w:pPr>
        <w:pStyle w:val="Lega"/>
        <w:spacing w:line="240" w:lineRule="auto"/>
      </w:pPr>
      <w:r w:rsidRPr="00587C85">
        <w:tab/>
        <w:t xml:space="preserve">c) </w:t>
      </w:r>
      <w:r>
        <w:t xml:space="preserve"> </w:t>
      </w:r>
      <w:r w:rsidRPr="00915DC6">
        <w:rPr>
          <w:i/>
          <w:iCs/>
        </w:rPr>
        <w:t>[Reste supprimé]</w:t>
      </w:r>
    </w:p>
    <w:p w:rsidR="000C226F" w:rsidRPr="00587C85" w:rsidRDefault="000C226F" w:rsidP="009E5CBD">
      <w:pPr>
        <w:pStyle w:val="Lega"/>
        <w:spacing w:line="240" w:lineRule="auto"/>
      </w:pPr>
      <w:r w:rsidRPr="00587C85">
        <w:tab/>
        <w:t>d)</w:t>
      </w:r>
      <w:r>
        <w:t xml:space="preserve"> </w:t>
      </w:r>
      <w:r w:rsidRPr="00587C85">
        <w:t xml:space="preserve"> Toute lettre du déposant au Bureau international doit être rédigée en français</w:t>
      </w:r>
      <w:r w:rsidRPr="00705695">
        <w:t>,</w:t>
      </w:r>
      <w:r w:rsidRPr="00587C85">
        <w:t xml:space="preserve"> en anglais</w:t>
      </w:r>
      <w:r w:rsidRPr="00705695">
        <w:t xml:space="preserve"> ou dans toute autre langue de publication autorisée par les instructions administratives</w:t>
      </w:r>
      <w:r w:rsidRPr="00587C85">
        <w:t>.</w:t>
      </w:r>
    </w:p>
    <w:p w:rsidR="000C226F" w:rsidRPr="00587C85" w:rsidRDefault="000C226F" w:rsidP="009E5CBD">
      <w:pPr>
        <w:pStyle w:val="Lega"/>
        <w:spacing w:line="240" w:lineRule="auto"/>
      </w:pPr>
      <w:r w:rsidRPr="00587C85">
        <w:tab/>
        <w:t>e)</w:t>
      </w:r>
      <w:r>
        <w:t xml:space="preserve"> </w:t>
      </w:r>
      <w:r w:rsidRPr="00587C85">
        <w:t xml:space="preserve"> </w:t>
      </w:r>
      <w:r w:rsidRPr="00587C85">
        <w:rPr>
          <w:i/>
        </w:rPr>
        <w:t>[Sans changement]</w:t>
      </w:r>
      <w:r w:rsidRPr="00587C85">
        <w:t xml:space="preserve"> </w:t>
      </w:r>
      <w:r>
        <w:t xml:space="preserve"> </w:t>
      </w:r>
      <w:r w:rsidRPr="00587C85">
        <w:t>Toute lettre ou notification du Bureau international au déposant ou à tout office national doit être rédigée en français ou en anglais.</w:t>
      </w:r>
    </w:p>
    <w:p w:rsidR="000C226F" w:rsidRPr="00631C14" w:rsidRDefault="000C226F" w:rsidP="009E5CBD">
      <w:pPr>
        <w:pStyle w:val="LegSubRule"/>
        <w:spacing w:line="240" w:lineRule="auto"/>
        <w:rPr>
          <w:i/>
        </w:rPr>
      </w:pPr>
      <w:bookmarkStart w:id="21" w:name="_Toc442349537"/>
      <w:r w:rsidRPr="00A603F2">
        <w:rPr>
          <w:iCs/>
        </w:rPr>
        <w:t xml:space="preserve">92.3 </w:t>
      </w:r>
      <w:proofErr w:type="gramStart"/>
      <w:r w:rsidRPr="00A603F2">
        <w:rPr>
          <w:iCs/>
        </w:rPr>
        <w:t>et</w:t>
      </w:r>
      <w:proofErr w:type="gramEnd"/>
      <w:r w:rsidRPr="00A603F2">
        <w:rPr>
          <w:iCs/>
        </w:rPr>
        <w:t xml:space="preserve"> 92.4</w:t>
      </w:r>
      <w:r>
        <w:rPr>
          <w:iCs/>
        </w:rPr>
        <w:t xml:space="preserve"> </w:t>
      </w:r>
      <w:r w:rsidRPr="00631C14">
        <w:rPr>
          <w:i/>
        </w:rPr>
        <w:t xml:space="preserve"> [Sans changement]</w:t>
      </w:r>
      <w:bookmarkEnd w:id="21"/>
    </w:p>
    <w:p w:rsidR="000C226F" w:rsidRPr="00E40450" w:rsidRDefault="000C226F" w:rsidP="009E5CBD">
      <w:pPr>
        <w:pStyle w:val="LegTitle"/>
        <w:spacing w:line="240" w:lineRule="auto"/>
      </w:pPr>
      <w:bookmarkStart w:id="22" w:name="_Toc442349538"/>
      <w:r w:rsidRPr="00E40450">
        <w:lastRenderedPageBreak/>
        <w:t>Règle</w:t>
      </w:r>
      <w:r>
        <w:t> </w:t>
      </w:r>
      <w:r w:rsidRPr="00E40450">
        <w:t xml:space="preserve">94  </w:t>
      </w:r>
      <w:r w:rsidRPr="00E40450">
        <w:br/>
        <w:t>Accès aux dossiers</w:t>
      </w:r>
      <w:bookmarkEnd w:id="22"/>
    </w:p>
    <w:p w:rsidR="000C226F" w:rsidRPr="00370D62" w:rsidRDefault="000C226F" w:rsidP="009E5CBD">
      <w:pPr>
        <w:pStyle w:val="LegSubRule"/>
        <w:spacing w:line="240" w:lineRule="auto"/>
        <w:rPr>
          <w:i/>
        </w:rPr>
      </w:pPr>
      <w:bookmarkStart w:id="23" w:name="_Toc442349539"/>
      <w:r w:rsidRPr="00B401AA">
        <w:rPr>
          <w:iCs/>
        </w:rPr>
        <w:t>94.1</w:t>
      </w:r>
      <w:r w:rsidRPr="00370D62">
        <w:rPr>
          <w:i/>
        </w:rPr>
        <w:t>   Accès au dossier détenu par le Bureau international</w:t>
      </w:r>
      <w:bookmarkEnd w:id="23"/>
    </w:p>
    <w:p w:rsidR="000C226F" w:rsidRPr="00E40450" w:rsidRDefault="000C226F" w:rsidP="009E5CBD">
      <w:pPr>
        <w:pStyle w:val="Lega"/>
        <w:spacing w:line="240" w:lineRule="auto"/>
      </w:pPr>
      <w:r w:rsidRPr="00E40450">
        <w:tab/>
        <w:t>a)  </w:t>
      </w:r>
      <w:r w:rsidRPr="00B401AA">
        <w:rPr>
          <w:i/>
          <w:iCs/>
        </w:rPr>
        <w:t>[Sans changement]</w:t>
      </w:r>
      <w:r w:rsidRPr="00E40450">
        <w:t>  Sur requête du déposant ou de toute personne autorisée par le déposant, le Bureau international délivre, contre remboursement du coût du service, des copies de tout document contenu dans son dossier.</w:t>
      </w:r>
    </w:p>
    <w:p w:rsidR="000C226F" w:rsidRPr="00E40450" w:rsidRDefault="000C226F" w:rsidP="009E5CBD">
      <w:pPr>
        <w:pStyle w:val="Lega"/>
        <w:spacing w:line="240" w:lineRule="auto"/>
      </w:pPr>
      <w:r w:rsidRPr="00E40450">
        <w:tab/>
        <w:t>b)  Le Bureau international, sur requête de toute personne mais pas avant la publication internationale de la demande internationale, et sous réserve de l</w:t>
      </w:r>
      <w:r w:rsidR="00CE5FEC">
        <w:t>’</w:t>
      </w:r>
      <w:r w:rsidRPr="00E40450">
        <w:t>article</w:t>
      </w:r>
      <w:r>
        <w:t> </w:t>
      </w:r>
      <w:r w:rsidRPr="00E40450">
        <w:t>38</w:t>
      </w:r>
      <w:r w:rsidRPr="00705695">
        <w:t xml:space="preserve"> et des alinéas d) à g)</w:t>
      </w:r>
      <w:r w:rsidRPr="00E40450">
        <w:t>, délivre des copies de tout document contenu dans son dossi</w:t>
      </w:r>
      <w:r w:rsidR="001D67E8" w:rsidRPr="00E40450">
        <w:t>er</w:t>
      </w:r>
      <w:r w:rsidR="001D67E8">
        <w:t xml:space="preserve">.  </w:t>
      </w:r>
      <w:r w:rsidR="001D67E8" w:rsidRPr="00705695">
        <w:t>La</w:t>
      </w:r>
      <w:r w:rsidRPr="00705695">
        <w:t xml:space="preserve"> délivrance de copies peut être subordonnée au remboursement du coût du service.</w:t>
      </w:r>
    </w:p>
    <w:p w:rsidR="000C226F" w:rsidRPr="00E40450" w:rsidRDefault="000C226F" w:rsidP="009E5CBD">
      <w:pPr>
        <w:pStyle w:val="Lega"/>
        <w:spacing w:line="240" w:lineRule="auto"/>
      </w:pPr>
      <w:r w:rsidRPr="00E40450">
        <w:tab/>
        <w:t>c)  </w:t>
      </w:r>
      <w:r w:rsidRPr="00B401AA">
        <w:rPr>
          <w:i/>
          <w:iCs/>
        </w:rPr>
        <w:t>[Sans changement]</w:t>
      </w:r>
      <w:r w:rsidRPr="00E40450">
        <w:t>  Sur requête d</w:t>
      </w:r>
      <w:r w:rsidR="00CE5FEC">
        <w:t>’</w:t>
      </w:r>
      <w:r w:rsidRPr="00E40450">
        <w:t>un office élu, le Bureau international délivre au nom de cet office des copies du rapport d</w:t>
      </w:r>
      <w:r w:rsidR="00CE5FEC">
        <w:t>’</w:t>
      </w:r>
      <w:r w:rsidRPr="00E40450">
        <w:t>examen préliminaire international en vertu de l</w:t>
      </w:r>
      <w:r w:rsidR="00CE5FEC">
        <w:t>’</w:t>
      </w:r>
      <w:r w:rsidRPr="00E40450">
        <w:t>alinéa b).  Le Bureau international publie à bref délai dans la gazette les informations relatives à toute requête de ce type.</w:t>
      </w:r>
    </w:p>
    <w:p w:rsidR="000C226F" w:rsidRPr="00705695" w:rsidRDefault="000C226F" w:rsidP="009E5CBD">
      <w:pPr>
        <w:pStyle w:val="Lega"/>
        <w:spacing w:line="240" w:lineRule="auto"/>
      </w:pPr>
      <w:r w:rsidRPr="00705695">
        <w:tab/>
        <w:t>d)  Le Bureau international ne permet pas l</w:t>
      </w:r>
      <w:r w:rsidR="00CE5FEC">
        <w:t>’</w:t>
      </w:r>
      <w:r w:rsidRPr="00705695">
        <w:t xml:space="preserve">accès à tout renseignement contenu dans son dossier qui a été exclu de la publication en vertu de la règle 48.2.l) et à tout document contenu dans son dossier en rapport avec une requête </w:t>
      </w:r>
      <w:r>
        <w:t>soumise en vertu de cette règle.</w:t>
      </w:r>
    </w:p>
    <w:p w:rsidR="00CE5FEC" w:rsidRDefault="000C226F" w:rsidP="009E5CBD">
      <w:pPr>
        <w:pStyle w:val="Lega"/>
        <w:spacing w:line="240" w:lineRule="auto"/>
      </w:pPr>
      <w:r w:rsidRPr="00705695">
        <w:tab/>
        <w:t>e)  Sur requête motivée du déposant, le Bureau international ne permet pas l</w:t>
      </w:r>
      <w:r w:rsidR="00CE5FEC">
        <w:t>’</w:t>
      </w:r>
      <w:r w:rsidRPr="00705695">
        <w:t>accès à tout renseignement contenu dans son dossier et à tout document contenu dans son dossier en rapport avec cette requête, s</w:t>
      </w:r>
      <w:r w:rsidR="00CE5FEC">
        <w:t>’</w:t>
      </w:r>
      <w:r w:rsidRPr="00705695">
        <w:t>il constate que</w:t>
      </w:r>
    </w:p>
    <w:p w:rsidR="000C226F" w:rsidRPr="00705695" w:rsidRDefault="000C226F" w:rsidP="009E5CBD">
      <w:pPr>
        <w:pStyle w:val="Legiindent"/>
        <w:spacing w:line="240" w:lineRule="auto"/>
      </w:pPr>
      <w:r w:rsidRPr="00705695">
        <w:tab/>
        <w:t>i)</w:t>
      </w:r>
      <w:r w:rsidRPr="00705695">
        <w:tab/>
        <w:t>ce renseignement ne sert manifestement pas à informer le public sur la demande internationale;</w:t>
      </w:r>
    </w:p>
    <w:p w:rsidR="000C226F" w:rsidRPr="00705695" w:rsidRDefault="000C226F" w:rsidP="009E5CBD">
      <w:pPr>
        <w:pStyle w:val="Legiindent"/>
        <w:spacing w:line="240" w:lineRule="auto"/>
      </w:pPr>
      <w:r w:rsidRPr="00705695">
        <w:tab/>
        <w:t>ii)</w:t>
      </w:r>
      <w:r w:rsidRPr="00705695">
        <w:tab/>
        <w:t>l</w:t>
      </w:r>
      <w:r w:rsidR="00CE5FEC">
        <w:t>’</w:t>
      </w:r>
      <w:r w:rsidRPr="00705695">
        <w:t>accès du public à ce renseignement porterait clairement atteinte aux intérêts personnels ou économiques d</w:t>
      </w:r>
      <w:r w:rsidR="00CE5FEC">
        <w:t>’</w:t>
      </w:r>
      <w:r w:rsidRPr="00705695">
        <w:t>une personne donnée;  et</w:t>
      </w:r>
    </w:p>
    <w:p w:rsidR="000C226F" w:rsidRPr="00705695" w:rsidRDefault="000C226F" w:rsidP="009E5CBD">
      <w:pPr>
        <w:pStyle w:val="Legiindent"/>
        <w:spacing w:line="240" w:lineRule="auto"/>
      </w:pPr>
      <w:r w:rsidRPr="00705695">
        <w:tab/>
        <w:t>iii)</w:t>
      </w:r>
      <w:r w:rsidRPr="00705695">
        <w:tab/>
        <w:t>l</w:t>
      </w:r>
      <w:r w:rsidR="00CE5FEC">
        <w:t>’</w:t>
      </w:r>
      <w:r w:rsidRPr="00705695">
        <w:t>intérêt du public d</w:t>
      </w:r>
      <w:r w:rsidR="00CE5FEC">
        <w:t>’</w:t>
      </w:r>
      <w:r w:rsidRPr="00705695">
        <w:t>avoir accès à ce renseignement ne prévaut pas.</w:t>
      </w:r>
    </w:p>
    <w:p w:rsidR="000C226F" w:rsidRPr="00705695" w:rsidRDefault="000C226F" w:rsidP="009E5CBD">
      <w:pPr>
        <w:pStyle w:val="Lega"/>
        <w:spacing w:line="240" w:lineRule="auto"/>
      </w:pPr>
      <w:r w:rsidRPr="00705695">
        <w:t>La règle 26.4 s</w:t>
      </w:r>
      <w:r w:rsidR="00CE5FEC">
        <w:t>’</w:t>
      </w:r>
      <w:r w:rsidRPr="00705695">
        <w:t xml:space="preserve">applique </w:t>
      </w:r>
      <w:r w:rsidRPr="00705695">
        <w:rPr>
          <w:i/>
          <w:iCs/>
        </w:rPr>
        <w:t>mutatis mutandis</w:t>
      </w:r>
      <w:r w:rsidRPr="00705695">
        <w:t xml:space="preserve"> quant à la procédure à suivre par le déposant pour présenter les renseignements faisant l</w:t>
      </w:r>
      <w:r w:rsidR="00CE5FEC">
        <w:t>’</w:t>
      </w:r>
      <w:r w:rsidRPr="00705695">
        <w:t>objet d</w:t>
      </w:r>
      <w:r w:rsidR="00CE5FEC">
        <w:t>’</w:t>
      </w:r>
      <w:r w:rsidRPr="00705695">
        <w:t>une requête soumise en vertu du présent alinéa.</w:t>
      </w:r>
    </w:p>
    <w:p w:rsidR="00CE5FEC" w:rsidRDefault="000C226F" w:rsidP="009E5CBD">
      <w:pPr>
        <w:pStyle w:val="Lega"/>
        <w:spacing w:line="240" w:lineRule="auto"/>
      </w:pPr>
      <w:r w:rsidRPr="00E40450">
        <w:tab/>
      </w:r>
      <w:r w:rsidRPr="00705695">
        <w:t>f)  Lorsque le Bureau international a exclu l</w:t>
      </w:r>
      <w:r w:rsidR="00CE5FEC">
        <w:t>’</w:t>
      </w:r>
      <w:r w:rsidRPr="00705695">
        <w:t>accès par le public aux renseignements visés à l</w:t>
      </w:r>
      <w:r w:rsidR="00CE5FEC">
        <w:t>’</w:t>
      </w:r>
      <w:r w:rsidRPr="00705695">
        <w:t>alinéa d) ou e) et que ces renseignements figurent aussi dans le dossier de la demande internationale détenu par l</w:t>
      </w:r>
      <w:r w:rsidR="00CE5FEC">
        <w:t>’</w:t>
      </w:r>
      <w:r w:rsidRPr="00705695">
        <w:t>office récepteur, l</w:t>
      </w:r>
      <w:r w:rsidR="00CE5FEC">
        <w:t>’</w:t>
      </w:r>
      <w:r w:rsidRPr="00705695">
        <w:t>administration chargée de la recherche internationale, l</w:t>
      </w:r>
      <w:r w:rsidR="00CE5FEC">
        <w:t>’</w:t>
      </w:r>
      <w:r w:rsidRPr="00705695">
        <w:t>administration indiquée pour la recherche supplémentaire ou l</w:t>
      </w:r>
      <w:r w:rsidR="00CE5FEC">
        <w:t>’</w:t>
      </w:r>
      <w:r w:rsidRPr="00705695">
        <w:t>administration chargée de l</w:t>
      </w:r>
      <w:r w:rsidR="00CE5FEC">
        <w:t>’</w:t>
      </w:r>
      <w:r w:rsidRPr="00705695">
        <w:t>examen préliminaire international, le Bureau international en informe à bref délai cet office ou cette administration.</w:t>
      </w:r>
    </w:p>
    <w:p w:rsidR="000C226F" w:rsidRDefault="000C226F" w:rsidP="009E5CBD">
      <w:pPr>
        <w:pageBreakBefore/>
        <w:tabs>
          <w:tab w:val="left" w:pos="567"/>
        </w:tabs>
        <w:spacing w:after="360" w:line="480" w:lineRule="auto"/>
        <w:jc w:val="center"/>
        <w:rPr>
          <w:rFonts w:eastAsia="Times New Roman" w:cs="Times New Roman"/>
          <w:i/>
          <w:lang w:eastAsia="en-US"/>
        </w:rPr>
      </w:pPr>
      <w:r w:rsidRPr="00276E37">
        <w:rPr>
          <w:rFonts w:eastAsia="Times New Roman" w:cs="Times New Roman"/>
          <w:i/>
          <w:lang w:eastAsia="en-US"/>
        </w:rPr>
        <w:lastRenderedPageBreak/>
        <w:t>[Règle </w:t>
      </w:r>
      <w:r>
        <w:rPr>
          <w:rFonts w:eastAsia="Times New Roman" w:cs="Times New Roman"/>
          <w:i/>
          <w:lang w:eastAsia="en-US"/>
        </w:rPr>
        <w:t>94.1</w:t>
      </w:r>
      <w:r w:rsidRPr="00276E37">
        <w:rPr>
          <w:rFonts w:eastAsia="Times New Roman" w:cs="Times New Roman"/>
          <w:i/>
          <w:lang w:eastAsia="en-US"/>
        </w:rPr>
        <w:t>, suite]</w:t>
      </w:r>
    </w:p>
    <w:p w:rsidR="000C226F" w:rsidRPr="00705695" w:rsidRDefault="000C226F" w:rsidP="009E5CBD">
      <w:pPr>
        <w:pStyle w:val="Lega"/>
        <w:spacing w:line="240" w:lineRule="auto"/>
      </w:pPr>
      <w:r w:rsidRPr="00E40450">
        <w:tab/>
      </w:r>
      <w:r w:rsidRPr="00705695">
        <w:t>g)  Le Bureau international ne permet pas l</w:t>
      </w:r>
      <w:r w:rsidR="00CE5FEC">
        <w:t>’</w:t>
      </w:r>
      <w:r w:rsidRPr="00705695">
        <w:t>accès à tout document contenu dans son dossier qui a été établi uniquement pour un usage interne par le Bureau international.</w:t>
      </w:r>
    </w:p>
    <w:p w:rsidR="000C226F" w:rsidRPr="00705695" w:rsidRDefault="000C226F" w:rsidP="009E5CBD">
      <w:pPr>
        <w:pStyle w:val="LegSubRule"/>
        <w:spacing w:line="240" w:lineRule="auto"/>
        <w:rPr>
          <w:i/>
          <w:iCs/>
        </w:rPr>
      </w:pPr>
      <w:bookmarkStart w:id="24" w:name="_Toc442349540"/>
      <w:r w:rsidRPr="00705695">
        <w:t>94.1</w:t>
      </w:r>
      <w:r w:rsidRPr="00705695">
        <w:rPr>
          <w:i/>
          <w:iCs/>
        </w:rPr>
        <w:t>bis</w:t>
      </w:r>
      <w:r w:rsidRPr="00705695">
        <w:t>   </w:t>
      </w:r>
      <w:r w:rsidRPr="00705695">
        <w:rPr>
          <w:i/>
          <w:iCs/>
        </w:rPr>
        <w:t>Accès au dossier détenu par l</w:t>
      </w:r>
      <w:r w:rsidR="00CE5FEC">
        <w:rPr>
          <w:i/>
          <w:iCs/>
        </w:rPr>
        <w:t>’</w:t>
      </w:r>
      <w:r w:rsidRPr="00705695">
        <w:rPr>
          <w:i/>
          <w:iCs/>
        </w:rPr>
        <w:t>office récepteur</w:t>
      </w:r>
      <w:bookmarkEnd w:id="24"/>
    </w:p>
    <w:p w:rsidR="000C226F" w:rsidRPr="00705695" w:rsidRDefault="000C226F" w:rsidP="009E5CBD">
      <w:pPr>
        <w:pStyle w:val="Lega"/>
        <w:spacing w:line="240" w:lineRule="auto"/>
      </w:pPr>
      <w:r w:rsidRPr="00705695">
        <w:tab/>
        <w:t>a)  Sur requête du déposant ou de toute personne autorisée par le déposant, l</w:t>
      </w:r>
      <w:r w:rsidR="00CE5FEC">
        <w:t>’</w:t>
      </w:r>
      <w:r w:rsidRPr="00705695">
        <w:t>office récepteur peut permettre l</w:t>
      </w:r>
      <w:r w:rsidR="00CE5FEC">
        <w:t>’</w:t>
      </w:r>
      <w:r w:rsidRPr="00705695">
        <w:t>accès à tout document contenu dans son dossi</w:t>
      </w:r>
      <w:r w:rsidR="001D67E8" w:rsidRPr="00705695">
        <w:t>er</w:t>
      </w:r>
      <w:r w:rsidR="001D67E8">
        <w:t xml:space="preserve">.  </w:t>
      </w:r>
      <w:r w:rsidR="001D67E8" w:rsidRPr="00705695">
        <w:t>La</w:t>
      </w:r>
      <w:r w:rsidRPr="00705695">
        <w:t xml:space="preserve"> délivrance de copies de documents peut être subordonnée au remboursement du coût du service.</w:t>
      </w:r>
    </w:p>
    <w:p w:rsidR="000C226F" w:rsidRPr="00705695" w:rsidRDefault="000C226F" w:rsidP="009E5CBD">
      <w:pPr>
        <w:pStyle w:val="Lega"/>
        <w:spacing w:line="240" w:lineRule="auto"/>
      </w:pPr>
      <w:r w:rsidRPr="00705695">
        <w:tab/>
        <w:t>b)  L</w:t>
      </w:r>
      <w:r w:rsidR="00CE5FEC">
        <w:t>’</w:t>
      </w:r>
      <w:r w:rsidRPr="00705695">
        <w:t>office récepteur peut, sur requête de toute personne mais pas avant la publication internationale de la demande internationale et sous réserve de l</w:t>
      </w:r>
      <w:r w:rsidR="00CE5FEC">
        <w:t>’</w:t>
      </w:r>
      <w:r w:rsidRPr="00705695">
        <w:t>alinéa c), permettre l</w:t>
      </w:r>
      <w:r w:rsidR="00CE5FEC">
        <w:t>’</w:t>
      </w:r>
      <w:r w:rsidRPr="00705695">
        <w:t>accès à tout document contenu dans son dossi</w:t>
      </w:r>
      <w:r w:rsidR="001D67E8" w:rsidRPr="00705695">
        <w:t>er</w:t>
      </w:r>
      <w:r w:rsidR="001D67E8">
        <w:t xml:space="preserve">.  </w:t>
      </w:r>
      <w:r w:rsidR="001D67E8" w:rsidRPr="00705695">
        <w:t>La</w:t>
      </w:r>
      <w:r w:rsidRPr="00705695">
        <w:t xml:space="preserve"> délivrance de copies de documents peut être subordonnée au remboursement du coût du service.</w:t>
      </w:r>
    </w:p>
    <w:p w:rsidR="000C226F" w:rsidRPr="00705695" w:rsidRDefault="000C226F" w:rsidP="009E5CBD">
      <w:pPr>
        <w:pStyle w:val="Lega"/>
        <w:spacing w:line="240" w:lineRule="auto"/>
      </w:pPr>
      <w:r w:rsidRPr="00705695">
        <w:tab/>
      </w:r>
      <w:proofErr w:type="gramStart"/>
      <w:r w:rsidRPr="00705695">
        <w:t>c)</w:t>
      </w:r>
      <w:proofErr w:type="gramEnd"/>
      <w:r w:rsidRPr="00705695">
        <w:t>  L</w:t>
      </w:r>
      <w:r w:rsidR="00CE5FEC">
        <w:t>’</w:t>
      </w:r>
      <w:r w:rsidRPr="00705695">
        <w:t>office récepteur ne permet pas l</w:t>
      </w:r>
      <w:r w:rsidR="00CE5FEC">
        <w:t>’</w:t>
      </w:r>
      <w:r w:rsidRPr="00705695">
        <w:t>accès visé à l</w:t>
      </w:r>
      <w:r w:rsidR="00CE5FEC">
        <w:t>’</w:t>
      </w:r>
      <w:r w:rsidRPr="00705695">
        <w:t>alinéa b) à tout renseignement au sujet duquel le Bureau international l</w:t>
      </w:r>
      <w:r w:rsidR="00CE5FEC">
        <w:t>’</w:t>
      </w:r>
      <w:r w:rsidRPr="00705695">
        <w:t>a informé qu</w:t>
      </w:r>
      <w:r w:rsidR="00CE5FEC">
        <w:t>’</w:t>
      </w:r>
      <w:r w:rsidRPr="00705695">
        <w:t>il a été exclu de la publication conformément à la règle 48.2.l) ou que le public n</w:t>
      </w:r>
      <w:r w:rsidR="00CE5FEC">
        <w:t>’</w:t>
      </w:r>
      <w:r w:rsidRPr="00705695">
        <w:t>y a pas accès conformément à la règle 94.1.d) ou e).</w:t>
      </w:r>
    </w:p>
    <w:p w:rsidR="000C226F" w:rsidRPr="00705695" w:rsidRDefault="000C226F" w:rsidP="009E5CBD">
      <w:pPr>
        <w:pStyle w:val="LegSubRule"/>
        <w:spacing w:line="240" w:lineRule="auto"/>
      </w:pPr>
      <w:bookmarkStart w:id="25" w:name="_Toc442349541"/>
      <w:r w:rsidRPr="00705695">
        <w:t>94.1</w:t>
      </w:r>
      <w:r w:rsidRPr="00705695">
        <w:rPr>
          <w:i/>
          <w:iCs/>
        </w:rPr>
        <w:t>ter</w:t>
      </w:r>
      <w:r w:rsidRPr="00705695">
        <w:t>   </w:t>
      </w:r>
      <w:r w:rsidRPr="00705695">
        <w:rPr>
          <w:i/>
          <w:iCs/>
        </w:rPr>
        <w:t>Accès au dossier détenu par l</w:t>
      </w:r>
      <w:r w:rsidR="00CE5FEC">
        <w:rPr>
          <w:i/>
          <w:iCs/>
        </w:rPr>
        <w:t>’</w:t>
      </w:r>
      <w:r w:rsidRPr="00705695">
        <w:rPr>
          <w:i/>
          <w:iCs/>
        </w:rPr>
        <w:t>administration chargée de la recherche internationale</w:t>
      </w:r>
      <w:bookmarkEnd w:id="25"/>
    </w:p>
    <w:p w:rsidR="000C226F" w:rsidRPr="00705695" w:rsidRDefault="000C226F" w:rsidP="009E5CBD">
      <w:pPr>
        <w:pStyle w:val="Lega"/>
        <w:spacing w:line="240" w:lineRule="auto"/>
      </w:pPr>
      <w:r w:rsidRPr="00705695">
        <w:tab/>
        <w:t>a)  Sur requête du déposant ou de toute personne autorisée par le déposant, l</w:t>
      </w:r>
      <w:r w:rsidR="00CE5FEC">
        <w:t>’</w:t>
      </w:r>
      <w:r w:rsidRPr="00705695">
        <w:t>administration chargée de la recherche internationale peut permettre l</w:t>
      </w:r>
      <w:r w:rsidR="00CE5FEC">
        <w:t>’</w:t>
      </w:r>
      <w:r w:rsidRPr="00705695">
        <w:t>accès à tout document contenu dans son dossi</w:t>
      </w:r>
      <w:r w:rsidR="001D67E8" w:rsidRPr="00705695">
        <w:t>er</w:t>
      </w:r>
      <w:r w:rsidR="001D67E8">
        <w:t xml:space="preserve">.  </w:t>
      </w:r>
      <w:r w:rsidR="001D67E8" w:rsidRPr="00705695">
        <w:t>La</w:t>
      </w:r>
      <w:r w:rsidRPr="00705695">
        <w:t xml:space="preserve"> délivrance de copies de documents peut être subordonnée au remboursement du coût du service.</w:t>
      </w:r>
    </w:p>
    <w:p w:rsidR="000C226F" w:rsidRPr="00705695" w:rsidRDefault="000C226F" w:rsidP="009E5CBD">
      <w:pPr>
        <w:pStyle w:val="Lega"/>
        <w:spacing w:line="240" w:lineRule="auto"/>
      </w:pPr>
      <w:r w:rsidRPr="00705695">
        <w:tab/>
        <w:t>b)  L</w:t>
      </w:r>
      <w:r w:rsidR="00CE5FEC">
        <w:t>’</w:t>
      </w:r>
      <w:r w:rsidRPr="00705695">
        <w:t>administration chargée de la recherche internationale peut, sur requête de toute personne mais pas avant la publication internationale de la demande internationale et sous réserve de l</w:t>
      </w:r>
      <w:r w:rsidR="00CE5FEC">
        <w:t>’</w:t>
      </w:r>
      <w:r w:rsidRPr="00705695">
        <w:t>alinéa</w:t>
      </w:r>
      <w:r>
        <w:t> </w:t>
      </w:r>
      <w:r w:rsidRPr="00705695">
        <w:t>c), permettre l</w:t>
      </w:r>
      <w:r w:rsidR="00CE5FEC">
        <w:t>’</w:t>
      </w:r>
      <w:r w:rsidRPr="00705695">
        <w:t>accès à tout document contenu dans son dossi</w:t>
      </w:r>
      <w:r w:rsidR="001D67E8" w:rsidRPr="00705695">
        <w:t>er</w:t>
      </w:r>
      <w:r w:rsidR="001D67E8">
        <w:t xml:space="preserve">.  </w:t>
      </w:r>
      <w:r w:rsidR="001D67E8" w:rsidRPr="00705695">
        <w:t>La</w:t>
      </w:r>
      <w:r w:rsidRPr="00705695">
        <w:t xml:space="preserve"> délivrance de copies de documents peut être subordonnée au remboursement du coût du service.</w:t>
      </w:r>
    </w:p>
    <w:p w:rsidR="00CE5FEC" w:rsidRDefault="000C226F" w:rsidP="009E5CBD">
      <w:pPr>
        <w:pStyle w:val="Lega"/>
        <w:spacing w:line="240" w:lineRule="auto"/>
      </w:pPr>
      <w:r w:rsidRPr="00705695">
        <w:tab/>
      </w:r>
      <w:proofErr w:type="gramStart"/>
      <w:r w:rsidRPr="00705695">
        <w:t>c)</w:t>
      </w:r>
      <w:proofErr w:type="gramEnd"/>
      <w:r w:rsidRPr="00705695">
        <w:t>  L</w:t>
      </w:r>
      <w:r w:rsidR="00CE5FEC">
        <w:t>’</w:t>
      </w:r>
      <w:r w:rsidRPr="00705695">
        <w:t>administration chargée de la recherche internationale ne permet pas l</w:t>
      </w:r>
      <w:r w:rsidR="00CE5FEC">
        <w:t>’</w:t>
      </w:r>
      <w:r w:rsidRPr="00705695">
        <w:t>accès visé à l</w:t>
      </w:r>
      <w:r w:rsidR="00CE5FEC">
        <w:t>’</w:t>
      </w:r>
      <w:r w:rsidRPr="00705695">
        <w:t>alinéa b) à tout renseignement au sujet duquel le Bureau international l</w:t>
      </w:r>
      <w:r w:rsidR="00CE5FEC">
        <w:t>’</w:t>
      </w:r>
      <w:r w:rsidRPr="00705695">
        <w:t>a informée qu</w:t>
      </w:r>
      <w:r w:rsidR="00CE5FEC">
        <w:t>’</w:t>
      </w:r>
      <w:r w:rsidRPr="00705695">
        <w:t>il a été exclu de la publication conformément à la règle 48.2.l) ou que le public n</w:t>
      </w:r>
      <w:r w:rsidR="00CE5FEC">
        <w:t>’</w:t>
      </w:r>
      <w:r w:rsidRPr="00705695">
        <w:t>y a pas accès conformément à la règle 94.1.d) ou e).</w:t>
      </w:r>
    </w:p>
    <w:p w:rsidR="000C226F" w:rsidRPr="00705695" w:rsidRDefault="000C226F" w:rsidP="009E5CBD">
      <w:pPr>
        <w:pStyle w:val="Lega"/>
        <w:spacing w:line="240" w:lineRule="auto"/>
      </w:pPr>
      <w:r w:rsidRPr="00705695">
        <w:tab/>
        <w:t>d)  Les alinéas</w:t>
      </w:r>
      <w:r>
        <w:t> </w:t>
      </w:r>
      <w:r w:rsidRPr="00705695">
        <w:t>a) à c) s</w:t>
      </w:r>
      <w:r w:rsidR="00CE5FEC">
        <w:t>’</w:t>
      </w:r>
      <w:r w:rsidRPr="00705695">
        <w:t>appliquent mutatis mutandis à l</w:t>
      </w:r>
      <w:r w:rsidR="00CE5FEC">
        <w:t>’</w:t>
      </w:r>
      <w:r w:rsidRPr="00705695">
        <w:t>administration indiquée pour la recherche supplémentaire.</w:t>
      </w:r>
    </w:p>
    <w:p w:rsidR="000C226F" w:rsidRPr="00370D62" w:rsidRDefault="000C226F" w:rsidP="009E5CBD">
      <w:pPr>
        <w:pStyle w:val="LegSubRule"/>
        <w:spacing w:line="240" w:lineRule="auto"/>
        <w:rPr>
          <w:i/>
        </w:rPr>
      </w:pPr>
      <w:bookmarkStart w:id="26" w:name="_Toc442349542"/>
      <w:r w:rsidRPr="00705695">
        <w:lastRenderedPageBreak/>
        <w:t>94.2</w:t>
      </w:r>
      <w:r w:rsidRPr="007B2A83">
        <w:rPr>
          <w:iCs/>
        </w:rPr>
        <w:t>   </w:t>
      </w:r>
      <w:r w:rsidRPr="00370D62">
        <w:rPr>
          <w:i/>
        </w:rPr>
        <w:t>Accès au dossier détenu par l</w:t>
      </w:r>
      <w:r w:rsidR="00CE5FEC">
        <w:rPr>
          <w:i/>
        </w:rPr>
        <w:t>’</w:t>
      </w:r>
      <w:r w:rsidRPr="00370D62">
        <w:rPr>
          <w:i/>
        </w:rPr>
        <w:t>administration chargée de l</w:t>
      </w:r>
      <w:r w:rsidR="00CE5FEC">
        <w:rPr>
          <w:i/>
        </w:rPr>
        <w:t>’</w:t>
      </w:r>
      <w:r w:rsidRPr="00370D62">
        <w:rPr>
          <w:i/>
        </w:rPr>
        <w:t>examen préliminaire international</w:t>
      </w:r>
      <w:bookmarkEnd w:id="26"/>
    </w:p>
    <w:p w:rsidR="00CE5FEC" w:rsidRDefault="000C226F" w:rsidP="009E5CBD">
      <w:pPr>
        <w:pStyle w:val="Lega"/>
        <w:spacing w:line="240" w:lineRule="auto"/>
      </w:pPr>
      <w:r w:rsidRPr="00E40450">
        <w:tab/>
      </w:r>
      <w:r w:rsidRPr="00705695">
        <w:t>a)  </w:t>
      </w:r>
      <w:r w:rsidRPr="00E40450">
        <w:t>Sur requête du déposant ou de toute personne autorisée par le déposant,</w:t>
      </w:r>
      <w:r>
        <w:t xml:space="preserve"> </w:t>
      </w:r>
      <w:r w:rsidRPr="00E40450">
        <w:t>l</w:t>
      </w:r>
      <w:r w:rsidR="00CE5FEC">
        <w:t>’</w:t>
      </w:r>
      <w:r w:rsidRPr="00E40450">
        <w:t>administration chargée de l</w:t>
      </w:r>
      <w:r w:rsidR="00CE5FEC">
        <w:t>’</w:t>
      </w:r>
      <w:r w:rsidRPr="00E40450">
        <w:t xml:space="preserve">examen préliminaire international </w:t>
      </w:r>
      <w:r w:rsidRPr="00705695">
        <w:t>permet l</w:t>
      </w:r>
      <w:r w:rsidR="00CE5FEC">
        <w:t>’</w:t>
      </w:r>
      <w:r w:rsidRPr="00705695">
        <w:t xml:space="preserve">accès à tout document </w:t>
      </w:r>
      <w:r w:rsidRPr="00E40450">
        <w:t>contenu dans son dossi</w:t>
      </w:r>
      <w:r w:rsidR="001D67E8" w:rsidRPr="00E40450">
        <w:t>er</w:t>
      </w:r>
      <w:r w:rsidR="001D67E8">
        <w:t xml:space="preserve">.  </w:t>
      </w:r>
      <w:r w:rsidR="001D67E8" w:rsidRPr="00705695">
        <w:t>La</w:t>
      </w:r>
      <w:r w:rsidRPr="00705695">
        <w:t xml:space="preserve"> délivrance de copies de documents peut être subordonnée au remboursement du coût du service.</w:t>
      </w:r>
    </w:p>
    <w:p w:rsidR="000C226F" w:rsidRPr="00705695" w:rsidRDefault="000C226F" w:rsidP="009E5CBD">
      <w:pPr>
        <w:pStyle w:val="Lega"/>
        <w:spacing w:line="240" w:lineRule="auto"/>
      </w:pPr>
      <w:r w:rsidRPr="00705695">
        <w:tab/>
        <w:t>b)  Sur requête de tout office élu, mais pas avant l</w:t>
      </w:r>
      <w:r w:rsidR="00CE5FEC">
        <w:t>’</w:t>
      </w:r>
      <w:r w:rsidRPr="00705695">
        <w:t>établissement du rapport d</w:t>
      </w:r>
      <w:r w:rsidR="00CE5FEC">
        <w:t>’</w:t>
      </w:r>
      <w:r w:rsidRPr="00705695">
        <w:t>examen préliminaire international et sous réserve de l</w:t>
      </w:r>
      <w:r w:rsidR="00CE5FEC">
        <w:t>’</w:t>
      </w:r>
      <w:r w:rsidRPr="00705695">
        <w:t>alinéa c), l</w:t>
      </w:r>
      <w:r w:rsidR="00CE5FEC">
        <w:t>’</w:t>
      </w:r>
      <w:r w:rsidRPr="00705695">
        <w:t>administration chargée de l</w:t>
      </w:r>
      <w:r w:rsidR="00CE5FEC">
        <w:t>’</w:t>
      </w:r>
      <w:r w:rsidRPr="00705695">
        <w:t>examen préliminaire international permet l</w:t>
      </w:r>
      <w:r w:rsidR="00CE5FEC">
        <w:t>’</w:t>
      </w:r>
      <w:r w:rsidRPr="00705695">
        <w:t>accès à tout document contenu dans son dossi</w:t>
      </w:r>
      <w:r w:rsidR="001D67E8" w:rsidRPr="00705695">
        <w:t>er</w:t>
      </w:r>
      <w:r w:rsidR="001D67E8">
        <w:t xml:space="preserve">.  </w:t>
      </w:r>
      <w:r w:rsidR="001D67E8" w:rsidRPr="00705695">
        <w:t>La</w:t>
      </w:r>
      <w:r w:rsidRPr="00705695">
        <w:t xml:space="preserve"> délivrance de copies de documents peut être subordonnée au remboursement du coût du service.</w:t>
      </w:r>
    </w:p>
    <w:p w:rsidR="000C226F" w:rsidRPr="00705695" w:rsidRDefault="000C226F" w:rsidP="009E5CBD">
      <w:pPr>
        <w:pStyle w:val="Lega"/>
        <w:keepLines/>
        <w:spacing w:line="240" w:lineRule="auto"/>
      </w:pPr>
      <w:r w:rsidRPr="00705695">
        <w:tab/>
      </w:r>
      <w:proofErr w:type="gramStart"/>
      <w:r w:rsidRPr="00705695">
        <w:t>c)</w:t>
      </w:r>
      <w:proofErr w:type="gramEnd"/>
      <w:r w:rsidRPr="00705695">
        <w:t>  L</w:t>
      </w:r>
      <w:r w:rsidR="00CE5FEC">
        <w:t>’</w:t>
      </w:r>
      <w:r w:rsidRPr="00705695">
        <w:t>administration chargée de l</w:t>
      </w:r>
      <w:r w:rsidR="00CE5FEC">
        <w:t>’</w:t>
      </w:r>
      <w:r w:rsidRPr="00705695">
        <w:t>examen préliminaire international ne permet pas l</w:t>
      </w:r>
      <w:r w:rsidR="00CE5FEC">
        <w:t>’</w:t>
      </w:r>
      <w:r w:rsidRPr="00705695">
        <w:t>accès visé à l</w:t>
      </w:r>
      <w:r w:rsidR="00CE5FEC">
        <w:t>’</w:t>
      </w:r>
      <w:r w:rsidRPr="00705695">
        <w:t>alinéa b) à tout renseignement au sujet duquel le Bureau international l</w:t>
      </w:r>
      <w:r w:rsidR="00CE5FEC">
        <w:t>’</w:t>
      </w:r>
      <w:r w:rsidRPr="00705695">
        <w:t>a informée qu</w:t>
      </w:r>
      <w:r w:rsidR="00CE5FEC">
        <w:t>’</w:t>
      </w:r>
      <w:r w:rsidRPr="00705695">
        <w:t>il a été exclu de la publication conformément à la règle 48.2.l) ou que le public n</w:t>
      </w:r>
      <w:r w:rsidR="00CE5FEC">
        <w:t>’</w:t>
      </w:r>
      <w:r w:rsidRPr="00705695">
        <w:t>y a pas accès conformément à la règle 94.1.d) ou e).</w:t>
      </w:r>
    </w:p>
    <w:p w:rsidR="000C226F" w:rsidRPr="00705695" w:rsidRDefault="000C226F" w:rsidP="009E5CBD">
      <w:pPr>
        <w:pStyle w:val="LegSubRule"/>
        <w:spacing w:line="240" w:lineRule="auto"/>
      </w:pPr>
      <w:bookmarkStart w:id="27" w:name="_Toc442349543"/>
      <w:r w:rsidRPr="00705695">
        <w:t>94.2</w:t>
      </w:r>
      <w:r w:rsidRPr="00705695">
        <w:rPr>
          <w:i/>
          <w:iCs/>
        </w:rPr>
        <w:t>bis</w:t>
      </w:r>
      <w:r w:rsidRPr="00705695">
        <w:t>   </w:t>
      </w:r>
      <w:r w:rsidRPr="00705695">
        <w:rPr>
          <w:i/>
          <w:iCs/>
        </w:rPr>
        <w:t>Accès au dossier détenu par l</w:t>
      </w:r>
      <w:r w:rsidR="00CE5FEC">
        <w:rPr>
          <w:i/>
          <w:iCs/>
        </w:rPr>
        <w:t>’</w:t>
      </w:r>
      <w:r w:rsidRPr="00705695">
        <w:rPr>
          <w:i/>
          <w:iCs/>
        </w:rPr>
        <w:t>office désigné</w:t>
      </w:r>
      <w:bookmarkEnd w:id="27"/>
    </w:p>
    <w:p w:rsidR="000C226F" w:rsidRPr="00705695" w:rsidRDefault="000C226F" w:rsidP="009E5CBD">
      <w:pPr>
        <w:pStyle w:val="Lega"/>
        <w:spacing w:line="240" w:lineRule="auto"/>
      </w:pPr>
      <w:r w:rsidRPr="00705695">
        <w:tab/>
        <w:t>Si la législation nationale applicable par un office désigné autorise l</w:t>
      </w:r>
      <w:r w:rsidR="00CE5FEC">
        <w:t>’</w:t>
      </w:r>
      <w:r w:rsidRPr="00705695">
        <w:t>accès de tiers au dossier d</w:t>
      </w:r>
      <w:r w:rsidR="00CE5FEC">
        <w:t>’</w:t>
      </w:r>
      <w:r w:rsidRPr="00705695">
        <w:t>une demande nationale, cet office peut donner accès à tout document ayant trait à la demande internationale contenu dans son dossier, dans la même mesure que le prévoit la législation nationale en ce qui concerne l</w:t>
      </w:r>
      <w:r w:rsidR="00CE5FEC">
        <w:t>’</w:t>
      </w:r>
      <w:r w:rsidRPr="00705695">
        <w:t>accès au dossier d</w:t>
      </w:r>
      <w:r w:rsidR="00CE5FEC">
        <w:t>’</w:t>
      </w:r>
      <w:r w:rsidRPr="00705695">
        <w:t>une demande nationale, mais pas avant celle des dates visées à l</w:t>
      </w:r>
      <w:r w:rsidR="00CE5FEC">
        <w:t>’</w:t>
      </w:r>
      <w:r w:rsidRPr="00705695">
        <w:t>article 30.2)a) qui intervient la premiè</w:t>
      </w:r>
      <w:r w:rsidR="001D67E8" w:rsidRPr="00705695">
        <w:t>re</w:t>
      </w:r>
      <w:r w:rsidR="001D67E8">
        <w:t xml:space="preserve">.  </w:t>
      </w:r>
      <w:r w:rsidR="001D67E8" w:rsidRPr="00705695">
        <w:t>La</w:t>
      </w:r>
      <w:r w:rsidRPr="00705695">
        <w:t xml:space="preserve"> délivrance de copies de documents peut être subordonnée au remboursement du coût du service.</w:t>
      </w:r>
    </w:p>
    <w:p w:rsidR="000C226F" w:rsidRPr="00370D62" w:rsidRDefault="000C226F" w:rsidP="009E5CBD">
      <w:pPr>
        <w:pStyle w:val="LegSubRule"/>
        <w:spacing w:line="240" w:lineRule="auto"/>
        <w:rPr>
          <w:i/>
        </w:rPr>
      </w:pPr>
      <w:bookmarkStart w:id="28" w:name="_Toc442349544"/>
      <w:r w:rsidRPr="007B2A83">
        <w:rPr>
          <w:iCs/>
        </w:rPr>
        <w:t>94.3</w:t>
      </w:r>
      <w:r w:rsidRPr="00370D62">
        <w:rPr>
          <w:i/>
        </w:rPr>
        <w:t>   Accès au dossier détenu par l</w:t>
      </w:r>
      <w:r w:rsidR="00CE5FEC">
        <w:rPr>
          <w:i/>
        </w:rPr>
        <w:t>’</w:t>
      </w:r>
      <w:r w:rsidRPr="00370D62">
        <w:rPr>
          <w:i/>
        </w:rPr>
        <w:t>office élu</w:t>
      </w:r>
      <w:bookmarkEnd w:id="28"/>
    </w:p>
    <w:p w:rsidR="000C226F" w:rsidRPr="00E40450" w:rsidRDefault="000C226F" w:rsidP="009E5CBD">
      <w:pPr>
        <w:pStyle w:val="Lega"/>
        <w:spacing w:line="240" w:lineRule="auto"/>
      </w:pPr>
      <w:r w:rsidRPr="00E40450">
        <w:tab/>
        <w:t>Si la législation nationale applicable par un office élu autorise l</w:t>
      </w:r>
      <w:r w:rsidR="00CE5FEC">
        <w:t>’</w:t>
      </w:r>
      <w:r w:rsidRPr="00E40450">
        <w:t>accès de tiers au dossier d</w:t>
      </w:r>
      <w:r w:rsidR="00CE5FEC">
        <w:t>’</w:t>
      </w:r>
      <w:r w:rsidRPr="00E40450">
        <w:t xml:space="preserve">une demande nationale, cet office peut donner accès à tout document ayant trait à la demande internationale, </w:t>
      </w:r>
      <w:r w:rsidR="00CE5FEC">
        <w:t>y compris</w:t>
      </w:r>
      <w:r w:rsidRPr="00E40450">
        <w:t xml:space="preserve"> à tout document se rapportant à l</w:t>
      </w:r>
      <w:r w:rsidR="00CE5FEC">
        <w:t>’</w:t>
      </w:r>
      <w:r w:rsidRPr="00E40450">
        <w:t>examen préliminaire international, contenu dans son dossier, dans la même mesure que le prévoit la législation nationale en ce qui concerne l</w:t>
      </w:r>
      <w:r w:rsidR="00CE5FEC">
        <w:t>’</w:t>
      </w:r>
      <w:r w:rsidRPr="00E40450">
        <w:t>accès au dossier d</w:t>
      </w:r>
      <w:r w:rsidR="00CE5FEC">
        <w:t>’</w:t>
      </w:r>
      <w:r w:rsidRPr="00E40450">
        <w:t>une demande nationale, mais pas avant</w:t>
      </w:r>
      <w:r>
        <w:t xml:space="preserve"> </w:t>
      </w:r>
      <w:r w:rsidRPr="00705695">
        <w:t>celle des dates visées à l</w:t>
      </w:r>
      <w:r w:rsidR="00CE5FEC">
        <w:t>’</w:t>
      </w:r>
      <w:r w:rsidRPr="00705695">
        <w:t>article 30.2)a) qui intervient la premiè</w:t>
      </w:r>
      <w:r w:rsidR="001D67E8" w:rsidRPr="00705695">
        <w:t>re</w:t>
      </w:r>
      <w:r w:rsidR="001D67E8">
        <w:t xml:space="preserve">.  </w:t>
      </w:r>
      <w:r w:rsidR="001D67E8" w:rsidRPr="00E40450">
        <w:t>La</w:t>
      </w:r>
      <w:r w:rsidRPr="00E40450">
        <w:t xml:space="preserve"> délivrance de copies de documents peut être subordonnée au remboursement du coût du service.</w:t>
      </w:r>
    </w:p>
    <w:p w:rsidR="000C226F" w:rsidRDefault="000C226F" w:rsidP="009E5CBD">
      <w:pPr>
        <w:pStyle w:val="Endofdocument-Annex"/>
      </w:pPr>
      <w:r w:rsidRPr="00056A48">
        <w:t>[</w:t>
      </w:r>
      <w:r>
        <w:t>L</w:t>
      </w:r>
      <w:r w:rsidR="00CE5FEC">
        <w:t>’</w:t>
      </w:r>
      <w:r>
        <w:t>annexe </w:t>
      </w:r>
      <w:r w:rsidRPr="00056A48">
        <w:t xml:space="preserve">II </w:t>
      </w:r>
      <w:r>
        <w:t>suit]</w:t>
      </w:r>
      <w:bookmarkEnd w:id="3"/>
    </w:p>
    <w:p w:rsidR="000C226F" w:rsidRDefault="000C226F" w:rsidP="009E5CBD">
      <w:pPr>
        <w:sectPr w:rsidR="000C226F" w:rsidSect="00AF4C30">
          <w:head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pPr>
    </w:p>
    <w:p w:rsidR="000C226F" w:rsidRPr="002E1F87" w:rsidRDefault="000C226F" w:rsidP="009E5CBD">
      <w:pPr>
        <w:jc w:val="center"/>
        <w:rPr>
          <w:caps/>
        </w:rPr>
      </w:pPr>
      <w:bookmarkStart w:id="29" w:name="annexe8"/>
      <w:r w:rsidRPr="002E1F87">
        <w:rPr>
          <w:caps/>
          <w:color w:val="000000"/>
        </w:rPr>
        <w:lastRenderedPageBreak/>
        <w:t>Modifications du règlement d</w:t>
      </w:r>
      <w:r w:rsidR="00CE5FEC">
        <w:rPr>
          <w:caps/>
          <w:color w:val="000000"/>
        </w:rPr>
        <w:t>’</w:t>
      </w:r>
      <w:r w:rsidRPr="002E1F87">
        <w:rPr>
          <w:caps/>
          <w:color w:val="000000"/>
        </w:rPr>
        <w:t>exécution du PCT</w:t>
      </w:r>
      <w:r w:rsidRPr="002E1F87">
        <w:rPr>
          <w:caps/>
          <w:color w:val="000000"/>
        </w:rPr>
        <w:br/>
      </w:r>
      <w:r w:rsidRPr="002E1F87">
        <w:rPr>
          <w:caps/>
        </w:rPr>
        <w:t xml:space="preserve">devant entrer en vigueur le </w:t>
      </w:r>
      <w:r w:rsidR="00CE5FEC" w:rsidRPr="002E1F87">
        <w:rPr>
          <w:caps/>
        </w:rPr>
        <w:t>1</w:t>
      </w:r>
      <w:r w:rsidR="00CE5FEC" w:rsidRPr="002E1F87">
        <w:rPr>
          <w:caps/>
          <w:vertAlign w:val="superscript"/>
        </w:rPr>
        <w:t>er</w:t>
      </w:r>
      <w:r w:rsidR="00CE5FEC">
        <w:rPr>
          <w:caps/>
        </w:rPr>
        <w:t> </w:t>
      </w:r>
      <w:r w:rsidR="00CE5FEC" w:rsidRPr="002E1F87">
        <w:rPr>
          <w:caps/>
        </w:rPr>
        <w:t>juillet</w:t>
      </w:r>
      <w:r w:rsidR="00CE5FEC">
        <w:rPr>
          <w:caps/>
        </w:rPr>
        <w:t> </w:t>
      </w:r>
      <w:r w:rsidR="00CE5FEC" w:rsidRPr="002E1F87">
        <w:rPr>
          <w:caps/>
        </w:rPr>
        <w:t>20</w:t>
      </w:r>
      <w:r w:rsidRPr="002E1F87">
        <w:rPr>
          <w:caps/>
        </w:rPr>
        <w:t>1</w:t>
      </w:r>
      <w:r>
        <w:rPr>
          <w:caps/>
        </w:rPr>
        <w:t>7</w:t>
      </w:r>
    </w:p>
    <w:p w:rsidR="000C226F" w:rsidRPr="002E1F87" w:rsidRDefault="000C226F" w:rsidP="009E5CBD">
      <w:pPr>
        <w:jc w:val="center"/>
        <w:rPr>
          <w:caps/>
        </w:rPr>
      </w:pPr>
    </w:p>
    <w:p w:rsidR="000C226F" w:rsidRDefault="000C226F" w:rsidP="009E5CBD">
      <w:pPr>
        <w:jc w:val="center"/>
      </w:pPr>
    </w:p>
    <w:p w:rsidR="000C226F" w:rsidRDefault="000C226F" w:rsidP="009E5CBD">
      <w:pPr>
        <w:jc w:val="center"/>
      </w:pPr>
      <w:r>
        <w:t>TABLE DES MATIÈRES</w:t>
      </w:r>
    </w:p>
    <w:p w:rsidR="000C226F" w:rsidRDefault="000C226F" w:rsidP="009E5CBD"/>
    <w:p w:rsidR="00137143" w:rsidRPr="003F5852" w:rsidRDefault="000C226F">
      <w:pPr>
        <w:pStyle w:val="TOC1"/>
        <w:rPr>
          <w:rFonts w:asciiTheme="minorHAnsi" w:eastAsiaTheme="minorEastAsia" w:hAnsiTheme="minorHAnsi" w:cstheme="minorBidi"/>
          <w:noProof/>
          <w:szCs w:val="22"/>
          <w:lang w:val="fr-CH" w:eastAsia="en-US"/>
        </w:rPr>
      </w:pPr>
      <w:r>
        <w:fldChar w:fldCharType="begin"/>
      </w:r>
      <w:r>
        <w:instrText xml:space="preserve"> TOC \b annexe8 \t "Leg # Title;1;Leg SubRule #;2" </w:instrText>
      </w:r>
      <w:r>
        <w:fldChar w:fldCharType="separate"/>
      </w:r>
      <w:r w:rsidR="00137143">
        <w:rPr>
          <w:noProof/>
        </w:rPr>
        <w:t>Règle 12</w:t>
      </w:r>
      <w:r w:rsidR="00137143" w:rsidRPr="00191573">
        <w:rPr>
          <w:i/>
          <w:noProof/>
        </w:rPr>
        <w:t xml:space="preserve">bis </w:t>
      </w:r>
      <w:r w:rsidR="00137143">
        <w:rPr>
          <w:noProof/>
        </w:rPr>
        <w:t xml:space="preserve"> Communication par le déposant de documents relatifs à une recherche antérieure</w:t>
      </w:r>
      <w:r w:rsidR="00137143">
        <w:rPr>
          <w:noProof/>
        </w:rPr>
        <w:tab/>
      </w:r>
      <w:r w:rsidR="00137143">
        <w:rPr>
          <w:noProof/>
        </w:rPr>
        <w:fldChar w:fldCharType="begin"/>
      </w:r>
      <w:r w:rsidR="00137143">
        <w:rPr>
          <w:noProof/>
        </w:rPr>
        <w:instrText xml:space="preserve"> PAGEREF _Toc442349545 \h </w:instrText>
      </w:r>
      <w:r w:rsidR="00137143">
        <w:rPr>
          <w:noProof/>
        </w:rPr>
      </w:r>
      <w:r w:rsidR="00137143">
        <w:rPr>
          <w:noProof/>
        </w:rPr>
        <w:fldChar w:fldCharType="separate"/>
      </w:r>
      <w:r w:rsidR="00952DA0">
        <w:rPr>
          <w:noProof/>
        </w:rPr>
        <w:t>2</w:t>
      </w:r>
      <w:r w:rsidR="00137143">
        <w:rPr>
          <w:noProof/>
        </w:rPr>
        <w:fldChar w:fldCharType="end"/>
      </w:r>
    </w:p>
    <w:p w:rsidR="00137143" w:rsidRPr="003F5852" w:rsidRDefault="00137143">
      <w:pPr>
        <w:pStyle w:val="TOC2"/>
        <w:tabs>
          <w:tab w:val="right" w:leader="dot" w:pos="9345"/>
        </w:tabs>
        <w:rPr>
          <w:rFonts w:asciiTheme="minorHAnsi" w:eastAsiaTheme="minorEastAsia" w:hAnsiTheme="minorHAnsi" w:cstheme="minorBidi"/>
          <w:noProof/>
          <w:szCs w:val="22"/>
          <w:lang w:val="fr-CH" w:eastAsia="en-US"/>
        </w:rPr>
      </w:pPr>
      <w:r>
        <w:rPr>
          <w:noProof/>
        </w:rPr>
        <w:t>12</w:t>
      </w:r>
      <w:r w:rsidRPr="00191573">
        <w:rPr>
          <w:i/>
          <w:noProof/>
        </w:rPr>
        <w:t>bis</w:t>
      </w:r>
      <w:r>
        <w:rPr>
          <w:noProof/>
        </w:rPr>
        <w:t>.1   </w:t>
      </w:r>
      <w:r w:rsidRPr="00191573">
        <w:rPr>
          <w:i/>
          <w:iCs/>
          <w:noProof/>
        </w:rPr>
        <w:t>Remise par le déposant de documents relatifs à une recherche antérieure en cas de requête selon la règle 4.12</w:t>
      </w:r>
      <w:r>
        <w:rPr>
          <w:noProof/>
        </w:rPr>
        <w:tab/>
      </w:r>
      <w:r>
        <w:rPr>
          <w:noProof/>
        </w:rPr>
        <w:fldChar w:fldCharType="begin"/>
      </w:r>
      <w:r>
        <w:rPr>
          <w:noProof/>
        </w:rPr>
        <w:instrText xml:space="preserve"> PAGEREF _Toc442349546 \h </w:instrText>
      </w:r>
      <w:r>
        <w:rPr>
          <w:noProof/>
        </w:rPr>
      </w:r>
      <w:r>
        <w:rPr>
          <w:noProof/>
        </w:rPr>
        <w:fldChar w:fldCharType="separate"/>
      </w:r>
      <w:r w:rsidR="00952DA0">
        <w:rPr>
          <w:noProof/>
        </w:rPr>
        <w:t>2</w:t>
      </w:r>
      <w:r>
        <w:rPr>
          <w:noProof/>
        </w:rPr>
        <w:fldChar w:fldCharType="end"/>
      </w:r>
    </w:p>
    <w:p w:rsidR="00137143" w:rsidRPr="003F5852" w:rsidRDefault="00137143">
      <w:pPr>
        <w:pStyle w:val="TOC2"/>
        <w:tabs>
          <w:tab w:val="right" w:leader="dot" w:pos="9345"/>
        </w:tabs>
        <w:rPr>
          <w:rFonts w:asciiTheme="minorHAnsi" w:eastAsiaTheme="minorEastAsia" w:hAnsiTheme="minorHAnsi" w:cstheme="minorBidi"/>
          <w:noProof/>
          <w:szCs w:val="22"/>
          <w:lang w:val="fr-CH" w:eastAsia="en-US"/>
        </w:rPr>
      </w:pPr>
      <w:r>
        <w:rPr>
          <w:noProof/>
        </w:rPr>
        <w:t>12</w:t>
      </w:r>
      <w:r w:rsidRPr="00191573">
        <w:rPr>
          <w:i/>
          <w:iCs/>
          <w:noProof/>
        </w:rPr>
        <w:t>bis</w:t>
      </w:r>
      <w:r>
        <w:rPr>
          <w:noProof/>
        </w:rPr>
        <w:t>.2   </w:t>
      </w:r>
      <w:r w:rsidRPr="00191573">
        <w:rPr>
          <w:i/>
          <w:iCs/>
          <w:noProof/>
        </w:rPr>
        <w:t>Invitation par l’administration chargée de la recherche internationale à remettre des documents relatifs à une recherche antérieure en cas de requête selon la règle 4.12</w:t>
      </w:r>
      <w:r>
        <w:rPr>
          <w:noProof/>
        </w:rPr>
        <w:tab/>
      </w:r>
      <w:r>
        <w:rPr>
          <w:noProof/>
        </w:rPr>
        <w:fldChar w:fldCharType="begin"/>
      </w:r>
      <w:r>
        <w:rPr>
          <w:noProof/>
        </w:rPr>
        <w:instrText xml:space="preserve"> PAGEREF _Toc442349547 \h </w:instrText>
      </w:r>
      <w:r>
        <w:rPr>
          <w:noProof/>
        </w:rPr>
      </w:r>
      <w:r>
        <w:rPr>
          <w:noProof/>
        </w:rPr>
        <w:fldChar w:fldCharType="separate"/>
      </w:r>
      <w:r w:rsidR="00952DA0">
        <w:rPr>
          <w:noProof/>
        </w:rPr>
        <w:t>2</w:t>
      </w:r>
      <w:r>
        <w:rPr>
          <w:noProof/>
        </w:rPr>
        <w:fldChar w:fldCharType="end"/>
      </w:r>
    </w:p>
    <w:p w:rsidR="00137143" w:rsidRPr="003F5852" w:rsidRDefault="00137143">
      <w:pPr>
        <w:pStyle w:val="TOC1"/>
        <w:rPr>
          <w:rFonts w:asciiTheme="minorHAnsi" w:eastAsiaTheme="minorEastAsia" w:hAnsiTheme="minorHAnsi" w:cstheme="minorBidi"/>
          <w:noProof/>
          <w:szCs w:val="22"/>
          <w:lang w:val="fr-CH" w:eastAsia="en-US"/>
        </w:rPr>
      </w:pPr>
      <w:r>
        <w:rPr>
          <w:noProof/>
        </w:rPr>
        <w:t>Règle 23</w:t>
      </w:r>
      <w:r w:rsidRPr="00191573">
        <w:rPr>
          <w:i/>
          <w:iCs/>
          <w:noProof/>
        </w:rPr>
        <w:t>bis</w:t>
      </w:r>
      <w:r>
        <w:rPr>
          <w:noProof/>
        </w:rPr>
        <w:t xml:space="preserve">  Transmission de documents relatifs à une recherche ou un classement antérieurs</w:t>
      </w:r>
      <w:r>
        <w:rPr>
          <w:noProof/>
        </w:rPr>
        <w:tab/>
      </w:r>
      <w:r>
        <w:rPr>
          <w:noProof/>
        </w:rPr>
        <w:fldChar w:fldCharType="begin"/>
      </w:r>
      <w:r>
        <w:rPr>
          <w:noProof/>
        </w:rPr>
        <w:instrText xml:space="preserve"> PAGEREF _Toc442349548 \h </w:instrText>
      </w:r>
      <w:r>
        <w:rPr>
          <w:noProof/>
        </w:rPr>
      </w:r>
      <w:r>
        <w:rPr>
          <w:noProof/>
        </w:rPr>
        <w:fldChar w:fldCharType="separate"/>
      </w:r>
      <w:r w:rsidR="00952DA0">
        <w:rPr>
          <w:noProof/>
        </w:rPr>
        <w:t>4</w:t>
      </w:r>
      <w:r>
        <w:rPr>
          <w:noProof/>
        </w:rPr>
        <w:fldChar w:fldCharType="end"/>
      </w:r>
    </w:p>
    <w:p w:rsidR="00137143" w:rsidRPr="003F5852" w:rsidRDefault="00137143">
      <w:pPr>
        <w:pStyle w:val="TOC2"/>
        <w:tabs>
          <w:tab w:val="right" w:leader="dot" w:pos="9345"/>
        </w:tabs>
        <w:rPr>
          <w:rFonts w:asciiTheme="minorHAnsi" w:eastAsiaTheme="minorEastAsia" w:hAnsiTheme="minorHAnsi" w:cstheme="minorBidi"/>
          <w:noProof/>
          <w:szCs w:val="22"/>
          <w:lang w:val="fr-CH" w:eastAsia="en-US"/>
        </w:rPr>
      </w:pPr>
      <w:r>
        <w:rPr>
          <w:noProof/>
        </w:rPr>
        <w:t>23</w:t>
      </w:r>
      <w:r w:rsidRPr="00191573">
        <w:rPr>
          <w:i/>
          <w:iCs/>
          <w:noProof/>
        </w:rPr>
        <w:t>bis</w:t>
      </w:r>
      <w:r>
        <w:rPr>
          <w:noProof/>
        </w:rPr>
        <w:t>.1   </w:t>
      </w:r>
      <w:r w:rsidRPr="00191573">
        <w:rPr>
          <w:i/>
          <w:iCs/>
          <w:noProof/>
        </w:rPr>
        <w:t>Transmission de documents relatifs à une recherche antérieure en cas de requête selon la règle 4.12</w:t>
      </w:r>
      <w:r>
        <w:rPr>
          <w:noProof/>
        </w:rPr>
        <w:tab/>
      </w:r>
      <w:r>
        <w:rPr>
          <w:noProof/>
        </w:rPr>
        <w:fldChar w:fldCharType="begin"/>
      </w:r>
      <w:r>
        <w:rPr>
          <w:noProof/>
        </w:rPr>
        <w:instrText xml:space="preserve"> PAGEREF _Toc442349549 \h </w:instrText>
      </w:r>
      <w:r>
        <w:rPr>
          <w:noProof/>
        </w:rPr>
      </w:r>
      <w:r>
        <w:rPr>
          <w:noProof/>
        </w:rPr>
        <w:fldChar w:fldCharType="separate"/>
      </w:r>
      <w:r w:rsidR="00952DA0">
        <w:rPr>
          <w:noProof/>
        </w:rPr>
        <w:t>4</w:t>
      </w:r>
      <w:r>
        <w:rPr>
          <w:noProof/>
        </w:rPr>
        <w:fldChar w:fldCharType="end"/>
      </w:r>
    </w:p>
    <w:p w:rsidR="00137143" w:rsidRPr="003F5852" w:rsidRDefault="00137143">
      <w:pPr>
        <w:pStyle w:val="TOC2"/>
        <w:tabs>
          <w:tab w:val="right" w:leader="dot" w:pos="9345"/>
        </w:tabs>
        <w:rPr>
          <w:rFonts w:asciiTheme="minorHAnsi" w:eastAsiaTheme="minorEastAsia" w:hAnsiTheme="minorHAnsi" w:cstheme="minorBidi"/>
          <w:noProof/>
          <w:szCs w:val="22"/>
          <w:lang w:val="fr-CH" w:eastAsia="en-US"/>
        </w:rPr>
      </w:pPr>
      <w:r>
        <w:rPr>
          <w:noProof/>
        </w:rPr>
        <w:t>23</w:t>
      </w:r>
      <w:r w:rsidRPr="00191573">
        <w:rPr>
          <w:i/>
          <w:iCs/>
          <w:noProof/>
        </w:rPr>
        <w:t>bis</w:t>
      </w:r>
      <w:r>
        <w:rPr>
          <w:noProof/>
        </w:rPr>
        <w:t>.2   </w:t>
      </w:r>
      <w:r w:rsidRPr="00191573">
        <w:rPr>
          <w:i/>
          <w:iCs/>
          <w:noProof/>
        </w:rPr>
        <w:t>Transmission de documents relatifs à une recherche ou un classement antérieurs aux fins de la règle 41.2</w:t>
      </w:r>
      <w:r>
        <w:rPr>
          <w:noProof/>
        </w:rPr>
        <w:tab/>
      </w:r>
      <w:r>
        <w:rPr>
          <w:noProof/>
        </w:rPr>
        <w:fldChar w:fldCharType="begin"/>
      </w:r>
      <w:r>
        <w:rPr>
          <w:noProof/>
        </w:rPr>
        <w:instrText xml:space="preserve"> PAGEREF _Toc442349550 \h </w:instrText>
      </w:r>
      <w:r>
        <w:rPr>
          <w:noProof/>
        </w:rPr>
      </w:r>
      <w:r>
        <w:rPr>
          <w:noProof/>
        </w:rPr>
        <w:fldChar w:fldCharType="separate"/>
      </w:r>
      <w:r w:rsidR="00952DA0">
        <w:rPr>
          <w:noProof/>
        </w:rPr>
        <w:t>4</w:t>
      </w:r>
      <w:r>
        <w:rPr>
          <w:noProof/>
        </w:rPr>
        <w:fldChar w:fldCharType="end"/>
      </w:r>
    </w:p>
    <w:p w:rsidR="00137143" w:rsidRPr="003F5852" w:rsidRDefault="00137143">
      <w:pPr>
        <w:pStyle w:val="TOC1"/>
        <w:rPr>
          <w:rFonts w:asciiTheme="minorHAnsi" w:eastAsiaTheme="minorEastAsia" w:hAnsiTheme="minorHAnsi" w:cstheme="minorBidi"/>
          <w:noProof/>
          <w:szCs w:val="22"/>
          <w:lang w:val="fr-CH" w:eastAsia="en-US"/>
        </w:rPr>
      </w:pPr>
      <w:r>
        <w:rPr>
          <w:noProof/>
        </w:rPr>
        <w:t>Règle 41  Prise en considération des résultats d’une recherche et d’un classement antérieurs</w:t>
      </w:r>
      <w:r>
        <w:rPr>
          <w:noProof/>
        </w:rPr>
        <w:tab/>
      </w:r>
      <w:r>
        <w:rPr>
          <w:noProof/>
        </w:rPr>
        <w:fldChar w:fldCharType="begin"/>
      </w:r>
      <w:r>
        <w:rPr>
          <w:noProof/>
        </w:rPr>
        <w:instrText xml:space="preserve"> PAGEREF _Toc442349551 \h </w:instrText>
      </w:r>
      <w:r>
        <w:rPr>
          <w:noProof/>
        </w:rPr>
      </w:r>
      <w:r>
        <w:rPr>
          <w:noProof/>
        </w:rPr>
        <w:fldChar w:fldCharType="separate"/>
      </w:r>
      <w:r w:rsidR="00952DA0">
        <w:rPr>
          <w:noProof/>
        </w:rPr>
        <w:t>6</w:t>
      </w:r>
      <w:r>
        <w:rPr>
          <w:noProof/>
        </w:rPr>
        <w:fldChar w:fldCharType="end"/>
      </w:r>
    </w:p>
    <w:p w:rsidR="00137143" w:rsidRPr="003F5852" w:rsidRDefault="00137143">
      <w:pPr>
        <w:pStyle w:val="TOC2"/>
        <w:tabs>
          <w:tab w:val="right" w:leader="dot" w:pos="9345"/>
        </w:tabs>
        <w:rPr>
          <w:rFonts w:asciiTheme="minorHAnsi" w:eastAsiaTheme="minorEastAsia" w:hAnsiTheme="minorHAnsi" w:cstheme="minorBidi"/>
          <w:noProof/>
          <w:szCs w:val="22"/>
          <w:lang w:val="fr-CH" w:eastAsia="en-US"/>
        </w:rPr>
      </w:pPr>
      <w:r w:rsidRPr="00191573">
        <w:rPr>
          <w:iCs/>
          <w:noProof/>
        </w:rPr>
        <w:t>41.1</w:t>
      </w:r>
      <w:r w:rsidRPr="00191573">
        <w:rPr>
          <w:i/>
          <w:noProof/>
        </w:rPr>
        <w:t xml:space="preserve">   Prise en considération des résultats d’une recherche </w:t>
      </w:r>
      <w:r w:rsidRPr="00191573">
        <w:rPr>
          <w:i/>
          <w:iCs/>
          <w:noProof/>
        </w:rPr>
        <w:t>antérieure en cas de requête selon la règle 4.12</w:t>
      </w:r>
      <w:r>
        <w:rPr>
          <w:noProof/>
        </w:rPr>
        <w:tab/>
      </w:r>
      <w:r>
        <w:rPr>
          <w:noProof/>
        </w:rPr>
        <w:fldChar w:fldCharType="begin"/>
      </w:r>
      <w:r>
        <w:rPr>
          <w:noProof/>
        </w:rPr>
        <w:instrText xml:space="preserve"> PAGEREF _Toc442349552 \h </w:instrText>
      </w:r>
      <w:r>
        <w:rPr>
          <w:noProof/>
        </w:rPr>
      </w:r>
      <w:r>
        <w:rPr>
          <w:noProof/>
        </w:rPr>
        <w:fldChar w:fldCharType="separate"/>
      </w:r>
      <w:r w:rsidR="00952DA0">
        <w:rPr>
          <w:noProof/>
        </w:rPr>
        <w:t>6</w:t>
      </w:r>
      <w:r>
        <w:rPr>
          <w:noProof/>
        </w:rPr>
        <w:fldChar w:fldCharType="end"/>
      </w:r>
    </w:p>
    <w:p w:rsidR="00137143" w:rsidRPr="003F5852" w:rsidRDefault="00137143">
      <w:pPr>
        <w:pStyle w:val="TOC2"/>
        <w:tabs>
          <w:tab w:val="right" w:leader="dot" w:pos="9345"/>
        </w:tabs>
        <w:rPr>
          <w:rFonts w:asciiTheme="minorHAnsi" w:eastAsiaTheme="minorEastAsia" w:hAnsiTheme="minorHAnsi" w:cstheme="minorBidi"/>
          <w:noProof/>
          <w:szCs w:val="22"/>
          <w:lang w:val="fr-CH" w:eastAsia="en-US"/>
        </w:rPr>
      </w:pPr>
      <w:r>
        <w:rPr>
          <w:noProof/>
        </w:rPr>
        <w:t>41.2   </w:t>
      </w:r>
      <w:r w:rsidRPr="00191573">
        <w:rPr>
          <w:i/>
          <w:iCs/>
          <w:noProof/>
        </w:rPr>
        <w:t>Prise en considération des résultats d’une recherche et d’un classement antérieurs dans d’autres cas</w:t>
      </w:r>
      <w:r>
        <w:rPr>
          <w:noProof/>
        </w:rPr>
        <w:tab/>
      </w:r>
      <w:r>
        <w:rPr>
          <w:noProof/>
        </w:rPr>
        <w:fldChar w:fldCharType="begin"/>
      </w:r>
      <w:r>
        <w:rPr>
          <w:noProof/>
        </w:rPr>
        <w:instrText xml:space="preserve"> PAGEREF _Toc442349553 \h </w:instrText>
      </w:r>
      <w:r>
        <w:rPr>
          <w:noProof/>
        </w:rPr>
      </w:r>
      <w:r>
        <w:rPr>
          <w:noProof/>
        </w:rPr>
        <w:fldChar w:fldCharType="separate"/>
      </w:r>
      <w:r w:rsidR="00952DA0">
        <w:rPr>
          <w:noProof/>
        </w:rPr>
        <w:t>6</w:t>
      </w:r>
      <w:r>
        <w:rPr>
          <w:noProof/>
        </w:rPr>
        <w:fldChar w:fldCharType="end"/>
      </w:r>
    </w:p>
    <w:p w:rsidR="00137143" w:rsidRPr="003F5852" w:rsidRDefault="00137143">
      <w:pPr>
        <w:pStyle w:val="TOC1"/>
        <w:rPr>
          <w:rFonts w:asciiTheme="minorHAnsi" w:eastAsiaTheme="minorEastAsia" w:hAnsiTheme="minorHAnsi" w:cstheme="minorBidi"/>
          <w:noProof/>
          <w:szCs w:val="22"/>
          <w:lang w:val="fr-CH" w:eastAsia="en-US"/>
        </w:rPr>
      </w:pPr>
      <w:r>
        <w:rPr>
          <w:noProof/>
        </w:rPr>
        <w:t>Règle 86   Gazette</w:t>
      </w:r>
      <w:r>
        <w:rPr>
          <w:noProof/>
        </w:rPr>
        <w:tab/>
      </w:r>
      <w:r>
        <w:rPr>
          <w:noProof/>
        </w:rPr>
        <w:fldChar w:fldCharType="begin"/>
      </w:r>
      <w:r>
        <w:rPr>
          <w:noProof/>
        </w:rPr>
        <w:instrText xml:space="preserve"> PAGEREF _Toc442349554 \h </w:instrText>
      </w:r>
      <w:r>
        <w:rPr>
          <w:noProof/>
        </w:rPr>
      </w:r>
      <w:r>
        <w:rPr>
          <w:noProof/>
        </w:rPr>
        <w:fldChar w:fldCharType="separate"/>
      </w:r>
      <w:r w:rsidR="00952DA0">
        <w:rPr>
          <w:noProof/>
        </w:rPr>
        <w:t>7</w:t>
      </w:r>
      <w:r>
        <w:rPr>
          <w:noProof/>
        </w:rPr>
        <w:fldChar w:fldCharType="end"/>
      </w:r>
    </w:p>
    <w:p w:rsidR="00137143" w:rsidRPr="003F5852" w:rsidRDefault="00137143">
      <w:pPr>
        <w:pStyle w:val="TOC2"/>
        <w:tabs>
          <w:tab w:val="right" w:leader="dot" w:pos="9345"/>
        </w:tabs>
        <w:rPr>
          <w:rFonts w:asciiTheme="minorHAnsi" w:eastAsiaTheme="minorEastAsia" w:hAnsiTheme="minorHAnsi" w:cstheme="minorBidi"/>
          <w:noProof/>
          <w:szCs w:val="22"/>
          <w:lang w:val="fr-CH" w:eastAsia="en-US"/>
        </w:rPr>
      </w:pPr>
      <w:r>
        <w:rPr>
          <w:noProof/>
        </w:rPr>
        <w:t>86.1   </w:t>
      </w:r>
      <w:r w:rsidRPr="00191573">
        <w:rPr>
          <w:i/>
          <w:noProof/>
        </w:rPr>
        <w:t>Contenu</w:t>
      </w:r>
      <w:r>
        <w:rPr>
          <w:noProof/>
        </w:rPr>
        <w:tab/>
      </w:r>
      <w:r>
        <w:rPr>
          <w:noProof/>
        </w:rPr>
        <w:fldChar w:fldCharType="begin"/>
      </w:r>
      <w:r>
        <w:rPr>
          <w:noProof/>
        </w:rPr>
        <w:instrText xml:space="preserve"> PAGEREF _Toc442349555 \h </w:instrText>
      </w:r>
      <w:r>
        <w:rPr>
          <w:noProof/>
        </w:rPr>
      </w:r>
      <w:r>
        <w:rPr>
          <w:noProof/>
        </w:rPr>
        <w:fldChar w:fldCharType="separate"/>
      </w:r>
      <w:r w:rsidR="00952DA0">
        <w:rPr>
          <w:noProof/>
        </w:rPr>
        <w:t>7</w:t>
      </w:r>
      <w:r>
        <w:rPr>
          <w:noProof/>
        </w:rPr>
        <w:fldChar w:fldCharType="end"/>
      </w:r>
    </w:p>
    <w:p w:rsidR="00137143" w:rsidRPr="003F5852" w:rsidRDefault="00137143">
      <w:pPr>
        <w:pStyle w:val="TOC2"/>
        <w:tabs>
          <w:tab w:val="right" w:leader="dot" w:pos="9345"/>
        </w:tabs>
        <w:rPr>
          <w:rFonts w:asciiTheme="minorHAnsi" w:eastAsiaTheme="minorEastAsia" w:hAnsiTheme="minorHAnsi" w:cstheme="minorBidi"/>
          <w:noProof/>
          <w:szCs w:val="22"/>
          <w:lang w:val="fr-CH" w:eastAsia="en-US"/>
        </w:rPr>
      </w:pPr>
      <w:r>
        <w:rPr>
          <w:noProof/>
        </w:rPr>
        <w:t>86.2 à 86.6  </w:t>
      </w:r>
      <w:r w:rsidRPr="00191573">
        <w:rPr>
          <w:i/>
          <w:noProof/>
        </w:rPr>
        <w:t xml:space="preserve"> [Sans changement]</w:t>
      </w:r>
      <w:r>
        <w:rPr>
          <w:noProof/>
        </w:rPr>
        <w:tab/>
      </w:r>
      <w:r>
        <w:rPr>
          <w:noProof/>
        </w:rPr>
        <w:fldChar w:fldCharType="begin"/>
      </w:r>
      <w:r>
        <w:rPr>
          <w:noProof/>
        </w:rPr>
        <w:instrText xml:space="preserve"> PAGEREF _Toc442349556 \h </w:instrText>
      </w:r>
      <w:r>
        <w:rPr>
          <w:noProof/>
        </w:rPr>
      </w:r>
      <w:r>
        <w:rPr>
          <w:noProof/>
        </w:rPr>
        <w:fldChar w:fldCharType="separate"/>
      </w:r>
      <w:r w:rsidR="00952DA0">
        <w:rPr>
          <w:noProof/>
        </w:rPr>
        <w:t>7</w:t>
      </w:r>
      <w:r>
        <w:rPr>
          <w:noProof/>
        </w:rPr>
        <w:fldChar w:fldCharType="end"/>
      </w:r>
    </w:p>
    <w:p w:rsidR="00137143" w:rsidRPr="003F5852" w:rsidRDefault="00137143">
      <w:pPr>
        <w:pStyle w:val="TOC1"/>
        <w:rPr>
          <w:rFonts w:asciiTheme="minorHAnsi" w:eastAsiaTheme="minorEastAsia" w:hAnsiTheme="minorHAnsi" w:cstheme="minorBidi"/>
          <w:noProof/>
          <w:szCs w:val="22"/>
          <w:lang w:val="fr-CH" w:eastAsia="en-US"/>
        </w:rPr>
      </w:pPr>
      <w:r>
        <w:rPr>
          <w:noProof/>
        </w:rPr>
        <w:t>Règle 95   Informations et traductions fournies par les offices désignés et élus</w:t>
      </w:r>
      <w:r>
        <w:rPr>
          <w:noProof/>
        </w:rPr>
        <w:tab/>
      </w:r>
      <w:r>
        <w:rPr>
          <w:noProof/>
        </w:rPr>
        <w:fldChar w:fldCharType="begin"/>
      </w:r>
      <w:r>
        <w:rPr>
          <w:noProof/>
        </w:rPr>
        <w:instrText xml:space="preserve"> PAGEREF _Toc442349557 \h </w:instrText>
      </w:r>
      <w:r>
        <w:rPr>
          <w:noProof/>
        </w:rPr>
      </w:r>
      <w:r>
        <w:rPr>
          <w:noProof/>
        </w:rPr>
        <w:fldChar w:fldCharType="separate"/>
      </w:r>
      <w:r w:rsidR="00952DA0">
        <w:rPr>
          <w:noProof/>
        </w:rPr>
        <w:t>8</w:t>
      </w:r>
      <w:r>
        <w:rPr>
          <w:noProof/>
        </w:rPr>
        <w:fldChar w:fldCharType="end"/>
      </w:r>
    </w:p>
    <w:p w:rsidR="00137143" w:rsidRPr="003F5852" w:rsidRDefault="00137143">
      <w:pPr>
        <w:pStyle w:val="TOC2"/>
        <w:tabs>
          <w:tab w:val="right" w:leader="dot" w:pos="9345"/>
        </w:tabs>
        <w:rPr>
          <w:rFonts w:asciiTheme="minorHAnsi" w:eastAsiaTheme="minorEastAsia" w:hAnsiTheme="minorHAnsi" w:cstheme="minorBidi"/>
          <w:noProof/>
          <w:szCs w:val="22"/>
          <w:lang w:val="fr-CH" w:eastAsia="en-US"/>
        </w:rPr>
      </w:pPr>
      <w:r>
        <w:rPr>
          <w:noProof/>
        </w:rPr>
        <w:t xml:space="preserve">95.1  </w:t>
      </w:r>
      <w:r w:rsidRPr="00191573">
        <w:rPr>
          <w:i/>
          <w:iCs/>
          <w:noProof/>
        </w:rPr>
        <w:t>Informations concernant des actes accomplis dans les offices désignés et élus</w:t>
      </w:r>
      <w:r>
        <w:rPr>
          <w:noProof/>
        </w:rPr>
        <w:tab/>
      </w:r>
      <w:r>
        <w:rPr>
          <w:noProof/>
        </w:rPr>
        <w:fldChar w:fldCharType="begin"/>
      </w:r>
      <w:r>
        <w:rPr>
          <w:noProof/>
        </w:rPr>
        <w:instrText xml:space="preserve"> PAGEREF _Toc442349558 \h </w:instrText>
      </w:r>
      <w:r>
        <w:rPr>
          <w:noProof/>
        </w:rPr>
      </w:r>
      <w:r>
        <w:rPr>
          <w:noProof/>
        </w:rPr>
        <w:fldChar w:fldCharType="separate"/>
      </w:r>
      <w:r w:rsidR="00952DA0">
        <w:rPr>
          <w:noProof/>
        </w:rPr>
        <w:t>8</w:t>
      </w:r>
      <w:r>
        <w:rPr>
          <w:noProof/>
        </w:rPr>
        <w:fldChar w:fldCharType="end"/>
      </w:r>
    </w:p>
    <w:p w:rsidR="00137143" w:rsidRPr="003F5852" w:rsidRDefault="00137143">
      <w:pPr>
        <w:pStyle w:val="TOC2"/>
        <w:tabs>
          <w:tab w:val="right" w:leader="dot" w:pos="9345"/>
        </w:tabs>
        <w:rPr>
          <w:rFonts w:asciiTheme="minorHAnsi" w:eastAsiaTheme="minorEastAsia" w:hAnsiTheme="minorHAnsi" w:cstheme="minorBidi"/>
          <w:noProof/>
          <w:szCs w:val="22"/>
          <w:lang w:val="fr-CH" w:eastAsia="en-US"/>
        </w:rPr>
      </w:pPr>
      <w:r>
        <w:rPr>
          <w:noProof/>
        </w:rPr>
        <w:t>95.2   </w:t>
      </w:r>
      <w:r w:rsidRPr="00191573">
        <w:rPr>
          <w:i/>
          <w:noProof/>
        </w:rPr>
        <w:t>Obtention de copies de traductions</w:t>
      </w:r>
      <w:r>
        <w:rPr>
          <w:noProof/>
        </w:rPr>
        <w:tab/>
      </w:r>
      <w:r>
        <w:rPr>
          <w:noProof/>
        </w:rPr>
        <w:fldChar w:fldCharType="begin"/>
      </w:r>
      <w:r>
        <w:rPr>
          <w:noProof/>
        </w:rPr>
        <w:instrText xml:space="preserve"> PAGEREF _Toc442349559 \h </w:instrText>
      </w:r>
      <w:r>
        <w:rPr>
          <w:noProof/>
        </w:rPr>
      </w:r>
      <w:r>
        <w:rPr>
          <w:noProof/>
        </w:rPr>
        <w:fldChar w:fldCharType="separate"/>
      </w:r>
      <w:r w:rsidR="00952DA0">
        <w:rPr>
          <w:noProof/>
        </w:rPr>
        <w:t>8</w:t>
      </w:r>
      <w:r>
        <w:rPr>
          <w:noProof/>
        </w:rPr>
        <w:fldChar w:fldCharType="end"/>
      </w:r>
    </w:p>
    <w:p w:rsidR="000C226F" w:rsidRDefault="000C226F" w:rsidP="009E5CBD">
      <w:r>
        <w:fldChar w:fldCharType="end"/>
      </w:r>
    </w:p>
    <w:p w:rsidR="000C226F" w:rsidRDefault="000C226F" w:rsidP="009E5CBD">
      <w:r>
        <w:br w:type="page"/>
      </w:r>
    </w:p>
    <w:p w:rsidR="000C226F" w:rsidRDefault="000C226F" w:rsidP="009E5CBD">
      <w:pPr>
        <w:pStyle w:val="LegTitle"/>
        <w:spacing w:line="240" w:lineRule="auto"/>
      </w:pPr>
      <w:bookmarkStart w:id="30" w:name="_Toc442349545"/>
      <w:r w:rsidRPr="00276E37">
        <w:lastRenderedPageBreak/>
        <w:t>Règle 12</w:t>
      </w:r>
      <w:r w:rsidRPr="00276E37">
        <w:rPr>
          <w:i/>
        </w:rPr>
        <w:t xml:space="preserve">bis </w:t>
      </w:r>
      <w:r w:rsidRPr="00276E37">
        <w:br/>
      </w:r>
      <w:r w:rsidRPr="006356A1">
        <w:t>Communication par le déposant de documents relatifs à une recherche antérieure</w:t>
      </w:r>
      <w:bookmarkEnd w:id="30"/>
    </w:p>
    <w:p w:rsidR="000C226F" w:rsidRPr="006356A1" w:rsidRDefault="000C226F" w:rsidP="009E5CBD">
      <w:pPr>
        <w:pStyle w:val="LegSubRule"/>
        <w:spacing w:line="240" w:lineRule="auto"/>
        <w:rPr>
          <w:i/>
          <w:iCs/>
        </w:rPr>
      </w:pPr>
      <w:bookmarkStart w:id="31" w:name="_Toc442349546"/>
      <w:r w:rsidRPr="00276E37">
        <w:t>12</w:t>
      </w:r>
      <w:r w:rsidRPr="00276E37">
        <w:rPr>
          <w:i/>
        </w:rPr>
        <w:t>bis</w:t>
      </w:r>
      <w:r w:rsidRPr="00276E37">
        <w:t>.1   </w:t>
      </w:r>
      <w:r w:rsidRPr="006356A1">
        <w:rPr>
          <w:i/>
          <w:iCs/>
        </w:rPr>
        <w:t>Remise par le déposant de documents relatifs à une recherche antérieure en cas de requête selon la règle 4.12</w:t>
      </w:r>
      <w:bookmarkEnd w:id="31"/>
    </w:p>
    <w:p w:rsidR="000C226F" w:rsidRDefault="000C226F" w:rsidP="009E5CBD">
      <w:pPr>
        <w:pStyle w:val="Lega"/>
        <w:spacing w:line="240" w:lineRule="auto"/>
      </w:pPr>
      <w:r w:rsidRPr="00276E37">
        <w:tab/>
        <w:t>a)  Lorsque le déposant a, conformément à la règle 4.12, demandé à l</w:t>
      </w:r>
      <w:r w:rsidR="00CE5FEC">
        <w:t>’</w:t>
      </w:r>
      <w:r w:rsidRPr="00276E37">
        <w:t>administration chargée de la recherche internationale de prendre en considération les résultats d</w:t>
      </w:r>
      <w:r w:rsidR="00CE5FEC">
        <w:t>’</w:t>
      </w:r>
      <w:r w:rsidRPr="00276E37">
        <w:t>une recherche effectuée antérieurement par cette même administration ou une autre administration chargée de la recherche internationale ou par un office national, il doit, sous réserve des alinéas</w:t>
      </w:r>
      <w:r w:rsidRPr="006356A1">
        <w:t> b) à d)</w:t>
      </w:r>
      <w:r w:rsidRPr="00276E37">
        <w:t>, remettre à l</w:t>
      </w:r>
      <w:r w:rsidR="00CE5FEC">
        <w:t>’</w:t>
      </w:r>
      <w:r w:rsidRPr="00276E37">
        <w:t>office récepteur, en même temps que la demande internationale, une copie des résultats de la recherche antérieure, quelle que soit la forme sous laquelle ils sont présentés par l</w:t>
      </w:r>
      <w:r w:rsidR="00CE5FEC">
        <w:t>’</w:t>
      </w:r>
      <w:r w:rsidRPr="00276E37">
        <w:t>administration ou l</w:t>
      </w:r>
      <w:r w:rsidR="00CE5FEC">
        <w:t>’</w:t>
      </w:r>
      <w:r w:rsidRPr="00276E37">
        <w:t>office concerné (par exemple, sous la forme d</w:t>
      </w:r>
      <w:r w:rsidR="00CE5FEC">
        <w:t>’</w:t>
      </w:r>
      <w:r w:rsidRPr="00276E37">
        <w:t>un rapport de recherche, d</w:t>
      </w:r>
      <w:r w:rsidR="00CE5FEC">
        <w:t>’</w:t>
      </w:r>
      <w:r w:rsidRPr="00276E37">
        <w:t>une liste des éléments cités compris dans l</w:t>
      </w:r>
      <w:r w:rsidR="00CE5FEC">
        <w:t>’</w:t>
      </w:r>
      <w:r w:rsidRPr="00276E37">
        <w:t>état de la technique ou d</w:t>
      </w:r>
      <w:r w:rsidR="00CE5FEC">
        <w:t>’</w:t>
      </w:r>
      <w:r w:rsidRPr="00276E37">
        <w:t>un rapport d</w:t>
      </w:r>
      <w:r w:rsidR="00CE5FEC">
        <w:t>’</w:t>
      </w:r>
      <w:r w:rsidRPr="00276E37">
        <w:t>examen).</w:t>
      </w:r>
    </w:p>
    <w:p w:rsidR="000C226F" w:rsidRPr="00D5524C" w:rsidRDefault="000C226F" w:rsidP="009E5CBD">
      <w:pPr>
        <w:pStyle w:val="Lega"/>
        <w:spacing w:line="240" w:lineRule="auto"/>
      </w:pPr>
      <w:r w:rsidRPr="00D5524C">
        <w:tab/>
      </w:r>
      <w:r w:rsidRPr="006356A1">
        <w:t>b)  Lorsque</w:t>
      </w:r>
      <w:r w:rsidRPr="00D5524C">
        <w:t xml:space="preserve"> la recherche antérieure a été effectuée par l</w:t>
      </w:r>
      <w:r w:rsidR="00CE5FEC">
        <w:t>’</w:t>
      </w:r>
      <w:r w:rsidRPr="00D5524C">
        <w:t>office qui agit en qualité d</w:t>
      </w:r>
      <w:r w:rsidR="00CE5FEC">
        <w:t>’</w:t>
      </w:r>
      <w:r w:rsidRPr="00D5524C">
        <w:t>office récepteur, le déposant peut, au lieu de remettre</w:t>
      </w:r>
      <w:r w:rsidRPr="00D96836">
        <w:t xml:space="preserve"> la copie</w:t>
      </w:r>
      <w:r w:rsidRPr="00D5524C">
        <w:t xml:space="preserve"> visée</w:t>
      </w:r>
      <w:r w:rsidRPr="00D96836">
        <w:t xml:space="preserve"> à l</w:t>
      </w:r>
      <w:r w:rsidR="00CE5FEC">
        <w:t>’</w:t>
      </w:r>
      <w:r w:rsidRPr="00D96836">
        <w:t>alinéa a)</w:t>
      </w:r>
      <w:r w:rsidRPr="00D5524C">
        <w:t>, demander à l</w:t>
      </w:r>
      <w:r w:rsidR="00CE5FEC">
        <w:t>’</w:t>
      </w:r>
      <w:r w:rsidRPr="00D5524C">
        <w:t>office récepteur que celui</w:t>
      </w:r>
      <w:r w:rsidR="001D67E8">
        <w:noBreakHyphen/>
      </w:r>
      <w:r w:rsidRPr="00D5524C">
        <w:t xml:space="preserve">ci </w:t>
      </w:r>
      <w:r w:rsidRPr="00D96836">
        <w:t>l</w:t>
      </w:r>
      <w:r w:rsidR="00CE5FEC">
        <w:t>’</w:t>
      </w:r>
      <w:r w:rsidRPr="00D5524C">
        <w:t xml:space="preserve">établisse et </w:t>
      </w:r>
      <w:r w:rsidRPr="00D96836">
        <w:t xml:space="preserve">la </w:t>
      </w:r>
      <w:r w:rsidRPr="00D5524C">
        <w:t>transmette à l</w:t>
      </w:r>
      <w:r w:rsidR="00CE5FEC">
        <w:t>’</w:t>
      </w:r>
      <w:r w:rsidRPr="00D5524C">
        <w:t>administration chargée de la recherche internationa</w:t>
      </w:r>
      <w:r w:rsidR="001D67E8" w:rsidRPr="00D5524C">
        <w:t>le</w:t>
      </w:r>
      <w:r w:rsidR="001D67E8">
        <w:t xml:space="preserve">.  </w:t>
      </w:r>
      <w:r w:rsidR="001D67E8" w:rsidRPr="00D5524C">
        <w:t>Ce</w:t>
      </w:r>
      <w:r w:rsidRPr="00D5524C">
        <w:t>tte demande doit être formulée dans la requête et peut être subordonnée par l</w:t>
      </w:r>
      <w:r w:rsidR="00CE5FEC">
        <w:t>’</w:t>
      </w:r>
      <w:r w:rsidRPr="00D5524C">
        <w:t>office récepteur au paiement d</w:t>
      </w:r>
      <w:r w:rsidR="00CE5FEC">
        <w:t>’</w:t>
      </w:r>
      <w:r w:rsidRPr="00D5524C">
        <w:t>une taxe</w:t>
      </w:r>
      <w:r>
        <w:t xml:space="preserve"> </w:t>
      </w:r>
      <w:r w:rsidRPr="00D96836">
        <w:t>à son profit</w:t>
      </w:r>
      <w:r w:rsidRPr="00D5524C">
        <w:t>.</w:t>
      </w:r>
    </w:p>
    <w:p w:rsidR="000C226F" w:rsidRDefault="000C226F" w:rsidP="009E5CBD">
      <w:pPr>
        <w:pStyle w:val="Lega"/>
        <w:spacing w:line="240" w:lineRule="auto"/>
      </w:pPr>
      <w:r w:rsidRPr="00276E37">
        <w:tab/>
      </w:r>
      <w:r w:rsidRPr="00D96836">
        <w:t>c)  Lorsque</w:t>
      </w:r>
      <w:r w:rsidRPr="00D5524C">
        <w:t xml:space="preserve"> </w:t>
      </w:r>
      <w:r w:rsidRPr="00276E37">
        <w:t>la recherche antérieure a été effectuée par la même administration chargée de la recherche internationale ou par l</w:t>
      </w:r>
      <w:r w:rsidR="00CE5FEC">
        <w:t>’</w:t>
      </w:r>
      <w:r w:rsidRPr="00276E37">
        <w:t>office qui agit en qualité d</w:t>
      </w:r>
      <w:r w:rsidR="00CE5FEC">
        <w:t>’</w:t>
      </w:r>
      <w:r w:rsidRPr="00276E37">
        <w:t xml:space="preserve">administration chargée de la recherche internationale, aucune copie visée </w:t>
      </w:r>
      <w:r w:rsidRPr="00D96836">
        <w:t>à l</w:t>
      </w:r>
      <w:r w:rsidR="00CE5FEC">
        <w:t>’</w:t>
      </w:r>
      <w:r w:rsidRPr="00D96836">
        <w:t>alinéa a) n</w:t>
      </w:r>
      <w:r w:rsidR="00CE5FEC">
        <w:t>’</w:t>
      </w:r>
      <w:r w:rsidRPr="00D96836">
        <w:t>est</w:t>
      </w:r>
      <w:r w:rsidRPr="00276E37">
        <w:t xml:space="preserve"> requise en vertu</w:t>
      </w:r>
      <w:r w:rsidRPr="00D96836">
        <w:t xml:space="preserve"> dudit</w:t>
      </w:r>
      <w:r w:rsidRPr="00276E37">
        <w:t xml:space="preserve"> alinéa.</w:t>
      </w:r>
    </w:p>
    <w:p w:rsidR="000C226F" w:rsidRDefault="000C226F" w:rsidP="009E5CBD">
      <w:pPr>
        <w:pStyle w:val="Lega"/>
        <w:spacing w:line="240" w:lineRule="auto"/>
      </w:pPr>
      <w:r>
        <w:tab/>
      </w:r>
      <w:r w:rsidRPr="00D96836">
        <w:t xml:space="preserve">d)  </w:t>
      </w:r>
      <w:r w:rsidRPr="00276E37">
        <w:t>Lorsqu</w:t>
      </w:r>
      <w:r w:rsidR="00CE5FEC">
        <w:t>’</w:t>
      </w:r>
      <w:r w:rsidRPr="00276E37">
        <w:t>une copie visée</w:t>
      </w:r>
      <w:r w:rsidRPr="00D96836">
        <w:t xml:space="preserve"> à l</w:t>
      </w:r>
      <w:r w:rsidR="00CE5FEC">
        <w:t>’</w:t>
      </w:r>
      <w:r w:rsidRPr="00D96836">
        <w:t>alinéa a) est</w:t>
      </w:r>
      <w:r w:rsidRPr="00276E37">
        <w:t xml:space="preserve"> à la disposition</w:t>
      </w:r>
      <w:r w:rsidRPr="00D96836">
        <w:t xml:space="preserve"> de l</w:t>
      </w:r>
      <w:r w:rsidR="00CE5FEC">
        <w:t>’</w:t>
      </w:r>
      <w:r w:rsidRPr="00D96836">
        <w:t>office récepteur ou</w:t>
      </w:r>
      <w:r w:rsidRPr="00276E37">
        <w:t xml:space="preserve"> de l</w:t>
      </w:r>
      <w:r w:rsidR="00CE5FEC">
        <w:t>’</w:t>
      </w:r>
      <w:r w:rsidRPr="00276E37">
        <w:t>administration chargée de la recherche internationale sous une forme et d</w:t>
      </w:r>
      <w:r w:rsidR="00CE5FEC">
        <w:t>’</w:t>
      </w:r>
      <w:r w:rsidRPr="00276E37">
        <w:t>une manière</w:t>
      </w:r>
      <w:r w:rsidRPr="00D96836">
        <w:t xml:space="preserve"> qu</w:t>
      </w:r>
      <w:r w:rsidR="00CE5FEC">
        <w:t>’</w:t>
      </w:r>
      <w:r w:rsidRPr="00D96836">
        <w:t xml:space="preserve">il ou </w:t>
      </w:r>
      <w:r w:rsidRPr="00276E37">
        <w:t>elle accepte, par exemple auprès d</w:t>
      </w:r>
      <w:r w:rsidR="00CE5FEC">
        <w:t>’</w:t>
      </w:r>
      <w:r w:rsidRPr="00276E37">
        <w:t>une bibliothèque numérique, et que le déposant l</w:t>
      </w:r>
      <w:r w:rsidR="00CE5FEC">
        <w:t>’</w:t>
      </w:r>
      <w:r w:rsidRPr="00276E37">
        <w:t>indique dans la requête, aucune copie</w:t>
      </w:r>
      <w:r w:rsidRPr="00D96836">
        <w:t xml:space="preserve"> n</w:t>
      </w:r>
      <w:r w:rsidR="00CE5FEC">
        <w:t>’</w:t>
      </w:r>
      <w:r w:rsidRPr="00D96836">
        <w:t>est</w:t>
      </w:r>
      <w:r w:rsidRPr="00276E37">
        <w:t xml:space="preserve"> requise en vertu</w:t>
      </w:r>
      <w:r w:rsidRPr="00D96836">
        <w:t xml:space="preserve"> dudit alinéa</w:t>
      </w:r>
      <w:r w:rsidRPr="00276E37">
        <w:t>.</w:t>
      </w:r>
    </w:p>
    <w:p w:rsidR="000C226F" w:rsidRPr="00D96836" w:rsidRDefault="000C226F" w:rsidP="009E5CBD">
      <w:pPr>
        <w:pStyle w:val="LegSubRule"/>
        <w:keepNext w:val="0"/>
        <w:spacing w:line="240" w:lineRule="auto"/>
        <w:ind w:left="567" w:hanging="567"/>
        <w:rPr>
          <w:i/>
          <w:iCs/>
        </w:rPr>
      </w:pPr>
      <w:bookmarkStart w:id="32" w:name="_Toc442349547"/>
      <w:r w:rsidRPr="00D96836">
        <w:t>12</w:t>
      </w:r>
      <w:r w:rsidRPr="00D96836">
        <w:rPr>
          <w:i/>
          <w:iCs/>
        </w:rPr>
        <w:t>bis</w:t>
      </w:r>
      <w:r w:rsidRPr="00D96836">
        <w:t>.2   </w:t>
      </w:r>
      <w:r w:rsidRPr="00D96836">
        <w:rPr>
          <w:i/>
          <w:iCs/>
        </w:rPr>
        <w:t>Invitation par l</w:t>
      </w:r>
      <w:r w:rsidR="00CE5FEC">
        <w:rPr>
          <w:i/>
          <w:iCs/>
        </w:rPr>
        <w:t>’</w:t>
      </w:r>
      <w:r w:rsidRPr="00D96836">
        <w:rPr>
          <w:i/>
          <w:iCs/>
        </w:rPr>
        <w:t>administration chargée de la recherche internationale à remettre des documents relatifs à une recherche antérieure en cas de requête selon la règle 4.12</w:t>
      </w:r>
      <w:bookmarkEnd w:id="32"/>
    </w:p>
    <w:p w:rsidR="000C226F" w:rsidRDefault="000C226F" w:rsidP="009E5CBD">
      <w:pPr>
        <w:pStyle w:val="Lega"/>
        <w:keepLines/>
        <w:spacing w:line="240" w:lineRule="auto"/>
      </w:pPr>
      <w:r w:rsidRPr="00276E37">
        <w:tab/>
      </w:r>
      <w:proofErr w:type="gramStart"/>
      <w:r w:rsidRPr="00276E37">
        <w:t>a</w:t>
      </w:r>
      <w:proofErr w:type="gramEnd"/>
      <w:r w:rsidRPr="00276E37">
        <w:t>)  L</w:t>
      </w:r>
      <w:r w:rsidR="00CE5FEC">
        <w:t>’</w:t>
      </w:r>
      <w:r w:rsidRPr="00276E37">
        <w:t>administration chargée de la recherche internationale peut, sous réserve des alinéas</w:t>
      </w:r>
      <w:r w:rsidRPr="00D96836">
        <w:t> b) et c)</w:t>
      </w:r>
      <w:r w:rsidRPr="00276E37">
        <w:t>, inviter le déposant à lui remettre, dans un délai raisonnable en l</w:t>
      </w:r>
      <w:r w:rsidR="00CE5FEC">
        <w:t>’</w:t>
      </w:r>
      <w:r w:rsidRPr="00276E37">
        <w:t>espèce,</w:t>
      </w:r>
    </w:p>
    <w:p w:rsidR="000C226F" w:rsidRDefault="000C226F" w:rsidP="009E5CBD">
      <w:pPr>
        <w:pStyle w:val="Legiindent"/>
        <w:keepLines/>
        <w:spacing w:line="240" w:lineRule="auto"/>
      </w:pPr>
      <w:r w:rsidRPr="00276E37">
        <w:tab/>
      </w:r>
      <w:r w:rsidRPr="00D96836">
        <w:t>i)</w:t>
      </w:r>
      <w:r w:rsidRPr="00D96836">
        <w:tab/>
        <w:t>une copie de la demande antérieure concernée;</w:t>
      </w:r>
    </w:p>
    <w:p w:rsidR="000C226F" w:rsidRDefault="000C226F" w:rsidP="009E5CBD">
      <w:pPr>
        <w:pStyle w:val="Legiindent"/>
        <w:keepLines/>
        <w:spacing w:line="240" w:lineRule="auto"/>
      </w:pPr>
      <w:r w:rsidRPr="00D96836">
        <w:tab/>
        <w:t>ii)</w:t>
      </w:r>
      <w:r w:rsidRPr="00D96836">
        <w:tab/>
        <w:t>lorsque la demande antérieure est rédigée dans une langue qui n</w:t>
      </w:r>
      <w:r w:rsidR="00CE5FEC">
        <w:t>’</w:t>
      </w:r>
      <w:r w:rsidRPr="00D96836">
        <w:t>est pas acceptée par l</w:t>
      </w:r>
      <w:r w:rsidR="00CE5FEC">
        <w:t>’</w:t>
      </w:r>
      <w:r w:rsidRPr="00D96836">
        <w:t>administration chargée de la recherche internationale, une traduction de la demande antérieure dans une langue acceptée par cette administration;</w:t>
      </w:r>
    </w:p>
    <w:p w:rsidR="000C226F" w:rsidRDefault="000C226F" w:rsidP="009E5CBD">
      <w:pPr>
        <w:pStyle w:val="Legiindent"/>
        <w:keepLines/>
        <w:spacing w:line="240" w:lineRule="auto"/>
      </w:pPr>
      <w:r w:rsidRPr="00D96836">
        <w:tab/>
        <w:t>iii)</w:t>
      </w:r>
      <w:r w:rsidRPr="00D96836">
        <w:tab/>
        <w:t>lorsque les résultats de la recherche antérieure sont rédigés dans une langue qui n</w:t>
      </w:r>
      <w:r w:rsidR="00CE5FEC">
        <w:t>’</w:t>
      </w:r>
      <w:r w:rsidRPr="00D96836">
        <w:t>est pas acceptée par l</w:t>
      </w:r>
      <w:r w:rsidR="00CE5FEC">
        <w:t>’</w:t>
      </w:r>
      <w:r w:rsidRPr="00D96836">
        <w:t>administration chargée de la recherche internationale, une traduction de ces résultats dans une langue acceptée par cette administration;</w:t>
      </w:r>
    </w:p>
    <w:p w:rsidR="000C226F" w:rsidRPr="007F1F83" w:rsidRDefault="000C226F" w:rsidP="009E5CBD">
      <w:pPr>
        <w:pStyle w:val="Legiindent"/>
        <w:keepLines/>
        <w:spacing w:line="240" w:lineRule="auto"/>
        <w:jc w:val="center"/>
        <w:rPr>
          <w:i/>
        </w:rPr>
      </w:pPr>
      <w:r w:rsidRPr="007F1F83">
        <w:rPr>
          <w:i/>
        </w:rPr>
        <w:lastRenderedPageBreak/>
        <w:t>[</w:t>
      </w:r>
      <w:r>
        <w:rPr>
          <w:i/>
        </w:rPr>
        <w:t>Règle 12bis.2a), suite]</w:t>
      </w:r>
    </w:p>
    <w:p w:rsidR="000C226F" w:rsidRDefault="000C226F" w:rsidP="009E5CBD">
      <w:pPr>
        <w:pStyle w:val="Legiindent"/>
        <w:keepLines/>
        <w:spacing w:line="240" w:lineRule="auto"/>
      </w:pPr>
      <w:r w:rsidRPr="00D96836">
        <w:tab/>
        <w:t>iv)</w:t>
      </w:r>
      <w:r w:rsidRPr="00D96836">
        <w:tab/>
        <w:t>une copie de tout document cité dans les résultats de la recherche antérieure.</w:t>
      </w:r>
    </w:p>
    <w:p w:rsidR="000C226F" w:rsidRDefault="000C226F" w:rsidP="009E5CBD">
      <w:pPr>
        <w:pStyle w:val="Lega"/>
        <w:spacing w:line="240" w:lineRule="auto"/>
      </w:pPr>
      <w:r w:rsidRPr="00D96836">
        <w:tab/>
        <w:t>b)  Lorsque la recherche antérieure a été effectuée par la même administration chargée de la recherche internationale ou par l</w:t>
      </w:r>
      <w:r w:rsidR="00CE5FEC">
        <w:t>’</w:t>
      </w:r>
      <w:r w:rsidRPr="00D96836">
        <w:t>office qui agit en qualité d</w:t>
      </w:r>
      <w:r w:rsidR="00CE5FEC">
        <w:t>’</w:t>
      </w:r>
      <w:r w:rsidRPr="00D96836">
        <w:t>administration chargée de la recherche internationale, ou lorsqu</w:t>
      </w:r>
      <w:r w:rsidR="00CE5FEC">
        <w:t>’</w:t>
      </w:r>
      <w:r w:rsidRPr="00D96836">
        <w:t>une copie ou une traduction visées à l</w:t>
      </w:r>
      <w:r w:rsidR="00CE5FEC">
        <w:t>’</w:t>
      </w:r>
      <w:r w:rsidRPr="00D96836">
        <w:t>alinéa a) sont à la disposition de l</w:t>
      </w:r>
      <w:r w:rsidR="00CE5FEC">
        <w:t>’</w:t>
      </w:r>
      <w:r w:rsidRPr="00D96836">
        <w:t>administration chargée de la recherche internationale sous une forme et d</w:t>
      </w:r>
      <w:r w:rsidR="00CE5FEC">
        <w:t>’</w:t>
      </w:r>
      <w:r w:rsidRPr="00D96836">
        <w:t>une manière qu</w:t>
      </w:r>
      <w:r w:rsidR="00CE5FEC">
        <w:t>’</w:t>
      </w:r>
      <w:r w:rsidRPr="00D96836">
        <w:t>elle accepte, par exemple auprès d</w:t>
      </w:r>
      <w:r w:rsidR="00CE5FEC">
        <w:t>’</w:t>
      </w:r>
      <w:r w:rsidRPr="00D96836">
        <w:t>une bibliothèque numérique ou sous la forme du document de priorité, aucune copie ni aucune traduction visées à l</w:t>
      </w:r>
      <w:r w:rsidR="00CE5FEC">
        <w:t>’</w:t>
      </w:r>
      <w:r w:rsidRPr="00D96836">
        <w:t>alinéa a) ne sont requises en vertu dudit alinéa.</w:t>
      </w:r>
    </w:p>
    <w:p w:rsidR="000C226F" w:rsidRDefault="000C226F" w:rsidP="009E5CBD">
      <w:pPr>
        <w:pStyle w:val="Lega"/>
        <w:spacing w:line="240" w:lineRule="auto"/>
      </w:pPr>
      <w:r w:rsidRPr="00276E37">
        <w:tab/>
      </w:r>
      <w:r w:rsidRPr="00D96836">
        <w:t>c)</w:t>
      </w:r>
      <w:r w:rsidRPr="00276E37">
        <w:t xml:space="preserve">  Lorsque la requête contient une déclaration visée à la règle 4.12.ii) selon laquelle la demande internationale est identique, ou pratiquement identique, à la demande pour laquelle la recherche antérieure a été effectuée, ou selon laquelle la demande internationale est identique, ou pratiquement identique, à cette demande antérieure, mais a été déposée dans une langue </w:t>
      </w:r>
      <w:r w:rsidRPr="001418CE">
        <w:t xml:space="preserve">différente, aucune copie </w:t>
      </w:r>
      <w:r w:rsidRPr="00D96836">
        <w:t>ni aucune</w:t>
      </w:r>
      <w:r w:rsidRPr="001418CE">
        <w:t xml:space="preserve"> t</w:t>
      </w:r>
      <w:r w:rsidRPr="00276E37">
        <w:t>raduction visées aux</w:t>
      </w:r>
      <w:r w:rsidRPr="001418CE">
        <w:t> </w:t>
      </w:r>
      <w:r w:rsidRPr="00D96836">
        <w:t>points</w:t>
      </w:r>
      <w:r>
        <w:t> </w:t>
      </w:r>
      <w:r w:rsidRPr="00D96836">
        <w:t>i) et ii)</w:t>
      </w:r>
      <w:r>
        <w:t> </w:t>
      </w:r>
      <w:r w:rsidRPr="00D96836">
        <w:t>de l</w:t>
      </w:r>
      <w:r w:rsidR="00CE5FEC">
        <w:t>’</w:t>
      </w:r>
      <w:r w:rsidRPr="00D96836">
        <w:t>alinéa</w:t>
      </w:r>
      <w:r>
        <w:t> </w:t>
      </w:r>
      <w:r w:rsidRPr="00D96836">
        <w:t>a)</w:t>
      </w:r>
      <w:r w:rsidRPr="00276E37">
        <w:t xml:space="preserve"> ne sont requises en vertu desdits </w:t>
      </w:r>
      <w:r w:rsidRPr="00D96836">
        <w:t>points</w:t>
      </w:r>
      <w:r w:rsidRPr="00276E37">
        <w:t>.</w:t>
      </w:r>
    </w:p>
    <w:p w:rsidR="000C226F" w:rsidRDefault="000C226F" w:rsidP="009E5CBD">
      <w:pPr>
        <w:rPr>
          <w:rFonts w:eastAsia="Times New Roman"/>
          <w:snapToGrid w:val="0"/>
          <w:szCs w:val="22"/>
          <w:lang w:eastAsia="en-US"/>
        </w:rPr>
      </w:pPr>
      <w:r>
        <w:br w:type="page"/>
      </w:r>
    </w:p>
    <w:p w:rsidR="000C226F" w:rsidRPr="00705695" w:rsidRDefault="000C226F" w:rsidP="009E5CBD">
      <w:pPr>
        <w:pStyle w:val="LegTitle"/>
        <w:spacing w:line="240" w:lineRule="auto"/>
      </w:pPr>
      <w:bookmarkStart w:id="33" w:name="_Toc442349548"/>
      <w:r w:rsidRPr="00D96836">
        <w:lastRenderedPageBreak/>
        <w:t>Règle 23</w:t>
      </w:r>
      <w:r w:rsidRPr="00D96836">
        <w:rPr>
          <w:i/>
          <w:iCs/>
        </w:rPr>
        <w:t>bis</w:t>
      </w:r>
      <w:r w:rsidRPr="00D96836">
        <w:t xml:space="preserve"> </w:t>
      </w:r>
      <w:r w:rsidRPr="00D96836">
        <w:br/>
        <w:t>Transmission de documents relatifs à une recherche ou un classement antérieurs</w:t>
      </w:r>
      <w:bookmarkEnd w:id="33"/>
    </w:p>
    <w:p w:rsidR="000C226F" w:rsidRPr="00705695" w:rsidRDefault="000C226F" w:rsidP="009E5CBD">
      <w:pPr>
        <w:pStyle w:val="LegSubRule"/>
        <w:spacing w:line="240" w:lineRule="auto"/>
      </w:pPr>
      <w:bookmarkStart w:id="34" w:name="_Toc442349549"/>
      <w:r w:rsidRPr="00D96836">
        <w:t>23</w:t>
      </w:r>
      <w:r w:rsidRPr="00D96836">
        <w:rPr>
          <w:i/>
          <w:iCs/>
        </w:rPr>
        <w:t>bis</w:t>
      </w:r>
      <w:r w:rsidRPr="00D96836">
        <w:t>.1   </w:t>
      </w:r>
      <w:r w:rsidRPr="00D96836">
        <w:rPr>
          <w:i/>
          <w:iCs/>
        </w:rPr>
        <w:t>Transmission de documents relatifs à une recherche antérieure en cas de requête selon la règle 4.12</w:t>
      </w:r>
      <w:bookmarkEnd w:id="34"/>
    </w:p>
    <w:p w:rsidR="000C226F" w:rsidRDefault="000C226F" w:rsidP="009E5CBD">
      <w:pPr>
        <w:pStyle w:val="Lega"/>
        <w:spacing w:line="240" w:lineRule="auto"/>
      </w:pPr>
      <w:r w:rsidRPr="00D96836">
        <w:tab/>
      </w:r>
      <w:proofErr w:type="gramStart"/>
      <w:r w:rsidRPr="00D96836">
        <w:t>a</w:t>
      </w:r>
      <w:proofErr w:type="gramEnd"/>
      <w:r w:rsidRPr="00D96836">
        <w:t>)  L</w:t>
      </w:r>
      <w:r w:rsidR="00CE5FEC">
        <w:t>’</w:t>
      </w:r>
      <w:r w:rsidRPr="00D96836">
        <w:t>office récepteur transmet à l</w:t>
      </w:r>
      <w:r w:rsidR="00CE5FEC">
        <w:t>’</w:t>
      </w:r>
      <w:r w:rsidRPr="00D96836">
        <w:t>administration chargée de la recherche internationale, en même temps que la copie de recherche, toute copie visée à la règle 12</w:t>
      </w:r>
      <w:r w:rsidRPr="00D96836">
        <w:rPr>
          <w:i/>
          <w:iCs/>
        </w:rPr>
        <w:t>bis</w:t>
      </w:r>
      <w:r w:rsidRPr="00D96836">
        <w:t xml:space="preserve">.1.a) relative à une recherche antérieure </w:t>
      </w:r>
      <w:r w:rsidR="00CE5FEC">
        <w:t>à l’égard</w:t>
      </w:r>
      <w:r w:rsidRPr="00D96836">
        <w:t xml:space="preserve"> de laquelle le déposant a présenté une requête selon la règle 4.12, pour autant que ladite copie :</w:t>
      </w:r>
    </w:p>
    <w:p w:rsidR="000C226F" w:rsidRDefault="000C226F" w:rsidP="009E5CBD">
      <w:pPr>
        <w:pStyle w:val="Legiindent"/>
        <w:spacing w:line="240" w:lineRule="auto"/>
      </w:pPr>
      <w:r w:rsidRPr="00276E37">
        <w:tab/>
      </w:r>
      <w:r w:rsidRPr="00D96836">
        <w:t>i)</w:t>
      </w:r>
      <w:r w:rsidRPr="00D96836">
        <w:tab/>
        <w:t>ait été soumise par le déposant à l</w:t>
      </w:r>
      <w:r w:rsidR="00CE5FEC">
        <w:t>’</w:t>
      </w:r>
      <w:r w:rsidRPr="00D96836">
        <w:t>office récepteur en même temps que la demande internationale;</w:t>
      </w:r>
    </w:p>
    <w:p w:rsidR="000C226F" w:rsidRDefault="000C226F" w:rsidP="009E5CBD">
      <w:pPr>
        <w:pStyle w:val="Legiindent"/>
        <w:spacing w:line="240" w:lineRule="auto"/>
      </w:pPr>
      <w:r w:rsidRPr="00D96836">
        <w:tab/>
        <w:t>ii)</w:t>
      </w:r>
      <w:r w:rsidRPr="00D96836">
        <w:tab/>
        <w:t>ait fait l</w:t>
      </w:r>
      <w:r w:rsidR="00CE5FEC">
        <w:t>’</w:t>
      </w:r>
      <w:r w:rsidRPr="00D96836">
        <w:t>objet d</w:t>
      </w:r>
      <w:r w:rsidR="00CE5FEC">
        <w:t>’</w:t>
      </w:r>
      <w:r w:rsidRPr="00D96836">
        <w:t>une requête du déposant invitant l</w:t>
      </w:r>
      <w:r w:rsidR="00CE5FEC">
        <w:t>’</w:t>
      </w:r>
      <w:r w:rsidRPr="00D96836">
        <w:t>office récepteur à l</w:t>
      </w:r>
      <w:r w:rsidR="00CE5FEC">
        <w:t>’</w:t>
      </w:r>
      <w:r w:rsidRPr="00D96836">
        <w:t>établir et à la transmettre à ladite administration;  ou</w:t>
      </w:r>
    </w:p>
    <w:p w:rsidR="000C226F" w:rsidRDefault="000C226F" w:rsidP="009E5CBD">
      <w:pPr>
        <w:pStyle w:val="Legiindent"/>
        <w:spacing w:line="240" w:lineRule="auto"/>
      </w:pPr>
      <w:r w:rsidRPr="00D96836">
        <w:tab/>
        <w:t>iii)</w:t>
      </w:r>
      <w:r w:rsidRPr="00D96836">
        <w:tab/>
        <w:t>soit à la disposition de l</w:t>
      </w:r>
      <w:r w:rsidR="00CE5FEC">
        <w:t>’</w:t>
      </w:r>
      <w:r w:rsidRPr="00D96836">
        <w:t>office récepteur sous une forme et d</w:t>
      </w:r>
      <w:r w:rsidR="00CE5FEC">
        <w:t>’</w:t>
      </w:r>
      <w:r w:rsidRPr="00D96836">
        <w:t>une manière qu</w:t>
      </w:r>
      <w:r w:rsidR="00CE5FEC">
        <w:t>’</w:t>
      </w:r>
      <w:r w:rsidRPr="00D96836">
        <w:t>il accepte, par exemple auprès d</w:t>
      </w:r>
      <w:r w:rsidR="00CE5FEC">
        <w:t>’</w:t>
      </w:r>
      <w:r w:rsidRPr="00D96836">
        <w:t>une bibliothèque numérique, conformément à la règle 12</w:t>
      </w:r>
      <w:r w:rsidRPr="00D96836">
        <w:rPr>
          <w:i/>
          <w:iCs/>
        </w:rPr>
        <w:t>bis</w:t>
      </w:r>
      <w:r w:rsidRPr="00D96836">
        <w:t>.1.d).</w:t>
      </w:r>
    </w:p>
    <w:p w:rsidR="000C226F" w:rsidRPr="00947C45" w:rsidRDefault="000C226F" w:rsidP="009E5CBD">
      <w:pPr>
        <w:pStyle w:val="Lega"/>
        <w:spacing w:line="240" w:lineRule="auto"/>
      </w:pPr>
      <w:r w:rsidRPr="00D96836">
        <w:tab/>
      </w:r>
      <w:proofErr w:type="gramStart"/>
      <w:r w:rsidRPr="00D96836">
        <w:t>b</w:t>
      </w:r>
      <w:proofErr w:type="gramEnd"/>
      <w:r w:rsidRPr="00D96836">
        <w:t>)  Si elle n</w:t>
      </w:r>
      <w:r w:rsidR="00CE5FEC">
        <w:t>’</w:t>
      </w:r>
      <w:r w:rsidRPr="00D96836">
        <w:t>accompagne pas la copie des résultats de la recherche antérieure visée à la règle 12</w:t>
      </w:r>
      <w:r w:rsidRPr="00D96836">
        <w:rPr>
          <w:i/>
          <w:iCs/>
        </w:rPr>
        <w:t>bis</w:t>
      </w:r>
      <w:r w:rsidRPr="00D96836">
        <w:t>.1.a), l</w:t>
      </w:r>
      <w:r w:rsidR="00CE5FEC">
        <w:t>’</w:t>
      </w:r>
      <w:r w:rsidRPr="00D96836">
        <w:t>office récepteur transmet également à l</w:t>
      </w:r>
      <w:r w:rsidR="00CE5FEC">
        <w:t>’</w:t>
      </w:r>
      <w:r w:rsidRPr="00D96836">
        <w:t>administration chargée de la recherche internationale, en même temps que la copie de recherche, une copie des résultats de tout classement antérieur effectué par ledit office, si ces derniers sont déjà disponibles.</w:t>
      </w:r>
    </w:p>
    <w:p w:rsidR="000C226F" w:rsidRPr="00705695" w:rsidRDefault="000C226F" w:rsidP="009E5CBD">
      <w:pPr>
        <w:pStyle w:val="LegSubRule"/>
        <w:spacing w:line="240" w:lineRule="auto"/>
      </w:pPr>
      <w:bookmarkStart w:id="35" w:name="_Toc442349550"/>
      <w:r w:rsidRPr="00D96836">
        <w:t>23</w:t>
      </w:r>
      <w:r w:rsidRPr="00D96836">
        <w:rPr>
          <w:i/>
          <w:iCs/>
        </w:rPr>
        <w:t>bis</w:t>
      </w:r>
      <w:r w:rsidRPr="00D96836">
        <w:t>.2   </w:t>
      </w:r>
      <w:r w:rsidRPr="00705695">
        <w:rPr>
          <w:i/>
          <w:iCs/>
        </w:rPr>
        <w:t>Transmission de documents relatifs à une recherche ou un classement antérieur</w:t>
      </w:r>
      <w:r w:rsidRPr="00947C45">
        <w:rPr>
          <w:i/>
          <w:iCs/>
        </w:rPr>
        <w:t>s</w:t>
      </w:r>
      <w:r w:rsidRPr="00705695">
        <w:rPr>
          <w:i/>
          <w:iCs/>
        </w:rPr>
        <w:t xml:space="preserve"> aux fins de la règle 41.2</w:t>
      </w:r>
      <w:bookmarkEnd w:id="35"/>
    </w:p>
    <w:p w:rsidR="000C226F" w:rsidRDefault="000C226F" w:rsidP="009E5CBD">
      <w:pPr>
        <w:pStyle w:val="Lega"/>
        <w:spacing w:line="240" w:lineRule="auto"/>
      </w:pPr>
      <w:r w:rsidRPr="00D96836">
        <w:tab/>
        <w:t>a)  Aux fins de la règle 41.2, lorsque la demande internationale revendique la priorité d</w:t>
      </w:r>
      <w:r w:rsidR="00CE5FEC">
        <w:t>’</w:t>
      </w:r>
      <w:r w:rsidRPr="00D96836">
        <w:t>une ou plusieurs demandes antérieures déposées auprès de l</w:t>
      </w:r>
      <w:r w:rsidR="00CE5FEC">
        <w:t>’</w:t>
      </w:r>
      <w:r w:rsidRPr="00D96836">
        <w:t>office agissant en qualité d</w:t>
      </w:r>
      <w:r w:rsidR="00CE5FEC">
        <w:t>’</w:t>
      </w:r>
      <w:r w:rsidRPr="00D96836">
        <w:t xml:space="preserve">office récepteur et que ledit office a effectué antérieurement une recherche ou un classement </w:t>
      </w:r>
      <w:r w:rsidR="00CE5FEC">
        <w:t>à l’égard</w:t>
      </w:r>
      <w:r w:rsidRPr="00D96836">
        <w:t xml:space="preserve"> d</w:t>
      </w:r>
      <w:r w:rsidR="00CE5FEC">
        <w:t>’</w:t>
      </w:r>
      <w:r w:rsidRPr="00D96836">
        <w:t>une telle demande antérieure, l</w:t>
      </w:r>
      <w:r w:rsidR="00CE5FEC">
        <w:t>’</w:t>
      </w:r>
      <w:r w:rsidRPr="00D96836">
        <w:t>office récepteur transmet à l</w:t>
      </w:r>
      <w:r w:rsidR="00CE5FEC">
        <w:t>’</w:t>
      </w:r>
      <w:r w:rsidRPr="00D96836">
        <w:t>administration chargée de la recherche internationale, sous réserve des alinéas b), d)</w:t>
      </w:r>
      <w:r>
        <w:t> </w:t>
      </w:r>
      <w:r w:rsidRPr="00D96836">
        <w:t>et e), en même temps que la copie de recherche, une copie des résultats de cette recherche antérieure, quelle que soit la forme sous laquelle ils sont à la disposition de l</w:t>
      </w:r>
      <w:r w:rsidR="00CE5FEC">
        <w:t>’</w:t>
      </w:r>
      <w:r w:rsidRPr="00D96836">
        <w:t>office (par exemple, sous la forme d</w:t>
      </w:r>
      <w:r w:rsidR="00CE5FEC">
        <w:t>’</w:t>
      </w:r>
      <w:r w:rsidRPr="00D96836">
        <w:t>un rapport de recherche, d</w:t>
      </w:r>
      <w:r w:rsidR="00CE5FEC">
        <w:t>’</w:t>
      </w:r>
      <w:r w:rsidRPr="00D96836">
        <w:t>une liste des éléments cités compris dans l</w:t>
      </w:r>
      <w:r w:rsidR="00CE5FEC">
        <w:t>’</w:t>
      </w:r>
      <w:r w:rsidRPr="00D96836">
        <w:t>état de la technique ou d</w:t>
      </w:r>
      <w:r w:rsidR="00CE5FEC">
        <w:t>’</w:t>
      </w:r>
      <w:r w:rsidRPr="00D96836">
        <w:t>un rapport d</w:t>
      </w:r>
      <w:r w:rsidR="00CE5FEC">
        <w:t>’</w:t>
      </w:r>
      <w:r w:rsidRPr="00D96836">
        <w:t>examen), ainsi qu</w:t>
      </w:r>
      <w:r w:rsidR="00CE5FEC">
        <w:t>’</w:t>
      </w:r>
      <w:r w:rsidRPr="00D96836">
        <w:t>une copie des résultats du classement antérieur effectué par ledit office, si ces derniers sont déjà disponibl</w:t>
      </w:r>
      <w:r w:rsidR="001D67E8" w:rsidRPr="00D96836">
        <w:t>es</w:t>
      </w:r>
      <w:r w:rsidR="001D67E8">
        <w:t xml:space="preserve">.  </w:t>
      </w:r>
      <w:r w:rsidR="001D67E8" w:rsidRPr="00D96836">
        <w:t>L</w:t>
      </w:r>
      <w:r w:rsidR="001D67E8">
        <w:t>’</w:t>
      </w:r>
      <w:r w:rsidR="001D67E8" w:rsidRPr="00D96836">
        <w:t>o</w:t>
      </w:r>
      <w:r w:rsidRPr="00D96836">
        <w:t>ffice récepteur peut également transmettre à l</w:t>
      </w:r>
      <w:r w:rsidR="00CE5FEC">
        <w:t>’</w:t>
      </w:r>
      <w:r w:rsidRPr="00D96836">
        <w:t>administration chargée de la recherche internationale tout autre document relatif à une telle recherche antérieure qu</w:t>
      </w:r>
      <w:r w:rsidR="00CE5FEC">
        <w:t>’</w:t>
      </w:r>
      <w:r w:rsidRPr="00D96836">
        <w:t>il considère utile à ladite administration aux fins de la recherche internationale.</w:t>
      </w:r>
    </w:p>
    <w:p w:rsidR="000C226F" w:rsidRDefault="000C226F" w:rsidP="009E5CBD">
      <w:pPr>
        <w:pStyle w:val="Lega"/>
        <w:spacing w:line="240" w:lineRule="auto"/>
      </w:pPr>
    </w:p>
    <w:p w:rsidR="000C226F" w:rsidRDefault="000C226F" w:rsidP="009E5CBD">
      <w:pPr>
        <w:rPr>
          <w:rFonts w:eastAsia="Times New Roman"/>
          <w:snapToGrid w:val="0"/>
          <w:szCs w:val="22"/>
          <w:lang w:eastAsia="en-US"/>
        </w:rPr>
      </w:pPr>
      <w:r>
        <w:br w:type="page"/>
      </w:r>
    </w:p>
    <w:p w:rsidR="000C226F" w:rsidRPr="00511427" w:rsidRDefault="000C226F" w:rsidP="009E5CBD">
      <w:pPr>
        <w:pStyle w:val="Lega"/>
        <w:spacing w:line="240" w:lineRule="auto"/>
        <w:jc w:val="center"/>
        <w:rPr>
          <w:i/>
        </w:rPr>
      </w:pPr>
      <w:r>
        <w:rPr>
          <w:i/>
        </w:rPr>
        <w:lastRenderedPageBreak/>
        <w:t>[Règle 23bis.2, suite]</w:t>
      </w:r>
    </w:p>
    <w:p w:rsidR="000C226F" w:rsidRPr="00705695" w:rsidRDefault="000C226F" w:rsidP="009E5CBD">
      <w:pPr>
        <w:pStyle w:val="Lega"/>
        <w:spacing w:line="240" w:lineRule="auto"/>
      </w:pPr>
      <w:r>
        <w:tab/>
      </w:r>
      <w:r w:rsidRPr="00D96836">
        <w:t>b)  Nonobstant l</w:t>
      </w:r>
      <w:r w:rsidR="00CE5FEC">
        <w:t>’</w:t>
      </w:r>
      <w:r w:rsidRPr="00D96836">
        <w:t>alinéa a), l</w:t>
      </w:r>
      <w:r w:rsidR="00CE5FEC">
        <w:t>’</w:t>
      </w:r>
      <w:r w:rsidRPr="00D96836">
        <w:t>office récepteur peut notifier au Bureau international au plus tard le 1</w:t>
      </w:r>
      <w:r w:rsidR="00CE5FEC" w:rsidRPr="00D96836">
        <w:t>4</w:t>
      </w:r>
      <w:r w:rsidR="00CE5FEC">
        <w:t> </w:t>
      </w:r>
      <w:r w:rsidR="00CE5FEC" w:rsidRPr="00D96836">
        <w:t>avril</w:t>
      </w:r>
      <w:r w:rsidR="00CE5FEC">
        <w:t> </w:t>
      </w:r>
      <w:r w:rsidR="00CE5FEC" w:rsidRPr="00D96836">
        <w:t>20</w:t>
      </w:r>
      <w:r w:rsidRPr="00D96836">
        <w:t>16 qu</w:t>
      </w:r>
      <w:r w:rsidR="00CE5FEC">
        <w:t>’</w:t>
      </w:r>
      <w:r w:rsidRPr="00D96836">
        <w:t>il peut, sur requête du déposant présentée avec la demande internationale, décider de ne pas transmettre les résultats d</w:t>
      </w:r>
      <w:r w:rsidR="00CE5FEC">
        <w:t>’</w:t>
      </w:r>
      <w:r w:rsidRPr="00D96836">
        <w:t xml:space="preserve">une recherche antérieure à </w:t>
      </w:r>
      <w:r>
        <w:t>l</w:t>
      </w:r>
      <w:r w:rsidR="00CE5FEC">
        <w:t>’</w:t>
      </w:r>
      <w:r w:rsidRPr="00D96836">
        <w:t>administration chargée de la recherche internationa</w:t>
      </w:r>
      <w:r w:rsidR="001D67E8" w:rsidRPr="00D96836">
        <w:t>le</w:t>
      </w:r>
      <w:r w:rsidR="001D67E8">
        <w:t xml:space="preserve">.  </w:t>
      </w:r>
      <w:r w:rsidR="001D67E8" w:rsidRPr="00D96836">
        <w:t>Le</w:t>
      </w:r>
      <w:r w:rsidRPr="00D96836">
        <w:t xml:space="preserve"> Bureau international publie toute notification reçue en vertu de la présente disposition dans la gazette.</w:t>
      </w:r>
    </w:p>
    <w:p w:rsidR="000C226F" w:rsidRDefault="000C226F" w:rsidP="009E5CBD">
      <w:pPr>
        <w:pStyle w:val="Lega"/>
        <w:spacing w:line="240" w:lineRule="auto"/>
      </w:pPr>
      <w:r w:rsidRPr="00D96836">
        <w:tab/>
        <w:t>c)  Au choix de l</w:t>
      </w:r>
      <w:r w:rsidR="00CE5FEC">
        <w:t>’</w:t>
      </w:r>
      <w:r w:rsidRPr="00D96836">
        <w:t>office récepteur, l</w:t>
      </w:r>
      <w:r w:rsidR="00CE5FEC">
        <w:t>’</w:t>
      </w:r>
      <w:r w:rsidRPr="00D96836">
        <w:t>alinéa a) s</w:t>
      </w:r>
      <w:r w:rsidR="00CE5FEC">
        <w:t>’</w:t>
      </w:r>
      <w:r w:rsidRPr="00D96836">
        <w:t xml:space="preserve">applique </w:t>
      </w:r>
      <w:r w:rsidRPr="00947C45">
        <w:rPr>
          <w:i/>
        </w:rPr>
        <w:t>mutatis mutandis</w:t>
      </w:r>
      <w:r w:rsidRPr="00D96836">
        <w:t xml:space="preserve"> lorsque la demande internationale revendique la priorité d</w:t>
      </w:r>
      <w:r w:rsidR="00CE5FEC">
        <w:t>’</w:t>
      </w:r>
      <w:r w:rsidRPr="00D96836">
        <w:t>une ou plusieurs demandes antérieures déposées auprès d</w:t>
      </w:r>
      <w:r w:rsidR="00CE5FEC">
        <w:t>’</w:t>
      </w:r>
      <w:r w:rsidRPr="00D96836">
        <w:t>un office autre que celui qui agit en qualité d</w:t>
      </w:r>
      <w:r w:rsidR="00CE5FEC">
        <w:t>’</w:t>
      </w:r>
      <w:r w:rsidRPr="00D96836">
        <w:t xml:space="preserve">office récepteur, que cet autre office a effectué antérieurement une recherche ou un classement </w:t>
      </w:r>
      <w:r w:rsidR="00CE5FEC">
        <w:t>à l’égard</w:t>
      </w:r>
      <w:r w:rsidRPr="00D96836">
        <w:t xml:space="preserve"> d</w:t>
      </w:r>
      <w:r w:rsidR="00CE5FEC">
        <w:t>’</w:t>
      </w:r>
      <w:r w:rsidRPr="00D96836">
        <w:t>une telle demande antérieure et que les résultats de cette recherche ou de ce classement sont à la disposition de l</w:t>
      </w:r>
      <w:r w:rsidR="00CE5FEC">
        <w:t>’</w:t>
      </w:r>
      <w:r w:rsidRPr="00D96836">
        <w:t>office récepteur sous une forme et d</w:t>
      </w:r>
      <w:r w:rsidR="00CE5FEC">
        <w:t>’</w:t>
      </w:r>
      <w:r w:rsidRPr="00D96836">
        <w:t>une manière qu</w:t>
      </w:r>
      <w:r w:rsidR="00CE5FEC">
        <w:t>’</w:t>
      </w:r>
      <w:r w:rsidRPr="00D96836">
        <w:t>il accepte, par exemple auprès d</w:t>
      </w:r>
      <w:r w:rsidR="00CE5FEC">
        <w:t>’</w:t>
      </w:r>
      <w:r w:rsidRPr="00D96836">
        <w:t>une bibliothèque numérique.</w:t>
      </w:r>
    </w:p>
    <w:p w:rsidR="000C226F" w:rsidRDefault="000C226F" w:rsidP="009E5CBD">
      <w:pPr>
        <w:pStyle w:val="Lega"/>
        <w:spacing w:line="240" w:lineRule="auto"/>
      </w:pPr>
      <w:r w:rsidRPr="00D96836">
        <w:tab/>
        <w:t>d)  Les alinéas a) et c) ne s</w:t>
      </w:r>
      <w:r w:rsidR="00CE5FEC">
        <w:t>’</w:t>
      </w:r>
      <w:r w:rsidRPr="00D96836">
        <w:t>appliquent pas lorsque la recherche antérieure a été effectuée par la même administration chargée de la recherche internationale ou par l</w:t>
      </w:r>
      <w:r w:rsidR="00CE5FEC">
        <w:t>’</w:t>
      </w:r>
      <w:r w:rsidRPr="00D96836">
        <w:t>office qui agit en qualité d</w:t>
      </w:r>
      <w:r w:rsidR="00CE5FEC">
        <w:t>’</w:t>
      </w:r>
      <w:r w:rsidRPr="00D96836">
        <w:t>administration chargée de la recherche internationale, ou lorsque l</w:t>
      </w:r>
      <w:r w:rsidR="00CE5FEC">
        <w:t>’</w:t>
      </w:r>
      <w:r w:rsidRPr="00D96836">
        <w:t>office récepteur a connaissance du fait qu</w:t>
      </w:r>
      <w:r w:rsidR="00CE5FEC">
        <w:t>’</w:t>
      </w:r>
      <w:r w:rsidRPr="00D96836">
        <w:t>une copie des résultats de la recherche ou du classement antérieur</w:t>
      </w:r>
      <w:r w:rsidRPr="00947C45">
        <w:t>s</w:t>
      </w:r>
      <w:r w:rsidRPr="00D96836">
        <w:t xml:space="preserve"> est à la disposition de l</w:t>
      </w:r>
      <w:r w:rsidR="00CE5FEC">
        <w:t>’</w:t>
      </w:r>
      <w:r w:rsidRPr="00D96836">
        <w:t>administration chargée de la recherche internationale sous une forme et d</w:t>
      </w:r>
      <w:r w:rsidR="00CE5FEC">
        <w:t>’</w:t>
      </w:r>
      <w:r w:rsidRPr="00D96836">
        <w:t>une manière qu</w:t>
      </w:r>
      <w:r w:rsidR="00CE5FEC">
        <w:t>’</w:t>
      </w:r>
      <w:r w:rsidRPr="00D96836">
        <w:t>elle accepte, par exemple auprès d</w:t>
      </w:r>
      <w:r w:rsidR="00CE5FEC">
        <w:t>’</w:t>
      </w:r>
      <w:r w:rsidRPr="00D96836">
        <w:t>une bibliothèque numérique.</w:t>
      </w:r>
    </w:p>
    <w:p w:rsidR="000C226F" w:rsidRDefault="000C226F" w:rsidP="009E5CBD">
      <w:pPr>
        <w:pStyle w:val="Lega"/>
        <w:spacing w:line="240" w:lineRule="auto"/>
      </w:pPr>
      <w:r w:rsidRPr="00D96836">
        <w:tab/>
        <w:t>e)  Dans la mesure où, le 1</w:t>
      </w:r>
      <w:r w:rsidR="00CE5FEC" w:rsidRPr="00D96836">
        <w:t>4</w:t>
      </w:r>
      <w:r w:rsidR="00CE5FEC">
        <w:t> </w:t>
      </w:r>
      <w:r w:rsidR="00CE5FEC" w:rsidRPr="00D96836">
        <w:t>octobre</w:t>
      </w:r>
      <w:r w:rsidR="00CE5FEC">
        <w:t> </w:t>
      </w:r>
      <w:r w:rsidR="00CE5FEC" w:rsidRPr="00D96836">
        <w:t>20</w:t>
      </w:r>
      <w:r w:rsidRPr="00D96836">
        <w:t>15, la transmission sans le consentement du déposant des copies visées à l</w:t>
      </w:r>
      <w:r w:rsidR="00CE5FEC">
        <w:t>’</w:t>
      </w:r>
      <w:r w:rsidRPr="00D96836">
        <w:t>alinéa a), ou de telles copies sous une forme particulière comme celles mentionnées à l</w:t>
      </w:r>
      <w:r w:rsidR="00CE5FEC">
        <w:t>’</w:t>
      </w:r>
      <w:r w:rsidRPr="00D96836">
        <w:t>alinéa a), n</w:t>
      </w:r>
      <w:r w:rsidR="00CE5FEC">
        <w:t>’</w:t>
      </w:r>
      <w:r w:rsidRPr="00D96836">
        <w:t>est pas compatible avec la législation nationale appliquée par l</w:t>
      </w:r>
      <w:r w:rsidR="00CE5FEC">
        <w:t>’</w:t>
      </w:r>
      <w:r w:rsidRPr="00D96836">
        <w:t>office récepteur, cet alinéa ne s</w:t>
      </w:r>
      <w:r w:rsidR="00CE5FEC">
        <w:t>’</w:t>
      </w:r>
      <w:r w:rsidRPr="00D96836">
        <w:t xml:space="preserve">applique pas à la transmission de telles copies, ou à la transmission de telles copies sous la forme particulière concernée, </w:t>
      </w:r>
      <w:r w:rsidR="00CE5FEC">
        <w:t>à l’égard</w:t>
      </w:r>
      <w:r w:rsidRPr="00D96836">
        <w:t xml:space="preserve"> de toute demande internationale déposée auprès dudit office récepteur tant qu</w:t>
      </w:r>
      <w:r w:rsidR="00CE5FEC">
        <w:t>’</w:t>
      </w:r>
      <w:r w:rsidRPr="00D96836">
        <w:t>une telle transmission sans le consentement du déposant reste incompatible avec ladite législation, à condition que ledit office en informe le Bureau international, au plus tard le 1</w:t>
      </w:r>
      <w:r w:rsidR="00CE5FEC" w:rsidRPr="00D96836">
        <w:t>4</w:t>
      </w:r>
      <w:r w:rsidR="00CE5FEC">
        <w:t> </w:t>
      </w:r>
      <w:r w:rsidR="00CE5FEC" w:rsidRPr="00D96836">
        <w:t>avril</w:t>
      </w:r>
      <w:r w:rsidR="00CE5FEC">
        <w:t> </w:t>
      </w:r>
      <w:r w:rsidR="00CE5FEC" w:rsidRPr="00D96836">
        <w:t>20</w:t>
      </w:r>
      <w:r w:rsidRPr="00D96836">
        <w:t>16.  Le Bureau international publie à bref délai dans la gazette les informations reçues.</w:t>
      </w:r>
    </w:p>
    <w:p w:rsidR="000C226F" w:rsidRDefault="000C226F" w:rsidP="009E5CBD">
      <w:pPr>
        <w:rPr>
          <w:rFonts w:eastAsia="Times New Roman"/>
          <w:snapToGrid w:val="0"/>
          <w:szCs w:val="22"/>
          <w:lang w:eastAsia="en-US"/>
        </w:rPr>
      </w:pPr>
      <w:r>
        <w:br w:type="page"/>
      </w:r>
    </w:p>
    <w:p w:rsidR="000C226F" w:rsidRPr="00A316B3" w:rsidRDefault="000C226F" w:rsidP="009E5CBD">
      <w:pPr>
        <w:pStyle w:val="LegTitle"/>
        <w:spacing w:line="240" w:lineRule="auto"/>
      </w:pPr>
      <w:bookmarkStart w:id="36" w:name="_Toc442349551"/>
      <w:r w:rsidRPr="00A316B3">
        <w:lastRenderedPageBreak/>
        <w:t>Règle 41</w:t>
      </w:r>
      <w:r>
        <w:t xml:space="preserve"> </w:t>
      </w:r>
      <w:r w:rsidRPr="00A316B3">
        <w:br/>
        <w:t>Prise en considération des résultats d</w:t>
      </w:r>
      <w:r w:rsidR="00CE5FEC">
        <w:t>’</w:t>
      </w:r>
      <w:r w:rsidRPr="00D96836">
        <w:t>une recherche et d</w:t>
      </w:r>
      <w:r w:rsidR="00CE5FEC">
        <w:t>’</w:t>
      </w:r>
      <w:r w:rsidRPr="00D96836">
        <w:t>un classement antérieurs</w:t>
      </w:r>
      <w:bookmarkEnd w:id="36"/>
    </w:p>
    <w:p w:rsidR="000C226F" w:rsidRPr="00705695" w:rsidRDefault="000C226F" w:rsidP="009E5CBD">
      <w:pPr>
        <w:pStyle w:val="LegSubRule"/>
        <w:spacing w:line="240" w:lineRule="auto"/>
      </w:pPr>
      <w:bookmarkStart w:id="37" w:name="_Toc442349552"/>
      <w:r w:rsidRPr="00DE4960">
        <w:rPr>
          <w:iCs/>
        </w:rPr>
        <w:t>41.1</w:t>
      </w:r>
      <w:r w:rsidRPr="0051783E">
        <w:rPr>
          <w:i/>
        </w:rPr>
        <w:t>   Prise en considération des résultats d</w:t>
      </w:r>
      <w:r w:rsidR="00CE5FEC">
        <w:rPr>
          <w:i/>
        </w:rPr>
        <w:t>’</w:t>
      </w:r>
      <w:r w:rsidRPr="0051783E">
        <w:rPr>
          <w:i/>
        </w:rPr>
        <w:t xml:space="preserve">une recherche </w:t>
      </w:r>
      <w:r w:rsidRPr="00D96836">
        <w:rPr>
          <w:i/>
          <w:iCs/>
        </w:rPr>
        <w:t>antérieure en cas de requête selon la règle 4.12</w:t>
      </w:r>
      <w:bookmarkEnd w:id="37"/>
    </w:p>
    <w:p w:rsidR="000C226F" w:rsidRDefault="000C226F" w:rsidP="009E5CBD">
      <w:pPr>
        <w:pStyle w:val="Lega"/>
        <w:spacing w:line="240" w:lineRule="auto"/>
      </w:pPr>
      <w:r w:rsidRPr="00276E37">
        <w:tab/>
        <w:t>Lorsque le déposant a, conformément à la règle 4.12, demandé à l</w:t>
      </w:r>
      <w:r w:rsidR="00CE5FEC">
        <w:t>’</w:t>
      </w:r>
      <w:r w:rsidRPr="00276E37">
        <w:t>administration chargée de la recherche internationale de prendre en considération les résultats d</w:t>
      </w:r>
      <w:r w:rsidR="00CE5FEC">
        <w:t>’</w:t>
      </w:r>
      <w:r w:rsidRPr="00276E37">
        <w:t>une recherche antérieure et s</w:t>
      </w:r>
      <w:r w:rsidR="00CE5FEC">
        <w:t>’</w:t>
      </w:r>
      <w:r w:rsidRPr="00276E37">
        <w:t>est conformé aux dispositions de la règle 12</w:t>
      </w:r>
      <w:r w:rsidRPr="00276E37">
        <w:rPr>
          <w:i/>
        </w:rPr>
        <w:t>bis</w:t>
      </w:r>
      <w:r w:rsidRPr="00276E37">
        <w:t>.1, et que</w:t>
      </w:r>
    </w:p>
    <w:p w:rsidR="000C226F" w:rsidRDefault="000C226F" w:rsidP="009E5CBD">
      <w:pPr>
        <w:pStyle w:val="Legi"/>
        <w:spacing w:line="240" w:lineRule="auto"/>
      </w:pPr>
      <w:r w:rsidRPr="00276E37">
        <w:tab/>
        <w:t>i)</w:t>
      </w:r>
      <w:r w:rsidRPr="00276E37">
        <w:tab/>
        <w:t>la recherche antérieure a été effectuée par la même administration chargée de la recherche internationale ou par l</w:t>
      </w:r>
      <w:r w:rsidR="00CE5FEC">
        <w:t>’</w:t>
      </w:r>
      <w:r w:rsidRPr="00276E37">
        <w:t>office qui agit en qualité d</w:t>
      </w:r>
      <w:r w:rsidR="00CE5FEC">
        <w:t>’</w:t>
      </w:r>
      <w:r w:rsidRPr="00276E37">
        <w:t>administration chargée de la recherche internationale, l</w:t>
      </w:r>
      <w:r w:rsidR="00CE5FEC">
        <w:t>’</w:t>
      </w:r>
      <w:r w:rsidRPr="00276E37">
        <w:t>administration chargée de la recherche internationale, dans la mesure du possible, prend en considération ces résultats dans le cadre de la recherche internationale;</w:t>
      </w:r>
    </w:p>
    <w:p w:rsidR="000C226F" w:rsidRDefault="000C226F" w:rsidP="009E5CBD">
      <w:pPr>
        <w:pStyle w:val="Legi"/>
        <w:spacing w:line="240" w:lineRule="auto"/>
      </w:pPr>
      <w:r w:rsidRPr="00276E37">
        <w:tab/>
        <w:t>ii)</w:t>
      </w:r>
      <w:r w:rsidRPr="00276E37">
        <w:tab/>
        <w:t>la recherche antérieure a été effectuée par une autre administration chargée de la recherche internationale ou par un office qui n</w:t>
      </w:r>
      <w:r w:rsidR="00CE5FEC">
        <w:t>’</w:t>
      </w:r>
      <w:r w:rsidRPr="00276E37">
        <w:t>est pas celui qui agit en qualité d</w:t>
      </w:r>
      <w:r w:rsidR="00CE5FEC">
        <w:t>’</w:t>
      </w:r>
      <w:r w:rsidRPr="00276E37">
        <w:t>administration chargée de la recherche internationale, l</w:t>
      </w:r>
      <w:r w:rsidR="00CE5FEC">
        <w:t>’</w:t>
      </w:r>
      <w:r w:rsidRPr="00276E37">
        <w:t>administration chargée de la recherche internationale peut prendre en considération ces résultats dans le cadre de la recherche internationale.</w:t>
      </w:r>
    </w:p>
    <w:p w:rsidR="000C226F" w:rsidRPr="00705695" w:rsidRDefault="000C226F" w:rsidP="009E5CBD">
      <w:pPr>
        <w:pStyle w:val="LegSubRule"/>
        <w:spacing w:line="240" w:lineRule="auto"/>
      </w:pPr>
      <w:bookmarkStart w:id="38" w:name="_Toc442349553"/>
      <w:r w:rsidRPr="00D96836">
        <w:t>41.2   </w:t>
      </w:r>
      <w:r w:rsidRPr="00D96836">
        <w:rPr>
          <w:i/>
          <w:iCs/>
        </w:rPr>
        <w:t>Prise en considération des résultats d</w:t>
      </w:r>
      <w:r w:rsidR="00CE5FEC">
        <w:rPr>
          <w:i/>
          <w:iCs/>
        </w:rPr>
        <w:t>’</w:t>
      </w:r>
      <w:r w:rsidRPr="00D96836">
        <w:rPr>
          <w:i/>
          <w:iCs/>
        </w:rPr>
        <w:t>une recherche et d</w:t>
      </w:r>
      <w:r w:rsidR="00CE5FEC">
        <w:rPr>
          <w:i/>
          <w:iCs/>
        </w:rPr>
        <w:t>’</w:t>
      </w:r>
      <w:r w:rsidRPr="00D96836">
        <w:rPr>
          <w:i/>
          <w:iCs/>
        </w:rPr>
        <w:t>un classement antérieurs dans d</w:t>
      </w:r>
      <w:r w:rsidR="00CE5FEC">
        <w:rPr>
          <w:i/>
          <w:iCs/>
        </w:rPr>
        <w:t>’</w:t>
      </w:r>
      <w:r w:rsidRPr="00D96836">
        <w:rPr>
          <w:i/>
          <w:iCs/>
        </w:rPr>
        <w:t>autres cas</w:t>
      </w:r>
      <w:bookmarkEnd w:id="38"/>
    </w:p>
    <w:p w:rsidR="000C226F" w:rsidRDefault="000C226F" w:rsidP="009E5CBD">
      <w:pPr>
        <w:pStyle w:val="Lega"/>
        <w:keepLines/>
        <w:spacing w:line="240" w:lineRule="auto"/>
      </w:pPr>
      <w:r w:rsidRPr="00D96836">
        <w:tab/>
        <w:t>a)  Lorsque la demande internationale revendique la priorité d</w:t>
      </w:r>
      <w:r w:rsidR="00CE5FEC">
        <w:t>’</w:t>
      </w:r>
      <w:r w:rsidRPr="00D96836">
        <w:t xml:space="preserve">une ou plusieurs demandes antérieures </w:t>
      </w:r>
      <w:r w:rsidR="00CE5FEC">
        <w:t>à l’égard</w:t>
      </w:r>
      <w:r w:rsidRPr="00D96836">
        <w:t xml:space="preserve"> desquelles une recherche antérieure a été effectuée par la même administration chargée de la recherche internationale ou par l</w:t>
      </w:r>
      <w:r w:rsidR="00CE5FEC">
        <w:t>’</w:t>
      </w:r>
      <w:r w:rsidRPr="00D96836">
        <w:t>office qui agit en qualité d</w:t>
      </w:r>
      <w:r w:rsidR="00CE5FEC">
        <w:t>’</w:t>
      </w:r>
      <w:r w:rsidRPr="00D96836">
        <w:t>administration chargée de la recherche internationale, l</w:t>
      </w:r>
      <w:r w:rsidR="00CE5FEC">
        <w:t>’</w:t>
      </w:r>
      <w:r w:rsidRPr="00D96836">
        <w:t>administration chargée de la recherche internationale, dans la mesure du possible, prend en considération les résultats de ladite recherche antérieure dans le cadre de la recherche internationale.</w:t>
      </w:r>
    </w:p>
    <w:p w:rsidR="000C226F" w:rsidRPr="0032453B" w:rsidRDefault="000C226F" w:rsidP="009E5CBD">
      <w:pPr>
        <w:pStyle w:val="Lega"/>
        <w:spacing w:line="240" w:lineRule="auto"/>
      </w:pPr>
      <w:r w:rsidRPr="00D96836">
        <w:tab/>
        <w:t>b)  Lorsque l</w:t>
      </w:r>
      <w:r w:rsidR="00CE5FEC">
        <w:t>’</w:t>
      </w:r>
      <w:r w:rsidRPr="00D96836">
        <w:t>office récepteur a transmis à l</w:t>
      </w:r>
      <w:r w:rsidR="00CE5FEC">
        <w:t>’</w:t>
      </w:r>
      <w:r w:rsidRPr="00D96836">
        <w:t>administration chargée de la recherche internationale une copie des résultats de toute recherche ou de tout classement effectué</w:t>
      </w:r>
      <w:r w:rsidRPr="00947C45">
        <w:t>s</w:t>
      </w:r>
      <w:r w:rsidRPr="00D96836">
        <w:t xml:space="preserve"> antérieurement en vertu de la règle 23</w:t>
      </w:r>
      <w:r w:rsidRPr="00D96836">
        <w:rPr>
          <w:i/>
          <w:iCs/>
        </w:rPr>
        <w:t>bis</w:t>
      </w:r>
      <w:r w:rsidRPr="00D96836">
        <w:t>.2.a) ou b), ou lorsqu</w:t>
      </w:r>
      <w:r w:rsidR="00CE5FEC">
        <w:t>’</w:t>
      </w:r>
      <w:r w:rsidRPr="00D96836">
        <w:t>une telle copie est à la disposition de l</w:t>
      </w:r>
      <w:r w:rsidR="00CE5FEC">
        <w:t>’</w:t>
      </w:r>
      <w:r w:rsidRPr="00D96836">
        <w:t>administration chargée de la recherche internationale sous une forme et d</w:t>
      </w:r>
      <w:r w:rsidR="00CE5FEC">
        <w:t>’</w:t>
      </w:r>
      <w:r w:rsidRPr="00D96836">
        <w:t>une manière qu</w:t>
      </w:r>
      <w:r w:rsidR="00CE5FEC">
        <w:t>’</w:t>
      </w:r>
      <w:r w:rsidRPr="00D96836">
        <w:t>elle accepte, par exemple auprès d</w:t>
      </w:r>
      <w:r w:rsidR="00CE5FEC">
        <w:t>’</w:t>
      </w:r>
      <w:r w:rsidRPr="00D96836">
        <w:t>une bibliothèque numérique, l</w:t>
      </w:r>
      <w:r w:rsidR="00CE5FEC">
        <w:t>’</w:t>
      </w:r>
      <w:r w:rsidRPr="00D96836">
        <w:t>administration chargée de la recherche internationale peut prendre en considération ces résultats dans le cadre de la recherche internationale.</w:t>
      </w:r>
    </w:p>
    <w:p w:rsidR="000C226F" w:rsidRDefault="000C226F" w:rsidP="009E5CBD">
      <w:pPr>
        <w:pStyle w:val="LegTitle"/>
        <w:spacing w:line="240" w:lineRule="auto"/>
      </w:pPr>
      <w:bookmarkStart w:id="39" w:name="_Toc442349554"/>
      <w:r w:rsidRPr="00CD4A1C">
        <w:lastRenderedPageBreak/>
        <w:t>Règle</w:t>
      </w:r>
      <w:r>
        <w:t> </w:t>
      </w:r>
      <w:r w:rsidRPr="00CD4A1C">
        <w:t xml:space="preserve">86  </w:t>
      </w:r>
      <w:r w:rsidRPr="00CD4A1C">
        <w:br/>
        <w:t>Gazette</w:t>
      </w:r>
      <w:bookmarkEnd w:id="39"/>
    </w:p>
    <w:p w:rsidR="000C226F" w:rsidRDefault="000C226F" w:rsidP="009E5CBD">
      <w:pPr>
        <w:pStyle w:val="LegSubRule"/>
        <w:keepLines w:val="0"/>
        <w:spacing w:line="240" w:lineRule="auto"/>
        <w:outlineLvl w:val="0"/>
      </w:pPr>
      <w:bookmarkStart w:id="40" w:name="_Toc442349555"/>
      <w:r w:rsidRPr="00CD4A1C">
        <w:t>86.1   </w:t>
      </w:r>
      <w:r w:rsidRPr="00CD4A1C">
        <w:rPr>
          <w:i/>
        </w:rPr>
        <w:t>Contenu</w:t>
      </w:r>
      <w:bookmarkEnd w:id="40"/>
    </w:p>
    <w:p w:rsidR="000C226F" w:rsidRDefault="000C226F" w:rsidP="009E5CBD">
      <w:pPr>
        <w:pStyle w:val="Lega"/>
        <w:spacing w:line="240" w:lineRule="auto"/>
      </w:pPr>
      <w:r w:rsidRPr="00CD4A1C">
        <w:tab/>
        <w:t>La gazette mentionnée à l</w:t>
      </w:r>
      <w:r w:rsidR="00CE5FEC">
        <w:t>’</w:t>
      </w:r>
      <w:r w:rsidRPr="00CD4A1C">
        <w:t>article</w:t>
      </w:r>
      <w:r>
        <w:t> </w:t>
      </w:r>
      <w:r w:rsidRPr="00CD4A1C">
        <w:t>55.4) contient :</w:t>
      </w:r>
    </w:p>
    <w:p w:rsidR="000C226F" w:rsidRDefault="000C226F" w:rsidP="009E5CBD">
      <w:pPr>
        <w:pStyle w:val="Legi"/>
        <w:spacing w:line="240" w:lineRule="auto"/>
      </w:pPr>
      <w:r w:rsidRPr="00CD4A1C">
        <w:tab/>
        <w:t>i)</w:t>
      </w:r>
      <w:r w:rsidRPr="00CD4A1C">
        <w:tab/>
        <w:t xml:space="preserve">à iii)  </w:t>
      </w:r>
      <w:r w:rsidRPr="00D4413E">
        <w:rPr>
          <w:i/>
        </w:rPr>
        <w:t>[Sans changement]</w:t>
      </w:r>
    </w:p>
    <w:p w:rsidR="000C226F" w:rsidRDefault="000C226F" w:rsidP="009E5CBD">
      <w:pPr>
        <w:pStyle w:val="Legi"/>
        <w:spacing w:line="240" w:lineRule="auto"/>
      </w:pPr>
      <w:r w:rsidRPr="00CD4A1C">
        <w:tab/>
        <w:t>iv)</w:t>
      </w:r>
      <w:r w:rsidRPr="00CD4A1C">
        <w:tab/>
        <w:t xml:space="preserve">toutes informations </w:t>
      </w:r>
      <w:r w:rsidRPr="00705695">
        <w:t>concernant des actes accomplis dans les offices désignés et élus et notifiés au Bureau international en vertu de la règle 95.1, en rapport avec des demandes internationales publiées</w:t>
      </w:r>
      <w:r w:rsidRPr="00CD4A1C">
        <w:t>;</w:t>
      </w:r>
    </w:p>
    <w:p w:rsidR="000C226F" w:rsidRDefault="000C226F" w:rsidP="009E5CBD">
      <w:pPr>
        <w:pStyle w:val="Legi"/>
        <w:spacing w:line="240" w:lineRule="auto"/>
      </w:pPr>
      <w:r w:rsidRPr="00CD4A1C">
        <w:tab/>
        <w:t>v)</w:t>
      </w:r>
      <w:r w:rsidRPr="00CD4A1C">
        <w:tab/>
      </w:r>
      <w:r w:rsidRPr="00D4413E">
        <w:rPr>
          <w:i/>
        </w:rPr>
        <w:t>[Sans changement]</w:t>
      </w:r>
    </w:p>
    <w:p w:rsidR="000C226F" w:rsidRDefault="000C226F" w:rsidP="009E5CBD">
      <w:pPr>
        <w:pStyle w:val="LegSubRule"/>
        <w:keepNext w:val="0"/>
        <w:spacing w:line="240" w:lineRule="auto"/>
        <w:outlineLvl w:val="0"/>
      </w:pPr>
      <w:bookmarkStart w:id="41" w:name="_Toc442349556"/>
      <w:r w:rsidRPr="00CD4A1C">
        <w:t>86.2 à 86.6  </w:t>
      </w:r>
      <w:r w:rsidRPr="001D67E8">
        <w:rPr>
          <w:i/>
        </w:rPr>
        <w:t xml:space="preserve"> </w:t>
      </w:r>
      <w:r w:rsidRPr="00CD4A1C">
        <w:rPr>
          <w:i/>
        </w:rPr>
        <w:t>[</w:t>
      </w:r>
      <w:r>
        <w:rPr>
          <w:i/>
        </w:rPr>
        <w:t>S</w:t>
      </w:r>
      <w:r w:rsidRPr="004C4144">
        <w:rPr>
          <w:i/>
        </w:rPr>
        <w:t>ans changement</w:t>
      </w:r>
      <w:r w:rsidRPr="00CD4A1C">
        <w:rPr>
          <w:i/>
        </w:rPr>
        <w:t>]</w:t>
      </w:r>
      <w:bookmarkEnd w:id="41"/>
    </w:p>
    <w:p w:rsidR="000C226F" w:rsidRDefault="000C226F" w:rsidP="009E5CBD">
      <w:pPr>
        <w:pStyle w:val="LegTitle"/>
        <w:spacing w:line="240" w:lineRule="auto"/>
      </w:pPr>
      <w:bookmarkStart w:id="42" w:name="_Toc442349557"/>
      <w:r w:rsidRPr="00CD4A1C">
        <w:lastRenderedPageBreak/>
        <w:t>Règle</w:t>
      </w:r>
      <w:r>
        <w:t> </w:t>
      </w:r>
      <w:r w:rsidRPr="00CD4A1C">
        <w:t xml:space="preserve">95  </w:t>
      </w:r>
      <w:r w:rsidRPr="00CD4A1C">
        <w:br/>
      </w:r>
      <w:r w:rsidRPr="00705695">
        <w:t>Informations et traductions fournies par les offices désignés et élus</w:t>
      </w:r>
      <w:bookmarkEnd w:id="42"/>
    </w:p>
    <w:p w:rsidR="000C226F" w:rsidRPr="00705695" w:rsidRDefault="000C226F" w:rsidP="009E5CBD">
      <w:pPr>
        <w:pStyle w:val="LegSubRule"/>
        <w:keepLines w:val="0"/>
        <w:spacing w:line="240" w:lineRule="auto"/>
      </w:pPr>
      <w:bookmarkStart w:id="43" w:name="_Toc442349558"/>
      <w:r w:rsidRPr="00705695">
        <w:t xml:space="preserve">95.1  </w:t>
      </w:r>
      <w:r w:rsidRPr="00705695">
        <w:rPr>
          <w:i/>
          <w:iCs/>
        </w:rPr>
        <w:t>Informations concernant des actes accomplis dans les offices désignés et élus</w:t>
      </w:r>
      <w:bookmarkEnd w:id="43"/>
    </w:p>
    <w:p w:rsidR="000C226F" w:rsidRPr="00705695" w:rsidRDefault="000C226F" w:rsidP="009E5CBD">
      <w:pPr>
        <w:pStyle w:val="Lega"/>
        <w:spacing w:line="240" w:lineRule="auto"/>
      </w:pPr>
      <w:r w:rsidRPr="00705695">
        <w:tab/>
        <w:t>Tout office désigné ou élu doit notifier au Bureau international les informations ci</w:t>
      </w:r>
      <w:r w:rsidR="001D67E8">
        <w:noBreakHyphen/>
      </w:r>
      <w:r w:rsidRPr="00705695">
        <w:t>après concernant une demande internationale dans un délai de deux</w:t>
      </w:r>
      <w:r>
        <w:t> </w:t>
      </w:r>
      <w:r w:rsidRPr="00705695">
        <w:t>mois à compter de la date à laquelle l</w:t>
      </w:r>
      <w:r w:rsidR="00CE5FEC">
        <w:t>’</w:t>
      </w:r>
      <w:r w:rsidRPr="00705695">
        <w:t>un des actes ci</w:t>
      </w:r>
      <w:r w:rsidR="001D67E8">
        <w:noBreakHyphen/>
      </w:r>
      <w:r w:rsidRPr="00705695">
        <w:t>après a été accompli, ou dès que cela est raisonnablement possible après l</w:t>
      </w:r>
      <w:r w:rsidR="00CE5FEC">
        <w:t>’</w:t>
      </w:r>
      <w:r w:rsidRPr="00705695">
        <w:t>expiration de ce délai :</w:t>
      </w:r>
    </w:p>
    <w:p w:rsidR="000C226F" w:rsidRPr="00705695" w:rsidRDefault="000C226F" w:rsidP="009E5CBD">
      <w:pPr>
        <w:pStyle w:val="Legi"/>
        <w:spacing w:line="240" w:lineRule="auto"/>
      </w:pPr>
      <w:r w:rsidRPr="00705695">
        <w:tab/>
        <w:t>i)</w:t>
      </w:r>
      <w:r w:rsidRPr="00705695">
        <w:tab/>
        <w:t>après que le déposant a accompli les actes visés aux articles 22 ou 39, la date à laquelle le déposant a accompli ces actes et le numéro de demande nationale qui a été attribué à la demande internationale;</w:t>
      </w:r>
    </w:p>
    <w:p w:rsidR="000C226F" w:rsidRPr="00705695" w:rsidRDefault="000C226F" w:rsidP="009E5CBD">
      <w:pPr>
        <w:pStyle w:val="Legi"/>
        <w:spacing w:line="240" w:lineRule="auto"/>
      </w:pPr>
      <w:r w:rsidRPr="00705695">
        <w:tab/>
        <w:t>ii)</w:t>
      </w:r>
      <w:r w:rsidRPr="00705695">
        <w:tab/>
        <w:t>lorsque l</w:t>
      </w:r>
      <w:r w:rsidR="00CE5FEC">
        <w:t>’</w:t>
      </w:r>
      <w:r w:rsidRPr="00705695">
        <w:t>office désigné ou élu publie expressément la demande internationale en vertu de sa législation ou de sa pratique nationale, le numéro et la date de cette publication nationale;</w:t>
      </w:r>
    </w:p>
    <w:p w:rsidR="000C226F" w:rsidRPr="00705695" w:rsidRDefault="000C226F" w:rsidP="009E5CBD">
      <w:pPr>
        <w:pStyle w:val="Legi"/>
        <w:spacing w:line="240" w:lineRule="auto"/>
      </w:pPr>
      <w:r w:rsidRPr="00705695">
        <w:tab/>
        <w:t>iii)</w:t>
      </w:r>
      <w:r w:rsidRPr="00705695">
        <w:tab/>
        <w:t>lorsqu</w:t>
      </w:r>
      <w:r w:rsidR="00CE5FEC">
        <w:t>’</w:t>
      </w:r>
      <w:r w:rsidRPr="00705695">
        <w:t>un brevet est délivré, la date de délivrance du brevet et, lorsque l</w:t>
      </w:r>
      <w:r w:rsidR="00CE5FEC">
        <w:t>’</w:t>
      </w:r>
      <w:r w:rsidRPr="00705695">
        <w:t>office désigné ou élu publie expressément la demande internationale sous la forme sous laquelle elle est acceptée en vertu de sa législation nationale, le numéro et la date de cette publication nationale.</w:t>
      </w:r>
    </w:p>
    <w:p w:rsidR="000C226F" w:rsidRDefault="000C226F" w:rsidP="009E5CBD">
      <w:pPr>
        <w:pStyle w:val="LegSubRule"/>
        <w:keepLines w:val="0"/>
        <w:spacing w:line="240" w:lineRule="auto"/>
      </w:pPr>
      <w:bookmarkStart w:id="44" w:name="_Toc442349559"/>
      <w:r w:rsidRPr="00705695">
        <w:t>95.2</w:t>
      </w:r>
      <w:r w:rsidRPr="00CD4A1C">
        <w:t>   </w:t>
      </w:r>
      <w:r w:rsidRPr="00CD4A1C">
        <w:rPr>
          <w:i/>
        </w:rPr>
        <w:t>Obtention de copies de traductions</w:t>
      </w:r>
      <w:bookmarkEnd w:id="44"/>
    </w:p>
    <w:p w:rsidR="000C226F" w:rsidRDefault="000C226F" w:rsidP="009E5CBD">
      <w:pPr>
        <w:pStyle w:val="Lega"/>
        <w:spacing w:line="240" w:lineRule="auto"/>
      </w:pPr>
      <w:r w:rsidRPr="00CD4A1C">
        <w:tab/>
        <w:t>a)  </w:t>
      </w:r>
      <w:r w:rsidRPr="00CD4A1C">
        <w:rPr>
          <w:i/>
        </w:rPr>
        <w:t>[</w:t>
      </w:r>
      <w:r>
        <w:rPr>
          <w:i/>
        </w:rPr>
        <w:t>S</w:t>
      </w:r>
      <w:r w:rsidRPr="004C4144">
        <w:rPr>
          <w:i/>
        </w:rPr>
        <w:t>ans changement</w:t>
      </w:r>
      <w:r w:rsidRPr="00CD4A1C">
        <w:rPr>
          <w:i/>
        </w:rPr>
        <w:t>]</w:t>
      </w:r>
      <w:r>
        <w:rPr>
          <w:i/>
        </w:rPr>
        <w:t>  </w:t>
      </w:r>
      <w:r w:rsidRPr="00CD4A1C">
        <w:t>Sur requête du Bureau international, tout office désigné ou élu lui délivre une copie de la traduction de la demande internationale communiquée audit office par le déposant.</w:t>
      </w:r>
    </w:p>
    <w:p w:rsidR="000C226F" w:rsidRDefault="000C226F" w:rsidP="009E5CBD">
      <w:pPr>
        <w:pStyle w:val="Lega"/>
        <w:spacing w:line="240" w:lineRule="auto"/>
      </w:pPr>
      <w:r w:rsidRPr="00CD4A1C">
        <w:tab/>
        <w:t>b)  </w:t>
      </w:r>
      <w:r w:rsidRPr="00CD4A1C">
        <w:rPr>
          <w:i/>
        </w:rPr>
        <w:t>[</w:t>
      </w:r>
      <w:r>
        <w:rPr>
          <w:i/>
        </w:rPr>
        <w:t>S</w:t>
      </w:r>
      <w:r w:rsidRPr="004C4144">
        <w:rPr>
          <w:i/>
        </w:rPr>
        <w:t>ans changement</w:t>
      </w:r>
      <w:r w:rsidRPr="00CD4A1C">
        <w:rPr>
          <w:i/>
        </w:rPr>
        <w:t>]</w:t>
      </w:r>
      <w:r>
        <w:rPr>
          <w:i/>
        </w:rPr>
        <w:t>  </w:t>
      </w:r>
      <w:r w:rsidRPr="00CD4A1C">
        <w:t>Le Bureau international peut, sur requête et contre remboursement du coût, délivrer à toute personne des copies des traductions reçues conformément à l</w:t>
      </w:r>
      <w:r w:rsidR="00CE5FEC">
        <w:t>’</w:t>
      </w:r>
      <w:r w:rsidRPr="00CD4A1C">
        <w:t>alinéa </w:t>
      </w:r>
      <w:proofErr w:type="gramStart"/>
      <w:r w:rsidRPr="00CD4A1C">
        <w:t>a</w:t>
      </w:r>
      <w:proofErr w:type="gramEnd"/>
      <w:r w:rsidRPr="00CD4A1C">
        <w:t>).</w:t>
      </w:r>
    </w:p>
    <w:p w:rsidR="000C226F" w:rsidRDefault="000C226F" w:rsidP="009E5CBD">
      <w:pPr>
        <w:jc w:val="center"/>
      </w:pPr>
    </w:p>
    <w:p w:rsidR="000C226F" w:rsidRPr="006356A1" w:rsidRDefault="000C226F" w:rsidP="009E5CBD">
      <w:pPr>
        <w:pStyle w:val="Endofdocument-Annex"/>
        <w:rPr>
          <w:rFonts w:ascii="Microsoft Sans Serif" w:hAnsi="Microsoft Sans Serif" w:cs="Microsoft Sans Serif"/>
        </w:rPr>
      </w:pPr>
      <w:r>
        <w:t>[Fin de l</w:t>
      </w:r>
      <w:r w:rsidR="00CE5FEC">
        <w:t>’</w:t>
      </w:r>
      <w:r>
        <w:t>annexe II et du document]</w:t>
      </w:r>
      <w:bookmarkEnd w:id="29"/>
    </w:p>
    <w:p w:rsidR="000C226F" w:rsidRPr="00514C2B" w:rsidRDefault="000C226F" w:rsidP="009E5CBD"/>
    <w:p w:rsidR="000C226F" w:rsidRPr="0080470E" w:rsidRDefault="000C226F" w:rsidP="000C226F"/>
    <w:sectPr w:rsidR="000C226F" w:rsidRPr="0080470E" w:rsidSect="00AF4C30">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8F7" w:rsidRDefault="007C18F7">
      <w:r>
        <w:separator/>
      </w:r>
    </w:p>
  </w:endnote>
  <w:endnote w:type="continuationSeparator" w:id="0">
    <w:p w:rsidR="007C18F7" w:rsidRDefault="007C18F7" w:rsidP="003B38C1">
      <w:r>
        <w:separator/>
      </w:r>
    </w:p>
    <w:p w:rsidR="007C18F7" w:rsidRPr="00E60F60" w:rsidRDefault="007C18F7" w:rsidP="003B38C1">
      <w:pPr>
        <w:spacing w:after="60"/>
        <w:rPr>
          <w:sz w:val="17"/>
          <w:lang w:val="en-US"/>
        </w:rPr>
      </w:pPr>
      <w:r w:rsidRPr="00E60F60">
        <w:rPr>
          <w:sz w:val="17"/>
          <w:lang w:val="en-US"/>
        </w:rPr>
        <w:t>[Endnote continued from previous page]</w:t>
      </w:r>
    </w:p>
  </w:endnote>
  <w:endnote w:type="continuationNotice" w:id="1">
    <w:p w:rsidR="007C18F7" w:rsidRPr="00E60F60" w:rsidRDefault="007C18F7" w:rsidP="003B38C1">
      <w:pPr>
        <w:spacing w:before="60"/>
        <w:jc w:val="right"/>
        <w:rPr>
          <w:sz w:val="17"/>
          <w:szCs w:val="17"/>
          <w:lang w:val="en-US"/>
        </w:rPr>
      </w:pPr>
      <w:r w:rsidRPr="00E60F60">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8F7" w:rsidRPr="00AF4C30" w:rsidRDefault="007C18F7" w:rsidP="00AF4C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8F7" w:rsidRDefault="007C18F7">
      <w:r>
        <w:separator/>
      </w:r>
    </w:p>
  </w:footnote>
  <w:footnote w:type="continuationSeparator" w:id="0">
    <w:p w:rsidR="007C18F7" w:rsidRDefault="007C18F7" w:rsidP="008B60B2">
      <w:r>
        <w:separator/>
      </w:r>
    </w:p>
    <w:p w:rsidR="007C18F7" w:rsidRPr="00E60F60" w:rsidRDefault="007C18F7" w:rsidP="008B60B2">
      <w:pPr>
        <w:spacing w:after="60"/>
        <w:rPr>
          <w:sz w:val="17"/>
          <w:szCs w:val="17"/>
          <w:lang w:val="en-US"/>
        </w:rPr>
      </w:pPr>
      <w:r w:rsidRPr="00E60F60">
        <w:rPr>
          <w:sz w:val="17"/>
          <w:szCs w:val="17"/>
          <w:lang w:val="en-US"/>
        </w:rPr>
        <w:t>[Footnote continued from previous page]</w:t>
      </w:r>
    </w:p>
  </w:footnote>
  <w:footnote w:type="continuationNotice" w:id="1">
    <w:p w:rsidR="007C18F7" w:rsidRPr="00E60F60" w:rsidRDefault="007C18F7" w:rsidP="008B60B2">
      <w:pPr>
        <w:spacing w:before="60"/>
        <w:jc w:val="right"/>
        <w:rPr>
          <w:sz w:val="17"/>
          <w:szCs w:val="17"/>
          <w:lang w:val="en-US"/>
        </w:rPr>
      </w:pPr>
      <w:r w:rsidRPr="00E60F60">
        <w:rPr>
          <w:sz w:val="17"/>
          <w:szCs w:val="17"/>
          <w:lang w:val="en-US"/>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8F7" w:rsidRPr="00F26F02" w:rsidRDefault="007C18F7" w:rsidP="00477D6B">
    <w:pPr>
      <w:jc w:val="right"/>
    </w:pPr>
    <w:r>
      <w:t>PCT/A/47/9</w:t>
    </w:r>
  </w:p>
  <w:p w:rsidR="007C18F7" w:rsidRPr="00F26F02" w:rsidRDefault="007C18F7" w:rsidP="00477D6B">
    <w:pPr>
      <w:jc w:val="right"/>
    </w:pPr>
    <w:proofErr w:type="gramStart"/>
    <w:r w:rsidRPr="00F26F02">
      <w:t>page</w:t>
    </w:r>
    <w:proofErr w:type="gramEnd"/>
    <w:r w:rsidRPr="00F26F02">
      <w:t xml:space="preserve"> </w:t>
    </w:r>
    <w:r>
      <w:fldChar w:fldCharType="begin"/>
    </w:r>
    <w:r w:rsidRPr="00F26F02">
      <w:instrText xml:space="preserve"> PAGE  \* MERGEFORMAT </w:instrText>
    </w:r>
    <w:r>
      <w:fldChar w:fldCharType="separate"/>
    </w:r>
    <w:r w:rsidR="00952DA0">
      <w:rPr>
        <w:noProof/>
      </w:rPr>
      <w:t>20</w:t>
    </w:r>
    <w:r>
      <w:fldChar w:fldCharType="end"/>
    </w:r>
  </w:p>
  <w:p w:rsidR="007C18F7" w:rsidRPr="00F26F02" w:rsidRDefault="007C18F7"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8F7" w:rsidRPr="00F26F02" w:rsidRDefault="007C18F7" w:rsidP="00477D6B">
    <w:pPr>
      <w:jc w:val="right"/>
    </w:pPr>
    <w:r w:rsidRPr="00F26F02">
      <w:t>PCT/A/47/</w:t>
    </w:r>
    <w:r>
      <w:t>9</w:t>
    </w:r>
  </w:p>
  <w:p w:rsidR="007C18F7" w:rsidRPr="00F26F02" w:rsidRDefault="007C18F7" w:rsidP="009E5CBD">
    <w:pPr>
      <w:jc w:val="right"/>
    </w:pPr>
    <w:r>
      <w:rPr>
        <w:color w:val="000000"/>
      </w:rPr>
      <w:t xml:space="preserve">Annexe I, </w:t>
    </w:r>
    <w:r w:rsidRPr="00214B1C">
      <w:rPr>
        <w:color w:val="000000"/>
      </w:rPr>
      <w:t>page</w:t>
    </w:r>
    <w:r w:rsidRPr="00F26F02">
      <w:t xml:space="preserve"> </w:t>
    </w:r>
    <w:r>
      <w:fldChar w:fldCharType="begin"/>
    </w:r>
    <w:r w:rsidRPr="00F26F02">
      <w:instrText xml:space="preserve"> PAGE  \* MERGEFORMAT </w:instrText>
    </w:r>
    <w:r>
      <w:fldChar w:fldCharType="separate"/>
    </w:r>
    <w:r w:rsidR="00952DA0">
      <w:rPr>
        <w:noProof/>
      </w:rPr>
      <w:t>6</w:t>
    </w:r>
    <w:r>
      <w:fldChar w:fldCharType="end"/>
    </w:r>
  </w:p>
  <w:p w:rsidR="007C18F7" w:rsidRPr="00F26F02" w:rsidRDefault="007C18F7"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8F7" w:rsidRDefault="007C18F7" w:rsidP="009E5CBD">
    <w:pPr>
      <w:pStyle w:val="Header"/>
      <w:jc w:val="right"/>
    </w:pPr>
    <w:r>
      <w:t>PCT/A/47/9</w:t>
    </w:r>
  </w:p>
  <w:p w:rsidR="007C18F7" w:rsidRDefault="007C18F7" w:rsidP="009E5CBD">
    <w:pPr>
      <w:pStyle w:val="Header"/>
      <w:jc w:val="right"/>
    </w:pPr>
    <w:r>
      <w:t>ANNEXE I</w:t>
    </w:r>
  </w:p>
  <w:p w:rsidR="007C18F7" w:rsidRDefault="007C18F7" w:rsidP="009E5CBD">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8F7" w:rsidRPr="00F26F02" w:rsidRDefault="007C18F7" w:rsidP="00477D6B">
    <w:pPr>
      <w:jc w:val="right"/>
    </w:pPr>
    <w:r w:rsidRPr="00F26F02">
      <w:t>PCT/A/47/</w:t>
    </w:r>
    <w:r>
      <w:t xml:space="preserve">9 </w:t>
    </w:r>
  </w:p>
  <w:p w:rsidR="007C18F7" w:rsidRPr="00F26F02" w:rsidRDefault="007C18F7" w:rsidP="009E5CBD">
    <w:pPr>
      <w:jc w:val="right"/>
    </w:pPr>
    <w:r>
      <w:rPr>
        <w:color w:val="000000"/>
      </w:rPr>
      <w:t xml:space="preserve">Annexe II, </w:t>
    </w:r>
    <w:r w:rsidRPr="00214B1C">
      <w:rPr>
        <w:color w:val="000000"/>
      </w:rPr>
      <w:t>page</w:t>
    </w:r>
    <w:r w:rsidRPr="00F26F02">
      <w:t xml:space="preserve"> </w:t>
    </w:r>
    <w:r>
      <w:fldChar w:fldCharType="begin"/>
    </w:r>
    <w:r w:rsidRPr="00F26F02">
      <w:instrText xml:space="preserve"> PAGE  \* MERGEFORMAT </w:instrText>
    </w:r>
    <w:r>
      <w:fldChar w:fldCharType="separate"/>
    </w:r>
    <w:r w:rsidR="00952DA0">
      <w:rPr>
        <w:noProof/>
      </w:rPr>
      <w:t>8</w:t>
    </w:r>
    <w:r>
      <w:fldChar w:fldCharType="end"/>
    </w:r>
  </w:p>
  <w:p w:rsidR="007C18F7" w:rsidRPr="00F26F02" w:rsidRDefault="007C18F7"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8F7" w:rsidRDefault="007C18F7" w:rsidP="009E5CBD">
    <w:pPr>
      <w:pStyle w:val="Header"/>
      <w:jc w:val="right"/>
    </w:pPr>
    <w:r>
      <w:t xml:space="preserve">PCT/A/47/9 </w:t>
    </w:r>
  </w:p>
  <w:p w:rsidR="007C18F7" w:rsidRDefault="007C18F7" w:rsidP="009E5CBD">
    <w:pPr>
      <w:pStyle w:val="Header"/>
      <w:jc w:val="right"/>
    </w:pPr>
    <w:r>
      <w:t>ANNEXE II</w:t>
    </w:r>
  </w:p>
  <w:p w:rsidR="007C18F7" w:rsidRDefault="007C18F7" w:rsidP="009E5CB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D88ED56"/>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601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TRADTERM|FTS_Glossary"/>
    <w:docVar w:name="TermBaseURL" w:val="empty"/>
    <w:docVar w:name="TextBases" w:val="TextBase TMs\Administrative\Meetings|TextBase TMs\Administrative\Other|TextBase TMs\Administrative\Publications|TextBase TMs\Budget and Finance\Meetings|TextBase TMs\Budget and Finance\Other|TextBase TMs\Budget and Finance\Publications|TextBase TMs\Glossaries\EN-FR|TextBase TMs\IP in General\Academy|TextBase TMs\IP in General\Arbitration and Mediation|TextBase TMs\IP in General\Meetings|TextBase TMs\IP in General\Other|TextBase TMs\IP in General\Press Room|TextBase TMs\IP in General\Publications|TextBase TMs\IP in General\SpeechDG2014|TextBase TMs\Patents\Meetings|TextBase TMs\Patents\Other|TextBase TMs\Patents\Publications|TextBase TMs\Trademarks\Meetings|TextBase TMs\Trademarks\Other|TextBase TMs\Trademarks\Publications|TextBase TMs\Treaties\Model Laws|TextBase TMs\Treaties\Other Laws and Agreements|TextBase TMs\Treaties\WIPO-administered|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UPOV|TextBase TMs\WorkspaceFTS\EN-FR\WO_CC|TextBase TMs\WorkspaceFTS\EN-FR\WO_GA|TextBase TMs\WorkspaceFTS\EN-FR\WO_PBC"/>
    <w:docVar w:name="TextBaseURL" w:val="empty"/>
    <w:docVar w:name="UILng" w:val="en"/>
  </w:docVars>
  <w:rsids>
    <w:rsidRoot w:val="00A3296F"/>
    <w:rsid w:val="00033721"/>
    <w:rsid w:val="0003681B"/>
    <w:rsid w:val="00040D89"/>
    <w:rsid w:val="00043CAA"/>
    <w:rsid w:val="000551C5"/>
    <w:rsid w:val="00067783"/>
    <w:rsid w:val="00075432"/>
    <w:rsid w:val="000968ED"/>
    <w:rsid w:val="000B1F37"/>
    <w:rsid w:val="000B53AD"/>
    <w:rsid w:val="000C05A7"/>
    <w:rsid w:val="000C226F"/>
    <w:rsid w:val="000E6210"/>
    <w:rsid w:val="000F5E56"/>
    <w:rsid w:val="001052EA"/>
    <w:rsid w:val="00122383"/>
    <w:rsid w:val="00130470"/>
    <w:rsid w:val="001362EE"/>
    <w:rsid w:val="00137143"/>
    <w:rsid w:val="001667E4"/>
    <w:rsid w:val="00170BF4"/>
    <w:rsid w:val="00175C65"/>
    <w:rsid w:val="001832A6"/>
    <w:rsid w:val="001D67E8"/>
    <w:rsid w:val="001E303D"/>
    <w:rsid w:val="002276B0"/>
    <w:rsid w:val="0023566A"/>
    <w:rsid w:val="0023745E"/>
    <w:rsid w:val="002634C4"/>
    <w:rsid w:val="002762F2"/>
    <w:rsid w:val="00290B1B"/>
    <w:rsid w:val="002928D3"/>
    <w:rsid w:val="00297490"/>
    <w:rsid w:val="002A2036"/>
    <w:rsid w:val="002D1F66"/>
    <w:rsid w:val="002D2318"/>
    <w:rsid w:val="002F1FE6"/>
    <w:rsid w:val="002F4E68"/>
    <w:rsid w:val="0031002F"/>
    <w:rsid w:val="00312F7F"/>
    <w:rsid w:val="00316E1E"/>
    <w:rsid w:val="00320A3A"/>
    <w:rsid w:val="003222AB"/>
    <w:rsid w:val="003228B7"/>
    <w:rsid w:val="00324CEE"/>
    <w:rsid w:val="00333DED"/>
    <w:rsid w:val="003474F5"/>
    <w:rsid w:val="00351D50"/>
    <w:rsid w:val="003673CF"/>
    <w:rsid w:val="00375A27"/>
    <w:rsid w:val="003845C1"/>
    <w:rsid w:val="003974A4"/>
    <w:rsid w:val="003A65A7"/>
    <w:rsid w:val="003A6F89"/>
    <w:rsid w:val="003B38C1"/>
    <w:rsid w:val="003C08F0"/>
    <w:rsid w:val="003F150F"/>
    <w:rsid w:val="003F2681"/>
    <w:rsid w:val="003F5852"/>
    <w:rsid w:val="00423793"/>
    <w:rsid w:val="00423E3E"/>
    <w:rsid w:val="00427AF4"/>
    <w:rsid w:val="004400E2"/>
    <w:rsid w:val="00444403"/>
    <w:rsid w:val="0045053D"/>
    <w:rsid w:val="00451C17"/>
    <w:rsid w:val="004647DA"/>
    <w:rsid w:val="004704AC"/>
    <w:rsid w:val="00471D2D"/>
    <w:rsid w:val="00473424"/>
    <w:rsid w:val="00474062"/>
    <w:rsid w:val="00474727"/>
    <w:rsid w:val="00477D6B"/>
    <w:rsid w:val="00497A1F"/>
    <w:rsid w:val="004A248D"/>
    <w:rsid w:val="004A2672"/>
    <w:rsid w:val="004A4EC6"/>
    <w:rsid w:val="004F6769"/>
    <w:rsid w:val="00510E51"/>
    <w:rsid w:val="0052560B"/>
    <w:rsid w:val="0053057A"/>
    <w:rsid w:val="00543313"/>
    <w:rsid w:val="00544893"/>
    <w:rsid w:val="0055241D"/>
    <w:rsid w:val="00554C35"/>
    <w:rsid w:val="00560A29"/>
    <w:rsid w:val="00576575"/>
    <w:rsid w:val="00594355"/>
    <w:rsid w:val="005E3372"/>
    <w:rsid w:val="00605827"/>
    <w:rsid w:val="006103D2"/>
    <w:rsid w:val="00646050"/>
    <w:rsid w:val="00646DAC"/>
    <w:rsid w:val="006713CA"/>
    <w:rsid w:val="00676C5C"/>
    <w:rsid w:val="00681F4E"/>
    <w:rsid w:val="006B013C"/>
    <w:rsid w:val="006B03C3"/>
    <w:rsid w:val="00701151"/>
    <w:rsid w:val="007058FB"/>
    <w:rsid w:val="00706541"/>
    <w:rsid w:val="00730CE8"/>
    <w:rsid w:val="00733C98"/>
    <w:rsid w:val="00740090"/>
    <w:rsid w:val="007440F3"/>
    <w:rsid w:val="00753B0A"/>
    <w:rsid w:val="007A614E"/>
    <w:rsid w:val="007B6A58"/>
    <w:rsid w:val="007C18F7"/>
    <w:rsid w:val="007D1613"/>
    <w:rsid w:val="007E6210"/>
    <w:rsid w:val="007F5AFF"/>
    <w:rsid w:val="00807843"/>
    <w:rsid w:val="00807945"/>
    <w:rsid w:val="00815326"/>
    <w:rsid w:val="00823C0A"/>
    <w:rsid w:val="00826AA2"/>
    <w:rsid w:val="008B2CC1"/>
    <w:rsid w:val="008B578D"/>
    <w:rsid w:val="008B60B2"/>
    <w:rsid w:val="008C1F8C"/>
    <w:rsid w:val="008E7C6E"/>
    <w:rsid w:val="008F1070"/>
    <w:rsid w:val="008F36A6"/>
    <w:rsid w:val="008F7C3D"/>
    <w:rsid w:val="00904689"/>
    <w:rsid w:val="0090731E"/>
    <w:rsid w:val="0091573F"/>
    <w:rsid w:val="00916EE2"/>
    <w:rsid w:val="0092726D"/>
    <w:rsid w:val="00952DA0"/>
    <w:rsid w:val="00955ACF"/>
    <w:rsid w:val="00956F04"/>
    <w:rsid w:val="00960FCA"/>
    <w:rsid w:val="00966A22"/>
    <w:rsid w:val="0096722F"/>
    <w:rsid w:val="00980843"/>
    <w:rsid w:val="009A1C6E"/>
    <w:rsid w:val="009B6BEF"/>
    <w:rsid w:val="009D1D1A"/>
    <w:rsid w:val="009D7855"/>
    <w:rsid w:val="009E2791"/>
    <w:rsid w:val="009E3F6F"/>
    <w:rsid w:val="009E534C"/>
    <w:rsid w:val="009E5CBD"/>
    <w:rsid w:val="009E625B"/>
    <w:rsid w:val="009F499F"/>
    <w:rsid w:val="009F4F8C"/>
    <w:rsid w:val="009F69E7"/>
    <w:rsid w:val="009F751C"/>
    <w:rsid w:val="009F7B52"/>
    <w:rsid w:val="00A00FB2"/>
    <w:rsid w:val="00A01F87"/>
    <w:rsid w:val="00A13304"/>
    <w:rsid w:val="00A3296F"/>
    <w:rsid w:val="00A42DAF"/>
    <w:rsid w:val="00A45BD8"/>
    <w:rsid w:val="00A53A25"/>
    <w:rsid w:val="00A656AD"/>
    <w:rsid w:val="00A85B8E"/>
    <w:rsid w:val="00AA0CB5"/>
    <w:rsid w:val="00AA4DC9"/>
    <w:rsid w:val="00AA6035"/>
    <w:rsid w:val="00AA635E"/>
    <w:rsid w:val="00AC19A5"/>
    <w:rsid w:val="00AC205C"/>
    <w:rsid w:val="00AC5521"/>
    <w:rsid w:val="00AD22CA"/>
    <w:rsid w:val="00AD3B83"/>
    <w:rsid w:val="00AD44CE"/>
    <w:rsid w:val="00AF4C30"/>
    <w:rsid w:val="00AF7535"/>
    <w:rsid w:val="00B05A69"/>
    <w:rsid w:val="00B1090E"/>
    <w:rsid w:val="00B10B86"/>
    <w:rsid w:val="00B328AA"/>
    <w:rsid w:val="00B36606"/>
    <w:rsid w:val="00B37A70"/>
    <w:rsid w:val="00B613A0"/>
    <w:rsid w:val="00B7681C"/>
    <w:rsid w:val="00B802E8"/>
    <w:rsid w:val="00B8062F"/>
    <w:rsid w:val="00B87796"/>
    <w:rsid w:val="00B9734B"/>
    <w:rsid w:val="00B97607"/>
    <w:rsid w:val="00B9798D"/>
    <w:rsid w:val="00BC5E22"/>
    <w:rsid w:val="00BF130B"/>
    <w:rsid w:val="00C05A9D"/>
    <w:rsid w:val="00C11BFE"/>
    <w:rsid w:val="00C65EB2"/>
    <w:rsid w:val="00C85903"/>
    <w:rsid w:val="00C94629"/>
    <w:rsid w:val="00CB2623"/>
    <w:rsid w:val="00CB430B"/>
    <w:rsid w:val="00CC10DC"/>
    <w:rsid w:val="00CE5FEC"/>
    <w:rsid w:val="00CF1E01"/>
    <w:rsid w:val="00D0746E"/>
    <w:rsid w:val="00D135DE"/>
    <w:rsid w:val="00D2554E"/>
    <w:rsid w:val="00D42784"/>
    <w:rsid w:val="00D45252"/>
    <w:rsid w:val="00D65345"/>
    <w:rsid w:val="00D66329"/>
    <w:rsid w:val="00D708BD"/>
    <w:rsid w:val="00D71B4D"/>
    <w:rsid w:val="00D71C3F"/>
    <w:rsid w:val="00D73038"/>
    <w:rsid w:val="00D7335A"/>
    <w:rsid w:val="00D93D55"/>
    <w:rsid w:val="00DB74FC"/>
    <w:rsid w:val="00DC4340"/>
    <w:rsid w:val="00DF5E38"/>
    <w:rsid w:val="00DF6C69"/>
    <w:rsid w:val="00E01E73"/>
    <w:rsid w:val="00E023EF"/>
    <w:rsid w:val="00E02995"/>
    <w:rsid w:val="00E02C6C"/>
    <w:rsid w:val="00E040B6"/>
    <w:rsid w:val="00E335FE"/>
    <w:rsid w:val="00E424F9"/>
    <w:rsid w:val="00E42B20"/>
    <w:rsid w:val="00E43E8E"/>
    <w:rsid w:val="00E44D14"/>
    <w:rsid w:val="00E5021F"/>
    <w:rsid w:val="00E60F60"/>
    <w:rsid w:val="00E6377A"/>
    <w:rsid w:val="00E65B01"/>
    <w:rsid w:val="00E72CBE"/>
    <w:rsid w:val="00E81C61"/>
    <w:rsid w:val="00E90591"/>
    <w:rsid w:val="00E92876"/>
    <w:rsid w:val="00E952E0"/>
    <w:rsid w:val="00EB1385"/>
    <w:rsid w:val="00EC4E49"/>
    <w:rsid w:val="00ED4A2B"/>
    <w:rsid w:val="00ED77FB"/>
    <w:rsid w:val="00F021A6"/>
    <w:rsid w:val="00F14AC2"/>
    <w:rsid w:val="00F25E3B"/>
    <w:rsid w:val="00F3664D"/>
    <w:rsid w:val="00F47F77"/>
    <w:rsid w:val="00F66152"/>
    <w:rsid w:val="00F80A17"/>
    <w:rsid w:val="00F82F5E"/>
    <w:rsid w:val="00FA1C09"/>
    <w:rsid w:val="00FF43D6"/>
    <w:rsid w:val="00FF72A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67E4"/>
    <w:rPr>
      <w:rFonts w:ascii="Arial" w:eastAsia="SimSun" w:hAnsi="Arial" w:cs="Arial"/>
      <w:sz w:val="22"/>
      <w:lang w:val="fr-FR"/>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0551C5"/>
    <w:rPr>
      <w:rFonts w:ascii="Tahoma" w:hAnsi="Tahoma" w:cs="Tahoma"/>
      <w:sz w:val="16"/>
      <w:szCs w:val="16"/>
    </w:rPr>
  </w:style>
  <w:style w:type="character" w:customStyle="1" w:styleId="BalloonTextChar">
    <w:name w:val="Balloon Text Char"/>
    <w:basedOn w:val="DefaultParagraphFont"/>
    <w:link w:val="BalloonText"/>
    <w:rsid w:val="000551C5"/>
    <w:rPr>
      <w:rFonts w:ascii="Tahoma" w:eastAsia="SimSun" w:hAnsi="Tahoma" w:cs="Tahoma"/>
      <w:sz w:val="16"/>
      <w:szCs w:val="16"/>
    </w:rPr>
  </w:style>
  <w:style w:type="character" w:customStyle="1" w:styleId="ONUMEChar">
    <w:name w:val="ONUM E Char"/>
    <w:basedOn w:val="DefaultParagraphFont"/>
    <w:link w:val="ONUME"/>
    <w:rsid w:val="00E040B6"/>
    <w:rPr>
      <w:rFonts w:ascii="Arial" w:eastAsia="SimSun" w:hAnsi="Arial" w:cs="Arial"/>
      <w:sz w:val="22"/>
    </w:rPr>
  </w:style>
  <w:style w:type="character" w:customStyle="1" w:styleId="RInsertedText">
    <w:name w:val="RInsertedText"/>
    <w:basedOn w:val="DefaultParagraphFont"/>
    <w:rsid w:val="00B613A0"/>
    <w:rPr>
      <w:color w:val="0000FF"/>
      <w:u w:val="single"/>
    </w:rPr>
  </w:style>
  <w:style w:type="paragraph" w:customStyle="1" w:styleId="LegTitle">
    <w:name w:val="Leg # Title"/>
    <w:basedOn w:val="Normal"/>
    <w:next w:val="Normal"/>
    <w:rsid w:val="00B613A0"/>
    <w:pPr>
      <w:keepNext/>
      <w:keepLines/>
      <w:pageBreakBefore/>
      <w:spacing w:before="240" w:after="480" w:line="480" w:lineRule="auto"/>
      <w:jc w:val="center"/>
    </w:pPr>
    <w:rPr>
      <w:rFonts w:eastAsia="Times New Roman"/>
      <w:b/>
      <w:snapToGrid w:val="0"/>
      <w:szCs w:val="22"/>
      <w:lang w:eastAsia="en-US"/>
    </w:rPr>
  </w:style>
  <w:style w:type="paragraph" w:customStyle="1" w:styleId="LegSubRule">
    <w:name w:val="Leg SubRule #"/>
    <w:basedOn w:val="Normal"/>
    <w:rsid w:val="00B613A0"/>
    <w:pPr>
      <w:keepNext/>
      <w:keepLines/>
      <w:tabs>
        <w:tab w:val="left" w:pos="510"/>
      </w:tabs>
      <w:spacing w:before="119" w:after="480" w:line="480" w:lineRule="auto"/>
      <w:ind w:left="533" w:hanging="533"/>
    </w:pPr>
    <w:rPr>
      <w:rFonts w:eastAsia="Times New Roman"/>
      <w:snapToGrid w:val="0"/>
      <w:szCs w:val="22"/>
      <w:lang w:eastAsia="en-US"/>
    </w:rPr>
  </w:style>
  <w:style w:type="paragraph" w:customStyle="1" w:styleId="Lega">
    <w:name w:val="Leg (a)"/>
    <w:basedOn w:val="Normal"/>
    <w:rsid w:val="00B613A0"/>
    <w:pPr>
      <w:tabs>
        <w:tab w:val="left" w:pos="454"/>
      </w:tabs>
      <w:spacing w:before="119" w:after="480" w:line="480" w:lineRule="auto"/>
    </w:pPr>
    <w:rPr>
      <w:rFonts w:eastAsia="Times New Roman"/>
      <w:snapToGrid w:val="0"/>
      <w:szCs w:val="22"/>
      <w:lang w:eastAsia="en-US"/>
    </w:rPr>
  </w:style>
  <w:style w:type="paragraph" w:customStyle="1" w:styleId="Legi">
    <w:name w:val="Leg (i)"/>
    <w:basedOn w:val="Normal"/>
    <w:rsid w:val="00B613A0"/>
    <w:pPr>
      <w:tabs>
        <w:tab w:val="right" w:pos="1020"/>
        <w:tab w:val="left" w:pos="1191"/>
      </w:tabs>
      <w:spacing w:before="60" w:after="480" w:line="480" w:lineRule="auto"/>
    </w:pPr>
    <w:rPr>
      <w:rFonts w:eastAsia="Times New Roman"/>
      <w:snapToGrid w:val="0"/>
      <w:szCs w:val="22"/>
      <w:lang w:eastAsia="en-US"/>
    </w:rPr>
  </w:style>
  <w:style w:type="paragraph" w:customStyle="1" w:styleId="Legiindent">
    <w:name w:val="Leg (i) indent"/>
    <w:basedOn w:val="Legi"/>
    <w:qFormat/>
    <w:rsid w:val="00B613A0"/>
    <w:pPr>
      <w:ind w:left="1191" w:hanging="1191"/>
    </w:pPr>
  </w:style>
  <w:style w:type="paragraph" w:customStyle="1" w:styleId="RPara">
    <w:name w:val="RPar(a)"/>
    <w:basedOn w:val="Normal"/>
    <w:link w:val="RParaChar"/>
    <w:rsid w:val="00B613A0"/>
    <w:pPr>
      <w:tabs>
        <w:tab w:val="left" w:pos="567"/>
      </w:tabs>
      <w:spacing w:after="360" w:line="480" w:lineRule="auto"/>
    </w:pPr>
    <w:rPr>
      <w:rFonts w:eastAsia="Times New Roman" w:cs="Times New Roman"/>
      <w:lang w:eastAsia="en-US"/>
    </w:rPr>
  </w:style>
  <w:style w:type="character" w:customStyle="1" w:styleId="RParaChar">
    <w:name w:val="RPar(a) Char"/>
    <w:basedOn w:val="DefaultParagraphFont"/>
    <w:link w:val="RPara"/>
    <w:rsid w:val="00B613A0"/>
    <w:rPr>
      <w:rFonts w:ascii="Arial" w:hAnsi="Arial"/>
      <w:sz w:val="22"/>
      <w:lang w:eastAsia="en-US"/>
    </w:rPr>
  </w:style>
  <w:style w:type="paragraph" w:styleId="TOC2">
    <w:name w:val="toc 2"/>
    <w:basedOn w:val="Normal"/>
    <w:next w:val="Normal"/>
    <w:uiPriority w:val="39"/>
    <w:rsid w:val="00B613A0"/>
    <w:pPr>
      <w:spacing w:after="100"/>
      <w:ind w:left="1072" w:right="567" w:hanging="851"/>
    </w:pPr>
  </w:style>
  <w:style w:type="paragraph" w:styleId="TOC1">
    <w:name w:val="toc 1"/>
    <w:basedOn w:val="Normal"/>
    <w:next w:val="Normal"/>
    <w:autoRedefine/>
    <w:uiPriority w:val="39"/>
    <w:rsid w:val="00B613A0"/>
    <w:pPr>
      <w:keepNext/>
      <w:keepLines/>
      <w:tabs>
        <w:tab w:val="right" w:leader="dot" w:pos="9345"/>
      </w:tabs>
      <w:spacing w:before="240" w:after="100"/>
      <w:ind w:left="851" w:right="567" w:hanging="851"/>
    </w:pPr>
  </w:style>
  <w:style w:type="character" w:styleId="Hyperlink">
    <w:name w:val="Hyperlink"/>
    <w:basedOn w:val="DefaultParagraphFont"/>
    <w:uiPriority w:val="99"/>
    <w:unhideWhenUsed/>
    <w:rsid w:val="00B613A0"/>
    <w:rPr>
      <w:color w:val="0000FF" w:themeColor="hyperlink"/>
      <w:u w:val="single"/>
    </w:rPr>
  </w:style>
  <w:style w:type="character" w:styleId="CommentReference">
    <w:name w:val="annotation reference"/>
    <w:basedOn w:val="DefaultParagraphFont"/>
    <w:rsid w:val="00471D2D"/>
    <w:rPr>
      <w:sz w:val="16"/>
      <w:szCs w:val="16"/>
    </w:rPr>
  </w:style>
  <w:style w:type="paragraph" w:styleId="CommentSubject">
    <w:name w:val="annotation subject"/>
    <w:basedOn w:val="CommentText"/>
    <w:next w:val="CommentText"/>
    <w:link w:val="CommentSubjectChar"/>
    <w:rsid w:val="00471D2D"/>
    <w:rPr>
      <w:b/>
      <w:bCs/>
      <w:sz w:val="20"/>
    </w:rPr>
  </w:style>
  <w:style w:type="character" w:customStyle="1" w:styleId="CommentTextChar">
    <w:name w:val="Comment Text Char"/>
    <w:basedOn w:val="DefaultParagraphFont"/>
    <w:link w:val="CommentText"/>
    <w:semiHidden/>
    <w:rsid w:val="00471D2D"/>
    <w:rPr>
      <w:rFonts w:ascii="Arial" w:eastAsia="SimSun" w:hAnsi="Arial" w:cs="Arial"/>
      <w:sz w:val="18"/>
    </w:rPr>
  </w:style>
  <w:style w:type="character" w:customStyle="1" w:styleId="CommentSubjectChar">
    <w:name w:val="Comment Subject Char"/>
    <w:basedOn w:val="CommentTextChar"/>
    <w:link w:val="CommentSubject"/>
    <w:rsid w:val="00471D2D"/>
    <w:rPr>
      <w:rFonts w:ascii="Arial" w:eastAsia="SimSun" w:hAnsi="Arial" w:cs="Arial"/>
      <w:b/>
      <w:bCs/>
      <w:sz w:val="18"/>
    </w:rPr>
  </w:style>
  <w:style w:type="character" w:customStyle="1" w:styleId="Heading1Char">
    <w:name w:val="Heading 1 Char"/>
    <w:basedOn w:val="DefaultParagraphFont"/>
    <w:link w:val="Heading1"/>
    <w:rsid w:val="004A2672"/>
    <w:rPr>
      <w:rFonts w:ascii="Arial" w:eastAsia="SimSun" w:hAnsi="Arial" w:cs="Arial"/>
      <w:b/>
      <w:bCs/>
      <w:caps/>
      <w:kern w:val="32"/>
      <w:sz w:val="22"/>
      <w:szCs w:val="32"/>
      <w:lang w:val="fr-FR"/>
    </w:rPr>
  </w:style>
  <w:style w:type="character" w:customStyle="1" w:styleId="Heading2Char">
    <w:name w:val="Heading 2 Char"/>
    <w:basedOn w:val="DefaultParagraphFont"/>
    <w:link w:val="Heading2"/>
    <w:rsid w:val="000C226F"/>
    <w:rPr>
      <w:rFonts w:ascii="Arial" w:eastAsia="SimSun" w:hAnsi="Arial" w:cs="Arial"/>
      <w:bCs/>
      <w:iCs/>
      <w:caps/>
      <w:sz w:val="22"/>
      <w:szCs w:val="28"/>
      <w:lang w:val="fr-FR"/>
    </w:rPr>
  </w:style>
  <w:style w:type="character" w:customStyle="1" w:styleId="Heading3Char">
    <w:name w:val="Heading 3 Char"/>
    <w:basedOn w:val="DefaultParagraphFont"/>
    <w:link w:val="Heading3"/>
    <w:rsid w:val="000C226F"/>
    <w:rPr>
      <w:rFonts w:ascii="Arial" w:eastAsia="SimSun" w:hAnsi="Arial" w:cs="Arial"/>
      <w:bCs/>
      <w:sz w:val="22"/>
      <w:szCs w:val="26"/>
      <w:u w:val="single"/>
      <w:lang w:val="fr-FR"/>
    </w:rPr>
  </w:style>
  <w:style w:type="character" w:customStyle="1" w:styleId="Heading4Char">
    <w:name w:val="Heading 4 Char"/>
    <w:basedOn w:val="DefaultParagraphFont"/>
    <w:link w:val="Heading4"/>
    <w:rsid w:val="000C226F"/>
    <w:rPr>
      <w:rFonts w:ascii="Arial" w:eastAsia="SimSun" w:hAnsi="Arial" w:cs="Arial"/>
      <w:bCs/>
      <w:i/>
      <w:sz w:val="22"/>
      <w:szCs w:val="28"/>
      <w:lang w:val="fr-FR"/>
    </w:rPr>
  </w:style>
  <w:style w:type="character" w:customStyle="1" w:styleId="BodyTextChar">
    <w:name w:val="Body Text Char"/>
    <w:basedOn w:val="DefaultParagraphFont"/>
    <w:link w:val="BodyText"/>
    <w:rsid w:val="000C226F"/>
    <w:rPr>
      <w:rFonts w:ascii="Arial" w:eastAsia="SimSun" w:hAnsi="Arial" w:cs="Arial"/>
      <w:sz w:val="22"/>
      <w:lang w:val="fr-FR"/>
    </w:rPr>
  </w:style>
  <w:style w:type="character" w:customStyle="1" w:styleId="EndnoteTextChar">
    <w:name w:val="Endnote Text Char"/>
    <w:basedOn w:val="DefaultParagraphFont"/>
    <w:link w:val="EndnoteText"/>
    <w:semiHidden/>
    <w:rsid w:val="000C226F"/>
    <w:rPr>
      <w:rFonts w:ascii="Arial" w:eastAsia="SimSun" w:hAnsi="Arial" w:cs="Arial"/>
      <w:sz w:val="18"/>
      <w:lang w:val="fr-FR"/>
    </w:rPr>
  </w:style>
  <w:style w:type="character" w:customStyle="1" w:styleId="FooterChar">
    <w:name w:val="Footer Char"/>
    <w:basedOn w:val="DefaultParagraphFont"/>
    <w:link w:val="Footer"/>
    <w:semiHidden/>
    <w:rsid w:val="000C226F"/>
    <w:rPr>
      <w:rFonts w:ascii="Arial" w:eastAsia="SimSun" w:hAnsi="Arial" w:cs="Arial"/>
      <w:sz w:val="22"/>
      <w:lang w:val="fr-FR"/>
    </w:rPr>
  </w:style>
  <w:style w:type="character" w:customStyle="1" w:styleId="FootnoteTextChar">
    <w:name w:val="Footnote Text Char"/>
    <w:basedOn w:val="DefaultParagraphFont"/>
    <w:link w:val="FootnoteText"/>
    <w:rsid w:val="000C226F"/>
    <w:rPr>
      <w:rFonts w:ascii="Arial" w:eastAsia="SimSun" w:hAnsi="Arial" w:cs="Arial"/>
      <w:sz w:val="18"/>
      <w:lang w:val="fr-FR"/>
    </w:rPr>
  </w:style>
  <w:style w:type="character" w:customStyle="1" w:styleId="HeaderChar">
    <w:name w:val="Header Char"/>
    <w:basedOn w:val="DefaultParagraphFont"/>
    <w:link w:val="Header"/>
    <w:rsid w:val="000C226F"/>
    <w:rPr>
      <w:rFonts w:ascii="Arial" w:eastAsia="SimSun" w:hAnsi="Arial" w:cs="Arial"/>
      <w:sz w:val="22"/>
      <w:lang w:val="fr-FR"/>
    </w:rPr>
  </w:style>
  <w:style w:type="character" w:customStyle="1" w:styleId="SalutationChar">
    <w:name w:val="Salutation Char"/>
    <w:basedOn w:val="DefaultParagraphFont"/>
    <w:link w:val="Salutation"/>
    <w:semiHidden/>
    <w:rsid w:val="000C226F"/>
    <w:rPr>
      <w:rFonts w:ascii="Arial" w:eastAsia="SimSun" w:hAnsi="Arial" w:cs="Arial"/>
      <w:sz w:val="22"/>
      <w:lang w:val="fr-FR"/>
    </w:rPr>
  </w:style>
  <w:style w:type="character" w:customStyle="1" w:styleId="SignatureChar">
    <w:name w:val="Signature Char"/>
    <w:basedOn w:val="DefaultParagraphFont"/>
    <w:link w:val="Signature"/>
    <w:semiHidden/>
    <w:rsid w:val="000C226F"/>
    <w:rPr>
      <w:rFonts w:ascii="Arial" w:eastAsia="SimSun" w:hAnsi="Arial" w:cs="Arial"/>
      <w:sz w:val="22"/>
      <w:lang w:val="fr-FR"/>
    </w:rPr>
  </w:style>
  <w:style w:type="character" w:customStyle="1" w:styleId="LegInsertedText">
    <w:name w:val="LegInsertedText"/>
    <w:rsid w:val="000C226F"/>
    <w:rPr>
      <w:color w:val="0000FF"/>
      <w:u w:val="single"/>
    </w:rPr>
  </w:style>
  <w:style w:type="character" w:customStyle="1" w:styleId="LegDeletedText">
    <w:name w:val="LegDeletedText"/>
    <w:basedOn w:val="DefaultParagraphFont"/>
    <w:uiPriority w:val="1"/>
    <w:qFormat/>
    <w:rsid w:val="000C226F"/>
    <w:rPr>
      <w:strike/>
      <w:dstrike w:val="0"/>
      <w:color w:val="FF0000"/>
    </w:rPr>
  </w:style>
  <w:style w:type="character" w:customStyle="1" w:styleId="RDeletedText">
    <w:name w:val="RDeletedText"/>
    <w:basedOn w:val="DefaultParagraphFont"/>
    <w:rsid w:val="000C226F"/>
    <w:rPr>
      <w:strike/>
      <w:color w:val="FF0000"/>
    </w:rPr>
  </w:style>
  <w:style w:type="character" w:customStyle="1" w:styleId="InsertedText">
    <w:name w:val="Inserted Text"/>
    <w:basedOn w:val="DefaultParagraphFont"/>
    <w:uiPriority w:val="1"/>
    <w:qFormat/>
    <w:rsid w:val="000C226F"/>
    <w:rPr>
      <w:color w:val="0070C0"/>
      <w:u w:val="single"/>
    </w:rPr>
  </w:style>
  <w:style w:type="paragraph" w:customStyle="1" w:styleId="RContinued">
    <w:name w:val="RContinued"/>
    <w:basedOn w:val="Normal"/>
    <w:next w:val="Normal"/>
    <w:link w:val="RContinuedChar"/>
    <w:rsid w:val="000C226F"/>
    <w:pPr>
      <w:pageBreakBefore/>
      <w:tabs>
        <w:tab w:val="left" w:pos="567"/>
      </w:tabs>
      <w:spacing w:after="360" w:line="480" w:lineRule="auto"/>
      <w:jc w:val="center"/>
    </w:pPr>
    <w:rPr>
      <w:rFonts w:eastAsia="Times New Roman" w:cs="Times New Roman"/>
      <w:i/>
      <w:lang w:eastAsia="en-US"/>
    </w:rPr>
  </w:style>
  <w:style w:type="character" w:customStyle="1" w:styleId="RContinuedChar">
    <w:name w:val="RContinued Char"/>
    <w:basedOn w:val="DefaultParagraphFont"/>
    <w:link w:val="RContinued"/>
    <w:rsid w:val="000C226F"/>
    <w:rPr>
      <w:rFonts w:ascii="Arial" w:hAnsi="Arial"/>
      <w:i/>
      <w:sz w:val="22"/>
      <w:lang w:val="fr-FR" w:eastAsia="en-US"/>
    </w:rPr>
  </w:style>
  <w:style w:type="character" w:styleId="FootnoteReference">
    <w:name w:val="footnote reference"/>
    <w:rsid w:val="000C226F"/>
    <w:rPr>
      <w:vertAlign w:val="superscript"/>
    </w:rPr>
  </w:style>
  <w:style w:type="paragraph" w:styleId="Revision">
    <w:name w:val="Revision"/>
    <w:hidden/>
    <w:uiPriority w:val="99"/>
    <w:semiHidden/>
    <w:rsid w:val="000C226F"/>
    <w:rPr>
      <w:rFonts w:ascii="Arial" w:eastAsia="SimSun" w:hAnsi="Arial" w:cs="Arial"/>
      <w:sz w:val="22"/>
    </w:rPr>
  </w:style>
  <w:style w:type="paragraph" w:styleId="ListParagraph">
    <w:name w:val="List Paragraph"/>
    <w:basedOn w:val="Normal"/>
    <w:uiPriority w:val="34"/>
    <w:qFormat/>
    <w:rsid w:val="00175C65"/>
    <w:pPr>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67E4"/>
    <w:rPr>
      <w:rFonts w:ascii="Arial" w:eastAsia="SimSun" w:hAnsi="Arial" w:cs="Arial"/>
      <w:sz w:val="22"/>
      <w:lang w:val="fr-FR"/>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0551C5"/>
    <w:rPr>
      <w:rFonts w:ascii="Tahoma" w:hAnsi="Tahoma" w:cs="Tahoma"/>
      <w:sz w:val="16"/>
      <w:szCs w:val="16"/>
    </w:rPr>
  </w:style>
  <w:style w:type="character" w:customStyle="1" w:styleId="BalloonTextChar">
    <w:name w:val="Balloon Text Char"/>
    <w:basedOn w:val="DefaultParagraphFont"/>
    <w:link w:val="BalloonText"/>
    <w:rsid w:val="000551C5"/>
    <w:rPr>
      <w:rFonts w:ascii="Tahoma" w:eastAsia="SimSun" w:hAnsi="Tahoma" w:cs="Tahoma"/>
      <w:sz w:val="16"/>
      <w:szCs w:val="16"/>
    </w:rPr>
  </w:style>
  <w:style w:type="character" w:customStyle="1" w:styleId="ONUMEChar">
    <w:name w:val="ONUM E Char"/>
    <w:basedOn w:val="DefaultParagraphFont"/>
    <w:link w:val="ONUME"/>
    <w:rsid w:val="00E040B6"/>
    <w:rPr>
      <w:rFonts w:ascii="Arial" w:eastAsia="SimSun" w:hAnsi="Arial" w:cs="Arial"/>
      <w:sz w:val="22"/>
    </w:rPr>
  </w:style>
  <w:style w:type="character" w:customStyle="1" w:styleId="RInsertedText">
    <w:name w:val="RInsertedText"/>
    <w:basedOn w:val="DefaultParagraphFont"/>
    <w:rsid w:val="00B613A0"/>
    <w:rPr>
      <w:color w:val="0000FF"/>
      <w:u w:val="single"/>
    </w:rPr>
  </w:style>
  <w:style w:type="paragraph" w:customStyle="1" w:styleId="LegTitle">
    <w:name w:val="Leg # Title"/>
    <w:basedOn w:val="Normal"/>
    <w:next w:val="Normal"/>
    <w:rsid w:val="00B613A0"/>
    <w:pPr>
      <w:keepNext/>
      <w:keepLines/>
      <w:pageBreakBefore/>
      <w:spacing w:before="240" w:after="480" w:line="480" w:lineRule="auto"/>
      <w:jc w:val="center"/>
    </w:pPr>
    <w:rPr>
      <w:rFonts w:eastAsia="Times New Roman"/>
      <w:b/>
      <w:snapToGrid w:val="0"/>
      <w:szCs w:val="22"/>
      <w:lang w:eastAsia="en-US"/>
    </w:rPr>
  </w:style>
  <w:style w:type="paragraph" w:customStyle="1" w:styleId="LegSubRule">
    <w:name w:val="Leg SubRule #"/>
    <w:basedOn w:val="Normal"/>
    <w:rsid w:val="00B613A0"/>
    <w:pPr>
      <w:keepNext/>
      <w:keepLines/>
      <w:tabs>
        <w:tab w:val="left" w:pos="510"/>
      </w:tabs>
      <w:spacing w:before="119" w:after="480" w:line="480" w:lineRule="auto"/>
      <w:ind w:left="533" w:hanging="533"/>
    </w:pPr>
    <w:rPr>
      <w:rFonts w:eastAsia="Times New Roman"/>
      <w:snapToGrid w:val="0"/>
      <w:szCs w:val="22"/>
      <w:lang w:eastAsia="en-US"/>
    </w:rPr>
  </w:style>
  <w:style w:type="paragraph" w:customStyle="1" w:styleId="Lega">
    <w:name w:val="Leg (a)"/>
    <w:basedOn w:val="Normal"/>
    <w:rsid w:val="00B613A0"/>
    <w:pPr>
      <w:tabs>
        <w:tab w:val="left" w:pos="454"/>
      </w:tabs>
      <w:spacing w:before="119" w:after="480" w:line="480" w:lineRule="auto"/>
    </w:pPr>
    <w:rPr>
      <w:rFonts w:eastAsia="Times New Roman"/>
      <w:snapToGrid w:val="0"/>
      <w:szCs w:val="22"/>
      <w:lang w:eastAsia="en-US"/>
    </w:rPr>
  </w:style>
  <w:style w:type="paragraph" w:customStyle="1" w:styleId="Legi">
    <w:name w:val="Leg (i)"/>
    <w:basedOn w:val="Normal"/>
    <w:rsid w:val="00B613A0"/>
    <w:pPr>
      <w:tabs>
        <w:tab w:val="right" w:pos="1020"/>
        <w:tab w:val="left" w:pos="1191"/>
      </w:tabs>
      <w:spacing w:before="60" w:after="480" w:line="480" w:lineRule="auto"/>
    </w:pPr>
    <w:rPr>
      <w:rFonts w:eastAsia="Times New Roman"/>
      <w:snapToGrid w:val="0"/>
      <w:szCs w:val="22"/>
      <w:lang w:eastAsia="en-US"/>
    </w:rPr>
  </w:style>
  <w:style w:type="paragraph" w:customStyle="1" w:styleId="Legiindent">
    <w:name w:val="Leg (i) indent"/>
    <w:basedOn w:val="Legi"/>
    <w:qFormat/>
    <w:rsid w:val="00B613A0"/>
    <w:pPr>
      <w:ind w:left="1191" w:hanging="1191"/>
    </w:pPr>
  </w:style>
  <w:style w:type="paragraph" w:customStyle="1" w:styleId="RPara">
    <w:name w:val="RPar(a)"/>
    <w:basedOn w:val="Normal"/>
    <w:link w:val="RParaChar"/>
    <w:rsid w:val="00B613A0"/>
    <w:pPr>
      <w:tabs>
        <w:tab w:val="left" w:pos="567"/>
      </w:tabs>
      <w:spacing w:after="360" w:line="480" w:lineRule="auto"/>
    </w:pPr>
    <w:rPr>
      <w:rFonts w:eastAsia="Times New Roman" w:cs="Times New Roman"/>
      <w:lang w:eastAsia="en-US"/>
    </w:rPr>
  </w:style>
  <w:style w:type="character" w:customStyle="1" w:styleId="RParaChar">
    <w:name w:val="RPar(a) Char"/>
    <w:basedOn w:val="DefaultParagraphFont"/>
    <w:link w:val="RPara"/>
    <w:rsid w:val="00B613A0"/>
    <w:rPr>
      <w:rFonts w:ascii="Arial" w:hAnsi="Arial"/>
      <w:sz w:val="22"/>
      <w:lang w:eastAsia="en-US"/>
    </w:rPr>
  </w:style>
  <w:style w:type="paragraph" w:styleId="TOC2">
    <w:name w:val="toc 2"/>
    <w:basedOn w:val="Normal"/>
    <w:next w:val="Normal"/>
    <w:uiPriority w:val="39"/>
    <w:rsid w:val="00B613A0"/>
    <w:pPr>
      <w:spacing w:after="100"/>
      <w:ind w:left="1072" w:right="567" w:hanging="851"/>
    </w:pPr>
  </w:style>
  <w:style w:type="paragraph" w:styleId="TOC1">
    <w:name w:val="toc 1"/>
    <w:basedOn w:val="Normal"/>
    <w:next w:val="Normal"/>
    <w:autoRedefine/>
    <w:uiPriority w:val="39"/>
    <w:rsid w:val="00B613A0"/>
    <w:pPr>
      <w:keepNext/>
      <w:keepLines/>
      <w:tabs>
        <w:tab w:val="right" w:leader="dot" w:pos="9345"/>
      </w:tabs>
      <w:spacing w:before="240" w:after="100"/>
      <w:ind w:left="851" w:right="567" w:hanging="851"/>
    </w:pPr>
  </w:style>
  <w:style w:type="character" w:styleId="Hyperlink">
    <w:name w:val="Hyperlink"/>
    <w:basedOn w:val="DefaultParagraphFont"/>
    <w:uiPriority w:val="99"/>
    <w:unhideWhenUsed/>
    <w:rsid w:val="00B613A0"/>
    <w:rPr>
      <w:color w:val="0000FF" w:themeColor="hyperlink"/>
      <w:u w:val="single"/>
    </w:rPr>
  </w:style>
  <w:style w:type="character" w:styleId="CommentReference">
    <w:name w:val="annotation reference"/>
    <w:basedOn w:val="DefaultParagraphFont"/>
    <w:rsid w:val="00471D2D"/>
    <w:rPr>
      <w:sz w:val="16"/>
      <w:szCs w:val="16"/>
    </w:rPr>
  </w:style>
  <w:style w:type="paragraph" w:styleId="CommentSubject">
    <w:name w:val="annotation subject"/>
    <w:basedOn w:val="CommentText"/>
    <w:next w:val="CommentText"/>
    <w:link w:val="CommentSubjectChar"/>
    <w:rsid w:val="00471D2D"/>
    <w:rPr>
      <w:b/>
      <w:bCs/>
      <w:sz w:val="20"/>
    </w:rPr>
  </w:style>
  <w:style w:type="character" w:customStyle="1" w:styleId="CommentTextChar">
    <w:name w:val="Comment Text Char"/>
    <w:basedOn w:val="DefaultParagraphFont"/>
    <w:link w:val="CommentText"/>
    <w:semiHidden/>
    <w:rsid w:val="00471D2D"/>
    <w:rPr>
      <w:rFonts w:ascii="Arial" w:eastAsia="SimSun" w:hAnsi="Arial" w:cs="Arial"/>
      <w:sz w:val="18"/>
    </w:rPr>
  </w:style>
  <w:style w:type="character" w:customStyle="1" w:styleId="CommentSubjectChar">
    <w:name w:val="Comment Subject Char"/>
    <w:basedOn w:val="CommentTextChar"/>
    <w:link w:val="CommentSubject"/>
    <w:rsid w:val="00471D2D"/>
    <w:rPr>
      <w:rFonts w:ascii="Arial" w:eastAsia="SimSun" w:hAnsi="Arial" w:cs="Arial"/>
      <w:b/>
      <w:bCs/>
      <w:sz w:val="18"/>
    </w:rPr>
  </w:style>
  <w:style w:type="character" w:customStyle="1" w:styleId="Heading1Char">
    <w:name w:val="Heading 1 Char"/>
    <w:basedOn w:val="DefaultParagraphFont"/>
    <w:link w:val="Heading1"/>
    <w:rsid w:val="004A2672"/>
    <w:rPr>
      <w:rFonts w:ascii="Arial" w:eastAsia="SimSun" w:hAnsi="Arial" w:cs="Arial"/>
      <w:b/>
      <w:bCs/>
      <w:caps/>
      <w:kern w:val="32"/>
      <w:sz w:val="22"/>
      <w:szCs w:val="32"/>
      <w:lang w:val="fr-FR"/>
    </w:rPr>
  </w:style>
  <w:style w:type="character" w:customStyle="1" w:styleId="Heading2Char">
    <w:name w:val="Heading 2 Char"/>
    <w:basedOn w:val="DefaultParagraphFont"/>
    <w:link w:val="Heading2"/>
    <w:rsid w:val="000C226F"/>
    <w:rPr>
      <w:rFonts w:ascii="Arial" w:eastAsia="SimSun" w:hAnsi="Arial" w:cs="Arial"/>
      <w:bCs/>
      <w:iCs/>
      <w:caps/>
      <w:sz w:val="22"/>
      <w:szCs w:val="28"/>
      <w:lang w:val="fr-FR"/>
    </w:rPr>
  </w:style>
  <w:style w:type="character" w:customStyle="1" w:styleId="Heading3Char">
    <w:name w:val="Heading 3 Char"/>
    <w:basedOn w:val="DefaultParagraphFont"/>
    <w:link w:val="Heading3"/>
    <w:rsid w:val="000C226F"/>
    <w:rPr>
      <w:rFonts w:ascii="Arial" w:eastAsia="SimSun" w:hAnsi="Arial" w:cs="Arial"/>
      <w:bCs/>
      <w:sz w:val="22"/>
      <w:szCs w:val="26"/>
      <w:u w:val="single"/>
      <w:lang w:val="fr-FR"/>
    </w:rPr>
  </w:style>
  <w:style w:type="character" w:customStyle="1" w:styleId="Heading4Char">
    <w:name w:val="Heading 4 Char"/>
    <w:basedOn w:val="DefaultParagraphFont"/>
    <w:link w:val="Heading4"/>
    <w:rsid w:val="000C226F"/>
    <w:rPr>
      <w:rFonts w:ascii="Arial" w:eastAsia="SimSun" w:hAnsi="Arial" w:cs="Arial"/>
      <w:bCs/>
      <w:i/>
      <w:sz w:val="22"/>
      <w:szCs w:val="28"/>
      <w:lang w:val="fr-FR"/>
    </w:rPr>
  </w:style>
  <w:style w:type="character" w:customStyle="1" w:styleId="BodyTextChar">
    <w:name w:val="Body Text Char"/>
    <w:basedOn w:val="DefaultParagraphFont"/>
    <w:link w:val="BodyText"/>
    <w:rsid w:val="000C226F"/>
    <w:rPr>
      <w:rFonts w:ascii="Arial" w:eastAsia="SimSun" w:hAnsi="Arial" w:cs="Arial"/>
      <w:sz w:val="22"/>
      <w:lang w:val="fr-FR"/>
    </w:rPr>
  </w:style>
  <w:style w:type="character" w:customStyle="1" w:styleId="EndnoteTextChar">
    <w:name w:val="Endnote Text Char"/>
    <w:basedOn w:val="DefaultParagraphFont"/>
    <w:link w:val="EndnoteText"/>
    <w:semiHidden/>
    <w:rsid w:val="000C226F"/>
    <w:rPr>
      <w:rFonts w:ascii="Arial" w:eastAsia="SimSun" w:hAnsi="Arial" w:cs="Arial"/>
      <w:sz w:val="18"/>
      <w:lang w:val="fr-FR"/>
    </w:rPr>
  </w:style>
  <w:style w:type="character" w:customStyle="1" w:styleId="FooterChar">
    <w:name w:val="Footer Char"/>
    <w:basedOn w:val="DefaultParagraphFont"/>
    <w:link w:val="Footer"/>
    <w:semiHidden/>
    <w:rsid w:val="000C226F"/>
    <w:rPr>
      <w:rFonts w:ascii="Arial" w:eastAsia="SimSun" w:hAnsi="Arial" w:cs="Arial"/>
      <w:sz w:val="22"/>
      <w:lang w:val="fr-FR"/>
    </w:rPr>
  </w:style>
  <w:style w:type="character" w:customStyle="1" w:styleId="FootnoteTextChar">
    <w:name w:val="Footnote Text Char"/>
    <w:basedOn w:val="DefaultParagraphFont"/>
    <w:link w:val="FootnoteText"/>
    <w:rsid w:val="000C226F"/>
    <w:rPr>
      <w:rFonts w:ascii="Arial" w:eastAsia="SimSun" w:hAnsi="Arial" w:cs="Arial"/>
      <w:sz w:val="18"/>
      <w:lang w:val="fr-FR"/>
    </w:rPr>
  </w:style>
  <w:style w:type="character" w:customStyle="1" w:styleId="HeaderChar">
    <w:name w:val="Header Char"/>
    <w:basedOn w:val="DefaultParagraphFont"/>
    <w:link w:val="Header"/>
    <w:rsid w:val="000C226F"/>
    <w:rPr>
      <w:rFonts w:ascii="Arial" w:eastAsia="SimSun" w:hAnsi="Arial" w:cs="Arial"/>
      <w:sz w:val="22"/>
      <w:lang w:val="fr-FR"/>
    </w:rPr>
  </w:style>
  <w:style w:type="character" w:customStyle="1" w:styleId="SalutationChar">
    <w:name w:val="Salutation Char"/>
    <w:basedOn w:val="DefaultParagraphFont"/>
    <w:link w:val="Salutation"/>
    <w:semiHidden/>
    <w:rsid w:val="000C226F"/>
    <w:rPr>
      <w:rFonts w:ascii="Arial" w:eastAsia="SimSun" w:hAnsi="Arial" w:cs="Arial"/>
      <w:sz w:val="22"/>
      <w:lang w:val="fr-FR"/>
    </w:rPr>
  </w:style>
  <w:style w:type="character" w:customStyle="1" w:styleId="SignatureChar">
    <w:name w:val="Signature Char"/>
    <w:basedOn w:val="DefaultParagraphFont"/>
    <w:link w:val="Signature"/>
    <w:semiHidden/>
    <w:rsid w:val="000C226F"/>
    <w:rPr>
      <w:rFonts w:ascii="Arial" w:eastAsia="SimSun" w:hAnsi="Arial" w:cs="Arial"/>
      <w:sz w:val="22"/>
      <w:lang w:val="fr-FR"/>
    </w:rPr>
  </w:style>
  <w:style w:type="character" w:customStyle="1" w:styleId="LegInsertedText">
    <w:name w:val="LegInsertedText"/>
    <w:rsid w:val="000C226F"/>
    <w:rPr>
      <w:color w:val="0000FF"/>
      <w:u w:val="single"/>
    </w:rPr>
  </w:style>
  <w:style w:type="character" w:customStyle="1" w:styleId="LegDeletedText">
    <w:name w:val="LegDeletedText"/>
    <w:basedOn w:val="DefaultParagraphFont"/>
    <w:uiPriority w:val="1"/>
    <w:qFormat/>
    <w:rsid w:val="000C226F"/>
    <w:rPr>
      <w:strike/>
      <w:dstrike w:val="0"/>
      <w:color w:val="FF0000"/>
    </w:rPr>
  </w:style>
  <w:style w:type="character" w:customStyle="1" w:styleId="RDeletedText">
    <w:name w:val="RDeletedText"/>
    <w:basedOn w:val="DefaultParagraphFont"/>
    <w:rsid w:val="000C226F"/>
    <w:rPr>
      <w:strike/>
      <w:color w:val="FF0000"/>
    </w:rPr>
  </w:style>
  <w:style w:type="character" w:customStyle="1" w:styleId="InsertedText">
    <w:name w:val="Inserted Text"/>
    <w:basedOn w:val="DefaultParagraphFont"/>
    <w:uiPriority w:val="1"/>
    <w:qFormat/>
    <w:rsid w:val="000C226F"/>
    <w:rPr>
      <w:color w:val="0070C0"/>
      <w:u w:val="single"/>
    </w:rPr>
  </w:style>
  <w:style w:type="paragraph" w:customStyle="1" w:styleId="RContinued">
    <w:name w:val="RContinued"/>
    <w:basedOn w:val="Normal"/>
    <w:next w:val="Normal"/>
    <w:link w:val="RContinuedChar"/>
    <w:rsid w:val="000C226F"/>
    <w:pPr>
      <w:pageBreakBefore/>
      <w:tabs>
        <w:tab w:val="left" w:pos="567"/>
      </w:tabs>
      <w:spacing w:after="360" w:line="480" w:lineRule="auto"/>
      <w:jc w:val="center"/>
    </w:pPr>
    <w:rPr>
      <w:rFonts w:eastAsia="Times New Roman" w:cs="Times New Roman"/>
      <w:i/>
      <w:lang w:eastAsia="en-US"/>
    </w:rPr>
  </w:style>
  <w:style w:type="character" w:customStyle="1" w:styleId="RContinuedChar">
    <w:name w:val="RContinued Char"/>
    <w:basedOn w:val="DefaultParagraphFont"/>
    <w:link w:val="RContinued"/>
    <w:rsid w:val="000C226F"/>
    <w:rPr>
      <w:rFonts w:ascii="Arial" w:hAnsi="Arial"/>
      <w:i/>
      <w:sz w:val="22"/>
      <w:lang w:val="fr-FR" w:eastAsia="en-US"/>
    </w:rPr>
  </w:style>
  <w:style w:type="character" w:styleId="FootnoteReference">
    <w:name w:val="footnote reference"/>
    <w:rsid w:val="000C226F"/>
    <w:rPr>
      <w:vertAlign w:val="superscript"/>
    </w:rPr>
  </w:style>
  <w:style w:type="paragraph" w:styleId="Revision">
    <w:name w:val="Revision"/>
    <w:hidden/>
    <w:uiPriority w:val="99"/>
    <w:semiHidden/>
    <w:rsid w:val="000C226F"/>
    <w:rPr>
      <w:rFonts w:ascii="Arial" w:eastAsia="SimSun" w:hAnsi="Arial" w:cs="Arial"/>
      <w:sz w:val="22"/>
    </w:rPr>
  </w:style>
  <w:style w:type="paragraph" w:styleId="ListParagraph">
    <w:name w:val="List Paragraph"/>
    <w:basedOn w:val="Normal"/>
    <w:uiPriority w:val="34"/>
    <w:qFormat/>
    <w:rsid w:val="00175C65"/>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1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68882-7F51-4475-BAD4-D97D20C41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47 (E)</Template>
  <TotalTime>127</TotalTime>
  <Pages>39</Pages>
  <Words>16833</Words>
  <Characters>95950</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PCT/A/47/</vt:lpstr>
    </vt:vector>
  </TitlesOfParts>
  <Company>WIPO</Company>
  <LinksUpToDate>false</LinksUpToDate>
  <CharactersWithSpaces>112558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PCT/A/47/</dc:title>
  <dc:creator>MARLOW Thomas</dc:creator>
  <cp:keywords>NGG/mhf</cp:keywords>
  <cp:lastModifiedBy>MARIN-CUDRAZ DAVI Nicoletta</cp:lastModifiedBy>
  <cp:revision>8</cp:revision>
  <cp:lastPrinted>2016-02-04T10:43:00Z</cp:lastPrinted>
  <dcterms:created xsi:type="dcterms:W3CDTF">2016-02-04T07:28:00Z</dcterms:created>
  <dcterms:modified xsi:type="dcterms:W3CDTF">2016-02-05T11:22:00Z</dcterms:modified>
</cp:coreProperties>
</file>