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5663" w:rsidRPr="006008F7" w:rsidTr="0006096E">
        <w:tc>
          <w:tcPr>
            <w:tcW w:w="4513" w:type="dxa"/>
            <w:tcBorders>
              <w:bottom w:val="single" w:sz="4" w:space="0" w:color="auto"/>
            </w:tcBorders>
            <w:tcMar>
              <w:bottom w:w="170" w:type="dxa"/>
            </w:tcMar>
          </w:tcPr>
          <w:p w:rsidR="00B149E7" w:rsidRPr="006008F7" w:rsidRDefault="00B149E7" w:rsidP="0006096E">
            <w:pPr>
              <w:rPr>
                <w:lang w:val="fr-FR"/>
              </w:rPr>
            </w:pPr>
          </w:p>
        </w:tc>
        <w:tc>
          <w:tcPr>
            <w:tcW w:w="4337" w:type="dxa"/>
            <w:tcBorders>
              <w:bottom w:val="single" w:sz="4" w:space="0" w:color="auto"/>
            </w:tcBorders>
            <w:tcMar>
              <w:left w:w="0" w:type="dxa"/>
              <w:right w:w="0" w:type="dxa"/>
            </w:tcMar>
          </w:tcPr>
          <w:p w:rsidR="00B149E7" w:rsidRPr="006008F7" w:rsidRDefault="00B149E7" w:rsidP="0006096E">
            <w:pPr>
              <w:rPr>
                <w:lang w:val="fr-FR"/>
              </w:rPr>
            </w:pPr>
            <w:r w:rsidRPr="006008F7">
              <w:rPr>
                <w:noProof/>
                <w:lang w:eastAsia="en-US"/>
              </w:rPr>
              <w:drawing>
                <wp:inline distT="0" distB="0" distL="0" distR="0" wp14:anchorId="1BFEAC6C" wp14:editId="14296BC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149E7" w:rsidRPr="006008F7" w:rsidRDefault="00B149E7" w:rsidP="0006096E">
            <w:pPr>
              <w:jc w:val="right"/>
              <w:rPr>
                <w:lang w:val="fr-FR"/>
              </w:rPr>
            </w:pPr>
            <w:r w:rsidRPr="006008F7">
              <w:rPr>
                <w:b/>
                <w:sz w:val="40"/>
                <w:szCs w:val="40"/>
                <w:lang w:val="fr-FR"/>
              </w:rPr>
              <w:t>F</w:t>
            </w:r>
          </w:p>
        </w:tc>
      </w:tr>
      <w:tr w:rsidR="00E05663" w:rsidRPr="006008F7" w:rsidTr="0006096E">
        <w:trPr>
          <w:trHeight w:hRule="exact" w:val="340"/>
        </w:trPr>
        <w:tc>
          <w:tcPr>
            <w:tcW w:w="9356" w:type="dxa"/>
            <w:gridSpan w:val="3"/>
            <w:tcBorders>
              <w:top w:val="single" w:sz="4" w:space="0" w:color="auto"/>
            </w:tcBorders>
            <w:tcMar>
              <w:top w:w="170" w:type="dxa"/>
              <w:left w:w="0" w:type="dxa"/>
              <w:right w:w="0" w:type="dxa"/>
            </w:tcMar>
            <w:vAlign w:val="bottom"/>
          </w:tcPr>
          <w:p w:rsidR="00B149E7" w:rsidRPr="006008F7" w:rsidRDefault="00B149E7" w:rsidP="00EA39E4">
            <w:pPr>
              <w:jc w:val="right"/>
              <w:rPr>
                <w:rFonts w:ascii="Arial Black" w:hAnsi="Arial Black"/>
                <w:caps/>
                <w:sz w:val="15"/>
                <w:lang w:val="fr-FR"/>
              </w:rPr>
            </w:pPr>
            <w:r w:rsidRPr="006008F7">
              <w:rPr>
                <w:rFonts w:ascii="Arial Black" w:hAnsi="Arial Black"/>
                <w:caps/>
                <w:sz w:val="15"/>
                <w:lang w:val="fr-FR"/>
              </w:rPr>
              <w:t>PCT/A/46/</w:t>
            </w:r>
            <w:bookmarkStart w:id="0" w:name="Code"/>
            <w:bookmarkEnd w:id="0"/>
            <w:r w:rsidR="00EA39E4" w:rsidRPr="006008F7">
              <w:rPr>
                <w:rFonts w:ascii="Arial Black" w:hAnsi="Arial Black"/>
                <w:caps/>
                <w:sz w:val="15"/>
                <w:lang w:val="fr-FR"/>
              </w:rPr>
              <w:t>4</w:t>
            </w:r>
            <w:r w:rsidRPr="006008F7">
              <w:rPr>
                <w:rFonts w:ascii="Arial Black" w:hAnsi="Arial Black"/>
                <w:caps/>
                <w:sz w:val="15"/>
                <w:lang w:val="fr-FR"/>
              </w:rPr>
              <w:t xml:space="preserve"> </w:t>
            </w:r>
          </w:p>
        </w:tc>
      </w:tr>
      <w:tr w:rsidR="00E05663" w:rsidRPr="006008F7" w:rsidTr="0006096E">
        <w:trPr>
          <w:trHeight w:hRule="exact" w:val="170"/>
        </w:trPr>
        <w:tc>
          <w:tcPr>
            <w:tcW w:w="9356" w:type="dxa"/>
            <w:gridSpan w:val="3"/>
            <w:noWrap/>
            <w:tcMar>
              <w:left w:w="0" w:type="dxa"/>
              <w:right w:w="0" w:type="dxa"/>
            </w:tcMar>
            <w:vAlign w:val="bottom"/>
          </w:tcPr>
          <w:p w:rsidR="00B149E7" w:rsidRPr="006008F7" w:rsidRDefault="00B149E7" w:rsidP="0006096E">
            <w:pPr>
              <w:jc w:val="right"/>
              <w:rPr>
                <w:rFonts w:ascii="Arial Black" w:hAnsi="Arial Black"/>
                <w:caps/>
                <w:sz w:val="15"/>
                <w:lang w:val="fr-FR"/>
              </w:rPr>
            </w:pPr>
            <w:r w:rsidRPr="006008F7">
              <w:rPr>
                <w:rFonts w:ascii="Arial Black" w:hAnsi="Arial Black"/>
                <w:caps/>
                <w:sz w:val="15"/>
                <w:lang w:val="fr-FR"/>
              </w:rPr>
              <w:t>ORIGINAL</w:t>
            </w:r>
            <w:r w:rsidR="00815414" w:rsidRPr="006008F7">
              <w:rPr>
                <w:rFonts w:ascii="Arial Black" w:hAnsi="Arial Black"/>
                <w:caps/>
                <w:sz w:val="15"/>
                <w:lang w:val="fr-FR"/>
              </w:rPr>
              <w:t> </w:t>
            </w:r>
            <w:r w:rsidRPr="006008F7">
              <w:rPr>
                <w:rFonts w:ascii="Arial Black" w:hAnsi="Arial Black"/>
                <w:caps/>
                <w:sz w:val="15"/>
                <w:lang w:val="fr-FR"/>
              </w:rPr>
              <w:t xml:space="preserve">: </w:t>
            </w:r>
            <w:bookmarkStart w:id="1" w:name="Original"/>
            <w:bookmarkEnd w:id="1"/>
            <w:r w:rsidRPr="006008F7">
              <w:rPr>
                <w:rFonts w:ascii="Arial Black" w:hAnsi="Arial Black"/>
                <w:caps/>
                <w:sz w:val="15"/>
                <w:lang w:val="fr-FR"/>
              </w:rPr>
              <w:t>anglais</w:t>
            </w:r>
          </w:p>
        </w:tc>
      </w:tr>
      <w:tr w:rsidR="00E05663" w:rsidRPr="006008F7" w:rsidTr="0006096E">
        <w:trPr>
          <w:trHeight w:hRule="exact" w:val="198"/>
        </w:trPr>
        <w:tc>
          <w:tcPr>
            <w:tcW w:w="9356" w:type="dxa"/>
            <w:gridSpan w:val="3"/>
            <w:tcMar>
              <w:left w:w="0" w:type="dxa"/>
              <w:right w:w="0" w:type="dxa"/>
            </w:tcMar>
            <w:vAlign w:val="bottom"/>
          </w:tcPr>
          <w:p w:rsidR="00B149E7" w:rsidRPr="006008F7" w:rsidRDefault="00B149E7" w:rsidP="0006096E">
            <w:pPr>
              <w:jc w:val="right"/>
              <w:rPr>
                <w:rFonts w:ascii="Arial Black" w:hAnsi="Arial Black"/>
                <w:caps/>
                <w:sz w:val="15"/>
                <w:lang w:val="fr-FR"/>
              </w:rPr>
            </w:pPr>
            <w:r w:rsidRPr="006008F7">
              <w:rPr>
                <w:rFonts w:ascii="Arial Black" w:hAnsi="Arial Black"/>
                <w:caps/>
                <w:sz w:val="15"/>
                <w:lang w:val="fr-FR"/>
              </w:rPr>
              <w:t>DATE</w:t>
            </w:r>
            <w:r w:rsidR="00815414" w:rsidRPr="006008F7">
              <w:rPr>
                <w:rFonts w:ascii="Arial Black" w:hAnsi="Arial Black"/>
                <w:caps/>
                <w:sz w:val="15"/>
                <w:lang w:val="fr-FR"/>
              </w:rPr>
              <w:t> </w:t>
            </w:r>
            <w:r w:rsidRPr="006008F7">
              <w:rPr>
                <w:rFonts w:ascii="Arial Black" w:hAnsi="Arial Black"/>
                <w:caps/>
                <w:sz w:val="15"/>
                <w:lang w:val="fr-FR"/>
              </w:rPr>
              <w:t xml:space="preserve">: </w:t>
            </w:r>
            <w:bookmarkStart w:id="2" w:name="Date"/>
            <w:bookmarkEnd w:id="2"/>
            <w:r w:rsidRPr="006008F7">
              <w:rPr>
                <w:rFonts w:ascii="Arial Black" w:hAnsi="Arial Black"/>
                <w:caps/>
                <w:sz w:val="15"/>
                <w:lang w:val="fr-FR"/>
              </w:rPr>
              <w:t>22 juillet 2014</w:t>
            </w:r>
          </w:p>
        </w:tc>
      </w:tr>
    </w:tbl>
    <w:p w:rsidR="00B149E7" w:rsidRPr="006008F7" w:rsidRDefault="00B149E7" w:rsidP="00B149E7">
      <w:pPr>
        <w:rPr>
          <w:lang w:val="fr-FR"/>
        </w:rPr>
      </w:pPr>
    </w:p>
    <w:p w:rsidR="00B149E7" w:rsidRPr="006008F7" w:rsidRDefault="00B149E7" w:rsidP="00B149E7">
      <w:pPr>
        <w:rPr>
          <w:lang w:val="fr-FR"/>
        </w:rPr>
      </w:pPr>
    </w:p>
    <w:p w:rsidR="00B149E7" w:rsidRPr="006008F7" w:rsidRDefault="00B149E7" w:rsidP="00B149E7">
      <w:pPr>
        <w:rPr>
          <w:lang w:val="fr-FR"/>
        </w:rPr>
      </w:pPr>
      <w:bookmarkStart w:id="3" w:name="_GoBack"/>
      <w:bookmarkEnd w:id="3"/>
    </w:p>
    <w:p w:rsidR="00B149E7" w:rsidRPr="006008F7" w:rsidRDefault="00B149E7" w:rsidP="00B149E7">
      <w:pPr>
        <w:rPr>
          <w:lang w:val="fr-FR"/>
        </w:rPr>
      </w:pPr>
    </w:p>
    <w:p w:rsidR="00B149E7" w:rsidRPr="006008F7" w:rsidRDefault="00B149E7" w:rsidP="00B149E7">
      <w:pPr>
        <w:rPr>
          <w:lang w:val="fr-FR"/>
        </w:rPr>
      </w:pPr>
    </w:p>
    <w:p w:rsidR="00B149E7" w:rsidRPr="006008F7" w:rsidRDefault="00B149E7" w:rsidP="00B149E7">
      <w:pPr>
        <w:rPr>
          <w:b/>
          <w:sz w:val="28"/>
          <w:szCs w:val="28"/>
          <w:lang w:val="fr-FR"/>
        </w:rPr>
      </w:pPr>
      <w:r w:rsidRPr="006008F7">
        <w:rPr>
          <w:b/>
          <w:sz w:val="28"/>
          <w:szCs w:val="28"/>
          <w:lang w:val="fr-FR"/>
        </w:rPr>
        <w:t xml:space="preserve">Union internationale de coopération en matière de brevets </w:t>
      </w:r>
      <w:r w:rsidRPr="006008F7">
        <w:rPr>
          <w:b/>
          <w:sz w:val="28"/>
          <w:szCs w:val="28"/>
          <w:lang w:val="fr-FR"/>
        </w:rPr>
        <w:br/>
        <w:t>(Union</w:t>
      </w:r>
      <w:r w:rsidR="00EA39E4" w:rsidRPr="006008F7">
        <w:rPr>
          <w:b/>
          <w:sz w:val="28"/>
          <w:szCs w:val="28"/>
          <w:lang w:val="fr-FR"/>
        </w:rPr>
        <w:t xml:space="preserve"> du PCT</w:t>
      </w:r>
      <w:r w:rsidRPr="006008F7">
        <w:rPr>
          <w:b/>
          <w:sz w:val="28"/>
          <w:szCs w:val="28"/>
          <w:lang w:val="fr-FR"/>
        </w:rPr>
        <w:t>)</w:t>
      </w:r>
    </w:p>
    <w:p w:rsidR="00B149E7" w:rsidRPr="006008F7" w:rsidRDefault="00B149E7" w:rsidP="00B149E7">
      <w:pPr>
        <w:rPr>
          <w:lang w:val="fr-FR"/>
        </w:rPr>
      </w:pPr>
    </w:p>
    <w:p w:rsidR="00B149E7" w:rsidRPr="006008F7" w:rsidRDefault="00B149E7" w:rsidP="00B149E7">
      <w:pPr>
        <w:rPr>
          <w:lang w:val="fr-FR"/>
        </w:rPr>
      </w:pPr>
    </w:p>
    <w:p w:rsidR="00B149E7" w:rsidRPr="006008F7" w:rsidRDefault="00B149E7" w:rsidP="00B149E7">
      <w:pPr>
        <w:rPr>
          <w:b/>
          <w:sz w:val="28"/>
          <w:szCs w:val="28"/>
          <w:lang w:val="fr-FR"/>
        </w:rPr>
      </w:pPr>
      <w:r w:rsidRPr="006008F7">
        <w:rPr>
          <w:b/>
          <w:sz w:val="28"/>
          <w:szCs w:val="28"/>
          <w:lang w:val="fr-FR"/>
        </w:rPr>
        <w:t>Assemblée</w:t>
      </w:r>
    </w:p>
    <w:p w:rsidR="00B149E7" w:rsidRPr="006008F7" w:rsidRDefault="00B149E7" w:rsidP="00B149E7">
      <w:pPr>
        <w:rPr>
          <w:lang w:val="fr-FR"/>
        </w:rPr>
      </w:pPr>
    </w:p>
    <w:p w:rsidR="00B149E7" w:rsidRPr="006008F7" w:rsidRDefault="00B149E7" w:rsidP="00B149E7">
      <w:pPr>
        <w:rPr>
          <w:lang w:val="fr-FR"/>
        </w:rPr>
      </w:pPr>
    </w:p>
    <w:p w:rsidR="00B149E7" w:rsidRPr="006008F7" w:rsidRDefault="00B149E7" w:rsidP="00B149E7">
      <w:pPr>
        <w:rPr>
          <w:b/>
          <w:sz w:val="24"/>
          <w:szCs w:val="24"/>
          <w:lang w:val="fr-FR"/>
        </w:rPr>
      </w:pPr>
      <w:r w:rsidRPr="006008F7">
        <w:rPr>
          <w:b/>
          <w:sz w:val="24"/>
          <w:szCs w:val="24"/>
          <w:lang w:val="fr-FR"/>
        </w:rPr>
        <w:t>Quarante</w:t>
      </w:r>
      <w:r w:rsidR="00115091" w:rsidRPr="006008F7">
        <w:rPr>
          <w:b/>
          <w:sz w:val="24"/>
          <w:szCs w:val="24"/>
          <w:lang w:val="fr-FR"/>
        </w:rPr>
        <w:noBreakHyphen/>
      </w:r>
      <w:r w:rsidRPr="006008F7">
        <w:rPr>
          <w:b/>
          <w:sz w:val="24"/>
          <w:szCs w:val="24"/>
          <w:lang w:val="fr-FR"/>
        </w:rPr>
        <w:t>sixième</w:t>
      </w:r>
      <w:r w:rsidR="00815414" w:rsidRPr="006008F7">
        <w:rPr>
          <w:b/>
          <w:sz w:val="24"/>
          <w:szCs w:val="24"/>
          <w:lang w:val="fr-FR"/>
        </w:rPr>
        <w:t> </w:t>
      </w:r>
      <w:r w:rsidRPr="006008F7">
        <w:rPr>
          <w:b/>
          <w:sz w:val="24"/>
          <w:szCs w:val="24"/>
          <w:lang w:val="fr-FR"/>
        </w:rPr>
        <w:t>session (27</w:t>
      </w:r>
      <w:r w:rsidRPr="006008F7">
        <w:rPr>
          <w:b/>
          <w:sz w:val="24"/>
          <w:szCs w:val="24"/>
          <w:vertAlign w:val="superscript"/>
          <w:lang w:val="fr-FR"/>
        </w:rPr>
        <w:t>e</w:t>
      </w:r>
      <w:r w:rsidRPr="006008F7">
        <w:rPr>
          <w:b/>
          <w:sz w:val="24"/>
          <w:szCs w:val="24"/>
          <w:lang w:val="fr-FR"/>
        </w:rPr>
        <w:t xml:space="preserve"> session extraordinaire)</w:t>
      </w:r>
    </w:p>
    <w:p w:rsidR="00B149E7" w:rsidRPr="006008F7" w:rsidRDefault="00B149E7" w:rsidP="00B149E7">
      <w:pPr>
        <w:rPr>
          <w:b/>
          <w:sz w:val="24"/>
          <w:szCs w:val="24"/>
          <w:lang w:val="fr-FR"/>
        </w:rPr>
      </w:pPr>
      <w:r w:rsidRPr="006008F7">
        <w:rPr>
          <w:b/>
          <w:sz w:val="24"/>
          <w:szCs w:val="24"/>
          <w:lang w:val="fr-FR"/>
        </w:rPr>
        <w:t>Genève, 22 – 30 septembre 2014</w:t>
      </w:r>
    </w:p>
    <w:p w:rsidR="000F3AA6" w:rsidRPr="006008F7" w:rsidRDefault="000F3AA6" w:rsidP="008B2CC1">
      <w:pPr>
        <w:rPr>
          <w:lang w:val="fr-FR"/>
        </w:rPr>
      </w:pPr>
    </w:p>
    <w:p w:rsidR="000F3AA6" w:rsidRPr="006008F7" w:rsidRDefault="000F3AA6" w:rsidP="008B2CC1">
      <w:pPr>
        <w:rPr>
          <w:lang w:val="fr-FR"/>
        </w:rPr>
      </w:pPr>
    </w:p>
    <w:p w:rsidR="000F3AA6" w:rsidRPr="006008F7" w:rsidRDefault="000F3AA6" w:rsidP="008B2CC1">
      <w:pPr>
        <w:rPr>
          <w:lang w:val="fr-FR"/>
        </w:rPr>
      </w:pPr>
    </w:p>
    <w:p w:rsidR="000F3AA6" w:rsidRPr="006008F7" w:rsidRDefault="000F3AA6" w:rsidP="00F45EED">
      <w:pPr>
        <w:rPr>
          <w:caps/>
          <w:sz w:val="24"/>
          <w:lang w:val="fr-FR"/>
        </w:rPr>
      </w:pPr>
      <w:bookmarkStart w:id="4" w:name="TitleOfDoc"/>
      <w:bookmarkEnd w:id="4"/>
      <w:r w:rsidRPr="006008F7">
        <w:rPr>
          <w:caps/>
          <w:sz w:val="24"/>
          <w:lang w:val="fr-FR"/>
        </w:rPr>
        <w:t>PROCÉDURES RELATIVES À LA NOMINATION DES ADMINISTRATIONS CHARGÉES DE LA RECHERCHE INTERNATIONALE ET DE L</w:t>
      </w:r>
      <w:r w:rsidR="00EA39E4" w:rsidRPr="006008F7">
        <w:rPr>
          <w:caps/>
          <w:sz w:val="24"/>
          <w:lang w:val="fr-FR"/>
        </w:rPr>
        <w:t>’</w:t>
      </w:r>
      <w:r w:rsidRPr="006008F7">
        <w:rPr>
          <w:caps/>
          <w:sz w:val="24"/>
          <w:lang w:val="fr-FR"/>
        </w:rPr>
        <w:t>EXAMEN PRÉLIMINAIRE INTERNATIONAL SELON LE PCT</w:t>
      </w:r>
    </w:p>
    <w:p w:rsidR="000F3AA6" w:rsidRPr="006008F7" w:rsidRDefault="000F3AA6" w:rsidP="00F45EED">
      <w:pPr>
        <w:rPr>
          <w:lang w:val="fr-FR"/>
        </w:rPr>
      </w:pPr>
    </w:p>
    <w:p w:rsidR="000F3AA6" w:rsidRPr="006008F7" w:rsidRDefault="000F3AA6" w:rsidP="00F45EED">
      <w:pPr>
        <w:rPr>
          <w:i/>
          <w:lang w:val="fr-FR"/>
        </w:rPr>
      </w:pPr>
      <w:bookmarkStart w:id="5" w:name="Prepared"/>
      <w:bookmarkEnd w:id="5"/>
      <w:r w:rsidRPr="006008F7">
        <w:rPr>
          <w:i/>
          <w:lang w:val="fr-FR"/>
        </w:rPr>
        <w:t>Document établi par le Bureau international</w:t>
      </w:r>
    </w:p>
    <w:p w:rsidR="000F3AA6" w:rsidRPr="006008F7" w:rsidRDefault="000F3AA6" w:rsidP="00F45EED">
      <w:pPr>
        <w:rPr>
          <w:lang w:val="fr-FR"/>
        </w:rPr>
      </w:pPr>
    </w:p>
    <w:p w:rsidR="000F3AA6" w:rsidRPr="006008F7" w:rsidRDefault="000F3AA6" w:rsidP="00F45EED">
      <w:pPr>
        <w:rPr>
          <w:lang w:val="fr-FR"/>
        </w:rPr>
      </w:pPr>
    </w:p>
    <w:p w:rsidR="000F3AA6" w:rsidRPr="006008F7" w:rsidRDefault="000F3AA6" w:rsidP="00F45EED">
      <w:pPr>
        <w:rPr>
          <w:lang w:val="fr-FR"/>
        </w:rPr>
      </w:pPr>
    </w:p>
    <w:p w:rsidR="000F3AA6" w:rsidRPr="006008F7" w:rsidRDefault="000F3AA6" w:rsidP="00F45EED">
      <w:pPr>
        <w:rPr>
          <w:lang w:val="fr-FR"/>
        </w:rPr>
      </w:pPr>
    </w:p>
    <w:p w:rsidR="000F3AA6" w:rsidRPr="006008F7" w:rsidRDefault="00E05663" w:rsidP="00F45EED">
      <w:pPr>
        <w:pStyle w:val="Heading1"/>
        <w:rPr>
          <w:lang w:val="fr-FR"/>
        </w:rPr>
      </w:pPr>
      <w:r w:rsidRPr="006008F7">
        <w:rPr>
          <w:lang w:val="fr-FR"/>
        </w:rPr>
        <w:t>Résumé</w:t>
      </w:r>
    </w:p>
    <w:p w:rsidR="000F3AA6" w:rsidRPr="006008F7" w:rsidRDefault="009E3643" w:rsidP="00F45EED">
      <w:pPr>
        <w:pStyle w:val="ONUMFS"/>
        <w:rPr>
          <w:lang w:val="fr-FR"/>
        </w:rPr>
      </w:pPr>
      <w:r w:rsidRPr="006008F7">
        <w:rPr>
          <w:lang w:val="fr-FR"/>
        </w:rPr>
        <w:t>Sur la base des recommandations du Groupe de travail</w:t>
      </w:r>
      <w:r w:rsidR="00EA39E4" w:rsidRPr="006008F7">
        <w:rPr>
          <w:lang w:val="fr-FR"/>
        </w:rPr>
        <w:t xml:space="preserve"> du PCT</w:t>
      </w:r>
      <w:r w:rsidRPr="006008F7">
        <w:rPr>
          <w:lang w:val="fr-FR"/>
        </w:rPr>
        <w:t>, l</w:t>
      </w:r>
      <w:r w:rsidR="00EA39E4" w:rsidRPr="006008F7">
        <w:rPr>
          <w:lang w:val="fr-FR"/>
        </w:rPr>
        <w:t>’</w:t>
      </w:r>
      <w:r w:rsidR="009149D2" w:rsidRPr="006008F7">
        <w:rPr>
          <w:lang w:val="fr-FR"/>
        </w:rPr>
        <w:t>A</w:t>
      </w:r>
      <w:r w:rsidRPr="006008F7">
        <w:rPr>
          <w:lang w:val="fr-FR"/>
        </w:rPr>
        <w:t>ssemblée de l</w:t>
      </w:r>
      <w:r w:rsidR="00EA39E4" w:rsidRPr="006008F7">
        <w:rPr>
          <w:lang w:val="fr-FR"/>
        </w:rPr>
        <w:t>’</w:t>
      </w:r>
      <w:r w:rsidRPr="006008F7">
        <w:rPr>
          <w:lang w:val="fr-FR"/>
        </w:rPr>
        <w:t>Union</w:t>
      </w:r>
      <w:r w:rsidR="00EA39E4" w:rsidRPr="006008F7">
        <w:rPr>
          <w:lang w:val="fr-FR"/>
        </w:rPr>
        <w:t xml:space="preserve"> du PCT</w:t>
      </w:r>
      <w:r w:rsidRPr="006008F7">
        <w:rPr>
          <w:lang w:val="fr-FR"/>
        </w:rPr>
        <w:t xml:space="preserve"> est invitée à adopter un accord de principe concernant les procédures de nomination d</w:t>
      </w:r>
      <w:r w:rsidR="002E573C" w:rsidRPr="006008F7">
        <w:rPr>
          <w:lang w:val="fr-FR"/>
        </w:rPr>
        <w:t>es</w:t>
      </w:r>
      <w:r w:rsidRPr="006008F7">
        <w:rPr>
          <w:lang w:val="fr-FR"/>
        </w:rPr>
        <w:t xml:space="preserve"> office</w:t>
      </w:r>
      <w:r w:rsidR="002E573C" w:rsidRPr="006008F7">
        <w:rPr>
          <w:lang w:val="fr-FR"/>
        </w:rPr>
        <w:t>s</w:t>
      </w:r>
      <w:r w:rsidRPr="006008F7">
        <w:rPr>
          <w:lang w:val="fr-FR"/>
        </w:rPr>
        <w:t xml:space="preserve"> en qualité d</w:t>
      </w:r>
      <w:r w:rsidR="00EA39E4" w:rsidRPr="006008F7">
        <w:rPr>
          <w:lang w:val="fr-FR"/>
        </w:rPr>
        <w:t>’</w:t>
      </w:r>
      <w:r w:rsidRPr="006008F7">
        <w:rPr>
          <w:lang w:val="fr-FR"/>
        </w:rPr>
        <w:t>administration</w:t>
      </w:r>
      <w:r w:rsidR="002E573C" w:rsidRPr="006008F7">
        <w:rPr>
          <w:lang w:val="fr-FR"/>
        </w:rPr>
        <w:t>s</w:t>
      </w:r>
      <w:r w:rsidRPr="006008F7">
        <w:rPr>
          <w:lang w:val="fr-FR"/>
        </w:rPr>
        <w:t xml:space="preserve"> chargée</w:t>
      </w:r>
      <w:r w:rsidR="002E573C" w:rsidRPr="006008F7">
        <w:rPr>
          <w:lang w:val="fr-FR"/>
        </w:rPr>
        <w:t>s</w:t>
      </w:r>
      <w:r w:rsidRPr="006008F7">
        <w:rPr>
          <w:lang w:val="fr-FR"/>
        </w:rPr>
        <w:t xml:space="preserve"> de la recherche internationale et </w:t>
      </w:r>
      <w:r w:rsidR="002E573C" w:rsidRPr="006008F7">
        <w:rPr>
          <w:lang w:val="fr-FR"/>
        </w:rPr>
        <w:t>d</w:t>
      </w:r>
      <w:r w:rsidRPr="006008F7">
        <w:rPr>
          <w:lang w:val="fr-FR"/>
        </w:rPr>
        <w:t>e l</w:t>
      </w:r>
      <w:r w:rsidR="00EA39E4" w:rsidRPr="006008F7">
        <w:rPr>
          <w:lang w:val="fr-FR"/>
        </w:rPr>
        <w:t>’</w:t>
      </w:r>
      <w:r w:rsidRPr="006008F7">
        <w:rPr>
          <w:lang w:val="fr-FR"/>
        </w:rPr>
        <w:t>ex</w:t>
      </w:r>
      <w:r w:rsidR="002E573C" w:rsidRPr="006008F7">
        <w:rPr>
          <w:lang w:val="fr-FR"/>
        </w:rPr>
        <w:t>amen préliminaire international</w:t>
      </w:r>
      <w:r w:rsidRPr="006008F7">
        <w:rPr>
          <w:lang w:val="fr-FR"/>
        </w:rPr>
        <w:t xml:space="preserve"> (</w:t>
      </w:r>
      <w:r w:rsidR="009149D2" w:rsidRPr="006008F7">
        <w:rPr>
          <w:lang w:val="fr-FR"/>
        </w:rPr>
        <w:t>ci</w:t>
      </w:r>
      <w:r w:rsidR="009149D2" w:rsidRPr="006008F7">
        <w:rPr>
          <w:lang w:val="fr-FR"/>
        </w:rPr>
        <w:noBreakHyphen/>
        <w:t xml:space="preserve">après dénommées </w:t>
      </w:r>
      <w:r w:rsidRPr="006008F7">
        <w:rPr>
          <w:lang w:val="fr-FR"/>
        </w:rPr>
        <w:t>“administration</w:t>
      </w:r>
      <w:r w:rsidR="002E573C" w:rsidRPr="006008F7">
        <w:rPr>
          <w:lang w:val="fr-FR"/>
        </w:rPr>
        <w:t>s</w:t>
      </w:r>
      <w:r w:rsidRPr="006008F7">
        <w:rPr>
          <w:lang w:val="fr-FR"/>
        </w:rPr>
        <w:t xml:space="preserve"> internationale</w:t>
      </w:r>
      <w:r w:rsidR="002E573C" w:rsidRPr="006008F7">
        <w:rPr>
          <w:lang w:val="fr-FR"/>
        </w:rPr>
        <w:t>s</w:t>
      </w:r>
      <w:r w:rsidRPr="006008F7">
        <w:rPr>
          <w:lang w:val="fr-FR"/>
        </w:rPr>
        <w:t>”)</w:t>
      </w:r>
      <w:r w:rsidR="002E573C" w:rsidRPr="006008F7">
        <w:rPr>
          <w:lang w:val="fr-FR"/>
        </w:rPr>
        <w:t xml:space="preserve"> selon</w:t>
      </w:r>
      <w:r w:rsidR="00EA39E4" w:rsidRPr="006008F7">
        <w:rPr>
          <w:lang w:val="fr-FR"/>
        </w:rPr>
        <w:t xml:space="preserve"> le PCT</w:t>
      </w:r>
      <w:r w:rsidRPr="006008F7">
        <w:rPr>
          <w:lang w:val="fr-FR"/>
        </w:rPr>
        <w:t>, visant à s</w:t>
      </w:r>
      <w:r w:rsidR="00EA39E4" w:rsidRPr="006008F7">
        <w:rPr>
          <w:lang w:val="fr-FR"/>
        </w:rPr>
        <w:t>’</w:t>
      </w:r>
      <w:r w:rsidRPr="006008F7">
        <w:rPr>
          <w:lang w:val="fr-FR"/>
        </w:rPr>
        <w:t>assurer que</w:t>
      </w:r>
    </w:p>
    <w:p w:rsidR="000F3AA6" w:rsidRPr="006008F7" w:rsidRDefault="009E3643" w:rsidP="00F45EED">
      <w:pPr>
        <w:pStyle w:val="ONUMFS"/>
        <w:numPr>
          <w:ilvl w:val="1"/>
          <w:numId w:val="6"/>
        </w:numPr>
        <w:rPr>
          <w:lang w:val="fr-FR"/>
        </w:rPr>
      </w:pPr>
      <w:r w:rsidRPr="006008F7">
        <w:rPr>
          <w:lang w:val="fr-FR"/>
        </w:rPr>
        <w:t>le Comité de coopération technique</w:t>
      </w:r>
      <w:r w:rsidR="00EA39E4" w:rsidRPr="006008F7">
        <w:rPr>
          <w:lang w:val="fr-FR"/>
        </w:rPr>
        <w:t xml:space="preserve"> du PCT</w:t>
      </w:r>
      <w:r w:rsidRPr="006008F7">
        <w:rPr>
          <w:lang w:val="fr-FR"/>
        </w:rPr>
        <w:t xml:space="preserve"> (</w:t>
      </w:r>
      <w:r w:rsidR="00E369FE" w:rsidRPr="006008F7">
        <w:rPr>
          <w:lang w:val="fr-FR"/>
        </w:rPr>
        <w:t>PCT/</w:t>
      </w:r>
      <w:r w:rsidRPr="006008F7">
        <w:rPr>
          <w:lang w:val="fr-FR"/>
        </w:rPr>
        <w:t>CTC) se réunisse en tant qu</w:t>
      </w:r>
      <w:r w:rsidR="00EA39E4" w:rsidRPr="006008F7">
        <w:rPr>
          <w:lang w:val="fr-FR"/>
        </w:rPr>
        <w:t>’</w:t>
      </w:r>
      <w:r w:rsidRPr="006008F7">
        <w:rPr>
          <w:lang w:val="fr-FR"/>
        </w:rPr>
        <w:t xml:space="preserve">organe </w:t>
      </w:r>
      <w:r w:rsidR="00E369FE" w:rsidRPr="006008F7">
        <w:rPr>
          <w:lang w:val="fr-FR"/>
        </w:rPr>
        <w:t>constitué d</w:t>
      </w:r>
      <w:r w:rsidR="00EA39E4" w:rsidRPr="006008F7">
        <w:rPr>
          <w:lang w:val="fr-FR"/>
        </w:rPr>
        <w:t>’</w:t>
      </w:r>
      <w:r w:rsidR="00E369FE" w:rsidRPr="006008F7">
        <w:rPr>
          <w:lang w:val="fr-FR"/>
        </w:rPr>
        <w:t>expert</w:t>
      </w:r>
      <w:r w:rsidRPr="006008F7">
        <w:rPr>
          <w:lang w:val="fr-FR"/>
        </w:rPr>
        <w:t>s avant l</w:t>
      </w:r>
      <w:r w:rsidR="00EA39E4" w:rsidRPr="006008F7">
        <w:rPr>
          <w:lang w:val="fr-FR"/>
        </w:rPr>
        <w:t>’</w:t>
      </w:r>
      <w:r w:rsidRPr="006008F7">
        <w:rPr>
          <w:lang w:val="fr-FR"/>
        </w:rPr>
        <w:t>Assemblée</w:t>
      </w:r>
      <w:r w:rsidR="00EA39E4" w:rsidRPr="006008F7">
        <w:rPr>
          <w:lang w:val="fr-FR"/>
        </w:rPr>
        <w:t xml:space="preserve"> </w:t>
      </w:r>
      <w:r w:rsidR="00EA2549">
        <w:rPr>
          <w:lang w:val="fr-FR"/>
        </w:rPr>
        <w:t xml:space="preserve">de l’Union </w:t>
      </w:r>
      <w:r w:rsidR="00EA39E4" w:rsidRPr="006008F7">
        <w:rPr>
          <w:lang w:val="fr-FR"/>
        </w:rPr>
        <w:t>du PCT</w:t>
      </w:r>
      <w:r w:rsidRPr="006008F7">
        <w:rPr>
          <w:lang w:val="fr-FR"/>
        </w:rPr>
        <w:t xml:space="preserve"> pour examiner </w:t>
      </w:r>
      <w:r w:rsidR="00E369FE" w:rsidRPr="006008F7">
        <w:rPr>
          <w:lang w:val="fr-FR"/>
        </w:rPr>
        <w:t>tout</w:t>
      </w:r>
      <w:r w:rsidRPr="006008F7">
        <w:rPr>
          <w:lang w:val="fr-FR"/>
        </w:rPr>
        <w:t>e demande de nomination d</w:t>
      </w:r>
      <w:r w:rsidR="00EA39E4" w:rsidRPr="006008F7">
        <w:rPr>
          <w:lang w:val="fr-FR"/>
        </w:rPr>
        <w:t>’</w:t>
      </w:r>
      <w:r w:rsidRPr="006008F7">
        <w:rPr>
          <w:lang w:val="fr-FR"/>
        </w:rPr>
        <w:t>un office en qualité d</w:t>
      </w:r>
      <w:r w:rsidR="00EA39E4" w:rsidRPr="006008F7">
        <w:rPr>
          <w:lang w:val="fr-FR"/>
        </w:rPr>
        <w:t>’</w:t>
      </w:r>
      <w:r w:rsidRPr="006008F7">
        <w:rPr>
          <w:lang w:val="fr-FR"/>
        </w:rPr>
        <w:t>administration internationale;  et</w:t>
      </w:r>
      <w:r w:rsidR="00E369FE" w:rsidRPr="006008F7">
        <w:rPr>
          <w:lang w:val="fr-FR"/>
        </w:rPr>
        <w:t xml:space="preserve"> que</w:t>
      </w:r>
    </w:p>
    <w:p w:rsidR="000F3AA6" w:rsidRPr="006008F7" w:rsidRDefault="004E64B5" w:rsidP="00F45EED">
      <w:pPr>
        <w:pStyle w:val="ONUMFS"/>
        <w:numPr>
          <w:ilvl w:val="1"/>
          <w:numId w:val="6"/>
        </w:numPr>
        <w:rPr>
          <w:lang w:val="fr-FR"/>
        </w:rPr>
      </w:pPr>
      <w:r w:rsidRPr="006008F7">
        <w:rPr>
          <w:lang w:val="fr-FR"/>
        </w:rPr>
        <w:t xml:space="preserve">les offices souhaitant être nommés remplissent les critères prévus au moment de la nomination, plutôt que de procéder à des nominations </w:t>
      </w:r>
      <w:r w:rsidR="00E369FE" w:rsidRPr="006008F7">
        <w:rPr>
          <w:lang w:val="fr-FR"/>
        </w:rPr>
        <w:t xml:space="preserve">à titre </w:t>
      </w:r>
      <w:r w:rsidRPr="006008F7">
        <w:rPr>
          <w:lang w:val="fr-FR"/>
        </w:rPr>
        <w:t xml:space="preserve">provisoire </w:t>
      </w:r>
      <w:r w:rsidR="00E369FE" w:rsidRPr="006008F7">
        <w:rPr>
          <w:lang w:val="fr-FR"/>
        </w:rPr>
        <w:t xml:space="preserve">sachant que des </w:t>
      </w:r>
      <w:r w:rsidRPr="006008F7">
        <w:rPr>
          <w:lang w:val="fr-FR"/>
        </w:rPr>
        <w:t xml:space="preserve">mesures </w:t>
      </w:r>
      <w:r w:rsidR="00E369FE" w:rsidRPr="006008F7">
        <w:rPr>
          <w:lang w:val="fr-FR"/>
        </w:rPr>
        <w:t xml:space="preserve">supplémentaires devraient être prises </w:t>
      </w:r>
      <w:r w:rsidRPr="006008F7">
        <w:rPr>
          <w:lang w:val="fr-FR"/>
        </w:rPr>
        <w:t>avant que l</w:t>
      </w:r>
      <w:r w:rsidR="00EA39E4" w:rsidRPr="006008F7">
        <w:rPr>
          <w:lang w:val="fr-FR"/>
        </w:rPr>
        <w:t>’</w:t>
      </w:r>
      <w:r w:rsidRPr="006008F7">
        <w:rPr>
          <w:lang w:val="fr-FR"/>
        </w:rPr>
        <w:t xml:space="preserve">office ne commence </w:t>
      </w:r>
      <w:r w:rsidR="00285349" w:rsidRPr="006008F7">
        <w:rPr>
          <w:lang w:val="fr-FR"/>
        </w:rPr>
        <w:t xml:space="preserve">à fonctionner </w:t>
      </w:r>
      <w:r w:rsidRPr="006008F7">
        <w:rPr>
          <w:lang w:val="fr-FR"/>
        </w:rPr>
        <w:t>en tant qu</w:t>
      </w:r>
      <w:r w:rsidR="00EA39E4" w:rsidRPr="006008F7">
        <w:rPr>
          <w:lang w:val="fr-FR"/>
        </w:rPr>
        <w:t>’</w:t>
      </w:r>
      <w:r w:rsidRPr="006008F7">
        <w:rPr>
          <w:lang w:val="fr-FR"/>
        </w:rPr>
        <w:t>administration internationale.</w:t>
      </w:r>
    </w:p>
    <w:p w:rsidR="000F3AA6" w:rsidRPr="006008F7" w:rsidRDefault="00E05663" w:rsidP="00F45EED">
      <w:pPr>
        <w:pStyle w:val="Heading1"/>
        <w:rPr>
          <w:lang w:val="fr-FR"/>
        </w:rPr>
      </w:pPr>
      <w:r w:rsidRPr="006008F7">
        <w:rPr>
          <w:lang w:val="fr-FR"/>
        </w:rPr>
        <w:lastRenderedPageBreak/>
        <w:t>Rappel</w:t>
      </w:r>
    </w:p>
    <w:p w:rsidR="000F3AA6" w:rsidRPr="006008F7" w:rsidRDefault="004E64B5" w:rsidP="00F45EED">
      <w:pPr>
        <w:pStyle w:val="ONUMFS"/>
        <w:rPr>
          <w:lang w:val="fr-FR"/>
        </w:rPr>
      </w:pPr>
      <w:r w:rsidRPr="006008F7">
        <w:rPr>
          <w:lang w:val="fr-FR"/>
        </w:rPr>
        <w:t>À sa quarante</w:t>
      </w:r>
      <w:r w:rsidR="00115091" w:rsidRPr="006008F7">
        <w:rPr>
          <w:lang w:val="fr-FR"/>
        </w:rPr>
        <w:noBreakHyphen/>
      </w:r>
      <w:r w:rsidRPr="006008F7">
        <w:rPr>
          <w:lang w:val="fr-FR"/>
        </w:rPr>
        <w:t>quatrième</w:t>
      </w:r>
      <w:r w:rsidR="00815414" w:rsidRPr="006008F7">
        <w:rPr>
          <w:lang w:val="fr-FR"/>
        </w:rPr>
        <w:t> </w:t>
      </w:r>
      <w:r w:rsidRPr="006008F7">
        <w:rPr>
          <w:lang w:val="fr-FR"/>
        </w:rPr>
        <w:t>session tenue du 23</w:t>
      </w:r>
      <w:r w:rsidR="00285349" w:rsidRPr="006008F7">
        <w:rPr>
          <w:lang w:val="fr-FR"/>
        </w:rPr>
        <w:t> </w:t>
      </w:r>
      <w:r w:rsidRPr="006008F7">
        <w:rPr>
          <w:lang w:val="fr-FR"/>
        </w:rPr>
        <w:t>septembre au 2</w:t>
      </w:r>
      <w:r w:rsidR="00285349" w:rsidRPr="006008F7">
        <w:rPr>
          <w:lang w:val="fr-FR"/>
        </w:rPr>
        <w:t> </w:t>
      </w:r>
      <w:r w:rsidRPr="006008F7">
        <w:rPr>
          <w:lang w:val="fr-FR"/>
        </w:rPr>
        <w:t>octobre</w:t>
      </w:r>
      <w:r w:rsidR="00285349" w:rsidRPr="006008F7">
        <w:rPr>
          <w:lang w:val="fr-FR"/>
        </w:rPr>
        <w:t> </w:t>
      </w:r>
      <w:r w:rsidRPr="006008F7">
        <w:rPr>
          <w:lang w:val="fr-FR"/>
        </w:rPr>
        <w:t>2013, l</w:t>
      </w:r>
      <w:r w:rsidR="00EA39E4" w:rsidRPr="006008F7">
        <w:rPr>
          <w:lang w:val="fr-FR"/>
        </w:rPr>
        <w:t>’</w:t>
      </w:r>
      <w:r w:rsidRPr="006008F7">
        <w:rPr>
          <w:lang w:val="fr-FR"/>
        </w:rPr>
        <w:t>Assemblée de l</w:t>
      </w:r>
      <w:r w:rsidR="00EA39E4" w:rsidRPr="006008F7">
        <w:rPr>
          <w:lang w:val="fr-FR"/>
        </w:rPr>
        <w:t>’</w:t>
      </w:r>
      <w:r w:rsidRPr="006008F7">
        <w:rPr>
          <w:lang w:val="fr-FR"/>
        </w:rPr>
        <w:t>Union</w:t>
      </w:r>
      <w:r w:rsidR="00EA39E4" w:rsidRPr="006008F7">
        <w:rPr>
          <w:lang w:val="fr-FR"/>
        </w:rPr>
        <w:t xml:space="preserve"> du PCT</w:t>
      </w:r>
      <w:r w:rsidRPr="006008F7">
        <w:rPr>
          <w:lang w:val="fr-FR"/>
        </w:rPr>
        <w:t xml:space="preserve"> a approuvé une recommandation selon laquelle le Bureau international devrait entreprendre un réexamen des critères et des procédures de nomination des offices en qualité d</w:t>
      </w:r>
      <w:r w:rsidR="00EA39E4" w:rsidRPr="006008F7">
        <w:rPr>
          <w:lang w:val="fr-FR"/>
        </w:rPr>
        <w:t>’</w:t>
      </w:r>
      <w:r w:rsidRPr="006008F7">
        <w:rPr>
          <w:lang w:val="fr-FR"/>
        </w:rPr>
        <w:t>administrations internationales et faire des propositions de modification si nécessaire, le cas échéant en concertation avec</w:t>
      </w:r>
      <w:r w:rsidR="006559A5" w:rsidRPr="006008F7">
        <w:rPr>
          <w:lang w:val="fr-FR"/>
        </w:rPr>
        <w:t xml:space="preserve"> </w:t>
      </w:r>
      <w:r w:rsidR="0085667B" w:rsidRPr="006008F7">
        <w:rPr>
          <w:lang w:val="fr-FR"/>
        </w:rPr>
        <w:t>la Réunion des administrations internationales (PCT/MIA), pour examen par le Groupe de travail</w:t>
      </w:r>
      <w:r w:rsidR="00EA39E4" w:rsidRPr="006008F7">
        <w:rPr>
          <w:lang w:val="fr-FR"/>
        </w:rPr>
        <w:t xml:space="preserve"> du PCT</w:t>
      </w:r>
      <w:r w:rsidR="0085667B" w:rsidRPr="006008F7">
        <w:rPr>
          <w:lang w:val="fr-FR"/>
        </w:rPr>
        <w:t xml:space="preserve"> à sa prochaine session (paragraphe</w:t>
      </w:r>
      <w:r w:rsidR="00285349" w:rsidRPr="006008F7">
        <w:rPr>
          <w:lang w:val="fr-FR"/>
        </w:rPr>
        <w:t> </w:t>
      </w:r>
      <w:r w:rsidR="0085667B" w:rsidRPr="006008F7">
        <w:rPr>
          <w:lang w:val="fr-FR"/>
        </w:rPr>
        <w:t>3 du document PCT/A/44/1 et paragraphe 19.ii) du document PCT/A/44/5).</w:t>
      </w:r>
    </w:p>
    <w:p w:rsidR="000F3AA6" w:rsidRPr="006008F7" w:rsidRDefault="0085667B" w:rsidP="00F45EED">
      <w:pPr>
        <w:pStyle w:val="ONUMFS"/>
        <w:rPr>
          <w:lang w:val="fr-FR"/>
        </w:rPr>
      </w:pPr>
      <w:r w:rsidRPr="006008F7">
        <w:rPr>
          <w:lang w:val="fr-FR"/>
        </w:rPr>
        <w:t>Pour procéder au réexamen des critères et des procédures de nomination des offices en qualité d</w:t>
      </w:r>
      <w:r w:rsidR="00EA39E4" w:rsidRPr="006008F7">
        <w:rPr>
          <w:lang w:val="fr-FR"/>
        </w:rPr>
        <w:t>’</w:t>
      </w:r>
      <w:r w:rsidRPr="006008F7">
        <w:rPr>
          <w:lang w:val="fr-FR"/>
        </w:rPr>
        <w:t>administration internationale, conformément au mandat donné par l</w:t>
      </w:r>
      <w:r w:rsidR="00EA39E4" w:rsidRPr="006008F7">
        <w:rPr>
          <w:lang w:val="fr-FR"/>
        </w:rPr>
        <w:t>’</w:t>
      </w:r>
      <w:r w:rsidRPr="006008F7">
        <w:rPr>
          <w:lang w:val="fr-FR"/>
        </w:rPr>
        <w:t>Assemblée de l</w:t>
      </w:r>
      <w:r w:rsidR="00EA39E4" w:rsidRPr="006008F7">
        <w:rPr>
          <w:lang w:val="fr-FR"/>
        </w:rPr>
        <w:t>’</w:t>
      </w:r>
      <w:r w:rsidRPr="006008F7">
        <w:rPr>
          <w:lang w:val="fr-FR"/>
        </w:rPr>
        <w:t>Union du PCT, le Bureau international a dans un premier</w:t>
      </w:r>
      <w:r w:rsidR="009149D2" w:rsidRPr="006008F7">
        <w:rPr>
          <w:lang w:val="fr-FR"/>
        </w:rPr>
        <w:t> </w:t>
      </w:r>
      <w:r w:rsidRPr="006008F7">
        <w:rPr>
          <w:lang w:val="fr-FR"/>
        </w:rPr>
        <w:t>temps recueilli des informations auprès d</w:t>
      </w:r>
      <w:r w:rsidR="00AD1C0A" w:rsidRPr="006008F7">
        <w:rPr>
          <w:lang w:val="fr-FR"/>
        </w:rPr>
        <w:t xml:space="preserve">es administrations internationales </w:t>
      </w:r>
      <w:r w:rsidRPr="006008F7">
        <w:rPr>
          <w:lang w:val="fr-FR"/>
        </w:rPr>
        <w:t>qui avai</w:t>
      </w:r>
      <w:r w:rsidR="00AD1C0A" w:rsidRPr="006008F7">
        <w:rPr>
          <w:lang w:val="fr-FR"/>
        </w:rPr>
        <w:t>en</w:t>
      </w:r>
      <w:r w:rsidRPr="006008F7">
        <w:rPr>
          <w:lang w:val="fr-FR"/>
        </w:rPr>
        <w:t xml:space="preserve">t examiné la question à </w:t>
      </w:r>
      <w:r w:rsidR="00886A93" w:rsidRPr="006008F7">
        <w:rPr>
          <w:lang w:val="fr-FR"/>
        </w:rPr>
        <w:t>l</w:t>
      </w:r>
      <w:r w:rsidRPr="006008F7">
        <w:rPr>
          <w:lang w:val="fr-FR"/>
        </w:rPr>
        <w:t xml:space="preserve">a </w:t>
      </w:r>
      <w:r w:rsidR="0024178A" w:rsidRPr="006008F7">
        <w:rPr>
          <w:lang w:val="fr-FR"/>
        </w:rPr>
        <w:t>vingt et unième</w:t>
      </w:r>
      <w:r w:rsidRPr="006008F7">
        <w:rPr>
          <w:lang w:val="fr-FR"/>
        </w:rPr>
        <w:t xml:space="preserve"> Réunion </w:t>
      </w:r>
      <w:r w:rsidR="00886A93" w:rsidRPr="006008F7">
        <w:rPr>
          <w:lang w:val="fr-FR"/>
        </w:rPr>
        <w:t xml:space="preserve">des administrations internationales (PCT/MIA) </w:t>
      </w:r>
      <w:r w:rsidRPr="006008F7">
        <w:rPr>
          <w:lang w:val="fr-FR"/>
        </w:rPr>
        <w:t>tenue à Tel</w:t>
      </w:r>
      <w:r w:rsidR="00115091" w:rsidRPr="006008F7">
        <w:rPr>
          <w:lang w:val="fr-FR"/>
        </w:rPr>
        <w:noBreakHyphen/>
      </w:r>
      <w:r w:rsidRPr="006008F7">
        <w:rPr>
          <w:lang w:val="fr-FR"/>
        </w:rPr>
        <w:t>Aviv du 11</w:t>
      </w:r>
      <w:r w:rsidR="00886A93" w:rsidRPr="006008F7">
        <w:rPr>
          <w:lang w:val="fr-FR"/>
        </w:rPr>
        <w:t> </w:t>
      </w:r>
      <w:r w:rsidRPr="006008F7">
        <w:rPr>
          <w:lang w:val="fr-FR"/>
        </w:rPr>
        <w:t>au 13 février 2014, sur la base d</w:t>
      </w:r>
      <w:r w:rsidR="00EA39E4" w:rsidRPr="006008F7">
        <w:rPr>
          <w:lang w:val="fr-FR"/>
        </w:rPr>
        <w:t>’</w:t>
      </w:r>
      <w:r w:rsidRPr="006008F7">
        <w:rPr>
          <w:lang w:val="fr-FR"/>
        </w:rPr>
        <w:t>un document établi par le Bureau international (document PCT/MIA/21/3) et d</w:t>
      </w:r>
      <w:r w:rsidR="00EA39E4" w:rsidRPr="006008F7">
        <w:rPr>
          <w:lang w:val="fr-FR"/>
        </w:rPr>
        <w:t>’</w:t>
      </w:r>
      <w:r w:rsidRPr="006008F7">
        <w:rPr>
          <w:lang w:val="fr-FR"/>
        </w:rPr>
        <w:t>un document soumis par l</w:t>
      </w:r>
      <w:r w:rsidR="00EA39E4" w:rsidRPr="006008F7">
        <w:rPr>
          <w:lang w:val="fr-FR"/>
        </w:rPr>
        <w:t>’</w:t>
      </w:r>
      <w:r w:rsidRPr="006008F7">
        <w:rPr>
          <w:lang w:val="fr-FR"/>
        </w:rPr>
        <w:t>Office européen des brevets (OEB), le Service fédéral pour la propriété intellectuelle (R</w:t>
      </w:r>
      <w:r w:rsidR="009149D2" w:rsidRPr="006008F7">
        <w:rPr>
          <w:lang w:val="fr-FR"/>
        </w:rPr>
        <w:t>OSPATENT</w:t>
      </w:r>
      <w:r w:rsidRPr="006008F7">
        <w:rPr>
          <w:lang w:val="fr-FR"/>
        </w:rPr>
        <w:t>) et l</w:t>
      </w:r>
      <w:r w:rsidR="00EA39E4" w:rsidRPr="006008F7">
        <w:rPr>
          <w:lang w:val="fr-FR"/>
        </w:rPr>
        <w:t>’</w:t>
      </w:r>
      <w:r w:rsidRPr="006008F7">
        <w:rPr>
          <w:lang w:val="fr-FR"/>
        </w:rPr>
        <w:t>Office des brevets et des marques des États</w:t>
      </w:r>
      <w:r w:rsidR="00115091" w:rsidRPr="006008F7">
        <w:rPr>
          <w:lang w:val="fr-FR"/>
        </w:rPr>
        <w:noBreakHyphen/>
      </w:r>
      <w:r w:rsidRPr="006008F7">
        <w:rPr>
          <w:lang w:val="fr-FR"/>
        </w:rPr>
        <w:t>Unis d</w:t>
      </w:r>
      <w:r w:rsidR="00EA39E4" w:rsidRPr="006008F7">
        <w:rPr>
          <w:lang w:val="fr-FR"/>
        </w:rPr>
        <w:t>’</w:t>
      </w:r>
      <w:r w:rsidRPr="006008F7">
        <w:rPr>
          <w:lang w:val="fr-FR"/>
        </w:rPr>
        <w:t>Amérique (USPTO) (document PCT/MIA/21/21).</w:t>
      </w:r>
      <w:r w:rsidR="009226FE" w:rsidRPr="006008F7">
        <w:rPr>
          <w:lang w:val="fr-FR"/>
        </w:rPr>
        <w:t xml:space="preserve">  </w:t>
      </w:r>
      <w:r w:rsidRPr="006008F7">
        <w:rPr>
          <w:lang w:val="fr-FR"/>
        </w:rPr>
        <w:t>Les résultats de ces délibérations figurent aux paragraphes</w:t>
      </w:r>
      <w:r w:rsidR="00285349" w:rsidRPr="006008F7">
        <w:rPr>
          <w:lang w:val="fr-FR"/>
        </w:rPr>
        <w:t> </w:t>
      </w:r>
      <w:r w:rsidRPr="006008F7">
        <w:rPr>
          <w:lang w:val="fr-FR"/>
        </w:rPr>
        <w:t>44 à</w:t>
      </w:r>
      <w:r w:rsidR="00285349" w:rsidRPr="006008F7">
        <w:rPr>
          <w:lang w:val="fr-FR"/>
        </w:rPr>
        <w:t> </w:t>
      </w:r>
      <w:r w:rsidRPr="006008F7">
        <w:rPr>
          <w:lang w:val="fr-FR"/>
        </w:rPr>
        <w:t xml:space="preserve">54 du </w:t>
      </w:r>
      <w:r w:rsidR="006008F7" w:rsidRPr="006008F7">
        <w:rPr>
          <w:lang w:val="fr-FR"/>
        </w:rPr>
        <w:t>r</w:t>
      </w:r>
      <w:r w:rsidRPr="006008F7">
        <w:rPr>
          <w:lang w:val="fr-FR"/>
        </w:rPr>
        <w:t>ésumé établi par le président de la session (document PCT/MIA/21/22 en anglais uniquement, qui est reproduit dans les six</w:t>
      </w:r>
      <w:r w:rsidR="00285349" w:rsidRPr="006008F7">
        <w:rPr>
          <w:lang w:val="fr-FR"/>
        </w:rPr>
        <w:t> </w:t>
      </w:r>
      <w:r w:rsidRPr="006008F7">
        <w:rPr>
          <w:lang w:val="fr-FR"/>
        </w:rPr>
        <w:t xml:space="preserve">langues officielles des </w:t>
      </w:r>
      <w:r w:rsidR="00EA39E4" w:rsidRPr="006008F7">
        <w:rPr>
          <w:lang w:val="fr-FR"/>
        </w:rPr>
        <w:t>Nations Unies</w:t>
      </w:r>
      <w:r w:rsidRPr="006008F7">
        <w:rPr>
          <w:lang w:val="fr-FR"/>
        </w:rPr>
        <w:t xml:space="preserve"> à l</w:t>
      </w:r>
      <w:r w:rsidR="00EA39E4" w:rsidRPr="006008F7">
        <w:rPr>
          <w:lang w:val="fr-FR"/>
        </w:rPr>
        <w:t>’</w:t>
      </w:r>
      <w:r w:rsidRPr="006008F7">
        <w:rPr>
          <w:lang w:val="fr-FR"/>
        </w:rPr>
        <w:t>annexe du document PCT/WG/7/3).</w:t>
      </w:r>
    </w:p>
    <w:p w:rsidR="000F3AA6" w:rsidRPr="006008F7" w:rsidRDefault="00050298" w:rsidP="00F45EED">
      <w:pPr>
        <w:pStyle w:val="ONUMFS"/>
        <w:rPr>
          <w:lang w:val="fr-FR"/>
        </w:rPr>
      </w:pPr>
      <w:r w:rsidRPr="006008F7">
        <w:rPr>
          <w:lang w:val="fr-FR"/>
        </w:rPr>
        <w:t>Les questions ont ensuite été examinées par le Groupe de travail</w:t>
      </w:r>
      <w:r w:rsidR="00EA39E4" w:rsidRPr="006008F7">
        <w:rPr>
          <w:lang w:val="fr-FR"/>
        </w:rPr>
        <w:t xml:space="preserve"> du PCT</w:t>
      </w:r>
      <w:r w:rsidRPr="006008F7">
        <w:rPr>
          <w:lang w:val="fr-FR"/>
        </w:rPr>
        <w:t xml:space="preserve"> à sa septième</w:t>
      </w:r>
      <w:r w:rsidR="00886A93" w:rsidRPr="006008F7">
        <w:rPr>
          <w:lang w:val="fr-FR"/>
        </w:rPr>
        <w:t> </w:t>
      </w:r>
      <w:r w:rsidRPr="006008F7">
        <w:rPr>
          <w:lang w:val="fr-FR"/>
        </w:rPr>
        <w:t>session tenue du 10</w:t>
      </w:r>
      <w:r w:rsidR="00285349" w:rsidRPr="006008F7">
        <w:rPr>
          <w:lang w:val="fr-FR"/>
        </w:rPr>
        <w:t> </w:t>
      </w:r>
      <w:r w:rsidRPr="006008F7">
        <w:rPr>
          <w:lang w:val="fr-FR"/>
        </w:rPr>
        <w:t>au 13</w:t>
      </w:r>
      <w:r w:rsidR="00285349" w:rsidRPr="006008F7">
        <w:rPr>
          <w:lang w:val="fr-FR"/>
        </w:rPr>
        <w:t> </w:t>
      </w:r>
      <w:r w:rsidRPr="006008F7">
        <w:rPr>
          <w:lang w:val="fr-FR"/>
        </w:rPr>
        <w:t>juin</w:t>
      </w:r>
      <w:r w:rsidR="00285349" w:rsidRPr="006008F7">
        <w:rPr>
          <w:lang w:val="fr-FR"/>
        </w:rPr>
        <w:t> </w:t>
      </w:r>
      <w:r w:rsidRPr="006008F7">
        <w:rPr>
          <w:lang w:val="fr-FR"/>
        </w:rPr>
        <w:t>2014, sur la ba</w:t>
      </w:r>
      <w:r w:rsidR="006008F7" w:rsidRPr="006008F7">
        <w:rPr>
          <w:lang w:val="fr-FR"/>
        </w:rPr>
        <w:t>se du document PCT/WG/7/4.  Les </w:t>
      </w:r>
      <w:r w:rsidRPr="006008F7">
        <w:rPr>
          <w:lang w:val="fr-FR"/>
        </w:rPr>
        <w:t>paragraphes</w:t>
      </w:r>
      <w:r w:rsidR="00886A93" w:rsidRPr="006008F7">
        <w:rPr>
          <w:lang w:val="fr-FR"/>
        </w:rPr>
        <w:t> </w:t>
      </w:r>
      <w:r w:rsidRPr="006008F7">
        <w:rPr>
          <w:lang w:val="fr-FR"/>
        </w:rPr>
        <w:t>40 à</w:t>
      </w:r>
      <w:r w:rsidR="00886A93" w:rsidRPr="006008F7">
        <w:rPr>
          <w:lang w:val="fr-FR"/>
        </w:rPr>
        <w:t> </w:t>
      </w:r>
      <w:r w:rsidRPr="006008F7">
        <w:rPr>
          <w:lang w:val="fr-FR"/>
        </w:rPr>
        <w:t>52 du résumé du président de la session (document PCT/WG/7/29, reproduit à l</w:t>
      </w:r>
      <w:r w:rsidR="00EA39E4" w:rsidRPr="006008F7">
        <w:rPr>
          <w:lang w:val="fr-FR"/>
        </w:rPr>
        <w:t>’</w:t>
      </w:r>
      <w:r w:rsidRPr="006008F7">
        <w:rPr>
          <w:lang w:val="fr-FR"/>
        </w:rPr>
        <w:t>annexe du document PCT</w:t>
      </w:r>
      <w:r w:rsidR="00285349" w:rsidRPr="006008F7">
        <w:rPr>
          <w:lang w:val="fr-FR"/>
        </w:rPr>
        <w:t>/</w:t>
      </w:r>
      <w:r w:rsidRPr="006008F7">
        <w:rPr>
          <w:lang w:val="fr-FR"/>
        </w:rPr>
        <w:t>A/46/1) rendent compte du débat qui a eu lieu au sein du groupe de travail.</w:t>
      </w:r>
    </w:p>
    <w:p w:rsidR="000F3AA6" w:rsidRPr="006008F7" w:rsidRDefault="00050298" w:rsidP="00F45EED">
      <w:pPr>
        <w:pStyle w:val="ONUMFS"/>
        <w:rPr>
          <w:lang w:val="fr-FR"/>
        </w:rPr>
      </w:pPr>
      <w:r w:rsidRPr="006008F7">
        <w:rPr>
          <w:lang w:val="fr-FR"/>
        </w:rPr>
        <w:t>Les discussions du groupe de travail peuvent se résumer comme suit</w:t>
      </w:r>
      <w:r w:rsidR="00285349" w:rsidRPr="006008F7">
        <w:rPr>
          <w:lang w:val="fr-FR"/>
        </w:rPr>
        <w:t> </w:t>
      </w:r>
      <w:r w:rsidRPr="006008F7">
        <w:rPr>
          <w:lang w:val="fr-FR"/>
        </w:rPr>
        <w:t>:</w:t>
      </w:r>
    </w:p>
    <w:p w:rsidR="000F3AA6" w:rsidRPr="006008F7" w:rsidRDefault="00050298" w:rsidP="00F45EED">
      <w:pPr>
        <w:pStyle w:val="ONUMFS"/>
        <w:numPr>
          <w:ilvl w:val="1"/>
          <w:numId w:val="6"/>
        </w:numPr>
        <w:rPr>
          <w:lang w:val="fr-FR"/>
        </w:rPr>
      </w:pPr>
      <w:r w:rsidRPr="006008F7">
        <w:rPr>
          <w:lang w:val="fr-FR"/>
        </w:rPr>
        <w:t>En ce qui concerne les critères matériels de nomination, le groupe de travail est convenu qu</w:t>
      </w:r>
      <w:r w:rsidR="00EA39E4" w:rsidRPr="006008F7">
        <w:rPr>
          <w:lang w:val="fr-FR"/>
        </w:rPr>
        <w:t>’</w:t>
      </w:r>
      <w:r w:rsidRPr="006008F7">
        <w:rPr>
          <w:lang w:val="fr-FR"/>
        </w:rPr>
        <w:t>il était prématuré de recommander d</w:t>
      </w:r>
      <w:r w:rsidR="00EA39E4" w:rsidRPr="006008F7">
        <w:rPr>
          <w:lang w:val="fr-FR"/>
        </w:rPr>
        <w:t>’</w:t>
      </w:r>
      <w:r w:rsidRPr="006008F7">
        <w:rPr>
          <w:lang w:val="fr-FR"/>
        </w:rPr>
        <w:t>apporter des changements.</w:t>
      </w:r>
      <w:r w:rsidR="00780C07" w:rsidRPr="006008F7">
        <w:rPr>
          <w:lang w:val="fr-FR"/>
        </w:rPr>
        <w:t xml:space="preserve">  </w:t>
      </w:r>
      <w:r w:rsidRPr="006008F7">
        <w:rPr>
          <w:lang w:val="fr-FR"/>
        </w:rPr>
        <w:t>Tout en relevant que le principal enjeu était de veiller à ce que les offices soient capables d</w:t>
      </w:r>
      <w:r w:rsidR="00EA39E4" w:rsidRPr="006008F7">
        <w:rPr>
          <w:lang w:val="fr-FR"/>
        </w:rPr>
        <w:t>’</w:t>
      </w:r>
      <w:r w:rsidRPr="006008F7">
        <w:rPr>
          <w:lang w:val="fr-FR"/>
        </w:rPr>
        <w:t>effectuer une recherche internationale et un examen préliminaire ayant le niveau de qualité voulu, l</w:t>
      </w:r>
      <w:r w:rsidR="00886A93" w:rsidRPr="006008F7">
        <w:rPr>
          <w:lang w:val="fr-FR"/>
        </w:rPr>
        <w:t>a Réunion des administrations internationales</w:t>
      </w:r>
      <w:r w:rsidRPr="006008F7">
        <w:rPr>
          <w:lang w:val="fr-FR"/>
        </w:rPr>
        <w:t xml:space="preserve"> </w:t>
      </w:r>
      <w:r w:rsidR="00886A93" w:rsidRPr="006008F7">
        <w:rPr>
          <w:lang w:val="fr-FR"/>
        </w:rPr>
        <w:t>(</w:t>
      </w:r>
      <w:r w:rsidRPr="006008F7">
        <w:rPr>
          <w:lang w:val="fr-FR"/>
        </w:rPr>
        <w:t>PCT/MIA</w:t>
      </w:r>
      <w:r w:rsidR="00886A93" w:rsidRPr="006008F7">
        <w:rPr>
          <w:lang w:val="fr-FR"/>
        </w:rPr>
        <w:t>)</w:t>
      </w:r>
      <w:r w:rsidRPr="006008F7">
        <w:rPr>
          <w:lang w:val="fr-FR"/>
        </w:rPr>
        <w:t xml:space="preserve"> a confié au sous</w:t>
      </w:r>
      <w:r w:rsidR="00115091" w:rsidRPr="006008F7">
        <w:rPr>
          <w:lang w:val="fr-FR"/>
        </w:rPr>
        <w:noBreakHyphen/>
      </w:r>
      <w:r w:rsidRPr="006008F7">
        <w:rPr>
          <w:lang w:val="fr-FR"/>
        </w:rPr>
        <w:t>groupe chargé de la qualité la tâche d</w:t>
      </w:r>
      <w:r w:rsidR="00EA39E4" w:rsidRPr="006008F7">
        <w:rPr>
          <w:lang w:val="fr-FR"/>
        </w:rPr>
        <w:t>’</w:t>
      </w:r>
      <w:r w:rsidRPr="006008F7">
        <w:rPr>
          <w:lang w:val="fr-FR"/>
        </w:rPr>
        <w:t>examiner plus avant les exigences de qualité pour agir efficacement en tant qu</w:t>
      </w:r>
      <w:r w:rsidR="00EA39E4" w:rsidRPr="006008F7">
        <w:rPr>
          <w:lang w:val="fr-FR"/>
        </w:rPr>
        <w:t>’</w:t>
      </w:r>
      <w:r w:rsidRPr="006008F7">
        <w:rPr>
          <w:lang w:val="fr-FR"/>
        </w:rPr>
        <w:t>administration, ainsi que la façon dont celles</w:t>
      </w:r>
      <w:r w:rsidR="00115091" w:rsidRPr="006008F7">
        <w:rPr>
          <w:lang w:val="fr-FR"/>
        </w:rPr>
        <w:noBreakHyphen/>
      </w:r>
      <w:r w:rsidRPr="006008F7">
        <w:rPr>
          <w:lang w:val="fr-FR"/>
        </w:rPr>
        <w:t>ci pourraient être mieux exprimées dans les critères de nomination.</w:t>
      </w:r>
      <w:r w:rsidR="00780C07" w:rsidRPr="006008F7">
        <w:rPr>
          <w:lang w:val="fr-FR"/>
        </w:rPr>
        <w:t xml:space="preserve">  </w:t>
      </w:r>
      <w:r w:rsidR="00B14CF4" w:rsidRPr="006008F7">
        <w:rPr>
          <w:lang w:val="fr-FR"/>
        </w:rPr>
        <w:t>Le groupe de travail est convenu d</w:t>
      </w:r>
      <w:r w:rsidR="00EA39E4" w:rsidRPr="006008F7">
        <w:rPr>
          <w:lang w:val="fr-FR"/>
        </w:rPr>
        <w:t>’</w:t>
      </w:r>
      <w:r w:rsidR="00B14CF4" w:rsidRPr="006008F7">
        <w:rPr>
          <w:lang w:val="fr-FR"/>
        </w:rPr>
        <w:t>attendre les résultats des discussions au sein du sous</w:t>
      </w:r>
      <w:r w:rsidR="00115091" w:rsidRPr="006008F7">
        <w:rPr>
          <w:lang w:val="fr-FR"/>
        </w:rPr>
        <w:noBreakHyphen/>
      </w:r>
      <w:r w:rsidR="00B14CF4" w:rsidRPr="006008F7">
        <w:rPr>
          <w:lang w:val="fr-FR"/>
        </w:rPr>
        <w:t>groupe et</w:t>
      </w:r>
      <w:r w:rsidR="00EA39E4" w:rsidRPr="006008F7">
        <w:rPr>
          <w:lang w:val="fr-FR"/>
        </w:rPr>
        <w:t xml:space="preserve"> du PCT</w:t>
      </w:r>
      <w:r w:rsidR="00B14CF4" w:rsidRPr="006008F7">
        <w:rPr>
          <w:lang w:val="fr-FR"/>
        </w:rPr>
        <w:t>/MIA avant de reprendre l</w:t>
      </w:r>
      <w:r w:rsidR="00EA39E4" w:rsidRPr="006008F7">
        <w:rPr>
          <w:lang w:val="fr-FR"/>
        </w:rPr>
        <w:t>’</w:t>
      </w:r>
      <w:r w:rsidR="00B14CF4" w:rsidRPr="006008F7">
        <w:rPr>
          <w:lang w:val="fr-FR"/>
        </w:rPr>
        <w:t>examen de la question à sa prochaine session en</w:t>
      </w:r>
      <w:r w:rsidR="00285349" w:rsidRPr="006008F7">
        <w:rPr>
          <w:lang w:val="fr-FR"/>
        </w:rPr>
        <w:t> </w:t>
      </w:r>
      <w:r w:rsidR="00B14CF4" w:rsidRPr="006008F7">
        <w:rPr>
          <w:lang w:val="fr-FR"/>
        </w:rPr>
        <w:t>2015.</w:t>
      </w:r>
    </w:p>
    <w:p w:rsidR="000F3AA6" w:rsidRPr="006008F7" w:rsidRDefault="00B14CF4" w:rsidP="00F45EED">
      <w:pPr>
        <w:pStyle w:val="ONUMFS"/>
        <w:numPr>
          <w:ilvl w:val="1"/>
          <w:numId w:val="6"/>
        </w:numPr>
        <w:rPr>
          <w:lang w:val="fr-FR"/>
        </w:rPr>
      </w:pPr>
      <w:r w:rsidRPr="006008F7">
        <w:rPr>
          <w:lang w:val="fr-FR"/>
        </w:rPr>
        <w:t>Concernant les procédures de nomination, le groupe de travail est convenu que celles</w:t>
      </w:r>
      <w:r w:rsidR="00115091" w:rsidRPr="006008F7">
        <w:rPr>
          <w:lang w:val="fr-FR"/>
        </w:rPr>
        <w:noBreakHyphen/>
      </w:r>
      <w:r w:rsidRPr="006008F7">
        <w:rPr>
          <w:lang w:val="fr-FR"/>
        </w:rPr>
        <w:t>ci auraient beaucoup à gagner de l</w:t>
      </w:r>
      <w:r w:rsidR="00EA39E4" w:rsidRPr="006008F7">
        <w:rPr>
          <w:lang w:val="fr-FR"/>
        </w:rPr>
        <w:t>’</w:t>
      </w:r>
      <w:r w:rsidRPr="006008F7">
        <w:rPr>
          <w:lang w:val="fr-FR"/>
        </w:rPr>
        <w:t>ajout d</w:t>
      </w:r>
      <w:r w:rsidR="00EA39E4" w:rsidRPr="006008F7">
        <w:rPr>
          <w:lang w:val="fr-FR"/>
        </w:rPr>
        <w:t>’</w:t>
      </w:r>
      <w:r w:rsidRPr="006008F7">
        <w:rPr>
          <w:lang w:val="fr-FR"/>
        </w:rPr>
        <w:t>un examen de la candidature d</w:t>
      </w:r>
      <w:r w:rsidR="00EA39E4" w:rsidRPr="006008F7">
        <w:rPr>
          <w:lang w:val="fr-FR"/>
        </w:rPr>
        <w:t>’</w:t>
      </w:r>
      <w:r w:rsidRPr="006008F7">
        <w:rPr>
          <w:lang w:val="fr-FR"/>
        </w:rPr>
        <w:t>un office par des experts avant toute décision de l</w:t>
      </w:r>
      <w:r w:rsidR="00EA39E4" w:rsidRPr="006008F7">
        <w:rPr>
          <w:lang w:val="fr-FR"/>
        </w:rPr>
        <w:t>’</w:t>
      </w:r>
      <w:r w:rsidRPr="006008F7">
        <w:rPr>
          <w:lang w:val="fr-FR"/>
        </w:rPr>
        <w:t>assemblée.</w:t>
      </w:r>
      <w:r w:rsidR="00A35445" w:rsidRPr="006008F7">
        <w:rPr>
          <w:lang w:val="fr-FR"/>
        </w:rPr>
        <w:t xml:space="preserve">  </w:t>
      </w:r>
      <w:r w:rsidR="00354646" w:rsidRPr="006008F7">
        <w:rPr>
          <w:lang w:val="fr-FR"/>
        </w:rPr>
        <w:t>Il a donc recommandé que l</w:t>
      </w:r>
      <w:r w:rsidR="00EA39E4" w:rsidRPr="006008F7">
        <w:rPr>
          <w:lang w:val="fr-FR"/>
        </w:rPr>
        <w:t>’</w:t>
      </w:r>
      <w:r w:rsidR="00354646" w:rsidRPr="006008F7">
        <w:rPr>
          <w:lang w:val="fr-FR"/>
        </w:rPr>
        <w:t>Assemblée de l</w:t>
      </w:r>
      <w:r w:rsidR="00EA39E4" w:rsidRPr="006008F7">
        <w:rPr>
          <w:lang w:val="fr-FR"/>
        </w:rPr>
        <w:t>’</w:t>
      </w:r>
      <w:r w:rsidR="00354646" w:rsidRPr="006008F7">
        <w:rPr>
          <w:lang w:val="fr-FR"/>
        </w:rPr>
        <w:t>Union</w:t>
      </w:r>
      <w:r w:rsidR="00EA39E4" w:rsidRPr="006008F7">
        <w:rPr>
          <w:lang w:val="fr-FR"/>
        </w:rPr>
        <w:t xml:space="preserve"> du PCT</w:t>
      </w:r>
      <w:r w:rsidR="00354646" w:rsidRPr="006008F7">
        <w:rPr>
          <w:lang w:val="fr-FR"/>
        </w:rPr>
        <w:t xml:space="preserve"> adopte un accord de principe comme indiqué ci</w:t>
      </w:r>
      <w:r w:rsidR="00115091" w:rsidRPr="006008F7">
        <w:rPr>
          <w:lang w:val="fr-FR"/>
        </w:rPr>
        <w:noBreakHyphen/>
      </w:r>
      <w:r w:rsidR="00354646" w:rsidRPr="006008F7">
        <w:rPr>
          <w:lang w:val="fr-FR"/>
        </w:rPr>
        <w:t>dessous afin de veiller à ce que</w:t>
      </w:r>
      <w:r w:rsidR="00EA39E4" w:rsidRPr="006008F7">
        <w:rPr>
          <w:lang w:val="fr-FR"/>
        </w:rPr>
        <w:t xml:space="preserve"> le PCT</w:t>
      </w:r>
      <w:r w:rsidR="00354646" w:rsidRPr="006008F7">
        <w:rPr>
          <w:lang w:val="fr-FR"/>
        </w:rPr>
        <w:t>/CTC, auquel le Traité confère la responsabilité de rendre des avis à l</w:t>
      </w:r>
      <w:r w:rsidR="00EA39E4" w:rsidRPr="006008F7">
        <w:rPr>
          <w:lang w:val="fr-FR"/>
        </w:rPr>
        <w:t>’</w:t>
      </w:r>
      <w:r w:rsidR="00354646" w:rsidRPr="006008F7">
        <w:rPr>
          <w:lang w:val="fr-FR"/>
        </w:rPr>
        <w:t>assemblée sur les candidatures, se réunisse toujours en véritable qualité d</w:t>
      </w:r>
      <w:r w:rsidR="00EA39E4" w:rsidRPr="006008F7">
        <w:rPr>
          <w:lang w:val="fr-FR"/>
        </w:rPr>
        <w:t>’</w:t>
      </w:r>
      <w:r w:rsidR="00354646" w:rsidRPr="006008F7">
        <w:rPr>
          <w:lang w:val="fr-FR"/>
        </w:rPr>
        <w:t>organe constitué d</w:t>
      </w:r>
      <w:r w:rsidR="00EA39E4" w:rsidRPr="006008F7">
        <w:rPr>
          <w:lang w:val="fr-FR"/>
        </w:rPr>
        <w:t>’</w:t>
      </w:r>
      <w:r w:rsidR="00354646" w:rsidRPr="006008F7">
        <w:rPr>
          <w:lang w:val="fr-FR"/>
        </w:rPr>
        <w:t>experts bien avant l</w:t>
      </w:r>
      <w:r w:rsidR="00EA39E4" w:rsidRPr="006008F7">
        <w:rPr>
          <w:lang w:val="fr-FR"/>
        </w:rPr>
        <w:t>’</w:t>
      </w:r>
      <w:r w:rsidR="00EA2549">
        <w:rPr>
          <w:lang w:val="fr-FR"/>
        </w:rPr>
        <w:t>A</w:t>
      </w:r>
      <w:r w:rsidR="00354646" w:rsidRPr="006008F7">
        <w:rPr>
          <w:lang w:val="fr-FR"/>
        </w:rPr>
        <w:t>ssemblée</w:t>
      </w:r>
      <w:r w:rsidR="00EA39E4" w:rsidRPr="006008F7">
        <w:rPr>
          <w:lang w:val="fr-FR"/>
        </w:rPr>
        <w:t xml:space="preserve"> </w:t>
      </w:r>
      <w:r w:rsidR="00EA2549">
        <w:rPr>
          <w:lang w:val="fr-FR"/>
        </w:rPr>
        <w:t xml:space="preserve">de l’Union </w:t>
      </w:r>
      <w:r w:rsidR="00EA39E4" w:rsidRPr="006008F7">
        <w:rPr>
          <w:lang w:val="fr-FR"/>
        </w:rPr>
        <w:t>du PCT</w:t>
      </w:r>
      <w:r w:rsidR="00354646" w:rsidRPr="006008F7">
        <w:rPr>
          <w:lang w:val="fr-FR"/>
        </w:rPr>
        <w:t>, afin que le processus aboutissant à la décision de l</w:t>
      </w:r>
      <w:r w:rsidR="00EA39E4" w:rsidRPr="006008F7">
        <w:rPr>
          <w:lang w:val="fr-FR"/>
        </w:rPr>
        <w:t>’</w:t>
      </w:r>
      <w:r w:rsidR="00354646" w:rsidRPr="006008F7">
        <w:rPr>
          <w:lang w:val="fr-FR"/>
        </w:rPr>
        <w:t>Assemblée de l</w:t>
      </w:r>
      <w:r w:rsidR="00EA39E4" w:rsidRPr="006008F7">
        <w:rPr>
          <w:lang w:val="fr-FR"/>
        </w:rPr>
        <w:t>’</w:t>
      </w:r>
      <w:r w:rsidR="00354646" w:rsidRPr="006008F7">
        <w:rPr>
          <w:lang w:val="fr-FR"/>
        </w:rPr>
        <w:t>Union</w:t>
      </w:r>
      <w:r w:rsidR="00EA39E4" w:rsidRPr="006008F7">
        <w:rPr>
          <w:lang w:val="fr-FR"/>
        </w:rPr>
        <w:t xml:space="preserve"> du PCT</w:t>
      </w:r>
      <w:r w:rsidR="00354646" w:rsidRPr="006008F7">
        <w:rPr>
          <w:lang w:val="fr-FR"/>
        </w:rPr>
        <w:t xml:space="preserve"> soit véritablement utile et efficace.</w:t>
      </w:r>
      <w:r w:rsidR="00780C07" w:rsidRPr="006008F7">
        <w:rPr>
          <w:lang w:val="fr-FR"/>
        </w:rPr>
        <w:t xml:space="preserve">  </w:t>
      </w:r>
      <w:r w:rsidR="00A94E75" w:rsidRPr="006008F7">
        <w:rPr>
          <w:lang w:val="fr-FR"/>
        </w:rPr>
        <w:t>Plusieurs délégations ont fait savoir qu</w:t>
      </w:r>
      <w:r w:rsidR="00EA39E4" w:rsidRPr="006008F7">
        <w:rPr>
          <w:lang w:val="fr-FR"/>
        </w:rPr>
        <w:t>’</w:t>
      </w:r>
      <w:r w:rsidR="00A94E75" w:rsidRPr="006008F7">
        <w:rPr>
          <w:lang w:val="fr-FR"/>
        </w:rPr>
        <w:t>elles auraient préféré inscrire dans les procédures un rôle plus formel pour les administrations internationales existantes, sous la forme de discussions avec</w:t>
      </w:r>
      <w:r w:rsidR="00EA39E4" w:rsidRPr="006008F7">
        <w:rPr>
          <w:lang w:val="fr-FR"/>
        </w:rPr>
        <w:t xml:space="preserve"> le PCT</w:t>
      </w:r>
      <w:r w:rsidR="00A94E75" w:rsidRPr="006008F7">
        <w:rPr>
          <w:lang w:val="fr-FR"/>
        </w:rPr>
        <w:t>/MIA dans la perspective de l</w:t>
      </w:r>
      <w:r w:rsidR="00EA39E4" w:rsidRPr="006008F7">
        <w:rPr>
          <w:lang w:val="fr-FR"/>
        </w:rPr>
        <w:t>’</w:t>
      </w:r>
      <w:r w:rsidR="00A94E75" w:rsidRPr="006008F7">
        <w:rPr>
          <w:lang w:val="fr-FR"/>
        </w:rPr>
        <w:t>établissement de conseils techniques pour examen par</w:t>
      </w:r>
      <w:r w:rsidR="00EA39E4" w:rsidRPr="006008F7">
        <w:rPr>
          <w:lang w:val="fr-FR"/>
        </w:rPr>
        <w:t xml:space="preserve"> le PCT</w:t>
      </w:r>
      <w:r w:rsidR="00A94E75" w:rsidRPr="006008F7">
        <w:rPr>
          <w:lang w:val="fr-FR"/>
        </w:rPr>
        <w:t>/CTC;  toutefois, aucun consensus ne s</w:t>
      </w:r>
      <w:r w:rsidR="00EA39E4" w:rsidRPr="006008F7">
        <w:rPr>
          <w:lang w:val="fr-FR"/>
        </w:rPr>
        <w:t>’</w:t>
      </w:r>
      <w:r w:rsidR="00A94E75" w:rsidRPr="006008F7">
        <w:rPr>
          <w:lang w:val="fr-FR"/>
        </w:rPr>
        <w:t>était dégagé sur cette question au sein du groupe de travail.</w:t>
      </w:r>
    </w:p>
    <w:p w:rsidR="000F3AA6" w:rsidRPr="006008F7" w:rsidRDefault="00671B77" w:rsidP="00F45EED">
      <w:pPr>
        <w:pStyle w:val="ONUMFS"/>
        <w:numPr>
          <w:ilvl w:val="1"/>
          <w:numId w:val="6"/>
        </w:numPr>
        <w:rPr>
          <w:lang w:val="fr-FR"/>
        </w:rPr>
      </w:pPr>
      <w:r w:rsidRPr="006008F7">
        <w:rPr>
          <w:lang w:val="fr-FR"/>
        </w:rPr>
        <w:lastRenderedPageBreak/>
        <w:t>Le groupe de travail a par ailleurs recommandé que les candidatures des offices remplissent tous les critères requis au moment de la nomination, retenant une exception particulière en ce qui concerne les systèmes de gestion de la qualité comme indiqué au paragraphe d) du projet d</w:t>
      </w:r>
      <w:r w:rsidR="00EA39E4" w:rsidRPr="006008F7">
        <w:rPr>
          <w:lang w:val="fr-FR"/>
        </w:rPr>
        <w:t>’</w:t>
      </w:r>
      <w:r w:rsidRPr="006008F7">
        <w:rPr>
          <w:lang w:val="fr-FR"/>
        </w:rPr>
        <w:t>accord de principe ci</w:t>
      </w:r>
      <w:r w:rsidR="00115091" w:rsidRPr="006008F7">
        <w:rPr>
          <w:lang w:val="fr-FR"/>
        </w:rPr>
        <w:noBreakHyphen/>
      </w:r>
      <w:r w:rsidRPr="006008F7">
        <w:rPr>
          <w:lang w:val="fr-FR"/>
        </w:rPr>
        <w:t>dessous, dans la mesure où ces systèmes ne peuvent pas entrer en service avant que l</w:t>
      </w:r>
      <w:r w:rsidR="00EA39E4" w:rsidRPr="006008F7">
        <w:rPr>
          <w:lang w:val="fr-FR"/>
        </w:rPr>
        <w:t>’</w:t>
      </w:r>
      <w:r w:rsidRPr="006008F7">
        <w:rPr>
          <w:lang w:val="fr-FR"/>
        </w:rPr>
        <w:t>office souhaitant être nommé ne commence effectivement à fonctionner en tant qu</w:t>
      </w:r>
      <w:r w:rsidR="00EA39E4" w:rsidRPr="006008F7">
        <w:rPr>
          <w:lang w:val="fr-FR"/>
        </w:rPr>
        <w:t>’</w:t>
      </w:r>
      <w:r w:rsidRPr="006008F7">
        <w:rPr>
          <w:lang w:val="fr-FR"/>
        </w:rPr>
        <w:t>administration internationale.</w:t>
      </w:r>
    </w:p>
    <w:p w:rsidR="000F3AA6" w:rsidRPr="006008F7" w:rsidRDefault="00E05663" w:rsidP="00F45EED">
      <w:pPr>
        <w:pStyle w:val="Heading1"/>
        <w:rPr>
          <w:lang w:val="fr-FR"/>
        </w:rPr>
      </w:pPr>
      <w:r w:rsidRPr="006008F7">
        <w:rPr>
          <w:lang w:val="fr-FR"/>
        </w:rPr>
        <w:t>Proposition</w:t>
      </w:r>
    </w:p>
    <w:p w:rsidR="000F3AA6" w:rsidRPr="006008F7" w:rsidRDefault="00671B77" w:rsidP="00F45EED">
      <w:pPr>
        <w:pStyle w:val="ONUMFS"/>
        <w:rPr>
          <w:lang w:val="fr-FR"/>
        </w:rPr>
      </w:pPr>
      <w:r w:rsidRPr="006008F7">
        <w:rPr>
          <w:lang w:val="fr-FR"/>
        </w:rPr>
        <w:t>Le groupe de travail a donc recommandé que l</w:t>
      </w:r>
      <w:r w:rsidR="00EA39E4" w:rsidRPr="006008F7">
        <w:rPr>
          <w:lang w:val="fr-FR"/>
        </w:rPr>
        <w:t>’</w:t>
      </w:r>
      <w:r w:rsidRPr="006008F7">
        <w:rPr>
          <w:lang w:val="fr-FR"/>
        </w:rPr>
        <w:t>Assemblée de l</w:t>
      </w:r>
      <w:r w:rsidR="00EA39E4" w:rsidRPr="006008F7">
        <w:rPr>
          <w:lang w:val="fr-FR"/>
        </w:rPr>
        <w:t>’</w:t>
      </w:r>
      <w:r w:rsidRPr="006008F7">
        <w:rPr>
          <w:lang w:val="fr-FR"/>
        </w:rPr>
        <w:t>Union</w:t>
      </w:r>
      <w:r w:rsidR="00EA39E4" w:rsidRPr="006008F7">
        <w:rPr>
          <w:lang w:val="fr-FR"/>
        </w:rPr>
        <w:t xml:space="preserve"> du PCT</w:t>
      </w:r>
      <w:r w:rsidRPr="006008F7">
        <w:rPr>
          <w:lang w:val="fr-FR"/>
        </w:rPr>
        <w:t xml:space="preserve"> adopte l</w:t>
      </w:r>
      <w:r w:rsidR="00EA39E4" w:rsidRPr="006008F7">
        <w:rPr>
          <w:lang w:val="fr-FR"/>
        </w:rPr>
        <w:t>’</w:t>
      </w:r>
      <w:r w:rsidRPr="006008F7">
        <w:rPr>
          <w:lang w:val="fr-FR"/>
        </w:rPr>
        <w:t>accord de principe suivant</w:t>
      </w:r>
      <w:r w:rsidR="00285349" w:rsidRPr="006008F7">
        <w:rPr>
          <w:lang w:val="fr-FR"/>
        </w:rPr>
        <w:t> </w:t>
      </w:r>
      <w:r w:rsidRPr="006008F7">
        <w:rPr>
          <w:lang w:val="fr-FR"/>
        </w:rPr>
        <w:t>:</w:t>
      </w:r>
    </w:p>
    <w:p w:rsidR="000F3AA6" w:rsidRPr="006008F7" w:rsidRDefault="00671B77" w:rsidP="00F45EED">
      <w:pPr>
        <w:pStyle w:val="ONUME"/>
        <w:numPr>
          <w:ilvl w:val="0"/>
          <w:numId w:val="0"/>
        </w:numPr>
        <w:spacing w:after="180"/>
        <w:ind w:left="562"/>
        <w:rPr>
          <w:lang w:val="fr-FR"/>
        </w:rPr>
      </w:pPr>
      <w:r w:rsidRPr="006008F7">
        <w:rPr>
          <w:lang w:val="fr-FR"/>
        </w:rPr>
        <w:t>“</w:t>
      </w:r>
      <w:r w:rsidRPr="006008F7">
        <w:rPr>
          <w:u w:val="single"/>
          <w:lang w:val="fr-FR"/>
        </w:rPr>
        <w:t>Procédures de nomination des administrations internationales</w:t>
      </w:r>
      <w:r w:rsidRPr="006008F7">
        <w:rPr>
          <w:lang w:val="fr-FR"/>
        </w:rPr>
        <w:t>”</w:t>
      </w:r>
      <w:r w:rsidR="00285349" w:rsidRPr="006008F7">
        <w:rPr>
          <w:lang w:val="fr-FR"/>
        </w:rPr>
        <w:t> </w:t>
      </w:r>
      <w:r w:rsidRPr="006008F7">
        <w:rPr>
          <w:lang w:val="fr-FR"/>
        </w:rPr>
        <w:t>:</w:t>
      </w:r>
    </w:p>
    <w:p w:rsidR="000F3AA6" w:rsidRPr="006008F7" w:rsidRDefault="00E05663" w:rsidP="00F45EED">
      <w:pPr>
        <w:pStyle w:val="ONUME"/>
        <w:numPr>
          <w:ilvl w:val="0"/>
          <w:numId w:val="0"/>
        </w:numPr>
        <w:spacing w:after="180"/>
        <w:ind w:left="562"/>
        <w:rPr>
          <w:lang w:val="fr-FR"/>
        </w:rPr>
      </w:pPr>
      <w:r w:rsidRPr="006008F7">
        <w:rPr>
          <w:lang w:val="fr-FR"/>
        </w:rPr>
        <w:t>“</w:t>
      </w:r>
      <w:proofErr w:type="gramStart"/>
      <w:r w:rsidRPr="006008F7">
        <w:rPr>
          <w:lang w:val="fr-FR"/>
        </w:rPr>
        <w:t>a</w:t>
      </w:r>
      <w:proofErr w:type="gramEnd"/>
      <w:r w:rsidRPr="006008F7">
        <w:rPr>
          <w:lang w:val="fr-FR"/>
        </w:rPr>
        <w:t>)</w:t>
      </w:r>
      <w:r w:rsidRPr="006008F7">
        <w:rPr>
          <w:lang w:val="fr-FR"/>
        </w:rPr>
        <w:tab/>
      </w:r>
      <w:r w:rsidR="00671B77" w:rsidRPr="006008F7">
        <w:rPr>
          <w:lang w:val="fr-FR"/>
        </w:rPr>
        <w:t>Tout office national ou organisation intergouvernementale (ci</w:t>
      </w:r>
      <w:r w:rsidR="00115091" w:rsidRPr="006008F7">
        <w:rPr>
          <w:lang w:val="fr-FR"/>
        </w:rPr>
        <w:noBreakHyphen/>
      </w:r>
      <w:r w:rsidR="00671B77" w:rsidRPr="006008F7">
        <w:rPr>
          <w:lang w:val="fr-FR"/>
        </w:rPr>
        <w:t>après dénommés “office”) souhaitant présenter sa nomination est vivement encouragé à demander l</w:t>
      </w:r>
      <w:r w:rsidR="00EA39E4" w:rsidRPr="006008F7">
        <w:rPr>
          <w:lang w:val="fr-FR"/>
        </w:rPr>
        <w:t>’</w:t>
      </w:r>
      <w:r w:rsidR="00671B77" w:rsidRPr="006008F7">
        <w:rPr>
          <w:lang w:val="fr-FR"/>
        </w:rPr>
        <w:t>assistance d</w:t>
      </w:r>
      <w:r w:rsidR="00EA39E4" w:rsidRPr="006008F7">
        <w:rPr>
          <w:lang w:val="fr-FR"/>
        </w:rPr>
        <w:t>’</w:t>
      </w:r>
      <w:r w:rsidR="00671B77" w:rsidRPr="006008F7">
        <w:rPr>
          <w:lang w:val="fr-FR"/>
        </w:rPr>
        <w:t>une ou plusieurs administrations internationales existantes avant de soumettre une candidature formelle, afin de déterminer plus précisément dans quelle mesure il remplit les critères.</w:t>
      </w:r>
    </w:p>
    <w:p w:rsidR="000F3AA6" w:rsidRPr="006008F7" w:rsidRDefault="00E05663" w:rsidP="00F45EED">
      <w:pPr>
        <w:pStyle w:val="ONUME"/>
        <w:numPr>
          <w:ilvl w:val="0"/>
          <w:numId w:val="0"/>
        </w:numPr>
        <w:spacing w:after="180"/>
        <w:ind w:left="562"/>
        <w:rPr>
          <w:lang w:val="fr-FR"/>
        </w:rPr>
      </w:pPr>
      <w:r w:rsidRPr="006008F7">
        <w:rPr>
          <w:lang w:val="fr-FR"/>
        </w:rPr>
        <w:t>“</w:t>
      </w:r>
      <w:proofErr w:type="gramStart"/>
      <w:r w:rsidRPr="006008F7">
        <w:rPr>
          <w:lang w:val="fr-FR"/>
        </w:rPr>
        <w:t>b</w:t>
      </w:r>
      <w:proofErr w:type="gramEnd"/>
      <w:r w:rsidRPr="006008F7">
        <w:rPr>
          <w:lang w:val="fr-FR"/>
        </w:rPr>
        <w:t>)</w:t>
      </w:r>
      <w:r w:rsidRPr="006008F7">
        <w:rPr>
          <w:lang w:val="fr-FR"/>
        </w:rPr>
        <w:tab/>
      </w:r>
      <w:r w:rsidR="00A57543" w:rsidRPr="006008F7">
        <w:rPr>
          <w:lang w:val="fr-FR"/>
        </w:rPr>
        <w:t>Toute candidature d</w:t>
      </w:r>
      <w:r w:rsidR="00EA39E4" w:rsidRPr="006008F7">
        <w:rPr>
          <w:lang w:val="fr-FR"/>
        </w:rPr>
        <w:t>’</w:t>
      </w:r>
      <w:r w:rsidR="00A57543" w:rsidRPr="006008F7">
        <w:rPr>
          <w:lang w:val="fr-FR"/>
        </w:rPr>
        <w:t>un office en vue de sa nomination en qualité d</w:t>
      </w:r>
      <w:r w:rsidR="00EA39E4" w:rsidRPr="006008F7">
        <w:rPr>
          <w:lang w:val="fr-FR"/>
        </w:rPr>
        <w:t>’</w:t>
      </w:r>
      <w:r w:rsidR="00A57543" w:rsidRPr="006008F7">
        <w:rPr>
          <w:lang w:val="fr-FR"/>
        </w:rPr>
        <w:t>administration internationale doit être présentée bien avant sa soumission à l</w:t>
      </w:r>
      <w:r w:rsidR="00EA39E4" w:rsidRPr="006008F7">
        <w:rPr>
          <w:lang w:val="fr-FR"/>
        </w:rPr>
        <w:t>’</w:t>
      </w:r>
      <w:r w:rsidR="00A57543" w:rsidRPr="006008F7">
        <w:rPr>
          <w:lang w:val="fr-FR"/>
        </w:rPr>
        <w:t>Assemblée de l</w:t>
      </w:r>
      <w:r w:rsidR="00EA39E4" w:rsidRPr="006008F7">
        <w:rPr>
          <w:lang w:val="fr-FR"/>
        </w:rPr>
        <w:t>’</w:t>
      </w:r>
      <w:r w:rsidR="00A57543" w:rsidRPr="006008F7">
        <w:rPr>
          <w:lang w:val="fr-FR"/>
        </w:rPr>
        <w:t>Union</w:t>
      </w:r>
      <w:r w:rsidR="00EA39E4" w:rsidRPr="006008F7">
        <w:rPr>
          <w:lang w:val="fr-FR"/>
        </w:rPr>
        <w:t xml:space="preserve"> du PCT</w:t>
      </w:r>
      <w:r w:rsidR="00A57543" w:rsidRPr="006008F7">
        <w:rPr>
          <w:lang w:val="fr-FR"/>
        </w:rPr>
        <w:t xml:space="preserve"> afin de laisser au Comité de coopération technique</w:t>
      </w:r>
      <w:r w:rsidR="00EA39E4" w:rsidRPr="006008F7">
        <w:rPr>
          <w:lang w:val="fr-FR"/>
        </w:rPr>
        <w:t xml:space="preserve"> du PCT</w:t>
      </w:r>
      <w:r w:rsidR="00A57543" w:rsidRPr="006008F7">
        <w:rPr>
          <w:lang w:val="fr-FR"/>
        </w:rPr>
        <w:t xml:space="preserve"> (</w:t>
      </w:r>
      <w:r w:rsidR="00886A93" w:rsidRPr="006008F7">
        <w:rPr>
          <w:lang w:val="fr-FR"/>
        </w:rPr>
        <w:t>PCT/</w:t>
      </w:r>
      <w:r w:rsidR="00A57543" w:rsidRPr="006008F7">
        <w:rPr>
          <w:lang w:val="fr-FR"/>
        </w:rPr>
        <w:t>CTC) le temps de procéder à un examen approprié.</w:t>
      </w:r>
      <w:r w:rsidR="000B7516" w:rsidRPr="006008F7">
        <w:rPr>
          <w:lang w:val="fr-FR"/>
        </w:rPr>
        <w:t xml:space="preserve">  </w:t>
      </w:r>
      <w:r w:rsidR="00A57543" w:rsidRPr="006008F7">
        <w:rPr>
          <w:lang w:val="fr-FR"/>
        </w:rPr>
        <w:t>Le CTC devrait se réunir véritablement en qualité d</w:t>
      </w:r>
      <w:r w:rsidR="00EA39E4" w:rsidRPr="006008F7">
        <w:rPr>
          <w:lang w:val="fr-FR"/>
        </w:rPr>
        <w:t>’</w:t>
      </w:r>
      <w:r w:rsidR="00A57543" w:rsidRPr="006008F7">
        <w:rPr>
          <w:lang w:val="fr-FR"/>
        </w:rPr>
        <w:t>organe constitué d</w:t>
      </w:r>
      <w:r w:rsidR="00EA39E4" w:rsidRPr="006008F7">
        <w:rPr>
          <w:lang w:val="fr-FR"/>
        </w:rPr>
        <w:t>’</w:t>
      </w:r>
      <w:r w:rsidR="00A57543" w:rsidRPr="006008F7">
        <w:rPr>
          <w:lang w:val="fr-FR"/>
        </w:rPr>
        <w:t>experts au moins trois mois avant l</w:t>
      </w:r>
      <w:r w:rsidR="00EA39E4" w:rsidRPr="006008F7">
        <w:rPr>
          <w:lang w:val="fr-FR"/>
        </w:rPr>
        <w:t>’</w:t>
      </w:r>
      <w:r w:rsidR="00A57543" w:rsidRPr="006008F7">
        <w:rPr>
          <w:lang w:val="fr-FR"/>
        </w:rPr>
        <w:t>Assemblée de l</w:t>
      </w:r>
      <w:r w:rsidR="00EA39E4" w:rsidRPr="006008F7">
        <w:rPr>
          <w:lang w:val="fr-FR"/>
        </w:rPr>
        <w:t>’</w:t>
      </w:r>
      <w:r w:rsidR="00A57543" w:rsidRPr="006008F7">
        <w:rPr>
          <w:lang w:val="fr-FR"/>
        </w:rPr>
        <w:t>Union du PCT, si possible immédiatement après une session du Groupe de travail du PCT (généralement convoquée en mai</w:t>
      </w:r>
      <w:r w:rsidR="00115091" w:rsidRPr="006008F7">
        <w:rPr>
          <w:lang w:val="fr-FR"/>
        </w:rPr>
        <w:noBreakHyphen/>
      </w:r>
      <w:r w:rsidR="00A57543" w:rsidRPr="006008F7">
        <w:rPr>
          <w:lang w:val="fr-FR"/>
        </w:rPr>
        <w:t>juin), afin de pouvoir donner son avis à cet égard à l</w:t>
      </w:r>
      <w:r w:rsidR="00EA39E4" w:rsidRPr="006008F7">
        <w:rPr>
          <w:lang w:val="fr-FR"/>
        </w:rPr>
        <w:t>’</w:t>
      </w:r>
      <w:r w:rsidR="00A57543" w:rsidRPr="006008F7">
        <w:rPr>
          <w:lang w:val="fr-FR"/>
        </w:rPr>
        <w:t>Assemblée de l</w:t>
      </w:r>
      <w:r w:rsidR="00EA39E4" w:rsidRPr="006008F7">
        <w:rPr>
          <w:lang w:val="fr-FR"/>
        </w:rPr>
        <w:t>’</w:t>
      </w:r>
      <w:r w:rsidR="00A57543" w:rsidRPr="006008F7">
        <w:rPr>
          <w:lang w:val="fr-FR"/>
        </w:rPr>
        <w:t>Union du PCT.</w:t>
      </w:r>
    </w:p>
    <w:p w:rsidR="000F3AA6" w:rsidRPr="006008F7" w:rsidRDefault="00E05663" w:rsidP="00F45EED">
      <w:pPr>
        <w:pStyle w:val="ONUME"/>
        <w:numPr>
          <w:ilvl w:val="0"/>
          <w:numId w:val="0"/>
        </w:numPr>
        <w:spacing w:after="180"/>
        <w:ind w:left="562"/>
        <w:rPr>
          <w:lang w:val="fr-FR"/>
        </w:rPr>
      </w:pPr>
      <w:r w:rsidRPr="006008F7">
        <w:rPr>
          <w:lang w:val="fr-FR"/>
        </w:rPr>
        <w:t>“c)</w:t>
      </w:r>
      <w:r w:rsidRPr="006008F7">
        <w:rPr>
          <w:lang w:val="fr-FR"/>
        </w:rPr>
        <w:tab/>
      </w:r>
      <w:r w:rsidR="00A57543" w:rsidRPr="006008F7">
        <w:rPr>
          <w:lang w:val="fr-FR"/>
        </w:rPr>
        <w:t>En conséquence, une demande écrite invitant le Directeur général à convoquer</w:t>
      </w:r>
      <w:r w:rsidR="00EA39E4" w:rsidRPr="006008F7">
        <w:rPr>
          <w:lang w:val="fr-FR"/>
        </w:rPr>
        <w:t xml:space="preserve"> le CTC</w:t>
      </w:r>
      <w:r w:rsidR="00A57543" w:rsidRPr="006008F7">
        <w:rPr>
          <w:lang w:val="fr-FR"/>
        </w:rPr>
        <w:t xml:space="preserve"> doit être envoyée par l</w:t>
      </w:r>
      <w:r w:rsidR="00EA39E4" w:rsidRPr="006008F7">
        <w:rPr>
          <w:lang w:val="fr-FR"/>
        </w:rPr>
        <w:t>’</w:t>
      </w:r>
      <w:r w:rsidR="00A57543" w:rsidRPr="006008F7">
        <w:rPr>
          <w:lang w:val="fr-FR"/>
        </w:rPr>
        <w:t>office de préférence avant le 1</w:t>
      </w:r>
      <w:r w:rsidR="00A57543" w:rsidRPr="006008F7">
        <w:rPr>
          <w:vertAlign w:val="superscript"/>
          <w:lang w:val="fr-FR"/>
        </w:rPr>
        <w:t>er</w:t>
      </w:r>
      <w:r w:rsidR="00285349" w:rsidRPr="006008F7">
        <w:rPr>
          <w:lang w:val="fr-FR"/>
        </w:rPr>
        <w:t> </w:t>
      </w:r>
      <w:r w:rsidR="00A57543" w:rsidRPr="006008F7">
        <w:rPr>
          <w:lang w:val="fr-FR"/>
        </w:rPr>
        <w:t>mars de l</w:t>
      </w:r>
      <w:r w:rsidR="00EA39E4" w:rsidRPr="006008F7">
        <w:rPr>
          <w:lang w:val="fr-FR"/>
        </w:rPr>
        <w:t>’</w:t>
      </w:r>
      <w:r w:rsidR="00A57543" w:rsidRPr="006008F7">
        <w:rPr>
          <w:lang w:val="fr-FR"/>
        </w:rPr>
        <w:t>année au cours de laquelle la candidature doit être examinée par l</w:t>
      </w:r>
      <w:r w:rsidR="00EA39E4" w:rsidRPr="006008F7">
        <w:rPr>
          <w:lang w:val="fr-FR"/>
        </w:rPr>
        <w:t>’</w:t>
      </w:r>
      <w:r w:rsidR="00A57543" w:rsidRPr="006008F7">
        <w:rPr>
          <w:lang w:val="fr-FR"/>
        </w:rPr>
        <w:t>Assemblée de l</w:t>
      </w:r>
      <w:r w:rsidR="00EA39E4" w:rsidRPr="006008F7">
        <w:rPr>
          <w:lang w:val="fr-FR"/>
        </w:rPr>
        <w:t>’</w:t>
      </w:r>
      <w:r w:rsidR="00A57543" w:rsidRPr="006008F7">
        <w:rPr>
          <w:lang w:val="fr-FR"/>
        </w:rPr>
        <w:t>Union</w:t>
      </w:r>
      <w:r w:rsidR="00EA39E4" w:rsidRPr="006008F7">
        <w:rPr>
          <w:lang w:val="fr-FR"/>
        </w:rPr>
        <w:t xml:space="preserve"> du PCT</w:t>
      </w:r>
      <w:r w:rsidR="00A57543" w:rsidRPr="006008F7">
        <w:rPr>
          <w:lang w:val="fr-FR"/>
        </w:rPr>
        <w:t xml:space="preserve"> et, en tout état de cause, suffisamment tôt pour permettre au Directeur général d</w:t>
      </w:r>
      <w:r w:rsidR="00EA39E4" w:rsidRPr="006008F7">
        <w:rPr>
          <w:lang w:val="fr-FR"/>
        </w:rPr>
        <w:t>’</w:t>
      </w:r>
      <w:r w:rsidR="00A57543" w:rsidRPr="006008F7">
        <w:rPr>
          <w:lang w:val="fr-FR"/>
        </w:rPr>
        <w:t>envoyer les lettres de convocation</w:t>
      </w:r>
      <w:r w:rsidR="00EA39E4" w:rsidRPr="006008F7">
        <w:rPr>
          <w:lang w:val="fr-FR"/>
        </w:rPr>
        <w:t xml:space="preserve"> du CTC</w:t>
      </w:r>
      <w:r w:rsidR="00A57543" w:rsidRPr="006008F7">
        <w:rPr>
          <w:lang w:val="fr-FR"/>
        </w:rPr>
        <w:t xml:space="preserve"> deux</w:t>
      </w:r>
      <w:r w:rsidR="00285349" w:rsidRPr="006008F7">
        <w:rPr>
          <w:lang w:val="fr-FR"/>
        </w:rPr>
        <w:t> </w:t>
      </w:r>
      <w:r w:rsidR="00A57543" w:rsidRPr="006008F7">
        <w:rPr>
          <w:lang w:val="fr-FR"/>
        </w:rPr>
        <w:t>mois au moins avant l</w:t>
      </w:r>
      <w:r w:rsidR="00EA39E4" w:rsidRPr="006008F7">
        <w:rPr>
          <w:lang w:val="fr-FR"/>
        </w:rPr>
        <w:t>’</w:t>
      </w:r>
      <w:r w:rsidR="00A57543" w:rsidRPr="006008F7">
        <w:rPr>
          <w:lang w:val="fr-FR"/>
        </w:rPr>
        <w:t>ouverture de la session.</w:t>
      </w:r>
    </w:p>
    <w:p w:rsidR="000F3AA6" w:rsidRPr="006008F7" w:rsidRDefault="00E05663" w:rsidP="00F45EED">
      <w:pPr>
        <w:pStyle w:val="ONUME"/>
        <w:numPr>
          <w:ilvl w:val="0"/>
          <w:numId w:val="0"/>
        </w:numPr>
        <w:spacing w:after="180"/>
        <w:ind w:left="562"/>
        <w:rPr>
          <w:lang w:val="fr-FR"/>
        </w:rPr>
      </w:pPr>
      <w:r w:rsidRPr="006008F7">
        <w:rPr>
          <w:lang w:val="fr-FR"/>
        </w:rPr>
        <w:t>“</w:t>
      </w:r>
      <w:proofErr w:type="gramStart"/>
      <w:r w:rsidRPr="006008F7">
        <w:rPr>
          <w:lang w:val="fr-FR"/>
        </w:rPr>
        <w:t>d</w:t>
      </w:r>
      <w:proofErr w:type="gramEnd"/>
      <w:r w:rsidRPr="006008F7">
        <w:rPr>
          <w:lang w:val="fr-FR"/>
        </w:rPr>
        <w:t>)</w:t>
      </w:r>
      <w:r w:rsidRPr="006008F7">
        <w:rPr>
          <w:lang w:val="fr-FR"/>
        </w:rPr>
        <w:tab/>
      </w:r>
      <w:r w:rsidR="00A57543" w:rsidRPr="006008F7">
        <w:rPr>
          <w:lang w:val="fr-FR"/>
        </w:rPr>
        <w:t>Il est entendu que tout office qui présente sa candidature doit remplir tous les critères matériels applicables au moment de sa nomination par l</w:t>
      </w:r>
      <w:r w:rsidR="00EA39E4" w:rsidRPr="006008F7">
        <w:rPr>
          <w:lang w:val="fr-FR"/>
        </w:rPr>
        <w:t>’</w:t>
      </w:r>
      <w:r w:rsidR="00A57543" w:rsidRPr="006008F7">
        <w:rPr>
          <w:lang w:val="fr-FR"/>
        </w:rPr>
        <w:t>assemblée et être prêt à débuter ses activités en qualité d</w:t>
      </w:r>
      <w:r w:rsidR="00EA39E4" w:rsidRPr="006008F7">
        <w:rPr>
          <w:lang w:val="fr-FR"/>
        </w:rPr>
        <w:t>’</w:t>
      </w:r>
      <w:r w:rsidR="00A57543" w:rsidRPr="006008F7">
        <w:rPr>
          <w:lang w:val="fr-FR"/>
        </w:rPr>
        <w:t>administration internationale dès que possible après sa nomination, au plus tard dans les 18</w:t>
      </w:r>
      <w:r w:rsidR="00285349" w:rsidRPr="006008F7">
        <w:rPr>
          <w:lang w:val="fr-FR"/>
        </w:rPr>
        <w:t> </w:t>
      </w:r>
      <w:r w:rsidR="00A57543" w:rsidRPr="006008F7">
        <w:rPr>
          <w:lang w:val="fr-FR"/>
        </w:rPr>
        <w:t>mois qui suivent sa nomination.</w:t>
      </w:r>
      <w:r w:rsidR="000B7516" w:rsidRPr="006008F7">
        <w:rPr>
          <w:lang w:val="fr-FR"/>
        </w:rPr>
        <w:t xml:space="preserve">  </w:t>
      </w:r>
      <w:r w:rsidR="00A57543" w:rsidRPr="006008F7">
        <w:rPr>
          <w:lang w:val="fr-FR"/>
        </w:rPr>
        <w:t>En ce qui concerne l</w:t>
      </w:r>
      <w:r w:rsidR="00EA39E4" w:rsidRPr="006008F7">
        <w:rPr>
          <w:lang w:val="fr-FR"/>
        </w:rPr>
        <w:t>’</w:t>
      </w:r>
      <w:r w:rsidR="00A57543" w:rsidRPr="006008F7">
        <w:rPr>
          <w:lang w:val="fr-FR"/>
        </w:rPr>
        <w:t>exigence selon laquelle l</w:t>
      </w:r>
      <w:r w:rsidR="00EA39E4" w:rsidRPr="006008F7">
        <w:rPr>
          <w:lang w:val="fr-FR"/>
        </w:rPr>
        <w:t>’</w:t>
      </w:r>
      <w:r w:rsidR="00A57543" w:rsidRPr="006008F7">
        <w:rPr>
          <w:lang w:val="fr-FR"/>
        </w:rPr>
        <w:t>office qui présente sa candidature doit disposer d</w:t>
      </w:r>
      <w:r w:rsidR="00EA39E4" w:rsidRPr="006008F7">
        <w:rPr>
          <w:lang w:val="fr-FR"/>
        </w:rPr>
        <w:t>’</w:t>
      </w:r>
      <w:r w:rsidR="00A57543" w:rsidRPr="006008F7">
        <w:rPr>
          <w:lang w:val="fr-FR"/>
        </w:rPr>
        <w:t>un système de gestion de la qualité et de dispositions internes en matière d</w:t>
      </w:r>
      <w:r w:rsidR="00EA39E4" w:rsidRPr="006008F7">
        <w:rPr>
          <w:lang w:val="fr-FR"/>
        </w:rPr>
        <w:t>’</w:t>
      </w:r>
      <w:r w:rsidR="00A57543" w:rsidRPr="006008F7">
        <w:rPr>
          <w:lang w:val="fr-FR"/>
        </w:rPr>
        <w:t>évaluation conformément aux règles communes de la recherche internationale, lorsqu</w:t>
      </w:r>
      <w:r w:rsidR="00EA39E4" w:rsidRPr="006008F7">
        <w:rPr>
          <w:lang w:val="fr-FR"/>
        </w:rPr>
        <w:t>’</w:t>
      </w:r>
      <w:r w:rsidR="00A57543" w:rsidRPr="006008F7">
        <w:rPr>
          <w:lang w:val="fr-FR"/>
        </w:rPr>
        <w:t>un tel système n</w:t>
      </w:r>
      <w:r w:rsidR="00EA39E4" w:rsidRPr="006008F7">
        <w:rPr>
          <w:lang w:val="fr-FR"/>
        </w:rPr>
        <w:t>’</w:t>
      </w:r>
      <w:r w:rsidR="00A57543" w:rsidRPr="006008F7">
        <w:rPr>
          <w:lang w:val="fr-FR"/>
        </w:rPr>
        <w:t>est pas encore en place au moment de la nomination par l</w:t>
      </w:r>
      <w:r w:rsidR="00EA39E4" w:rsidRPr="006008F7">
        <w:rPr>
          <w:lang w:val="fr-FR"/>
        </w:rPr>
        <w:t>’</w:t>
      </w:r>
      <w:r w:rsidR="00A57543" w:rsidRPr="006008F7">
        <w:rPr>
          <w:lang w:val="fr-FR"/>
        </w:rPr>
        <w:t>assemblée, il suffit que ce système soit complètement programmé et, de préférence, que des systèmes similaires soient déjà opérationnels en ce qui concerne les travaux de recherche et d</w:t>
      </w:r>
      <w:r w:rsidR="00EA39E4" w:rsidRPr="006008F7">
        <w:rPr>
          <w:lang w:val="fr-FR"/>
        </w:rPr>
        <w:t>’</w:t>
      </w:r>
      <w:r w:rsidR="00A57543" w:rsidRPr="006008F7">
        <w:rPr>
          <w:lang w:val="fr-FR"/>
        </w:rPr>
        <w:t>examen nationaux pour témoigner d</w:t>
      </w:r>
      <w:r w:rsidR="00EA39E4" w:rsidRPr="006008F7">
        <w:rPr>
          <w:lang w:val="fr-FR"/>
        </w:rPr>
        <w:t>’</w:t>
      </w:r>
      <w:r w:rsidR="00A57543" w:rsidRPr="006008F7">
        <w:rPr>
          <w:lang w:val="fr-FR"/>
        </w:rPr>
        <w:t>une expérience appropriée.</w:t>
      </w:r>
    </w:p>
    <w:p w:rsidR="000F3AA6" w:rsidRPr="006008F7" w:rsidRDefault="00E05663" w:rsidP="00F45EED">
      <w:pPr>
        <w:pStyle w:val="ONUME"/>
        <w:numPr>
          <w:ilvl w:val="0"/>
          <w:numId w:val="0"/>
        </w:numPr>
        <w:spacing w:after="180"/>
        <w:ind w:left="562"/>
        <w:rPr>
          <w:lang w:val="fr-FR"/>
        </w:rPr>
      </w:pPr>
      <w:r w:rsidRPr="006008F7">
        <w:rPr>
          <w:lang w:val="fr-FR"/>
        </w:rPr>
        <w:t>“</w:t>
      </w:r>
      <w:proofErr w:type="gramStart"/>
      <w:r w:rsidRPr="006008F7">
        <w:rPr>
          <w:lang w:val="fr-FR"/>
        </w:rPr>
        <w:t>e</w:t>
      </w:r>
      <w:proofErr w:type="gramEnd"/>
      <w:r w:rsidRPr="006008F7">
        <w:rPr>
          <w:lang w:val="fr-FR"/>
        </w:rPr>
        <w:t>)</w:t>
      </w:r>
      <w:r w:rsidRPr="006008F7">
        <w:rPr>
          <w:lang w:val="fr-FR"/>
        </w:rPr>
        <w:tab/>
      </w:r>
      <w:r w:rsidR="00A57543" w:rsidRPr="006008F7">
        <w:rPr>
          <w:lang w:val="fr-FR"/>
        </w:rPr>
        <w:t>Tout document étayant la candidature de l</w:t>
      </w:r>
      <w:r w:rsidR="00EA39E4" w:rsidRPr="006008F7">
        <w:rPr>
          <w:lang w:val="fr-FR"/>
        </w:rPr>
        <w:t>’</w:t>
      </w:r>
      <w:r w:rsidR="00A57543" w:rsidRPr="006008F7">
        <w:rPr>
          <w:lang w:val="fr-FR"/>
        </w:rPr>
        <w:t>office à prendre en considération par</w:t>
      </w:r>
      <w:r w:rsidR="00EA39E4" w:rsidRPr="006008F7">
        <w:rPr>
          <w:lang w:val="fr-FR"/>
        </w:rPr>
        <w:t xml:space="preserve"> le CTC</w:t>
      </w:r>
      <w:r w:rsidR="00A57543" w:rsidRPr="006008F7">
        <w:rPr>
          <w:lang w:val="fr-FR"/>
        </w:rPr>
        <w:t xml:space="preserve"> doit être soumis au Directeur général au plus tard deux</w:t>
      </w:r>
      <w:r w:rsidR="00285349" w:rsidRPr="006008F7">
        <w:rPr>
          <w:lang w:val="fr-FR"/>
        </w:rPr>
        <w:t> </w:t>
      </w:r>
      <w:r w:rsidR="00A57543" w:rsidRPr="006008F7">
        <w:rPr>
          <w:lang w:val="fr-FR"/>
        </w:rPr>
        <w:t>mois avant l</w:t>
      </w:r>
      <w:r w:rsidR="00EA39E4" w:rsidRPr="006008F7">
        <w:rPr>
          <w:lang w:val="fr-FR"/>
        </w:rPr>
        <w:t>’</w:t>
      </w:r>
      <w:r w:rsidR="00A57543" w:rsidRPr="006008F7">
        <w:rPr>
          <w:lang w:val="fr-FR"/>
        </w:rPr>
        <w:t>ouverture de la session</w:t>
      </w:r>
      <w:r w:rsidR="00EA39E4" w:rsidRPr="006008F7">
        <w:rPr>
          <w:lang w:val="fr-FR"/>
        </w:rPr>
        <w:t xml:space="preserve"> du CTC</w:t>
      </w:r>
      <w:r w:rsidR="00A57543" w:rsidRPr="006008F7">
        <w:rPr>
          <w:lang w:val="fr-FR"/>
        </w:rPr>
        <w:t>.</w:t>
      </w:r>
    </w:p>
    <w:p w:rsidR="000F3AA6" w:rsidRPr="006008F7" w:rsidRDefault="00E05663" w:rsidP="00F45EED">
      <w:pPr>
        <w:pStyle w:val="ONUME"/>
        <w:numPr>
          <w:ilvl w:val="0"/>
          <w:numId w:val="0"/>
        </w:numPr>
        <w:spacing w:after="180"/>
        <w:ind w:left="562"/>
        <w:rPr>
          <w:lang w:val="fr-FR"/>
        </w:rPr>
      </w:pPr>
      <w:r w:rsidRPr="006008F7">
        <w:rPr>
          <w:lang w:val="fr-FR"/>
        </w:rPr>
        <w:t>“f)</w:t>
      </w:r>
      <w:r w:rsidRPr="006008F7">
        <w:rPr>
          <w:lang w:val="fr-FR"/>
        </w:rPr>
        <w:tab/>
      </w:r>
      <w:r w:rsidR="00A57543" w:rsidRPr="006008F7">
        <w:rPr>
          <w:lang w:val="fr-FR"/>
        </w:rPr>
        <w:t>La candidature doit ensuite être soumise à l</w:t>
      </w:r>
      <w:r w:rsidR="00EA39E4" w:rsidRPr="006008F7">
        <w:rPr>
          <w:lang w:val="fr-FR"/>
        </w:rPr>
        <w:t>’</w:t>
      </w:r>
      <w:r w:rsidR="00A57543" w:rsidRPr="006008F7">
        <w:rPr>
          <w:lang w:val="fr-FR"/>
        </w:rPr>
        <w:t>Assemblée de l</w:t>
      </w:r>
      <w:r w:rsidR="00EA39E4" w:rsidRPr="006008F7">
        <w:rPr>
          <w:lang w:val="fr-FR"/>
        </w:rPr>
        <w:t>’</w:t>
      </w:r>
      <w:r w:rsidR="00A57543" w:rsidRPr="006008F7">
        <w:rPr>
          <w:lang w:val="fr-FR"/>
        </w:rPr>
        <w:t>Union</w:t>
      </w:r>
      <w:r w:rsidR="00EA39E4" w:rsidRPr="006008F7">
        <w:rPr>
          <w:lang w:val="fr-FR"/>
        </w:rPr>
        <w:t xml:space="preserve"> du PCT</w:t>
      </w:r>
      <w:r w:rsidR="00A57543" w:rsidRPr="006008F7">
        <w:rPr>
          <w:lang w:val="fr-FR"/>
        </w:rPr>
        <w:t xml:space="preserve"> (habituellement convoquée en septembre</w:t>
      </w:r>
      <w:r w:rsidR="00115091" w:rsidRPr="006008F7">
        <w:rPr>
          <w:lang w:val="fr-FR"/>
        </w:rPr>
        <w:noBreakHyphen/>
      </w:r>
      <w:r w:rsidR="00A57543" w:rsidRPr="006008F7">
        <w:rPr>
          <w:lang w:val="fr-FR"/>
        </w:rPr>
        <w:t>octobre), assortie de tout avis à cet égard donné par</w:t>
      </w:r>
      <w:r w:rsidR="00EA39E4" w:rsidRPr="006008F7">
        <w:rPr>
          <w:lang w:val="fr-FR"/>
        </w:rPr>
        <w:t xml:space="preserve"> le CTC</w:t>
      </w:r>
      <w:r w:rsidR="00A57543" w:rsidRPr="006008F7">
        <w:rPr>
          <w:lang w:val="fr-FR"/>
        </w:rPr>
        <w:t>, afin qu</w:t>
      </w:r>
      <w:r w:rsidR="00EA39E4" w:rsidRPr="006008F7">
        <w:rPr>
          <w:lang w:val="fr-FR"/>
        </w:rPr>
        <w:t>’</w:t>
      </w:r>
      <w:r w:rsidR="00A57543" w:rsidRPr="006008F7">
        <w:rPr>
          <w:lang w:val="fr-FR"/>
        </w:rPr>
        <w:t>elle se prononce sur la candidature.”</w:t>
      </w:r>
    </w:p>
    <w:p w:rsidR="006008F7" w:rsidRDefault="006008F7" w:rsidP="00F45EED">
      <w:pPr>
        <w:rPr>
          <w:lang w:val="fr-FR"/>
        </w:rPr>
      </w:pPr>
      <w:r>
        <w:rPr>
          <w:lang w:val="fr-FR"/>
        </w:rPr>
        <w:br w:type="page"/>
      </w:r>
    </w:p>
    <w:p w:rsidR="000F3AA6" w:rsidRPr="006008F7" w:rsidRDefault="00A57543" w:rsidP="00F45EED">
      <w:pPr>
        <w:pStyle w:val="ONUMFS"/>
        <w:rPr>
          <w:lang w:val="fr-FR"/>
        </w:rPr>
      </w:pPr>
      <w:r w:rsidRPr="006008F7">
        <w:rPr>
          <w:lang w:val="fr-FR"/>
        </w:rPr>
        <w:lastRenderedPageBreak/>
        <w:t>Le groupe de travail est également convenu de recommander à l</w:t>
      </w:r>
      <w:r w:rsidR="00EA39E4" w:rsidRPr="006008F7">
        <w:rPr>
          <w:lang w:val="fr-FR"/>
        </w:rPr>
        <w:t>’</w:t>
      </w:r>
      <w:r w:rsidRPr="006008F7">
        <w:rPr>
          <w:lang w:val="fr-FR"/>
        </w:rPr>
        <w:t>Assemblée de l</w:t>
      </w:r>
      <w:r w:rsidR="00EA39E4" w:rsidRPr="006008F7">
        <w:rPr>
          <w:lang w:val="fr-FR"/>
        </w:rPr>
        <w:t>’</w:t>
      </w:r>
      <w:r w:rsidRPr="006008F7">
        <w:rPr>
          <w:lang w:val="fr-FR"/>
        </w:rPr>
        <w:t>Union</w:t>
      </w:r>
      <w:r w:rsidR="00EA39E4" w:rsidRPr="006008F7">
        <w:rPr>
          <w:lang w:val="fr-FR"/>
        </w:rPr>
        <w:t xml:space="preserve"> du PCT</w:t>
      </w:r>
      <w:r w:rsidRPr="006008F7">
        <w:rPr>
          <w:lang w:val="fr-FR"/>
        </w:rPr>
        <w:t xml:space="preserve"> d</w:t>
      </w:r>
      <w:r w:rsidR="00EA39E4" w:rsidRPr="006008F7">
        <w:rPr>
          <w:lang w:val="fr-FR"/>
        </w:rPr>
        <w:t>’</w:t>
      </w:r>
      <w:r w:rsidRPr="006008F7">
        <w:rPr>
          <w:lang w:val="fr-FR"/>
        </w:rPr>
        <w:t>adopter la décision ci</w:t>
      </w:r>
      <w:r w:rsidR="00115091" w:rsidRPr="006008F7">
        <w:rPr>
          <w:lang w:val="fr-FR"/>
        </w:rPr>
        <w:noBreakHyphen/>
      </w:r>
      <w:r w:rsidRPr="006008F7">
        <w:rPr>
          <w:lang w:val="fr-FR"/>
        </w:rPr>
        <w:t>après concernant l</w:t>
      </w:r>
      <w:r w:rsidR="00EA39E4" w:rsidRPr="006008F7">
        <w:rPr>
          <w:lang w:val="fr-FR"/>
        </w:rPr>
        <w:t>’</w:t>
      </w:r>
      <w:r w:rsidRPr="006008F7">
        <w:rPr>
          <w:lang w:val="fr-FR"/>
        </w:rPr>
        <w:t>entrée en vigueur de l</w:t>
      </w:r>
      <w:r w:rsidR="00EA39E4" w:rsidRPr="006008F7">
        <w:rPr>
          <w:lang w:val="fr-FR"/>
        </w:rPr>
        <w:t>’</w:t>
      </w:r>
      <w:r w:rsidRPr="006008F7">
        <w:rPr>
          <w:lang w:val="fr-FR"/>
        </w:rPr>
        <w:t>accord de principe proposé</w:t>
      </w:r>
      <w:r w:rsidR="00285349" w:rsidRPr="006008F7">
        <w:rPr>
          <w:lang w:val="fr-FR"/>
        </w:rPr>
        <w:t> </w:t>
      </w:r>
      <w:r w:rsidRPr="006008F7">
        <w:rPr>
          <w:lang w:val="fr-FR"/>
        </w:rPr>
        <w:t>:</w:t>
      </w:r>
    </w:p>
    <w:p w:rsidR="000F3AA6" w:rsidRPr="006008F7" w:rsidRDefault="002E573C" w:rsidP="00F45EED">
      <w:pPr>
        <w:pStyle w:val="ONUME"/>
        <w:numPr>
          <w:ilvl w:val="0"/>
          <w:numId w:val="0"/>
        </w:numPr>
        <w:spacing w:after="180"/>
        <w:ind w:left="567"/>
        <w:rPr>
          <w:lang w:val="fr-FR"/>
        </w:rPr>
      </w:pPr>
      <w:r w:rsidRPr="006008F7">
        <w:rPr>
          <w:lang w:val="fr-FR"/>
        </w:rPr>
        <w:t>“Les procédures de nomination des administrations internationales définies dans l</w:t>
      </w:r>
      <w:r w:rsidR="00EA39E4" w:rsidRPr="006008F7">
        <w:rPr>
          <w:lang w:val="fr-FR"/>
        </w:rPr>
        <w:t>’</w:t>
      </w:r>
      <w:r w:rsidRPr="006008F7">
        <w:rPr>
          <w:lang w:val="fr-FR"/>
        </w:rPr>
        <w:t>accord de principe susmentionné s</w:t>
      </w:r>
      <w:r w:rsidR="00EA39E4" w:rsidRPr="006008F7">
        <w:rPr>
          <w:lang w:val="fr-FR"/>
        </w:rPr>
        <w:t>’</w:t>
      </w:r>
      <w:r w:rsidRPr="006008F7">
        <w:rPr>
          <w:lang w:val="fr-FR"/>
        </w:rPr>
        <w:t>appliquent à toute candidature à la nomination en qualité d</w:t>
      </w:r>
      <w:r w:rsidR="00EA39E4" w:rsidRPr="006008F7">
        <w:rPr>
          <w:lang w:val="fr-FR"/>
        </w:rPr>
        <w:t>’</w:t>
      </w:r>
      <w:r w:rsidRPr="006008F7">
        <w:rPr>
          <w:lang w:val="fr-FR"/>
        </w:rPr>
        <w:t>administration internationale présentée après la clôture de la présente session de l</w:t>
      </w:r>
      <w:r w:rsidR="00EA39E4" w:rsidRPr="006008F7">
        <w:rPr>
          <w:lang w:val="fr-FR"/>
        </w:rPr>
        <w:t>’</w:t>
      </w:r>
      <w:r w:rsidRPr="006008F7">
        <w:rPr>
          <w:lang w:val="fr-FR"/>
        </w:rPr>
        <w:t>Assemblée de l</w:t>
      </w:r>
      <w:r w:rsidR="00EA39E4" w:rsidRPr="006008F7">
        <w:rPr>
          <w:lang w:val="fr-FR"/>
        </w:rPr>
        <w:t>’</w:t>
      </w:r>
      <w:r w:rsidRPr="006008F7">
        <w:rPr>
          <w:lang w:val="fr-FR"/>
        </w:rPr>
        <w:t>Union</w:t>
      </w:r>
      <w:r w:rsidR="00EA39E4" w:rsidRPr="006008F7">
        <w:rPr>
          <w:lang w:val="fr-FR"/>
        </w:rPr>
        <w:t xml:space="preserve"> du PCT</w:t>
      </w:r>
      <w:r w:rsidRPr="006008F7">
        <w:rPr>
          <w:lang w:val="fr-FR"/>
        </w:rPr>
        <w:t>.”</w:t>
      </w:r>
    </w:p>
    <w:p w:rsidR="000F3AA6" w:rsidRPr="006008F7" w:rsidRDefault="002E573C" w:rsidP="00F45EED">
      <w:pPr>
        <w:pStyle w:val="ONUMFS"/>
        <w:ind w:left="5533"/>
        <w:rPr>
          <w:i/>
          <w:lang w:val="fr-FR"/>
        </w:rPr>
      </w:pPr>
      <w:r w:rsidRPr="006008F7">
        <w:rPr>
          <w:i/>
          <w:lang w:val="fr-FR"/>
        </w:rPr>
        <w:t>L</w:t>
      </w:r>
      <w:r w:rsidR="00EA39E4" w:rsidRPr="006008F7">
        <w:rPr>
          <w:i/>
          <w:lang w:val="fr-FR"/>
        </w:rPr>
        <w:t>’</w:t>
      </w:r>
      <w:r w:rsidRPr="006008F7">
        <w:rPr>
          <w:i/>
          <w:lang w:val="fr-FR"/>
        </w:rPr>
        <w:t>assemblée est invitée à adopter l</w:t>
      </w:r>
      <w:r w:rsidR="00EA39E4" w:rsidRPr="006008F7">
        <w:rPr>
          <w:i/>
          <w:lang w:val="fr-FR"/>
        </w:rPr>
        <w:t>’</w:t>
      </w:r>
      <w:r w:rsidRPr="006008F7">
        <w:rPr>
          <w:i/>
          <w:lang w:val="fr-FR"/>
        </w:rPr>
        <w:t>accord de principe proposé sur les “Procédures de nomination des administrations internationales” établi au paragraphe 6 du document PCT/A/46/4 et la décision concernant l</w:t>
      </w:r>
      <w:r w:rsidR="00EA39E4" w:rsidRPr="006008F7">
        <w:rPr>
          <w:i/>
          <w:lang w:val="fr-FR"/>
        </w:rPr>
        <w:t>’</w:t>
      </w:r>
      <w:r w:rsidRPr="006008F7">
        <w:rPr>
          <w:i/>
          <w:lang w:val="fr-FR"/>
        </w:rPr>
        <w:t>entrée en vigueur figurant au paragraphe 7 du même document.</w:t>
      </w:r>
    </w:p>
    <w:p w:rsidR="00E05663" w:rsidRPr="006008F7" w:rsidRDefault="00E05663" w:rsidP="00F45EED">
      <w:pPr>
        <w:pStyle w:val="Endofdocument-Annex"/>
        <w:rPr>
          <w:lang w:val="fr-FR"/>
        </w:rPr>
      </w:pPr>
    </w:p>
    <w:p w:rsidR="00E05663" w:rsidRPr="006008F7" w:rsidRDefault="00E05663" w:rsidP="00F45EED">
      <w:pPr>
        <w:pStyle w:val="Endofdocument-Annex"/>
        <w:rPr>
          <w:lang w:val="fr-FR"/>
        </w:rPr>
      </w:pPr>
    </w:p>
    <w:p w:rsidR="000F3AA6" w:rsidRPr="006008F7" w:rsidRDefault="002E573C" w:rsidP="00F45EED">
      <w:pPr>
        <w:pStyle w:val="Endofdocument-Annex"/>
        <w:rPr>
          <w:lang w:val="fr-FR"/>
        </w:rPr>
      </w:pPr>
      <w:r w:rsidRPr="006008F7">
        <w:rPr>
          <w:lang w:val="fr-FR"/>
        </w:rPr>
        <w:t>[Fin du document]</w:t>
      </w:r>
    </w:p>
    <w:p w:rsidR="0073171C" w:rsidRPr="006008F7" w:rsidRDefault="0073171C" w:rsidP="00F45EED">
      <w:pPr>
        <w:pStyle w:val="Endofdocument-Annex"/>
        <w:spacing w:after="220"/>
        <w:rPr>
          <w:lang w:val="fr-FR"/>
        </w:rPr>
      </w:pPr>
    </w:p>
    <w:sectPr w:rsidR="0073171C" w:rsidRPr="006008F7" w:rsidSect="00CF063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F1" w:rsidRDefault="006E73F1">
      <w:r>
        <w:separator/>
      </w:r>
    </w:p>
  </w:endnote>
  <w:endnote w:type="continuationSeparator" w:id="0">
    <w:p w:rsidR="006E73F1" w:rsidRDefault="006E73F1" w:rsidP="003B38C1">
      <w:r>
        <w:separator/>
      </w:r>
    </w:p>
    <w:p w:rsidR="006E73F1" w:rsidRPr="003B38C1" w:rsidRDefault="006E73F1" w:rsidP="003B38C1">
      <w:pPr>
        <w:spacing w:after="60"/>
        <w:rPr>
          <w:sz w:val="17"/>
        </w:rPr>
      </w:pPr>
      <w:r>
        <w:rPr>
          <w:sz w:val="17"/>
        </w:rPr>
        <w:t>[Endnote continued from previous page]</w:t>
      </w:r>
    </w:p>
  </w:endnote>
  <w:endnote w:type="continuationNotice" w:id="1">
    <w:p w:rsidR="006E73F1" w:rsidRPr="003B38C1" w:rsidRDefault="006E73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F1" w:rsidRDefault="006E73F1">
      <w:r>
        <w:separator/>
      </w:r>
    </w:p>
  </w:footnote>
  <w:footnote w:type="continuationSeparator" w:id="0">
    <w:p w:rsidR="006E73F1" w:rsidRDefault="006E73F1" w:rsidP="008B60B2">
      <w:r>
        <w:separator/>
      </w:r>
    </w:p>
    <w:p w:rsidR="006E73F1" w:rsidRPr="00ED77FB" w:rsidRDefault="006E73F1" w:rsidP="008B60B2">
      <w:pPr>
        <w:spacing w:after="60"/>
        <w:rPr>
          <w:sz w:val="17"/>
          <w:szCs w:val="17"/>
        </w:rPr>
      </w:pPr>
      <w:r w:rsidRPr="00ED77FB">
        <w:rPr>
          <w:sz w:val="17"/>
          <w:szCs w:val="17"/>
        </w:rPr>
        <w:t>[Footnote continued from previous page]</w:t>
      </w:r>
    </w:p>
  </w:footnote>
  <w:footnote w:type="continuationNotice" w:id="1">
    <w:p w:rsidR="006E73F1" w:rsidRPr="00ED77FB" w:rsidRDefault="006E73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05663" w:rsidRDefault="002E573C" w:rsidP="002E573C">
    <w:pPr>
      <w:jc w:val="right"/>
    </w:pPr>
    <w:r w:rsidRPr="00E05663">
      <w:t>PCT/A/46/4</w:t>
    </w:r>
  </w:p>
  <w:p w:rsidR="00EC4E49" w:rsidRPr="00E05663" w:rsidRDefault="002E573C" w:rsidP="002E573C">
    <w:pPr>
      <w:jc w:val="right"/>
    </w:pPr>
    <w:proofErr w:type="gramStart"/>
    <w:r w:rsidRPr="00E05663">
      <w:t>page</w:t>
    </w:r>
    <w:proofErr w:type="gramEnd"/>
    <w:r w:rsidR="00EC4E49" w:rsidRPr="00E05663">
      <w:t xml:space="preserve"> </w:t>
    </w:r>
    <w:r w:rsidR="00EC4E49" w:rsidRPr="00E05663">
      <w:fldChar w:fldCharType="begin"/>
    </w:r>
    <w:r w:rsidR="00EC4E49" w:rsidRPr="00E05663">
      <w:instrText xml:space="preserve"> PAGE  \* MERGEFORMAT </w:instrText>
    </w:r>
    <w:r w:rsidR="00EC4E49" w:rsidRPr="00E05663">
      <w:fldChar w:fldCharType="separate"/>
    </w:r>
    <w:r w:rsidR="006820A8">
      <w:rPr>
        <w:noProof/>
      </w:rPr>
      <w:t>4</w:t>
    </w:r>
    <w:r w:rsidR="00EC4E49" w:rsidRPr="00E05663">
      <w:fldChar w:fldCharType="end"/>
    </w:r>
  </w:p>
  <w:p w:rsidR="00EC4E49" w:rsidRPr="00E05663"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962096"/>
    <w:lvl w:ilvl="0">
      <w:start w:val="1"/>
      <w:numFmt w:val="decimal"/>
      <w:lvlText w:val="%1."/>
      <w:lvlJc w:val="left"/>
      <w:pPr>
        <w:tabs>
          <w:tab w:val="num" w:pos="1800"/>
        </w:tabs>
        <w:ind w:left="1800" w:hanging="360"/>
      </w:pPr>
    </w:lvl>
  </w:abstractNum>
  <w:abstractNum w:abstractNumId="1">
    <w:nsid w:val="FFFFFF7D"/>
    <w:multiLevelType w:val="singleLevel"/>
    <w:tmpl w:val="ED0A1C6A"/>
    <w:lvl w:ilvl="0">
      <w:start w:val="1"/>
      <w:numFmt w:val="decimal"/>
      <w:lvlText w:val="%1."/>
      <w:lvlJc w:val="left"/>
      <w:pPr>
        <w:tabs>
          <w:tab w:val="num" w:pos="1440"/>
        </w:tabs>
        <w:ind w:left="1440" w:hanging="360"/>
      </w:pPr>
    </w:lvl>
  </w:abstractNum>
  <w:abstractNum w:abstractNumId="2">
    <w:nsid w:val="FFFFFF7E"/>
    <w:multiLevelType w:val="singleLevel"/>
    <w:tmpl w:val="12DE377C"/>
    <w:lvl w:ilvl="0">
      <w:start w:val="1"/>
      <w:numFmt w:val="decimal"/>
      <w:lvlText w:val="%1."/>
      <w:lvlJc w:val="left"/>
      <w:pPr>
        <w:tabs>
          <w:tab w:val="num" w:pos="1080"/>
        </w:tabs>
        <w:ind w:left="1080" w:hanging="360"/>
      </w:pPr>
    </w:lvl>
  </w:abstractNum>
  <w:abstractNum w:abstractNumId="3">
    <w:nsid w:val="FFFFFF7F"/>
    <w:multiLevelType w:val="singleLevel"/>
    <w:tmpl w:val="103A00A6"/>
    <w:lvl w:ilvl="0">
      <w:start w:val="1"/>
      <w:numFmt w:val="decimal"/>
      <w:lvlText w:val="%1."/>
      <w:lvlJc w:val="left"/>
      <w:pPr>
        <w:tabs>
          <w:tab w:val="num" w:pos="720"/>
        </w:tabs>
        <w:ind w:left="720" w:hanging="360"/>
      </w:pPr>
    </w:lvl>
  </w:abstractNum>
  <w:abstractNum w:abstractNumId="4">
    <w:nsid w:val="FFFFFF80"/>
    <w:multiLevelType w:val="singleLevel"/>
    <w:tmpl w:val="D88879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AC1C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982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C2C6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D55A694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505065D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D7C180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Treaties\Model Laws|Treaties\Other Laws and Agreements|Treaties\WIPO-administered|Patents\Meetings|Patents\Other|Patents\Publications|Trademarks\Meetings|Trademarks\Other|Trademarks\Publications|IP in General\Academy|IP in General\Arbitration and Mediation|IP in General\Meetings|IP in General\Other|IP in General\Press Room|IP in General\Publications"/>
    <w:docVar w:name="TextBaseURL" w:val="empty"/>
    <w:docVar w:name="UILng" w:val="en"/>
  </w:docVars>
  <w:rsids>
    <w:rsidRoot w:val="006E73F1"/>
    <w:rsid w:val="00043CAA"/>
    <w:rsid w:val="00050298"/>
    <w:rsid w:val="00075432"/>
    <w:rsid w:val="000830EC"/>
    <w:rsid w:val="000968ED"/>
    <w:rsid w:val="000A7E0F"/>
    <w:rsid w:val="000B7516"/>
    <w:rsid w:val="000D679F"/>
    <w:rsid w:val="000F3AA6"/>
    <w:rsid w:val="000F5E56"/>
    <w:rsid w:val="00100B3B"/>
    <w:rsid w:val="00104D7B"/>
    <w:rsid w:val="00115091"/>
    <w:rsid w:val="001362EE"/>
    <w:rsid w:val="001832A6"/>
    <w:rsid w:val="00190406"/>
    <w:rsid w:val="00221BA5"/>
    <w:rsid w:val="0024178A"/>
    <w:rsid w:val="002634C4"/>
    <w:rsid w:val="00282934"/>
    <w:rsid w:val="00285349"/>
    <w:rsid w:val="002928D3"/>
    <w:rsid w:val="002E573C"/>
    <w:rsid w:val="002F1FE6"/>
    <w:rsid w:val="002F4E68"/>
    <w:rsid w:val="00312F7F"/>
    <w:rsid w:val="003131CC"/>
    <w:rsid w:val="003228B7"/>
    <w:rsid w:val="00354646"/>
    <w:rsid w:val="003673CF"/>
    <w:rsid w:val="003845C1"/>
    <w:rsid w:val="00390B69"/>
    <w:rsid w:val="003A6F89"/>
    <w:rsid w:val="003B38C1"/>
    <w:rsid w:val="00423E3E"/>
    <w:rsid w:val="00427AF4"/>
    <w:rsid w:val="004400E2"/>
    <w:rsid w:val="004647DA"/>
    <w:rsid w:val="00474062"/>
    <w:rsid w:val="00474DFB"/>
    <w:rsid w:val="00477D6B"/>
    <w:rsid w:val="00477E8C"/>
    <w:rsid w:val="004D1717"/>
    <w:rsid w:val="004E64B5"/>
    <w:rsid w:val="0053057A"/>
    <w:rsid w:val="00560A29"/>
    <w:rsid w:val="005E36AA"/>
    <w:rsid w:val="006008F7"/>
    <w:rsid w:val="00605827"/>
    <w:rsid w:val="00646050"/>
    <w:rsid w:val="006559A5"/>
    <w:rsid w:val="006713CA"/>
    <w:rsid w:val="00671B77"/>
    <w:rsid w:val="00676C5C"/>
    <w:rsid w:val="006820A8"/>
    <w:rsid w:val="00697924"/>
    <w:rsid w:val="006D7355"/>
    <w:rsid w:val="006E73F1"/>
    <w:rsid w:val="007058FB"/>
    <w:rsid w:val="0073171C"/>
    <w:rsid w:val="00737B0F"/>
    <w:rsid w:val="00755097"/>
    <w:rsid w:val="00780C07"/>
    <w:rsid w:val="007B6A58"/>
    <w:rsid w:val="007D1613"/>
    <w:rsid w:val="00815414"/>
    <w:rsid w:val="0085667B"/>
    <w:rsid w:val="00872F2A"/>
    <w:rsid w:val="008753C4"/>
    <w:rsid w:val="00886A93"/>
    <w:rsid w:val="008B2CC1"/>
    <w:rsid w:val="008B60B2"/>
    <w:rsid w:val="008D329B"/>
    <w:rsid w:val="0090731E"/>
    <w:rsid w:val="009149D2"/>
    <w:rsid w:val="00916EE2"/>
    <w:rsid w:val="009226FE"/>
    <w:rsid w:val="0092611F"/>
    <w:rsid w:val="00966A22"/>
    <w:rsid w:val="0096722F"/>
    <w:rsid w:val="00977CA0"/>
    <w:rsid w:val="00980843"/>
    <w:rsid w:val="009E2791"/>
    <w:rsid w:val="009E3643"/>
    <w:rsid w:val="009E3F6F"/>
    <w:rsid w:val="009F2A83"/>
    <w:rsid w:val="009F499F"/>
    <w:rsid w:val="00A35445"/>
    <w:rsid w:val="00A42473"/>
    <w:rsid w:val="00A42DAF"/>
    <w:rsid w:val="00A45BD8"/>
    <w:rsid w:val="00A57543"/>
    <w:rsid w:val="00A85B8E"/>
    <w:rsid w:val="00A94E75"/>
    <w:rsid w:val="00A95AB3"/>
    <w:rsid w:val="00AC205C"/>
    <w:rsid w:val="00AD1C0A"/>
    <w:rsid w:val="00B05A69"/>
    <w:rsid w:val="00B149E7"/>
    <w:rsid w:val="00B14CF4"/>
    <w:rsid w:val="00B9734B"/>
    <w:rsid w:val="00BB0C37"/>
    <w:rsid w:val="00C11BFE"/>
    <w:rsid w:val="00C94629"/>
    <w:rsid w:val="00CD4F26"/>
    <w:rsid w:val="00CF063F"/>
    <w:rsid w:val="00CF5F34"/>
    <w:rsid w:val="00D002FB"/>
    <w:rsid w:val="00D07161"/>
    <w:rsid w:val="00D45252"/>
    <w:rsid w:val="00D71B4D"/>
    <w:rsid w:val="00D93D55"/>
    <w:rsid w:val="00DC799E"/>
    <w:rsid w:val="00DE1E8B"/>
    <w:rsid w:val="00E05663"/>
    <w:rsid w:val="00E16E97"/>
    <w:rsid w:val="00E335FE"/>
    <w:rsid w:val="00E369FE"/>
    <w:rsid w:val="00E5021F"/>
    <w:rsid w:val="00E51B8D"/>
    <w:rsid w:val="00EA192E"/>
    <w:rsid w:val="00EA2549"/>
    <w:rsid w:val="00EA39E4"/>
    <w:rsid w:val="00EC4E49"/>
    <w:rsid w:val="00ED0593"/>
    <w:rsid w:val="00ED77FB"/>
    <w:rsid w:val="00F021A6"/>
    <w:rsid w:val="00F45EED"/>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29B"/>
    <w:rPr>
      <w:rFonts w:ascii="Arial" w:eastAsia="SimSun" w:hAnsi="Arial" w:cs="Arial"/>
      <w:sz w:val="22"/>
      <w:lang w:eastAsia="zh-CN"/>
    </w:rPr>
  </w:style>
  <w:style w:type="paragraph" w:styleId="Heading1">
    <w:name w:val="heading 1"/>
    <w:basedOn w:val="Normal"/>
    <w:next w:val="Normal"/>
    <w:qFormat/>
    <w:rsid w:val="00CF5F34"/>
    <w:pPr>
      <w:keepNext/>
      <w:spacing w:before="240" w:after="60"/>
      <w:outlineLvl w:val="0"/>
    </w:pPr>
    <w:rPr>
      <w:b/>
      <w:bCs/>
      <w:caps/>
      <w:kern w:val="32"/>
      <w:szCs w:val="32"/>
    </w:rPr>
  </w:style>
  <w:style w:type="paragraph" w:styleId="Heading2">
    <w:name w:val="heading 2"/>
    <w:basedOn w:val="Normal"/>
    <w:next w:val="Normal"/>
    <w:qFormat/>
    <w:rsid w:val="00CF5F34"/>
    <w:pPr>
      <w:keepNext/>
      <w:spacing w:before="240" w:after="60"/>
      <w:outlineLvl w:val="1"/>
    </w:pPr>
    <w:rPr>
      <w:bCs/>
      <w:iCs/>
      <w:caps/>
      <w:szCs w:val="28"/>
    </w:rPr>
  </w:style>
  <w:style w:type="paragraph" w:styleId="Heading3">
    <w:name w:val="heading 3"/>
    <w:basedOn w:val="Normal"/>
    <w:next w:val="Normal"/>
    <w:qFormat/>
    <w:rsid w:val="00CF5F34"/>
    <w:pPr>
      <w:keepNext/>
      <w:spacing w:before="240" w:after="60"/>
      <w:outlineLvl w:val="2"/>
    </w:pPr>
    <w:rPr>
      <w:bCs/>
      <w:szCs w:val="26"/>
      <w:u w:val="single"/>
    </w:rPr>
  </w:style>
  <w:style w:type="paragraph" w:styleId="Heading4">
    <w:name w:val="heading 4"/>
    <w:basedOn w:val="Normal"/>
    <w:next w:val="Normal"/>
    <w:qFormat/>
    <w:rsid w:val="00CF5F3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CF5F34"/>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6559A5"/>
    <w:rPr>
      <w:rFonts w:ascii="Arial" w:eastAsia="SimSun" w:hAnsi="Arial" w:cs="Arial"/>
      <w:sz w:val="22"/>
      <w:lang w:eastAsia="zh-CN"/>
    </w:rPr>
  </w:style>
  <w:style w:type="character" w:customStyle="1" w:styleId="BodyTextChar">
    <w:name w:val="Body Text Char"/>
    <w:basedOn w:val="DefaultParagraphFont"/>
    <w:link w:val="BodyText"/>
    <w:rsid w:val="008D329B"/>
    <w:rPr>
      <w:rFonts w:ascii="Arial" w:eastAsia="SimSun" w:hAnsi="Arial" w:cs="Arial"/>
      <w:sz w:val="22"/>
      <w:lang w:eastAsia="zh-CN"/>
    </w:rPr>
  </w:style>
  <w:style w:type="character" w:customStyle="1" w:styleId="CommentTextChar">
    <w:name w:val="Comment Text Char"/>
    <w:basedOn w:val="DefaultParagraphFont"/>
    <w:link w:val="CommentText"/>
    <w:semiHidden/>
    <w:rsid w:val="008D329B"/>
    <w:rPr>
      <w:rFonts w:ascii="Arial" w:eastAsia="SimSun" w:hAnsi="Arial" w:cs="Arial"/>
      <w:sz w:val="18"/>
      <w:lang w:eastAsia="zh-CN"/>
    </w:rPr>
  </w:style>
  <w:style w:type="character" w:styleId="Hyperlink">
    <w:name w:val="Hyperlink"/>
    <w:basedOn w:val="DefaultParagraphFont"/>
    <w:rsid w:val="001150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29B"/>
    <w:rPr>
      <w:rFonts w:ascii="Arial" w:eastAsia="SimSun" w:hAnsi="Arial" w:cs="Arial"/>
      <w:sz w:val="22"/>
      <w:lang w:eastAsia="zh-CN"/>
    </w:rPr>
  </w:style>
  <w:style w:type="paragraph" w:styleId="Heading1">
    <w:name w:val="heading 1"/>
    <w:basedOn w:val="Normal"/>
    <w:next w:val="Normal"/>
    <w:qFormat/>
    <w:rsid w:val="00CF5F34"/>
    <w:pPr>
      <w:keepNext/>
      <w:spacing w:before="240" w:after="60"/>
      <w:outlineLvl w:val="0"/>
    </w:pPr>
    <w:rPr>
      <w:b/>
      <w:bCs/>
      <w:caps/>
      <w:kern w:val="32"/>
      <w:szCs w:val="32"/>
    </w:rPr>
  </w:style>
  <w:style w:type="paragraph" w:styleId="Heading2">
    <w:name w:val="heading 2"/>
    <w:basedOn w:val="Normal"/>
    <w:next w:val="Normal"/>
    <w:qFormat/>
    <w:rsid w:val="00CF5F34"/>
    <w:pPr>
      <w:keepNext/>
      <w:spacing w:before="240" w:after="60"/>
      <w:outlineLvl w:val="1"/>
    </w:pPr>
    <w:rPr>
      <w:bCs/>
      <w:iCs/>
      <w:caps/>
      <w:szCs w:val="28"/>
    </w:rPr>
  </w:style>
  <w:style w:type="paragraph" w:styleId="Heading3">
    <w:name w:val="heading 3"/>
    <w:basedOn w:val="Normal"/>
    <w:next w:val="Normal"/>
    <w:qFormat/>
    <w:rsid w:val="00CF5F34"/>
    <w:pPr>
      <w:keepNext/>
      <w:spacing w:before="240" w:after="60"/>
      <w:outlineLvl w:val="2"/>
    </w:pPr>
    <w:rPr>
      <w:bCs/>
      <w:szCs w:val="26"/>
      <w:u w:val="single"/>
    </w:rPr>
  </w:style>
  <w:style w:type="paragraph" w:styleId="Heading4">
    <w:name w:val="heading 4"/>
    <w:basedOn w:val="Normal"/>
    <w:next w:val="Normal"/>
    <w:qFormat/>
    <w:rsid w:val="00CF5F3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CF5F34"/>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6559A5"/>
    <w:rPr>
      <w:rFonts w:ascii="Arial" w:eastAsia="SimSun" w:hAnsi="Arial" w:cs="Arial"/>
      <w:sz w:val="22"/>
      <w:lang w:eastAsia="zh-CN"/>
    </w:rPr>
  </w:style>
  <w:style w:type="character" w:customStyle="1" w:styleId="BodyTextChar">
    <w:name w:val="Body Text Char"/>
    <w:basedOn w:val="DefaultParagraphFont"/>
    <w:link w:val="BodyText"/>
    <w:rsid w:val="008D329B"/>
    <w:rPr>
      <w:rFonts w:ascii="Arial" w:eastAsia="SimSun" w:hAnsi="Arial" w:cs="Arial"/>
      <w:sz w:val="22"/>
      <w:lang w:eastAsia="zh-CN"/>
    </w:rPr>
  </w:style>
  <w:style w:type="character" w:customStyle="1" w:styleId="CommentTextChar">
    <w:name w:val="Comment Text Char"/>
    <w:basedOn w:val="DefaultParagraphFont"/>
    <w:link w:val="CommentText"/>
    <w:semiHidden/>
    <w:rsid w:val="008D329B"/>
    <w:rPr>
      <w:rFonts w:ascii="Arial" w:eastAsia="SimSun" w:hAnsi="Arial" w:cs="Arial"/>
      <w:sz w:val="18"/>
      <w:lang w:eastAsia="zh-CN"/>
    </w:rPr>
  </w:style>
  <w:style w:type="character" w:styleId="Hyperlink">
    <w:name w:val="Hyperlink"/>
    <w:basedOn w:val="DefaultParagraphFont"/>
    <w:rsid w:val="001150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AF8F-022D-43CA-BCDB-6E552C831127}">
  <ds:schemaRefs>
    <ds:schemaRef ds:uri="http://schemas.openxmlformats.org/officeDocument/2006/bibliography"/>
  </ds:schemaRefs>
</ds:datastoreItem>
</file>

<file path=customXml/itemProps2.xml><?xml version="1.0" encoding="utf-8"?>
<ds:datastoreItem xmlns:ds="http://schemas.openxmlformats.org/officeDocument/2006/customXml" ds:itemID="{246EE687-1DD6-41EC-A391-96B6A1DF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27</TotalTime>
  <Pages>4</Pages>
  <Words>1445</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subject>Procedures for Appointment of International Searching and Preliminary Examining Authorities under the PCT</dc:subject>
  <dc:creator>RICHARDSON Michael</dc:creator>
  <cp:keywords>CC/ko</cp:keywords>
  <cp:lastModifiedBy>MARIN-CUDRAZ DAVI Nicoletta</cp:lastModifiedBy>
  <cp:revision>13</cp:revision>
  <cp:lastPrinted>2014-07-14T14:49:00Z</cp:lastPrinted>
  <dcterms:created xsi:type="dcterms:W3CDTF">2014-07-14T14:20:00Z</dcterms:created>
  <dcterms:modified xsi:type="dcterms:W3CDTF">2014-07-14T16:13:00Z</dcterms:modified>
</cp:coreProperties>
</file>