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21CE" w14:textId="77777777" w:rsidR="008B2CC1" w:rsidRPr="002B0B37" w:rsidRDefault="00DB0349" w:rsidP="00DB0349">
      <w:pPr>
        <w:spacing w:after="120"/>
        <w:jc w:val="right"/>
        <w:rPr>
          <w:lang w:val="fr-FR"/>
        </w:rPr>
      </w:pPr>
      <w:r w:rsidRPr="002B0B37">
        <w:rPr>
          <w:noProof/>
          <w:lang w:val="fr-FR" w:eastAsia="fr-CH"/>
        </w:rPr>
        <w:drawing>
          <wp:inline distT="0" distB="0" distL="0" distR="0" wp14:anchorId="33BA8A35" wp14:editId="1654D711">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2">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2B0B37">
        <w:rPr>
          <w:rFonts w:ascii="Arial Black" w:hAnsi="Arial Black"/>
          <w:caps/>
          <w:noProof/>
          <w:sz w:val="15"/>
          <w:szCs w:val="15"/>
          <w:lang w:val="fr-FR" w:eastAsia="fr-CH"/>
        </w:rPr>
        <mc:AlternateContent>
          <mc:Choice Requires="wps">
            <w:drawing>
              <wp:inline distT="0" distB="0" distL="0" distR="0" wp14:anchorId="4FCB6969" wp14:editId="4997D0D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28AD9C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343A976" w14:textId="79CFAE85" w:rsidR="008B2CC1" w:rsidRPr="002B0B37" w:rsidRDefault="00166201" w:rsidP="00DB0349">
      <w:pPr>
        <w:jc w:val="right"/>
        <w:rPr>
          <w:rFonts w:ascii="Arial Black" w:hAnsi="Arial Black"/>
          <w:caps/>
          <w:sz w:val="15"/>
          <w:szCs w:val="15"/>
          <w:lang w:val="fr-FR"/>
        </w:rPr>
      </w:pPr>
      <w:r w:rsidRPr="002B0B37">
        <w:rPr>
          <w:rFonts w:ascii="Arial Black" w:hAnsi="Arial Black"/>
          <w:caps/>
          <w:sz w:val="15"/>
          <w:szCs w:val="15"/>
          <w:lang w:val="fr-FR"/>
        </w:rPr>
        <w:t>MVT/A/</w:t>
      </w:r>
      <w:r w:rsidR="007B1106" w:rsidRPr="002B0B37">
        <w:rPr>
          <w:rFonts w:ascii="Arial Black" w:hAnsi="Arial Black"/>
          <w:caps/>
          <w:sz w:val="15"/>
          <w:szCs w:val="15"/>
          <w:lang w:val="fr-FR"/>
        </w:rPr>
        <w:t>1</w:t>
      </w:r>
      <w:r w:rsidR="0078475B" w:rsidRPr="002B0B37">
        <w:rPr>
          <w:rFonts w:ascii="Arial Black" w:hAnsi="Arial Black"/>
          <w:caps/>
          <w:sz w:val="15"/>
          <w:szCs w:val="15"/>
          <w:lang w:val="fr-FR"/>
        </w:rPr>
        <w:t>1</w:t>
      </w:r>
      <w:r w:rsidRPr="002B0B37">
        <w:rPr>
          <w:rFonts w:ascii="Arial Black" w:hAnsi="Arial Black"/>
          <w:caps/>
          <w:sz w:val="15"/>
          <w:szCs w:val="15"/>
          <w:lang w:val="fr-FR"/>
        </w:rPr>
        <w:t>/</w:t>
      </w:r>
      <w:bookmarkStart w:id="0" w:name="Code"/>
      <w:bookmarkEnd w:id="0"/>
      <w:r w:rsidR="00E84CBD" w:rsidRPr="002B0B37">
        <w:rPr>
          <w:rFonts w:ascii="Arial Black" w:hAnsi="Arial Black"/>
          <w:caps/>
          <w:sz w:val="15"/>
          <w:szCs w:val="15"/>
          <w:lang w:val="fr-FR"/>
        </w:rPr>
        <w:t>1</w:t>
      </w:r>
    </w:p>
    <w:p w14:paraId="45C8F499" w14:textId="55C3F3FF" w:rsidR="008B2CC1" w:rsidRPr="002B0B37" w:rsidRDefault="00DB0349" w:rsidP="00DB0349">
      <w:pPr>
        <w:jc w:val="right"/>
        <w:rPr>
          <w:rFonts w:ascii="Arial Black" w:hAnsi="Arial Black"/>
          <w:caps/>
          <w:sz w:val="15"/>
          <w:szCs w:val="15"/>
          <w:lang w:val="fr-FR"/>
        </w:rPr>
      </w:pPr>
      <w:r w:rsidRPr="002B0B37">
        <w:rPr>
          <w:rFonts w:ascii="Arial Black" w:hAnsi="Arial Black"/>
          <w:caps/>
          <w:sz w:val="15"/>
          <w:szCs w:val="15"/>
          <w:lang w:val="fr-FR"/>
        </w:rPr>
        <w:t>Original</w:t>
      </w:r>
      <w:r w:rsidR="00EE58C8" w:rsidRPr="002B0B37">
        <w:rPr>
          <w:rFonts w:ascii="Arial Black" w:hAnsi="Arial Black"/>
          <w:caps/>
          <w:sz w:val="15"/>
          <w:szCs w:val="15"/>
          <w:lang w:val="fr-FR"/>
        </w:rPr>
        <w:t> :</w:t>
      </w:r>
      <w:r w:rsidRPr="002B0B37">
        <w:rPr>
          <w:rFonts w:ascii="Arial Black" w:hAnsi="Arial Black"/>
          <w:caps/>
          <w:sz w:val="15"/>
          <w:szCs w:val="15"/>
          <w:lang w:val="fr-FR"/>
        </w:rPr>
        <w:t xml:space="preserve"> </w:t>
      </w:r>
      <w:bookmarkStart w:id="1" w:name="Original"/>
      <w:r w:rsidR="00E84CBD" w:rsidRPr="002B0B37">
        <w:rPr>
          <w:rFonts w:ascii="Arial Black" w:hAnsi="Arial Black"/>
          <w:caps/>
          <w:sz w:val="15"/>
          <w:szCs w:val="15"/>
          <w:lang w:val="fr-FR"/>
        </w:rPr>
        <w:t>anglais</w:t>
      </w:r>
    </w:p>
    <w:bookmarkEnd w:id="1"/>
    <w:p w14:paraId="495C7E87" w14:textId="6363BDDD" w:rsidR="008B2CC1" w:rsidRPr="002B0B37" w:rsidRDefault="00274E1D" w:rsidP="00DB0349">
      <w:pPr>
        <w:spacing w:after="1200"/>
        <w:jc w:val="right"/>
        <w:rPr>
          <w:rFonts w:ascii="Arial Black" w:hAnsi="Arial Black"/>
          <w:caps/>
          <w:sz w:val="15"/>
          <w:szCs w:val="15"/>
          <w:lang w:val="fr-FR"/>
        </w:rPr>
      </w:pPr>
      <w:r w:rsidRPr="002B0B37">
        <w:rPr>
          <w:rFonts w:ascii="Arial Black" w:hAnsi="Arial Black"/>
          <w:caps/>
          <w:sz w:val="15"/>
          <w:szCs w:val="15"/>
          <w:lang w:val="fr-FR"/>
        </w:rPr>
        <w:t>DATE</w:t>
      </w:r>
      <w:r w:rsidR="00EE58C8" w:rsidRPr="002B0B37">
        <w:rPr>
          <w:rFonts w:ascii="Arial Black" w:hAnsi="Arial Black"/>
          <w:caps/>
          <w:sz w:val="15"/>
          <w:szCs w:val="15"/>
          <w:lang w:val="fr-FR"/>
        </w:rPr>
        <w:t> :</w:t>
      </w:r>
      <w:r w:rsidR="00DB0349" w:rsidRPr="002B0B37">
        <w:rPr>
          <w:rFonts w:ascii="Arial Black" w:hAnsi="Arial Black"/>
          <w:caps/>
          <w:sz w:val="15"/>
          <w:szCs w:val="15"/>
          <w:lang w:val="fr-FR"/>
        </w:rPr>
        <w:t xml:space="preserve"> </w:t>
      </w:r>
      <w:bookmarkStart w:id="2" w:name="Date"/>
      <w:r w:rsidR="00E84CBD" w:rsidRPr="002B0B37">
        <w:rPr>
          <w:rFonts w:ascii="Arial Black" w:hAnsi="Arial Black"/>
          <w:caps/>
          <w:sz w:val="15"/>
          <w:szCs w:val="15"/>
          <w:lang w:val="fr-FR"/>
        </w:rPr>
        <w:t>5 mai 2026</w:t>
      </w:r>
    </w:p>
    <w:bookmarkEnd w:id="2"/>
    <w:p w14:paraId="7C6EDEED" w14:textId="610CF0C8" w:rsidR="00C40E15" w:rsidRPr="002B0B37" w:rsidRDefault="00166201" w:rsidP="00DB0349">
      <w:pPr>
        <w:spacing w:after="600"/>
        <w:rPr>
          <w:b/>
          <w:sz w:val="28"/>
          <w:szCs w:val="28"/>
          <w:lang w:val="fr-FR"/>
        </w:rPr>
      </w:pPr>
      <w:r w:rsidRPr="002B0B37">
        <w:rPr>
          <w:b/>
          <w:sz w:val="28"/>
          <w:lang w:val="fr-FR"/>
        </w:rPr>
        <w:t>Traité de Marrakech visant à faciliter l</w:t>
      </w:r>
      <w:r w:rsidR="00EE58C8" w:rsidRPr="002B0B37">
        <w:rPr>
          <w:b/>
          <w:sz w:val="28"/>
          <w:lang w:val="fr-FR"/>
        </w:rPr>
        <w:t>’</w:t>
      </w:r>
      <w:r w:rsidRPr="002B0B37">
        <w:rPr>
          <w:b/>
          <w:sz w:val="28"/>
          <w:lang w:val="fr-FR"/>
        </w:rPr>
        <w:t>accès des aveugles, des déficients visuels et des personnes ayant d</w:t>
      </w:r>
      <w:r w:rsidR="00EE58C8" w:rsidRPr="002B0B37">
        <w:rPr>
          <w:b/>
          <w:sz w:val="28"/>
          <w:lang w:val="fr-FR"/>
        </w:rPr>
        <w:t>’</w:t>
      </w:r>
      <w:r w:rsidRPr="002B0B37">
        <w:rPr>
          <w:b/>
          <w:sz w:val="28"/>
          <w:lang w:val="fr-FR"/>
        </w:rPr>
        <w:t>autres difficultés de lecture des textes imprimés aux œuvres publiées</w:t>
      </w:r>
    </w:p>
    <w:p w14:paraId="446B1ACA" w14:textId="77777777" w:rsidR="003845C1" w:rsidRPr="002B0B37" w:rsidRDefault="00C40E15" w:rsidP="00DB0349">
      <w:pPr>
        <w:spacing w:after="720"/>
        <w:rPr>
          <w:b/>
          <w:sz w:val="28"/>
          <w:szCs w:val="28"/>
          <w:lang w:val="fr-FR"/>
        </w:rPr>
      </w:pPr>
      <w:r w:rsidRPr="002B0B37">
        <w:rPr>
          <w:b/>
          <w:sz w:val="28"/>
          <w:szCs w:val="28"/>
          <w:lang w:val="fr-FR"/>
        </w:rPr>
        <w:t>Assemblée</w:t>
      </w:r>
    </w:p>
    <w:p w14:paraId="5BEF986A" w14:textId="29AFAA01" w:rsidR="008B2CC1" w:rsidRPr="002B0B37" w:rsidRDefault="0078475B" w:rsidP="008B2CC1">
      <w:pPr>
        <w:rPr>
          <w:b/>
          <w:sz w:val="24"/>
          <w:szCs w:val="24"/>
          <w:lang w:val="fr-FR"/>
        </w:rPr>
      </w:pPr>
      <w:r w:rsidRPr="002B0B37">
        <w:rPr>
          <w:b/>
          <w:bCs/>
          <w:iCs/>
          <w:sz w:val="24"/>
          <w:lang w:val="fr-FR"/>
        </w:rPr>
        <w:t>Onz</w:t>
      </w:r>
      <w:r w:rsidR="00EE58C8" w:rsidRPr="002B0B37">
        <w:rPr>
          <w:b/>
          <w:bCs/>
          <w:iCs/>
          <w:sz w:val="24"/>
          <w:lang w:val="fr-FR"/>
        </w:rPr>
        <w:t>ième session</w:t>
      </w:r>
      <w:r w:rsidR="008C3875" w:rsidRPr="002B0B37">
        <w:rPr>
          <w:b/>
          <w:bCs/>
          <w:iCs/>
          <w:sz w:val="24"/>
          <w:lang w:val="fr-FR"/>
        </w:rPr>
        <w:t xml:space="preserve"> (</w:t>
      </w:r>
      <w:r w:rsidR="007B1106" w:rsidRPr="002B0B37">
        <w:rPr>
          <w:b/>
          <w:bCs/>
          <w:iCs/>
          <w:sz w:val="24"/>
          <w:lang w:val="fr-FR"/>
        </w:rPr>
        <w:t>1</w:t>
      </w:r>
      <w:r w:rsidRPr="002B0B37">
        <w:rPr>
          <w:b/>
          <w:bCs/>
          <w:iCs/>
          <w:sz w:val="24"/>
          <w:lang w:val="fr-FR"/>
        </w:rPr>
        <w:t>1</w:t>
      </w:r>
      <w:r w:rsidR="008C3875" w:rsidRPr="002B0B37">
        <w:rPr>
          <w:b/>
          <w:bCs/>
          <w:iCs/>
          <w:sz w:val="24"/>
          <w:vertAlign w:val="superscript"/>
          <w:lang w:val="fr-FR"/>
        </w:rPr>
        <w:t>e</w:t>
      </w:r>
      <w:r w:rsidR="002B0B37">
        <w:rPr>
          <w:b/>
          <w:bCs/>
          <w:iCs/>
          <w:sz w:val="24"/>
          <w:lang w:val="fr-FR"/>
        </w:rPr>
        <w:t> </w:t>
      </w:r>
      <w:r w:rsidR="008C3875" w:rsidRPr="002B0B37">
        <w:rPr>
          <w:b/>
          <w:bCs/>
          <w:iCs/>
          <w:sz w:val="24"/>
          <w:lang w:val="fr-FR"/>
        </w:rPr>
        <w:t>session ordinaire</w:t>
      </w:r>
      <w:r w:rsidR="00166201" w:rsidRPr="002B0B37">
        <w:rPr>
          <w:b/>
          <w:bCs/>
          <w:iCs/>
          <w:sz w:val="24"/>
          <w:lang w:val="fr-FR"/>
        </w:rPr>
        <w:t>)</w:t>
      </w:r>
    </w:p>
    <w:p w14:paraId="11B6FCF7" w14:textId="7AF6EE8B" w:rsidR="008B2CC1" w:rsidRPr="002B0B37" w:rsidRDefault="00166201" w:rsidP="00DB0349">
      <w:pPr>
        <w:spacing w:after="720"/>
        <w:rPr>
          <w:b/>
          <w:sz w:val="24"/>
          <w:szCs w:val="24"/>
          <w:lang w:val="fr-FR"/>
        </w:rPr>
      </w:pPr>
      <w:r w:rsidRPr="002B0B37">
        <w:rPr>
          <w:b/>
          <w:sz w:val="24"/>
          <w:lang w:val="fr-FR"/>
        </w:rPr>
        <w:t xml:space="preserve">Genève, </w:t>
      </w:r>
      <w:r w:rsidR="0078475B" w:rsidRPr="002B0B37">
        <w:rPr>
          <w:b/>
          <w:sz w:val="24"/>
          <w:lang w:val="fr-FR"/>
        </w:rPr>
        <w:t>7</w:t>
      </w:r>
      <w:r w:rsidR="008C3875" w:rsidRPr="002B0B37">
        <w:rPr>
          <w:b/>
          <w:sz w:val="24"/>
          <w:szCs w:val="24"/>
          <w:lang w:val="fr-FR"/>
        </w:rPr>
        <w:t xml:space="preserve"> – 1</w:t>
      </w:r>
      <w:r w:rsidR="00EE58C8" w:rsidRPr="002B0B37">
        <w:rPr>
          <w:b/>
          <w:sz w:val="24"/>
          <w:szCs w:val="24"/>
          <w:lang w:val="fr-FR"/>
        </w:rPr>
        <w:t>5 juillet 20</w:t>
      </w:r>
      <w:r w:rsidR="008C3875" w:rsidRPr="002B0B37">
        <w:rPr>
          <w:b/>
          <w:sz w:val="24"/>
          <w:szCs w:val="24"/>
          <w:lang w:val="fr-FR"/>
        </w:rPr>
        <w:t>2</w:t>
      </w:r>
      <w:r w:rsidR="0078475B" w:rsidRPr="002B0B37">
        <w:rPr>
          <w:b/>
          <w:sz w:val="24"/>
          <w:szCs w:val="24"/>
          <w:lang w:val="fr-FR"/>
        </w:rPr>
        <w:t>6</w:t>
      </w:r>
    </w:p>
    <w:p w14:paraId="34135D22" w14:textId="0408A670" w:rsidR="008B2CC1" w:rsidRPr="002B0B37" w:rsidRDefault="00E84CBD" w:rsidP="00DB0349">
      <w:pPr>
        <w:spacing w:after="360"/>
        <w:rPr>
          <w:caps/>
          <w:sz w:val="24"/>
          <w:lang w:val="fr-FR"/>
        </w:rPr>
      </w:pPr>
      <w:bookmarkStart w:id="3" w:name="TitleOfDoc"/>
      <w:r w:rsidRPr="002B0B37">
        <w:rPr>
          <w:caps/>
          <w:sz w:val="24"/>
          <w:lang w:val="fr-FR"/>
        </w:rPr>
        <w:t>Situation concernant le Traité de Marrakech</w:t>
      </w:r>
    </w:p>
    <w:p w14:paraId="65E8AD2D" w14:textId="22844B7D" w:rsidR="00525B63" w:rsidRPr="002B0B37" w:rsidRDefault="00E84CBD" w:rsidP="00DB0349">
      <w:pPr>
        <w:spacing w:after="960"/>
        <w:rPr>
          <w:i/>
          <w:iCs/>
          <w:lang w:val="fr-FR"/>
        </w:rPr>
      </w:pPr>
      <w:bookmarkStart w:id="4" w:name="Prepared"/>
      <w:bookmarkEnd w:id="3"/>
      <w:r w:rsidRPr="002B0B37">
        <w:rPr>
          <w:i/>
          <w:iCs/>
          <w:lang w:val="fr-FR"/>
        </w:rPr>
        <w:t>Document établi par le Secrétariat</w:t>
      </w:r>
    </w:p>
    <w:bookmarkEnd w:id="4"/>
    <w:p w14:paraId="5A852732" w14:textId="4742E8F3" w:rsidR="00E84CBD" w:rsidRPr="002B0B37" w:rsidRDefault="00E84CBD" w:rsidP="002B0B37">
      <w:pPr>
        <w:pStyle w:val="ONUMFS"/>
      </w:pPr>
      <w:r w:rsidRPr="002B0B37">
        <w:t>Le présent document fournit des informations sur la signature et la ratification du Traité de Marrakech visant à faciliter l</w:t>
      </w:r>
      <w:r w:rsidR="00EE58C8" w:rsidRPr="002B0B37">
        <w:t>’</w:t>
      </w:r>
      <w:r w:rsidRPr="002B0B37">
        <w:t>accès des aveugles, des déficients visuels et des personnes ayant d</w:t>
      </w:r>
      <w:r w:rsidR="00EE58C8" w:rsidRPr="002B0B37">
        <w:t>’</w:t>
      </w:r>
      <w:r w:rsidRPr="002B0B37">
        <w:t>autres difficultés de lecture des textes imprimés aux œuvres publiées (“Traité de Marrakech”), ainsi que sur les adhésions à ce trai</w:t>
      </w:r>
      <w:r w:rsidR="002B0B37" w:rsidRPr="002B0B37">
        <w:t>té.  Il</w:t>
      </w:r>
      <w:r w:rsidRPr="002B0B37">
        <w:t xml:space="preserve"> fait également le point de la situation concernant la promotion et la mise en œuvre du Traité de Marrakech.</w:t>
      </w:r>
    </w:p>
    <w:p w14:paraId="413D997B" w14:textId="60DAD37A" w:rsidR="00E84CBD" w:rsidRPr="002B0B37" w:rsidRDefault="002B0B37" w:rsidP="002B0B37">
      <w:pPr>
        <w:pStyle w:val="Heading1"/>
      </w:pPr>
      <w:r w:rsidRPr="002B0B37">
        <w:t>Signature du Traité de Marrakech</w:t>
      </w:r>
    </w:p>
    <w:p w14:paraId="7335E83C" w14:textId="260B8D4B" w:rsidR="00E84CBD" w:rsidRPr="002B0B37" w:rsidRDefault="00E84CBD" w:rsidP="002B0B37">
      <w:pPr>
        <w:pStyle w:val="ONUMFS"/>
      </w:pPr>
      <w:r w:rsidRPr="002B0B37">
        <w:t>Le 27 </w:t>
      </w:r>
      <w:r w:rsidR="00EE58C8" w:rsidRPr="002B0B37">
        <w:t>juin 20</w:t>
      </w:r>
      <w:r w:rsidRPr="002B0B37">
        <w:t>13, la Conférence diplomatique pour la conclusion d</w:t>
      </w:r>
      <w:r w:rsidR="00EE58C8" w:rsidRPr="002B0B37">
        <w:t>’</w:t>
      </w:r>
      <w:r w:rsidRPr="002B0B37">
        <w:t>un traité visant à faciliter l</w:t>
      </w:r>
      <w:r w:rsidR="00EE58C8" w:rsidRPr="002B0B37">
        <w:t>’</w:t>
      </w:r>
      <w:r w:rsidRPr="002B0B37">
        <w:t xml:space="preserve">accès des déficients visuels et des personnes </w:t>
      </w:r>
      <w:proofErr w:type="gramStart"/>
      <w:r w:rsidRPr="002B0B37">
        <w:t>ayant</w:t>
      </w:r>
      <w:proofErr w:type="gramEnd"/>
      <w:r w:rsidRPr="002B0B37">
        <w:t xml:space="preserve"> des difficultés de lecture des textes imprimés aux œuvres publiées a adopté par consensus le Traité de Marrakech, qui a été ouvert à la signature le 28 </w:t>
      </w:r>
      <w:r w:rsidR="00EE58C8" w:rsidRPr="002B0B37">
        <w:t>juin 20</w:t>
      </w:r>
      <w:r w:rsidRPr="002B0B37">
        <w:t>13.  Conformément à l</w:t>
      </w:r>
      <w:r w:rsidR="00EE58C8" w:rsidRPr="002B0B37">
        <w:t>’</w:t>
      </w:r>
      <w:r w:rsidRPr="002B0B37">
        <w:t>article 17 du traité, celui</w:t>
      </w:r>
      <w:r w:rsidR="002B0B37">
        <w:noBreakHyphen/>
      </w:r>
      <w:r w:rsidRPr="002B0B37">
        <w:t>ci est resté ouvert à la signature au siège de l</w:t>
      </w:r>
      <w:r w:rsidR="00EE58C8" w:rsidRPr="002B0B37">
        <w:t>’</w:t>
      </w:r>
      <w:r w:rsidRPr="002B0B37">
        <w:t>OMPI pendant un an après son adoption, c</w:t>
      </w:r>
      <w:r w:rsidR="00EE58C8" w:rsidRPr="002B0B37">
        <w:t>’</w:t>
      </w:r>
      <w:r w:rsidRPr="002B0B37">
        <w:t>est</w:t>
      </w:r>
      <w:r w:rsidR="002B0B37">
        <w:noBreakHyphen/>
      </w:r>
      <w:r w:rsidRPr="002B0B37">
        <w:t>à</w:t>
      </w:r>
      <w:r w:rsidR="002B0B37">
        <w:noBreakHyphen/>
      </w:r>
      <w:r w:rsidRPr="002B0B37">
        <w:t>dire jusqu</w:t>
      </w:r>
      <w:r w:rsidR="00EE58C8" w:rsidRPr="002B0B37">
        <w:t>’</w:t>
      </w:r>
      <w:r w:rsidRPr="002B0B37">
        <w:t>au 27 </w:t>
      </w:r>
      <w:r w:rsidR="00EE58C8" w:rsidRPr="002B0B37">
        <w:t>juin 20</w:t>
      </w:r>
      <w:r w:rsidRPr="002B0B37">
        <w:t>14.</w:t>
      </w:r>
    </w:p>
    <w:p w14:paraId="761B3CDB" w14:textId="1040870C" w:rsidR="00E84CBD" w:rsidRPr="002B0B37" w:rsidRDefault="00E84CBD" w:rsidP="002B0B37">
      <w:pPr>
        <w:pStyle w:val="ONUMFS"/>
      </w:pPr>
      <w:r w:rsidRPr="002B0B37">
        <w:t>Au 27 </w:t>
      </w:r>
      <w:r w:rsidR="00EE58C8" w:rsidRPr="002B0B37">
        <w:t>juin 20</w:t>
      </w:r>
      <w:r w:rsidRPr="002B0B37">
        <w:t>14, 80 parties remplissant les conditions requises, dont la liste figure à l</w:t>
      </w:r>
      <w:r w:rsidR="00EE58C8" w:rsidRPr="002B0B37">
        <w:t>’annexe I</w:t>
      </w:r>
      <w:r w:rsidRPr="002B0B37">
        <w:t>, avaient signé le traité.</w:t>
      </w:r>
    </w:p>
    <w:p w14:paraId="0DFA8F87" w14:textId="3F658421" w:rsidR="00E84CBD" w:rsidRPr="002B0B37" w:rsidRDefault="002B0B37" w:rsidP="002B0B37">
      <w:pPr>
        <w:pStyle w:val="Heading1"/>
      </w:pPr>
      <w:r>
        <w:lastRenderedPageBreak/>
        <w:t>E</w:t>
      </w:r>
      <w:r w:rsidRPr="002B0B37">
        <w:t xml:space="preserve">ntrée en vigueur du </w:t>
      </w:r>
      <w:r>
        <w:t>T</w:t>
      </w:r>
      <w:r w:rsidRPr="002B0B37">
        <w:t xml:space="preserve">raité de </w:t>
      </w:r>
      <w:r>
        <w:t>M</w:t>
      </w:r>
      <w:r w:rsidRPr="002B0B37">
        <w:t>arrakech</w:t>
      </w:r>
    </w:p>
    <w:p w14:paraId="6060EC28" w14:textId="20698492" w:rsidR="00E84CBD" w:rsidRPr="002B0B37" w:rsidRDefault="00E84CBD" w:rsidP="002B0B37">
      <w:pPr>
        <w:pStyle w:val="ONUMFS"/>
      </w:pPr>
      <w:r w:rsidRPr="002B0B37">
        <w:t>L</w:t>
      </w:r>
      <w:r w:rsidR="00EE58C8" w:rsidRPr="002B0B37">
        <w:t>’</w:t>
      </w:r>
      <w:r w:rsidRPr="002B0B37">
        <w:t>article 18 du Traité de Marrakech dispose que le traité entrera en vigueur trois</w:t>
      </w:r>
      <w:r w:rsidR="000D6A97" w:rsidRPr="002B0B37">
        <w:t> </w:t>
      </w:r>
      <w:r w:rsidRPr="002B0B37">
        <w:t>mois après que 20 parties remplissant les conditions requises auront déposé leur instrument de ratification ou d</w:t>
      </w:r>
      <w:r w:rsidR="00EE58C8" w:rsidRPr="002B0B37">
        <w:t>’</w:t>
      </w:r>
      <w:r w:rsidRPr="002B0B37">
        <w:t>adhési</w:t>
      </w:r>
      <w:r w:rsidR="002B0B37" w:rsidRPr="002B0B37">
        <w:t>on.  Le</w:t>
      </w:r>
      <w:r w:rsidRPr="002B0B37">
        <w:t xml:space="preserve"> vingtième instrument d</w:t>
      </w:r>
      <w:r w:rsidR="00EE58C8" w:rsidRPr="002B0B37">
        <w:t>’</w:t>
      </w:r>
      <w:r w:rsidRPr="002B0B37">
        <w:t>adhésion a été déposé le 30 </w:t>
      </w:r>
      <w:r w:rsidR="00EE58C8" w:rsidRPr="002B0B37">
        <w:t>juin 20</w:t>
      </w:r>
      <w:r w:rsidRPr="002B0B37">
        <w:t>16.</w:t>
      </w:r>
    </w:p>
    <w:p w14:paraId="0486E922" w14:textId="4C9252E0" w:rsidR="00EE58C8" w:rsidRPr="002B0B37" w:rsidRDefault="00E84CBD" w:rsidP="002B0B37">
      <w:pPr>
        <w:pStyle w:val="ONUMFS"/>
      </w:pPr>
      <w:r w:rsidRPr="002B0B37">
        <w:t>Le Traité de Marrakech est entré en vigueur le 30 </w:t>
      </w:r>
      <w:r w:rsidR="00EE58C8" w:rsidRPr="002B0B37">
        <w:t>septembre 20</w:t>
      </w:r>
      <w:r w:rsidRPr="002B0B37">
        <w:t>16.</w:t>
      </w:r>
    </w:p>
    <w:p w14:paraId="0EAE8BC7" w14:textId="052AB616" w:rsidR="00E84CBD" w:rsidRPr="002B0B37" w:rsidRDefault="00E84CBD" w:rsidP="002B0B37">
      <w:pPr>
        <w:pStyle w:val="ONUMFS"/>
      </w:pPr>
      <w:r w:rsidRPr="002B0B37">
        <w:t>L</w:t>
      </w:r>
      <w:r w:rsidR="00EE58C8" w:rsidRPr="002B0B37">
        <w:t>’</w:t>
      </w:r>
      <w:r w:rsidRPr="002B0B37">
        <w:t>année 2026 marque le dixième anniversaire de l</w:t>
      </w:r>
      <w:r w:rsidR="00EE58C8" w:rsidRPr="002B0B37">
        <w:t>’</w:t>
      </w:r>
      <w:r w:rsidRPr="002B0B37">
        <w:t>entrée en vigueur du trai</w:t>
      </w:r>
      <w:r w:rsidR="002B0B37" w:rsidRPr="002B0B37">
        <w:t>té.  Ce</w:t>
      </w:r>
      <w:r w:rsidRPr="002B0B37">
        <w:t>t événement sera célébré lors d</w:t>
      </w:r>
      <w:r w:rsidR="00EE58C8" w:rsidRPr="002B0B37">
        <w:t>’</w:t>
      </w:r>
      <w:r w:rsidRPr="002B0B37">
        <w:t>une cérémonie organisée durant les assemblées 2026 de l</w:t>
      </w:r>
      <w:r w:rsidR="00EE58C8" w:rsidRPr="002B0B37">
        <w:t>’</w:t>
      </w:r>
      <w:r w:rsidRPr="002B0B37">
        <w:t>OMPI.</w:t>
      </w:r>
    </w:p>
    <w:p w14:paraId="593507FE" w14:textId="5886EAA5" w:rsidR="00E84CBD" w:rsidRPr="002B0B37" w:rsidRDefault="002B0B37" w:rsidP="002B0B37">
      <w:pPr>
        <w:pStyle w:val="Heading1"/>
      </w:pPr>
      <w:r>
        <w:t>R</w:t>
      </w:r>
      <w:r w:rsidRPr="002B0B37">
        <w:t xml:space="preserve">atifications du </w:t>
      </w:r>
      <w:r>
        <w:t>T</w:t>
      </w:r>
      <w:r w:rsidRPr="002B0B37">
        <w:t xml:space="preserve">raité de </w:t>
      </w:r>
      <w:r>
        <w:t>M</w:t>
      </w:r>
      <w:r w:rsidRPr="002B0B37">
        <w:t>arrakech et adhésions au traité</w:t>
      </w:r>
    </w:p>
    <w:p w14:paraId="6280712D" w14:textId="4277BF3C" w:rsidR="00E84CBD" w:rsidRPr="002B0B37" w:rsidRDefault="00E84CBD" w:rsidP="002B0B37">
      <w:pPr>
        <w:pStyle w:val="ONUMFS"/>
      </w:pPr>
      <w:r w:rsidRPr="002B0B37">
        <w:t>Au 30 </w:t>
      </w:r>
      <w:r w:rsidR="00EE58C8" w:rsidRPr="002B0B37">
        <w:t>mars 20</w:t>
      </w:r>
      <w:r w:rsidRPr="002B0B37">
        <w:t>26, les 102 États membres de l</w:t>
      </w:r>
      <w:r w:rsidR="00EE58C8" w:rsidRPr="002B0B37">
        <w:t>’</w:t>
      </w:r>
      <w:r w:rsidRPr="002B0B37">
        <w:t>OMPI indiqués à l</w:t>
      </w:r>
      <w:r w:rsidR="00EE58C8" w:rsidRPr="002B0B37">
        <w:t>’</w:t>
      </w:r>
      <w:r w:rsidRPr="002B0B37">
        <w:t>annexe II ainsi que l</w:t>
      </w:r>
      <w:r w:rsidR="00EE58C8" w:rsidRPr="002B0B37">
        <w:t>’</w:t>
      </w:r>
      <w:r w:rsidRPr="002B0B37">
        <w:t>Union européenne avaient ratifié le Traité de Marrakech ou y avaient adhé</w:t>
      </w:r>
      <w:r w:rsidR="002B0B37" w:rsidRPr="002B0B37">
        <w:t>ré.  Le</w:t>
      </w:r>
      <w:r w:rsidRPr="002B0B37">
        <w:t>s 103 parties contractantes du traité couvrent 129 États membres de l</w:t>
      </w:r>
      <w:r w:rsidR="00EE58C8" w:rsidRPr="002B0B37">
        <w:t>’</w:t>
      </w:r>
      <w:r w:rsidRPr="002B0B37">
        <w:t>OMPI.</w:t>
      </w:r>
    </w:p>
    <w:p w14:paraId="7482C208" w14:textId="511A610C" w:rsidR="00E84CBD" w:rsidRPr="002B0B37" w:rsidRDefault="002B0B37" w:rsidP="002B0B37">
      <w:pPr>
        <w:pStyle w:val="Heading1"/>
      </w:pPr>
      <w:r>
        <w:t>P</w:t>
      </w:r>
      <w:r w:rsidRPr="002B0B37">
        <w:t xml:space="preserve">oint d’accès à l’information concernant le </w:t>
      </w:r>
      <w:r>
        <w:t>T</w:t>
      </w:r>
      <w:r w:rsidRPr="002B0B37">
        <w:t xml:space="preserve">raité de </w:t>
      </w:r>
      <w:r>
        <w:t>M</w:t>
      </w:r>
      <w:r w:rsidRPr="002B0B37">
        <w:t>arrakech</w:t>
      </w:r>
    </w:p>
    <w:p w14:paraId="575AA251" w14:textId="76A01AB6" w:rsidR="00E84CBD" w:rsidRPr="002B0B37" w:rsidRDefault="00E84CBD" w:rsidP="002B0B37">
      <w:pPr>
        <w:pStyle w:val="ONUMFS"/>
      </w:pPr>
      <w:r w:rsidRPr="002B0B37">
        <w:t>L</w:t>
      </w:r>
      <w:r w:rsidR="00EE58C8" w:rsidRPr="002B0B37">
        <w:t>’</w:t>
      </w:r>
      <w:r w:rsidRPr="002B0B37">
        <w:t>article 9.1 du Traité de Marrakech dispose ce qui suit</w:t>
      </w:r>
      <w:r w:rsidR="00EE58C8" w:rsidRPr="002B0B37">
        <w:t> :</w:t>
      </w:r>
      <w:r w:rsidRPr="002B0B37">
        <w:t xml:space="preserve"> “Les Parties contractantes s</w:t>
      </w:r>
      <w:r w:rsidR="00EE58C8" w:rsidRPr="002B0B37">
        <w:t>’</w:t>
      </w:r>
      <w:r w:rsidRPr="002B0B37">
        <w:t>efforcent de favoriser les échanges transfrontières d</w:t>
      </w:r>
      <w:r w:rsidR="00EE58C8" w:rsidRPr="002B0B37">
        <w:t>’</w:t>
      </w:r>
      <w:r w:rsidRPr="002B0B37">
        <w:t>exemplaires en format accessible en encourageant le partage volontaire d</w:t>
      </w:r>
      <w:r w:rsidR="00EE58C8" w:rsidRPr="002B0B37">
        <w:t>’</w:t>
      </w:r>
      <w:r w:rsidRPr="002B0B37">
        <w:t>informations pour aider les entités autorisées à s</w:t>
      </w:r>
      <w:r w:rsidR="00EE58C8" w:rsidRPr="002B0B37">
        <w:t>’</w:t>
      </w:r>
      <w:r w:rsidRPr="002B0B37">
        <w:t>identifier les unes les autr</w:t>
      </w:r>
      <w:r w:rsidR="002B0B37" w:rsidRPr="002B0B37">
        <w:t>es.  Le</w:t>
      </w:r>
      <w:r w:rsidRPr="002B0B37">
        <w:t xml:space="preserve"> Bureau international de l</w:t>
      </w:r>
      <w:r w:rsidR="00EE58C8" w:rsidRPr="002B0B37">
        <w:t>’</w:t>
      </w:r>
      <w:r w:rsidRPr="002B0B37">
        <w:t>OMPI crée à cette fin un point d</w:t>
      </w:r>
      <w:r w:rsidR="00EE58C8" w:rsidRPr="002B0B37">
        <w:t>’</w:t>
      </w:r>
      <w:r w:rsidRPr="002B0B37">
        <w:t>accès à l</w:t>
      </w:r>
      <w:r w:rsidR="00EE58C8" w:rsidRPr="002B0B37">
        <w:t>’</w:t>
      </w:r>
      <w:r w:rsidRPr="002B0B37">
        <w:t>information”.</w:t>
      </w:r>
    </w:p>
    <w:p w14:paraId="11AEFE19" w14:textId="0A1E3763" w:rsidR="00EE58C8" w:rsidRPr="002B0B37" w:rsidRDefault="00E84CBD" w:rsidP="002B0B37">
      <w:pPr>
        <w:pStyle w:val="ONUMFS"/>
      </w:pPr>
      <w:r w:rsidRPr="002B0B37">
        <w:t xml:space="preserve">En </w:t>
      </w:r>
      <w:r w:rsidR="00EE58C8" w:rsidRPr="002B0B37">
        <w:t>avril 20</w:t>
      </w:r>
      <w:r w:rsidRPr="002B0B37">
        <w:t>18</w:t>
      </w:r>
      <w:hyperlink r:id="rId13" w:history="1">
        <w:r w:rsidRPr="002B0B37">
          <w:t>, le Point d</w:t>
        </w:r>
        <w:r w:rsidR="00EE58C8" w:rsidRPr="002B0B37">
          <w:t>’</w:t>
        </w:r>
        <w:r w:rsidRPr="002B0B37">
          <w:t>accès à l</w:t>
        </w:r>
        <w:r w:rsidR="00EE58C8" w:rsidRPr="002B0B37">
          <w:t>’</w:t>
        </w:r>
        <w:r w:rsidRPr="002B0B37">
          <w:t>information concernant le Traité de Marrakech</w:t>
        </w:r>
      </w:hyperlink>
      <w:r w:rsidRPr="002B0B37">
        <w:t xml:space="preserve"> a été créé par le Bureau international de l</w:t>
      </w:r>
      <w:r w:rsidR="00EE58C8" w:rsidRPr="002B0B37">
        <w:t>’</w:t>
      </w:r>
      <w:r w:rsidRPr="002B0B37">
        <w:t>OMPI et publié sur le site</w:t>
      </w:r>
      <w:r w:rsidR="000D6A97" w:rsidRPr="002B0B37">
        <w:t> </w:t>
      </w:r>
      <w:r w:rsidRPr="002B0B37">
        <w:t>Web de l</w:t>
      </w:r>
      <w:r w:rsidR="00EE58C8" w:rsidRPr="002B0B37">
        <w:t>’</w:t>
      </w:r>
      <w:r w:rsidRPr="002B0B37">
        <w:t>OMPI à l</w:t>
      </w:r>
      <w:r w:rsidR="00EE58C8" w:rsidRPr="002B0B37">
        <w:t>’</w:t>
      </w:r>
      <w:r w:rsidRPr="002B0B37">
        <w:t xml:space="preserve">adresse </w:t>
      </w:r>
      <w:hyperlink r:id="rId14" w:history="1">
        <w:r w:rsidRPr="002B0B37">
          <w:rPr>
            <w:rStyle w:val="Hyperlink"/>
            <w:color w:val="0000FF" w:themeColor="hyperlink"/>
            <w:lang w:val="fr-FR"/>
          </w:rPr>
          <w:t>https://www.wipo.int/fr/web/marrakesh</w:t>
        </w:r>
        <w:r w:rsidR="002B0B37">
          <w:rPr>
            <w:rStyle w:val="Hyperlink"/>
            <w:color w:val="0000FF" w:themeColor="hyperlink"/>
          </w:rPr>
          <w:noBreakHyphen/>
        </w:r>
        <w:proofErr w:type="spellStart"/>
        <w:r w:rsidRPr="002B0B37">
          <w:rPr>
            <w:rStyle w:val="Hyperlink"/>
            <w:color w:val="0000FF" w:themeColor="hyperlink"/>
            <w:lang w:val="fr-FR"/>
          </w:rPr>
          <w:t>treaty</w:t>
        </w:r>
        <w:proofErr w:type="spellEnd"/>
        <w:r w:rsidRPr="002B0B37">
          <w:rPr>
            <w:rStyle w:val="Hyperlink"/>
            <w:color w:val="0000FF" w:themeColor="hyperlink"/>
            <w:lang w:val="fr-FR"/>
          </w:rPr>
          <w:t>/index</w:t>
        </w:r>
      </w:hyperlink>
      <w:r w:rsidRPr="002B0B37">
        <w:t>.</w:t>
      </w:r>
    </w:p>
    <w:p w14:paraId="0A1F737A" w14:textId="62094DDE" w:rsidR="00E84CBD" w:rsidRPr="002B0B37" w:rsidRDefault="002B0B37" w:rsidP="002B0B37">
      <w:pPr>
        <w:pStyle w:val="Heading1"/>
      </w:pPr>
      <w:r>
        <w:t>P</w:t>
      </w:r>
      <w:r w:rsidRPr="002B0B37">
        <w:t xml:space="preserve">romotion du </w:t>
      </w:r>
      <w:r>
        <w:t>T</w:t>
      </w:r>
      <w:r w:rsidRPr="002B0B37">
        <w:t xml:space="preserve">raité de </w:t>
      </w:r>
      <w:r>
        <w:t>M</w:t>
      </w:r>
      <w:r w:rsidRPr="002B0B37">
        <w:t>arrakech</w:t>
      </w:r>
    </w:p>
    <w:p w14:paraId="739DC9D6" w14:textId="70258867" w:rsidR="00E84CBD" w:rsidRPr="002B0B37" w:rsidRDefault="00E84CBD" w:rsidP="002B0B37">
      <w:pPr>
        <w:pStyle w:val="ONUMFS"/>
      </w:pPr>
      <w:r w:rsidRPr="002B0B37">
        <w:t xml:space="preserve">Entre </w:t>
      </w:r>
      <w:r w:rsidR="00EE58C8" w:rsidRPr="002B0B37">
        <w:t>octobre 20</w:t>
      </w:r>
      <w:r w:rsidRPr="002B0B37">
        <w:t xml:space="preserve">24 et </w:t>
      </w:r>
      <w:r w:rsidR="00EE58C8" w:rsidRPr="002B0B37">
        <w:t>décembre 20</w:t>
      </w:r>
      <w:r w:rsidRPr="002B0B37">
        <w:t>25, la Division du droit d</w:t>
      </w:r>
      <w:r w:rsidR="00EE58C8" w:rsidRPr="002B0B37">
        <w:t>’</w:t>
      </w:r>
      <w:r w:rsidRPr="002B0B37">
        <w:t>auteur de l</w:t>
      </w:r>
      <w:r w:rsidR="00EE58C8" w:rsidRPr="002B0B37">
        <w:t>’</w:t>
      </w:r>
      <w:r w:rsidRPr="002B0B37">
        <w:t>OMPI et le secrétariat du Consortium pour des livres accessibles (ABC) ont coorganisé trois</w:t>
      </w:r>
      <w:r w:rsidR="000D6A97" w:rsidRPr="002B0B37">
        <w:t> </w:t>
      </w:r>
      <w:r w:rsidRPr="002B0B37">
        <w:t>événements régionaux majeurs visant à traduire les principes du Traité de Marrakech en résultats concre</w:t>
      </w:r>
      <w:r w:rsidR="002B0B37" w:rsidRPr="002B0B37">
        <w:t>ts.  En</w:t>
      </w:r>
      <w:r w:rsidRPr="002B0B37">
        <w:t xml:space="preserve"> renforçant les capacités juridiques et techniques dans le Pacifique, les Caraïbes et les pays arabes, ces événements ont mis l</w:t>
      </w:r>
      <w:r w:rsidR="00EE58C8" w:rsidRPr="002B0B37">
        <w:t>’</w:t>
      </w:r>
      <w:r w:rsidRPr="002B0B37">
        <w:t>accent sur l</w:t>
      </w:r>
      <w:r w:rsidR="00EE58C8" w:rsidRPr="002B0B37">
        <w:t>’</w:t>
      </w:r>
      <w:r w:rsidRPr="002B0B37">
        <w:t>amélioration de l</w:t>
      </w:r>
      <w:r w:rsidR="00EE58C8" w:rsidRPr="002B0B37">
        <w:t>’</w:t>
      </w:r>
      <w:r w:rsidRPr="002B0B37">
        <w:t>accès à l</w:t>
      </w:r>
      <w:r w:rsidR="00EE58C8" w:rsidRPr="002B0B37">
        <w:t>’</w:t>
      </w:r>
      <w:r w:rsidRPr="002B0B37">
        <w:t xml:space="preserve">information pour les personnes </w:t>
      </w:r>
      <w:proofErr w:type="gramStart"/>
      <w:r w:rsidRPr="002B0B37">
        <w:t>ayant</w:t>
      </w:r>
      <w:proofErr w:type="gramEnd"/>
      <w:r w:rsidRPr="002B0B37">
        <w:t xml:space="preserve"> des difficultés de lecture des textes imprimés, au moyen du Consortium ABC.</w:t>
      </w:r>
    </w:p>
    <w:p w14:paraId="6AD728B6" w14:textId="2EF9CD95" w:rsidR="00EE58C8" w:rsidRPr="002B0B37" w:rsidRDefault="00E84CBD" w:rsidP="002B0B37">
      <w:pPr>
        <w:pStyle w:val="ONUMFS"/>
      </w:pPr>
      <w:bookmarkStart w:id="5" w:name="_Hlk160635753"/>
      <w:r w:rsidRPr="002B0B37">
        <w:t>La conférence sous</w:t>
      </w:r>
      <w:r w:rsidR="002B0B37">
        <w:noBreakHyphen/>
      </w:r>
      <w:r w:rsidRPr="002B0B37">
        <w:t>régionale sur le “droit à la lecture” à l</w:t>
      </w:r>
      <w:r w:rsidR="00EE58C8" w:rsidRPr="002B0B37">
        <w:t>’</w:t>
      </w:r>
      <w:r w:rsidRPr="002B0B37">
        <w:t>intention des pays insulaires du Pacifique, sur le Traité de Marrakech et sur le Consortium pour les livres accessibles (ABC) s</w:t>
      </w:r>
      <w:r w:rsidR="00EE58C8" w:rsidRPr="002B0B37">
        <w:t>’</w:t>
      </w:r>
      <w:r w:rsidRPr="002B0B37">
        <w:t>est tenue du 30 octobre au</w:t>
      </w:r>
      <w:r w:rsidR="00EE58C8" w:rsidRPr="002B0B37">
        <w:t xml:space="preserve"> 1</w:t>
      </w:r>
      <w:r w:rsidR="00EE58C8" w:rsidRPr="002B0B37">
        <w:rPr>
          <w:vertAlign w:val="superscript"/>
        </w:rPr>
        <w:t>er</w:t>
      </w:r>
      <w:r w:rsidR="00EE58C8" w:rsidRPr="002B0B37">
        <w:t> novembre 20</w:t>
      </w:r>
      <w:r w:rsidRPr="002B0B37">
        <w:t>24 à Sydney (Australie).  Avec le soutien du programme du fonds fiduciaire OMPI</w:t>
      </w:r>
      <w:r w:rsidR="002B0B37">
        <w:noBreakHyphen/>
      </w:r>
      <w:r w:rsidRPr="002B0B37">
        <w:t>Australie, cette manifestation a réuni des représentants d</w:t>
      </w:r>
      <w:r w:rsidR="00EE58C8" w:rsidRPr="002B0B37">
        <w:t>’</w:t>
      </w:r>
      <w:r w:rsidRPr="002B0B37">
        <w:t>associations de personnes handicapées, notamment des personnes aveugles, et des administrations chargées de la propriété intellectuelle de neuf pays des îles du Pacifiq</w:t>
      </w:r>
      <w:r w:rsidR="002B0B37" w:rsidRPr="002B0B37">
        <w:t>ue.  Le</w:t>
      </w:r>
      <w:r w:rsidRPr="002B0B37">
        <w:t xml:space="preserve">s participants ont abordé les défis à relever pour améliorer la lecture des personnes </w:t>
      </w:r>
      <w:proofErr w:type="gramStart"/>
      <w:r w:rsidRPr="002B0B37">
        <w:t>ayant</w:t>
      </w:r>
      <w:proofErr w:type="gramEnd"/>
      <w:r w:rsidRPr="002B0B37">
        <w:t xml:space="preserve"> des difficultés de lecture des textes imprim</w:t>
      </w:r>
      <w:r w:rsidR="002B0B37" w:rsidRPr="002B0B37">
        <w:t>és.  Le</w:t>
      </w:r>
      <w:r w:rsidRPr="002B0B37">
        <w:t>s débats ont souligné l</w:t>
      </w:r>
      <w:r w:rsidR="00EE58C8" w:rsidRPr="002B0B37">
        <w:t>’</w:t>
      </w:r>
      <w:r w:rsidRPr="002B0B37">
        <w:t>importance de la collaboration locale et de l</w:t>
      </w:r>
      <w:r w:rsidR="00EE58C8" w:rsidRPr="002B0B37">
        <w:t>’</w:t>
      </w:r>
      <w:r w:rsidRPr="002B0B37">
        <w:t>exploitation de ressources telles que le Service mondial d</w:t>
      </w:r>
      <w:r w:rsidR="00EE58C8" w:rsidRPr="002B0B37">
        <w:t>’</w:t>
      </w:r>
      <w:r w:rsidRPr="002B0B37">
        <w:t>échanges de livres de l</w:t>
      </w:r>
      <w:r w:rsidR="00EE58C8" w:rsidRPr="002B0B37">
        <w:t>’</w:t>
      </w:r>
      <w:r w:rsidRPr="002B0B37">
        <w:t>ABC.</w:t>
      </w:r>
    </w:p>
    <w:p w14:paraId="6591FCC4" w14:textId="11DE6F5B" w:rsidR="00E84CBD" w:rsidRPr="002B0B37" w:rsidRDefault="00E84CBD" w:rsidP="002B0B37">
      <w:pPr>
        <w:pStyle w:val="ONUMFS"/>
      </w:pPr>
      <w:r w:rsidRPr="002B0B37">
        <w:t>L</w:t>
      </w:r>
      <w:r w:rsidR="00EE58C8" w:rsidRPr="002B0B37">
        <w:t>’</w:t>
      </w:r>
      <w:r w:rsidRPr="002B0B37">
        <w:t>atelier régional à l</w:t>
      </w:r>
      <w:r w:rsidR="00EE58C8" w:rsidRPr="002B0B37">
        <w:t>’</w:t>
      </w:r>
      <w:r w:rsidRPr="002B0B37">
        <w:t>intention de certains pays des Caraïbes, intitulé “</w:t>
      </w:r>
      <w:proofErr w:type="spellStart"/>
      <w:r w:rsidRPr="002B0B37">
        <w:t>Enabling</w:t>
      </w:r>
      <w:proofErr w:type="spellEnd"/>
      <w:r w:rsidRPr="002B0B37">
        <w:t xml:space="preserve"> Access – </w:t>
      </w:r>
      <w:proofErr w:type="spellStart"/>
      <w:r w:rsidRPr="002B0B37">
        <w:t>Unlocking</w:t>
      </w:r>
      <w:proofErr w:type="spellEnd"/>
      <w:r w:rsidRPr="002B0B37">
        <w:t xml:space="preserve"> the </w:t>
      </w:r>
      <w:proofErr w:type="spellStart"/>
      <w:r w:rsidRPr="002B0B37">
        <w:t>Potential</w:t>
      </w:r>
      <w:proofErr w:type="spellEnd"/>
      <w:r w:rsidRPr="002B0B37">
        <w:t xml:space="preserve"> of the </w:t>
      </w:r>
      <w:proofErr w:type="spellStart"/>
      <w:r w:rsidRPr="002B0B37">
        <w:t>Marrakesh</w:t>
      </w:r>
      <w:proofErr w:type="spellEnd"/>
      <w:r w:rsidRPr="002B0B37">
        <w:t xml:space="preserve"> </w:t>
      </w:r>
      <w:proofErr w:type="spellStart"/>
      <w:r w:rsidRPr="002B0B37">
        <w:t>Treaty</w:t>
      </w:r>
      <w:proofErr w:type="spellEnd"/>
      <w:r w:rsidRPr="002B0B37">
        <w:t>” s</w:t>
      </w:r>
      <w:r w:rsidR="00EE58C8" w:rsidRPr="002B0B37">
        <w:t>’</w:t>
      </w:r>
      <w:r w:rsidRPr="002B0B37">
        <w:t>est tenu à Port of Spain (Trinité</w:t>
      </w:r>
      <w:r w:rsidR="002B0B37">
        <w:noBreakHyphen/>
      </w:r>
      <w:r w:rsidRPr="002B0B37">
        <w:t>et</w:t>
      </w:r>
      <w:r w:rsidR="002B0B37">
        <w:noBreakHyphen/>
      </w:r>
      <w:r w:rsidRPr="002B0B37">
        <w:t>Tobago) du 25 au 27 </w:t>
      </w:r>
      <w:r w:rsidR="00EE58C8" w:rsidRPr="002B0B37">
        <w:t>novembre 20</w:t>
      </w:r>
      <w:r w:rsidRPr="002B0B37">
        <w:t>25.  Organisé conjointement avec l</w:t>
      </w:r>
      <w:r w:rsidR="00EE58C8" w:rsidRPr="002B0B37">
        <w:t>’</w:t>
      </w:r>
      <w:r w:rsidRPr="002B0B37">
        <w:t xml:space="preserve">Office de la propriété intellectuelle </w:t>
      </w:r>
      <w:r w:rsidRPr="002B0B37">
        <w:lastRenderedPageBreak/>
        <w:t>de Trinité</w:t>
      </w:r>
      <w:r w:rsidR="002B0B37">
        <w:noBreakHyphen/>
      </w:r>
      <w:r w:rsidRPr="002B0B37">
        <w:t>et</w:t>
      </w:r>
      <w:r w:rsidR="002B0B37">
        <w:noBreakHyphen/>
      </w:r>
      <w:r w:rsidRPr="002B0B37">
        <w:t xml:space="preserve">Tobago (TTIPO) et la National Library and Information System </w:t>
      </w:r>
      <w:proofErr w:type="spellStart"/>
      <w:r w:rsidRPr="002B0B37">
        <w:t>Authority</w:t>
      </w:r>
      <w:proofErr w:type="spellEnd"/>
      <w:r w:rsidRPr="002B0B37">
        <w:t xml:space="preserve"> (NALIS), l</w:t>
      </w:r>
      <w:r w:rsidR="00EE58C8" w:rsidRPr="002B0B37">
        <w:t>’</w:t>
      </w:r>
      <w:r w:rsidRPr="002B0B37">
        <w:t>événement a rassemblé des représentants de 13 pays des Caraïb</w:t>
      </w:r>
      <w:r w:rsidR="002B0B37" w:rsidRPr="002B0B37">
        <w:t>es.  Da</w:t>
      </w:r>
      <w:r w:rsidRPr="002B0B37">
        <w:t>ns la mesure où la région utilise un programme d</w:t>
      </w:r>
      <w:r w:rsidR="00EE58C8" w:rsidRPr="002B0B37">
        <w:t>’</w:t>
      </w:r>
      <w:r w:rsidRPr="002B0B37">
        <w:t>enseignement secondaire commun et des examens harmonisés, la possibilité de partager des ressources pédagogiques accessibles pourrait considérablement renforcer l</w:t>
      </w:r>
      <w:r w:rsidR="00EE58C8" w:rsidRPr="002B0B37">
        <w:t>’</w:t>
      </w:r>
      <w:r w:rsidRPr="002B0B37">
        <w:t>impact du Traité de Marrakech dans l</w:t>
      </w:r>
      <w:r w:rsidR="00EE58C8" w:rsidRPr="002B0B37">
        <w:t>’</w:t>
      </w:r>
      <w:r w:rsidRPr="002B0B37">
        <w:t>ensemble des Caraïb</w:t>
      </w:r>
      <w:r w:rsidR="002B0B37" w:rsidRPr="002B0B37">
        <w:t xml:space="preserve">es.  </w:t>
      </w:r>
      <w:bookmarkStart w:id="6" w:name="_Hlk226450983"/>
      <w:r w:rsidR="002B0B37" w:rsidRPr="002B0B37">
        <w:t>C’e</w:t>
      </w:r>
      <w:r w:rsidRPr="002B0B37">
        <w:t>st ce qu</w:t>
      </w:r>
      <w:r w:rsidR="00EE58C8" w:rsidRPr="002B0B37">
        <w:t>’</w:t>
      </w:r>
      <w:r w:rsidRPr="002B0B37">
        <w:t>a affirmé</w:t>
      </w:r>
      <w:r w:rsidR="00EE58C8" w:rsidRPr="002B0B37">
        <w:t xml:space="preserve"> le PDG</w:t>
      </w:r>
      <w:r w:rsidRPr="002B0B37">
        <w:t xml:space="preserve"> et directeur de l</w:t>
      </w:r>
      <w:r w:rsidR="00EE58C8" w:rsidRPr="002B0B37">
        <w:t>’</w:t>
      </w:r>
      <w:r w:rsidRPr="002B0B37">
        <w:t xml:space="preserve">enregistrement du Caribbean </w:t>
      </w:r>
      <w:proofErr w:type="spellStart"/>
      <w:r w:rsidRPr="002B0B37">
        <w:t>Examinations</w:t>
      </w:r>
      <w:proofErr w:type="spellEnd"/>
      <w:r w:rsidRPr="002B0B37">
        <w:t xml:space="preserve"> Council qui, s</w:t>
      </w:r>
      <w:r w:rsidR="00EE58C8" w:rsidRPr="002B0B37">
        <w:t>’</w:t>
      </w:r>
      <w:r w:rsidRPr="002B0B37">
        <w:t>exprimant lors de l</w:t>
      </w:r>
      <w:r w:rsidR="00EE58C8" w:rsidRPr="002B0B37">
        <w:t>’</w:t>
      </w:r>
      <w:r w:rsidRPr="002B0B37">
        <w:t>atelier, a annoncé que cet organisme indiquerait clairement dans tous ses accords contractuels avec les éditeurs que l</w:t>
      </w:r>
      <w:r w:rsidR="00EE58C8" w:rsidRPr="002B0B37">
        <w:t>’</w:t>
      </w:r>
      <w:r w:rsidRPr="002B0B37">
        <w:t>ensemble des ressources pédagogiques doivent être produites dans des formats numériques accessibles et compatibles avec les technologies d</w:t>
      </w:r>
      <w:r w:rsidR="00EE58C8" w:rsidRPr="002B0B37">
        <w:t>’</w:t>
      </w:r>
      <w:r w:rsidRPr="002B0B37">
        <w:t xml:space="preserve">assistance, </w:t>
      </w:r>
      <w:r w:rsidR="00EE58C8" w:rsidRPr="002B0B37">
        <w:t>y compris</w:t>
      </w:r>
      <w:r w:rsidRPr="002B0B37">
        <w:t xml:space="preserve"> le braille et les gros caractères.</w:t>
      </w:r>
      <w:bookmarkEnd w:id="6"/>
    </w:p>
    <w:p w14:paraId="796E5B09" w14:textId="6E7EADE3" w:rsidR="00EE58C8" w:rsidRPr="002B0B37" w:rsidRDefault="00E84CBD" w:rsidP="002B0B37">
      <w:pPr>
        <w:pStyle w:val="ONUMFS"/>
      </w:pPr>
      <w:r w:rsidRPr="002B0B37">
        <w:t>L</w:t>
      </w:r>
      <w:r w:rsidR="00EE58C8" w:rsidRPr="002B0B37">
        <w:t>’</w:t>
      </w:r>
      <w:r w:rsidRPr="002B0B37">
        <w:t>atelier régional “</w:t>
      </w:r>
      <w:proofErr w:type="spellStart"/>
      <w:r w:rsidRPr="002B0B37">
        <w:t>Enabling</w:t>
      </w:r>
      <w:proofErr w:type="spellEnd"/>
      <w:r w:rsidRPr="002B0B37">
        <w:t xml:space="preserve"> Access – </w:t>
      </w:r>
      <w:proofErr w:type="spellStart"/>
      <w:r w:rsidRPr="002B0B37">
        <w:t>Activating</w:t>
      </w:r>
      <w:proofErr w:type="spellEnd"/>
      <w:r w:rsidRPr="002B0B37">
        <w:t xml:space="preserve"> the </w:t>
      </w:r>
      <w:proofErr w:type="spellStart"/>
      <w:r w:rsidRPr="002B0B37">
        <w:t>Marrakesh</w:t>
      </w:r>
      <w:proofErr w:type="spellEnd"/>
      <w:r w:rsidRPr="002B0B37">
        <w:t xml:space="preserve"> </w:t>
      </w:r>
      <w:proofErr w:type="spellStart"/>
      <w:r w:rsidRPr="002B0B37">
        <w:t>Treaty</w:t>
      </w:r>
      <w:proofErr w:type="spellEnd"/>
      <w:r w:rsidRPr="002B0B37">
        <w:t xml:space="preserve"> in the Arab Region” s</w:t>
      </w:r>
      <w:r w:rsidR="00EE58C8" w:rsidRPr="002B0B37">
        <w:t>’</w:t>
      </w:r>
      <w:r w:rsidRPr="002B0B37">
        <w:t>est tenu à Tunis (Tunisie), du 8 au 10 </w:t>
      </w:r>
      <w:r w:rsidR="00EE58C8" w:rsidRPr="002B0B37">
        <w:t>décembre 20</w:t>
      </w:r>
      <w:r w:rsidRPr="002B0B37">
        <w:t>25.  Organisé en collaboration avec l</w:t>
      </w:r>
      <w:r w:rsidR="00EE58C8" w:rsidRPr="002B0B37">
        <w:t>’</w:t>
      </w:r>
      <w:r w:rsidRPr="002B0B37">
        <w:t>Organisme tunisien des droits d</w:t>
      </w:r>
      <w:r w:rsidR="00EE58C8" w:rsidRPr="002B0B37">
        <w:t>’</w:t>
      </w:r>
      <w:r w:rsidRPr="002B0B37">
        <w:t>auteur et des droits voisins (OTDAV), l</w:t>
      </w:r>
      <w:r w:rsidR="00EE58C8" w:rsidRPr="002B0B37">
        <w:t>’</w:t>
      </w:r>
      <w:r w:rsidRPr="002B0B37">
        <w:t>atelier a réuni des représentants de bureaux du droit d</w:t>
      </w:r>
      <w:r w:rsidR="00EE58C8" w:rsidRPr="002B0B37">
        <w:t>’</w:t>
      </w:r>
      <w:r w:rsidRPr="002B0B37">
        <w:t>auteur et de bibliothèques pour les aveugles de 14 pa</w:t>
      </w:r>
      <w:r w:rsidR="002B0B37" w:rsidRPr="002B0B37">
        <w:t>ys.  Le</w:t>
      </w:r>
      <w:r w:rsidRPr="002B0B37">
        <w:t>s discussions ont principalement porté sur les moyens d</w:t>
      </w:r>
      <w:r w:rsidR="00EE58C8" w:rsidRPr="002B0B37">
        <w:t>’</w:t>
      </w:r>
      <w:r w:rsidRPr="002B0B37">
        <w:t>accélérer l</w:t>
      </w:r>
      <w:r w:rsidR="00EE58C8" w:rsidRPr="002B0B37">
        <w:t>’</w:t>
      </w:r>
      <w:r w:rsidRPr="002B0B37">
        <w:t>adhésion au Traité de Marrakech et sa mise en œuv</w:t>
      </w:r>
      <w:r w:rsidR="002B0B37" w:rsidRPr="002B0B37">
        <w:t>re.  Un</w:t>
      </w:r>
      <w:r w:rsidRPr="002B0B37">
        <w:t>e discussion importante a été tenue au sujet de la sous</w:t>
      </w:r>
      <w:r w:rsidR="002B0B37">
        <w:noBreakHyphen/>
      </w:r>
      <w:r w:rsidRPr="002B0B37">
        <w:t>représentation des ouvrages en langue arabe dans le catalogue du Service mondial d</w:t>
      </w:r>
      <w:r w:rsidR="00EE58C8" w:rsidRPr="002B0B37">
        <w:t>’</w:t>
      </w:r>
      <w:r w:rsidRPr="002B0B37">
        <w:t>échange de livres de l</w:t>
      </w:r>
      <w:r w:rsidR="00EE58C8" w:rsidRPr="002B0B37">
        <w:t>’</w:t>
      </w:r>
      <w:r w:rsidRPr="002B0B37">
        <w:t>ABC.</w:t>
      </w:r>
    </w:p>
    <w:bookmarkEnd w:id="5"/>
    <w:p w14:paraId="4C0F7FEE" w14:textId="7F0D61A8" w:rsidR="00E84CBD" w:rsidRPr="002B0B37" w:rsidRDefault="00E84CBD" w:rsidP="002B0B37">
      <w:pPr>
        <w:pStyle w:val="ONUMFS"/>
      </w:pPr>
      <w:r w:rsidRPr="002B0B37">
        <w:t>Le Secrétariat a aussi mené un certain nombre d</w:t>
      </w:r>
      <w:r w:rsidR="00EE58C8" w:rsidRPr="002B0B37">
        <w:t>’</w:t>
      </w:r>
      <w:r w:rsidRPr="002B0B37">
        <w:t>activités, notamment en matière d</w:t>
      </w:r>
      <w:r w:rsidR="00EE58C8" w:rsidRPr="002B0B37">
        <w:t>’</w:t>
      </w:r>
      <w:r w:rsidRPr="002B0B37">
        <w:t>assistance législative, au niveau national.</w:t>
      </w:r>
    </w:p>
    <w:p w14:paraId="09ABAD13" w14:textId="2286E415" w:rsidR="00E84CBD" w:rsidRPr="002B0B37" w:rsidRDefault="00E84CBD" w:rsidP="002B0B37">
      <w:pPr>
        <w:pStyle w:val="ONUMFS"/>
        <w:ind w:left="5533"/>
        <w:rPr>
          <w:i/>
        </w:rPr>
      </w:pPr>
      <w:r w:rsidRPr="002B0B37">
        <w:rPr>
          <w:i/>
        </w:rPr>
        <w:t>L</w:t>
      </w:r>
      <w:r w:rsidR="00EE58C8" w:rsidRPr="002B0B37">
        <w:rPr>
          <w:i/>
        </w:rPr>
        <w:t>’</w:t>
      </w:r>
      <w:r w:rsidRPr="002B0B37">
        <w:rPr>
          <w:i/>
        </w:rPr>
        <w:t>Assemblée du Traité de Marrakech est invitée à prendre note de la “Situation concernant le Traité de Marrakech” (</w:t>
      </w:r>
      <w:r w:rsidR="00EE58C8" w:rsidRPr="002B0B37">
        <w:rPr>
          <w:i/>
        </w:rPr>
        <w:t>document</w:t>
      </w:r>
      <w:r w:rsidR="002B0B37" w:rsidRPr="002B0B37">
        <w:rPr>
          <w:i/>
        </w:rPr>
        <w:t> </w:t>
      </w:r>
      <w:r w:rsidR="00EE58C8" w:rsidRPr="002B0B37">
        <w:rPr>
          <w:i/>
        </w:rPr>
        <w:t>MV</w:t>
      </w:r>
      <w:r w:rsidRPr="002B0B37">
        <w:rPr>
          <w:i/>
        </w:rPr>
        <w:t>T/A/11/1).</w:t>
      </w:r>
    </w:p>
    <w:p w14:paraId="1A1B5CB0" w14:textId="77777777" w:rsidR="00E84CBD" w:rsidRPr="002B0B37" w:rsidRDefault="00E84CBD" w:rsidP="002B0B37">
      <w:pPr>
        <w:pStyle w:val="Endofdocument-Annex"/>
        <w:sectPr w:rsidR="00E84CBD" w:rsidRPr="002B0B37" w:rsidSect="002B0B37">
          <w:headerReference w:type="even" r:id="rId15"/>
          <w:headerReference w:type="default" r:id="rId16"/>
          <w:endnotePr>
            <w:numFmt w:val="decimal"/>
          </w:endnotePr>
          <w:pgSz w:w="11907" w:h="16840" w:code="9"/>
          <w:pgMar w:top="567" w:right="1134" w:bottom="1418" w:left="1418" w:header="510" w:footer="1021" w:gutter="0"/>
          <w:cols w:space="720"/>
          <w:titlePg/>
          <w:docGrid w:linePitch="299"/>
        </w:sectPr>
      </w:pPr>
      <w:r w:rsidRPr="002B0B37">
        <w:t>[Les annexes suivent]</w:t>
      </w:r>
    </w:p>
    <w:p w14:paraId="26BF9AEA" w14:textId="5B4AF5CB" w:rsidR="00E84CBD" w:rsidRPr="00B263A7" w:rsidRDefault="002B0B37" w:rsidP="00B263A7">
      <w:pPr>
        <w:pStyle w:val="Heading2"/>
        <w:rPr>
          <w:sz w:val="24"/>
          <w:szCs w:val="32"/>
        </w:rPr>
      </w:pPr>
      <w:r w:rsidRPr="00B263A7">
        <w:rPr>
          <w:sz w:val="24"/>
          <w:szCs w:val="32"/>
        </w:rPr>
        <w:lastRenderedPageBreak/>
        <w:t>Signataires du Traité de Marrakech visant à faciliter l’accès des aveugles, des déficients visuels et des personnes ayant d’autres difficultés de lecture des textes imprimés aux œuvres publiées (au 27 juin 2014)</w:t>
      </w:r>
    </w:p>
    <w:p w14:paraId="1FA6C7B8" w14:textId="715C70F3" w:rsidR="00E84CBD" w:rsidRPr="002B0B37" w:rsidRDefault="00E84CBD" w:rsidP="00E84CBD">
      <w:pPr>
        <w:pStyle w:val="TextAbstract"/>
      </w:pPr>
      <w:r w:rsidRPr="002B0B37">
        <w:t>Les parties ci</w:t>
      </w:r>
      <w:r w:rsidR="002B0B37">
        <w:noBreakHyphen/>
      </w:r>
      <w:r w:rsidRPr="002B0B37">
        <w:t>après, qui remplissent les conditions requises, ont signé le Traité de Marrakech visant à faciliter l</w:t>
      </w:r>
      <w:r w:rsidR="00EE58C8" w:rsidRPr="002B0B37">
        <w:t>’</w:t>
      </w:r>
      <w:r w:rsidRPr="002B0B37">
        <w:t>accès des aveugles, des déficients visuels et des personnes ayant d</w:t>
      </w:r>
      <w:r w:rsidR="00EE58C8" w:rsidRPr="002B0B37">
        <w:t>’</w:t>
      </w:r>
      <w:r w:rsidRPr="002B0B37">
        <w:t>autres difficultés de lecture des textes imprimés aux œuvres publiées</w:t>
      </w:r>
      <w:r w:rsidR="00EE58C8" w:rsidRPr="002B0B37">
        <w:t> :</w:t>
      </w:r>
      <w:r w:rsidRPr="002B0B37">
        <w:t xml:space="preserve"> Afghanistan, Allemagne, Argentine, Australie, Autriche, Belgique, Bosnie</w:t>
      </w:r>
      <w:r w:rsidR="002B0B37">
        <w:noBreakHyphen/>
      </w:r>
      <w:r w:rsidRPr="002B0B37">
        <w:t>Herzégovine, Brésil, Burkina Faso, Burundi, Cambodge, Cameroun, Chili, Chine, Chypre, Colombie, Comores, Congo, Costa</w:t>
      </w:r>
      <w:r w:rsidR="000D6A97" w:rsidRPr="002B0B37">
        <w:t> </w:t>
      </w:r>
      <w:r w:rsidRPr="002B0B37">
        <w:t>Rica, Côte</w:t>
      </w:r>
      <w:r w:rsidR="002B0B37">
        <w:t> </w:t>
      </w:r>
      <w:r w:rsidRPr="002B0B37">
        <w:t>d</w:t>
      </w:r>
      <w:r w:rsidR="00EE58C8" w:rsidRPr="002B0B37">
        <w:t>’</w:t>
      </w:r>
      <w:r w:rsidRPr="002B0B37">
        <w:t>Ivoire, Danemark, Djibouti, El</w:t>
      </w:r>
      <w:r w:rsidR="000D6A97" w:rsidRPr="002B0B37">
        <w:t> </w:t>
      </w:r>
      <w:r w:rsidRPr="002B0B37">
        <w:t>Salvador, Équateur, États</w:t>
      </w:r>
      <w:r w:rsidR="002B0B37">
        <w:noBreakHyphen/>
      </w:r>
      <w:r w:rsidRPr="002B0B37">
        <w:t>Unis d</w:t>
      </w:r>
      <w:r w:rsidR="00EE58C8" w:rsidRPr="002B0B37">
        <w:t>’</w:t>
      </w:r>
      <w:r w:rsidRPr="002B0B37">
        <w:t>Amérique, Éthiopie, Finlande, France, Ghana, Grèce, Guatemala, Guinée, Haïti, Inde, Indonésie, Iran (République islamique d</w:t>
      </w:r>
      <w:r w:rsidR="00EE58C8" w:rsidRPr="002B0B37">
        <w:t>’</w:t>
      </w:r>
      <w:r w:rsidRPr="002B0B37">
        <w:t>), Irlande, Jordanie, Kenya, Liban, Lituanie, Luxembourg, Mali, Maroc, Maurice, Mauritanie, Mexique, Mongolie, Mozambique, Namibie, Népal, Nigéria, Norvège, Ouganda, Panama, Paraguay, Pérou, Pologne, République arabe syrienne, République centrafricaine, République de Corée, République de Moldova, République dominicaine, République populaire démocratique de Corée, République tchèque, Royaume</w:t>
      </w:r>
      <w:r w:rsidR="002B0B37">
        <w:noBreakHyphen/>
      </w:r>
      <w:r w:rsidRPr="002B0B37">
        <w:t xml:space="preserve">Uni, </w:t>
      </w:r>
      <w:r w:rsidR="00EE58C8" w:rsidRPr="002B0B37">
        <w:t>Saint</w:t>
      </w:r>
      <w:r w:rsidR="002B0B37">
        <w:noBreakHyphen/>
      </w:r>
      <w:r w:rsidR="00EE58C8" w:rsidRPr="002B0B37">
        <w:t>Siège</w:t>
      </w:r>
      <w:r w:rsidRPr="002B0B37">
        <w:t>, Sao</w:t>
      </w:r>
      <w:r w:rsidR="003D763A">
        <w:t> </w:t>
      </w:r>
      <w:r w:rsidRPr="002B0B37">
        <w:t>Tomé</w:t>
      </w:r>
      <w:r w:rsidR="003D763A">
        <w:noBreakHyphen/>
      </w:r>
      <w:r w:rsidRPr="002B0B37">
        <w:t>et</w:t>
      </w:r>
      <w:r w:rsidR="003D763A">
        <w:noBreakHyphen/>
      </w:r>
      <w:r w:rsidRPr="002B0B37">
        <w:t>Principe, Sénégal, Sierra Leone, Slovénie, Soudan, Suisse, Tchad, Togo, Tunisie, Türkiye, Union européenne, Uruguay et Zimbabwe (80).</w:t>
      </w:r>
    </w:p>
    <w:p w14:paraId="5C48A6F9" w14:textId="3EAE9F15" w:rsidR="00E84CBD" w:rsidRPr="002B0B37" w:rsidRDefault="00E84CBD" w:rsidP="002B0B37">
      <w:pPr>
        <w:pStyle w:val="Endofdocument-Annex"/>
        <w:sectPr w:rsidR="00E84CBD" w:rsidRPr="002B0B37" w:rsidSect="002B0B37">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pPr>
      <w:r w:rsidRPr="002B0B37">
        <w:t>[L</w:t>
      </w:r>
      <w:r w:rsidR="00EE58C8" w:rsidRPr="002B0B37">
        <w:t>’</w:t>
      </w:r>
      <w:r w:rsidRPr="002B0B37">
        <w:t>annexe II suit]</w:t>
      </w:r>
    </w:p>
    <w:p w14:paraId="6A3A8315" w14:textId="40F26BBC" w:rsidR="00E84CBD" w:rsidRPr="00B263A7" w:rsidRDefault="002B0B37" w:rsidP="00B263A7">
      <w:pPr>
        <w:pStyle w:val="Heading2"/>
        <w:rPr>
          <w:sz w:val="24"/>
          <w:szCs w:val="32"/>
        </w:rPr>
      </w:pPr>
      <w:bookmarkStart w:id="7" w:name="_Hlk159515623"/>
      <w:r w:rsidRPr="00B263A7">
        <w:rPr>
          <w:sz w:val="24"/>
          <w:szCs w:val="32"/>
        </w:rPr>
        <w:lastRenderedPageBreak/>
        <w:t>Ratifications du Traité de Marrakech</w:t>
      </w:r>
      <w:bookmarkEnd w:id="7"/>
      <w:r w:rsidRPr="00B263A7">
        <w:rPr>
          <w:sz w:val="24"/>
          <w:szCs w:val="32"/>
        </w:rPr>
        <w:t xml:space="preserve"> visant à faciliter l’accès des aveugles, des déficients visuels et des personnes ayant d’autres difficultés de lecture des textes imprimés aux œuvres publiées ou adhésions au traité (au 30 mars 2026)</w:t>
      </w:r>
    </w:p>
    <w:p w14:paraId="61C3BAA8" w14:textId="5EDCAC2D" w:rsidR="00E84CBD" w:rsidRPr="002B0B37" w:rsidRDefault="00E84CBD" w:rsidP="00E84CBD">
      <w:pPr>
        <w:pStyle w:val="TextAbstract"/>
      </w:pPr>
      <w:r w:rsidRPr="002B0B37">
        <w:t>Les États membres et l</w:t>
      </w:r>
      <w:r w:rsidR="00EE58C8" w:rsidRPr="002B0B37">
        <w:t>’</w:t>
      </w:r>
      <w:r w:rsidRPr="002B0B37">
        <w:t>organisation internationale ci</w:t>
      </w:r>
      <w:r w:rsidR="002B0B37">
        <w:noBreakHyphen/>
      </w:r>
      <w:r w:rsidRPr="002B0B37">
        <w:t>après ont ratifié le Traité de Marrakech visant à faciliter l</w:t>
      </w:r>
      <w:r w:rsidR="00EE58C8" w:rsidRPr="002B0B37">
        <w:t>’</w:t>
      </w:r>
      <w:r w:rsidRPr="002B0B37">
        <w:t>accès des aveugles, des déficients visuels et des personnes ayant d</w:t>
      </w:r>
      <w:r w:rsidR="00EE58C8" w:rsidRPr="002B0B37">
        <w:t>’</w:t>
      </w:r>
      <w:r w:rsidRPr="002B0B37">
        <w:t>autres difficultés de lecture des textes imprimés aux œuvres publiées, ou y ont adhéré</w:t>
      </w:r>
      <w:r w:rsidR="00EE58C8" w:rsidRPr="002B0B37">
        <w:t> :</w:t>
      </w:r>
      <w:r w:rsidRPr="002B0B37">
        <w:t xml:space="preserve"> Afghanistan, Angola, </w:t>
      </w:r>
      <w:r w:rsidR="00EE58C8" w:rsidRPr="002B0B37">
        <w:t>Arabie saoudite</w:t>
      </w:r>
      <w:r w:rsidRPr="002B0B37">
        <w:t>, Argentine, Arménie, Australie, Azerbaïdjan, Bangladesh, Barbade, Bélarus, Belize, Bolivie (État plurinational de), Bosnie</w:t>
      </w:r>
      <w:r w:rsidR="002B0B37">
        <w:noBreakHyphen/>
      </w:r>
      <w:r w:rsidRPr="002B0B37">
        <w:t>Herzégovine, Botswana, Brésil, Burkina</w:t>
      </w:r>
      <w:r w:rsidR="003D763A">
        <w:t> </w:t>
      </w:r>
      <w:r w:rsidRPr="002B0B37">
        <w:t>Faso, Cabo Verde, Cameroun, Canada, Chili, Chine, Colombie, Comores, Costa</w:t>
      </w:r>
      <w:r w:rsidR="000D6A97" w:rsidRPr="002B0B37">
        <w:t> </w:t>
      </w:r>
      <w:r w:rsidRPr="002B0B37">
        <w:t>Rica, Côte d</w:t>
      </w:r>
      <w:r w:rsidR="00EE58C8" w:rsidRPr="002B0B37">
        <w:t>’</w:t>
      </w:r>
      <w:r w:rsidRPr="002B0B37">
        <w:t>Ivoire, Cuba, El</w:t>
      </w:r>
      <w:r w:rsidR="000D6A97" w:rsidRPr="002B0B37">
        <w:t> </w:t>
      </w:r>
      <w:r w:rsidRPr="002B0B37">
        <w:t>Salvador, Émirats arabes unis, Équateur, États</w:t>
      </w:r>
      <w:r w:rsidR="002B0B37">
        <w:noBreakHyphen/>
      </w:r>
      <w:r w:rsidRPr="002B0B37">
        <w:t>Unis d</w:t>
      </w:r>
      <w:r w:rsidR="00EE58C8" w:rsidRPr="002B0B37">
        <w:t>’</w:t>
      </w:r>
      <w:r w:rsidRPr="002B0B37">
        <w:t xml:space="preserve">Amérique, Éthiopie, Fédération de Russie, Géorgie, Ghana, Guatemala, Honduras, Îles Cook, Îles Marshall, Inde, Indonésie, Iraq, Islande, Israël, Jamaïque, Japon, Jordanie, Kenya, Kazakhstan, Kirghizistan, Kiribati, Lesotho, Libéria, Liechtenstein, Malaisie, Malawi, Mali, Maroc, Maurice, Mexique, Mongolie, Monténégro, Mozambique, Nicaragua, Nigéria, Norvège, </w:t>
      </w:r>
      <w:r w:rsidR="00EE58C8" w:rsidRPr="002B0B37">
        <w:t>Nouvelle</w:t>
      </w:r>
      <w:r w:rsidR="002B0B37">
        <w:noBreakHyphen/>
      </w:r>
      <w:r w:rsidR="00EE58C8" w:rsidRPr="002B0B37">
        <w:t>Zélande</w:t>
      </w:r>
      <w:r w:rsidRPr="002B0B37">
        <w:t>, Ouganda, Ouzbékistan, Pakistan, Panama, Paraguay, Pérou, Philippines, Qatar, République centrafricaine, République de Corée, République de Moldova, République dominicaine, République populaire démocratique de Corée, République</w:t>
      </w:r>
      <w:r w:rsidR="002B0B37">
        <w:noBreakHyphen/>
      </w:r>
      <w:r w:rsidRPr="002B0B37">
        <w:t>Unie de Tanzanie, Royaume</w:t>
      </w:r>
      <w:r w:rsidR="002B0B37">
        <w:noBreakHyphen/>
      </w:r>
      <w:r w:rsidRPr="002B0B37">
        <w:t>Uni, Rwanda, Sainte</w:t>
      </w:r>
      <w:r w:rsidR="002B0B37">
        <w:noBreakHyphen/>
      </w:r>
      <w:r w:rsidRPr="002B0B37">
        <w:t>Lucie, Saint</w:t>
      </w:r>
      <w:r w:rsidR="002B0B37">
        <w:noBreakHyphen/>
      </w:r>
      <w:r w:rsidRPr="002B0B37">
        <w:t>Kitts</w:t>
      </w:r>
      <w:r w:rsidR="002B0B37">
        <w:noBreakHyphen/>
      </w:r>
      <w:r w:rsidRPr="002B0B37">
        <w:t>et</w:t>
      </w:r>
      <w:r w:rsidR="002B0B37">
        <w:noBreakHyphen/>
      </w:r>
      <w:r w:rsidRPr="002B0B37">
        <w:t>Nevis, Saint</w:t>
      </w:r>
      <w:r w:rsidR="002B0B37">
        <w:noBreakHyphen/>
      </w:r>
      <w:r w:rsidRPr="002B0B37">
        <w:t>Marin, Saint</w:t>
      </w:r>
      <w:r w:rsidR="002B0B37">
        <w:noBreakHyphen/>
      </w:r>
      <w:r w:rsidRPr="002B0B37">
        <w:t>Vincent</w:t>
      </w:r>
      <w:r w:rsidR="002B0B37">
        <w:noBreakHyphen/>
      </w:r>
      <w:r w:rsidRPr="002B0B37">
        <w:t>et</w:t>
      </w:r>
      <w:r w:rsidR="002B0B37">
        <w:noBreakHyphen/>
      </w:r>
      <w:r w:rsidRPr="002B0B37">
        <w:t>les</w:t>
      </w:r>
      <w:r w:rsidR="003D763A">
        <w:t> </w:t>
      </w:r>
      <w:r w:rsidRPr="002B0B37">
        <w:t>Grenadines, Sao</w:t>
      </w:r>
      <w:r w:rsidR="003D763A">
        <w:t> </w:t>
      </w:r>
      <w:r w:rsidRPr="002B0B37">
        <w:t>Tomé</w:t>
      </w:r>
      <w:r w:rsidR="003D763A">
        <w:noBreakHyphen/>
      </w:r>
      <w:r w:rsidRPr="002B0B37">
        <w:t>et</w:t>
      </w:r>
      <w:r w:rsidR="003D763A">
        <w:noBreakHyphen/>
      </w:r>
      <w:r w:rsidRPr="002B0B37">
        <w:t>Principe, Serbie, Singapour, Sri</w:t>
      </w:r>
      <w:r w:rsidR="000D6A97" w:rsidRPr="002B0B37">
        <w:t> </w:t>
      </w:r>
      <w:r w:rsidRPr="002B0B37">
        <w:t>Lanka, Suisse, Tadjikistan, Thaïlande, Trinité</w:t>
      </w:r>
      <w:r w:rsidR="002B0B37">
        <w:noBreakHyphen/>
      </w:r>
      <w:r w:rsidRPr="002B0B37">
        <w:t>et</w:t>
      </w:r>
      <w:r w:rsidR="002B0B37">
        <w:noBreakHyphen/>
      </w:r>
      <w:r w:rsidRPr="002B0B37">
        <w:t>Tobago, Tunisie, Turkménistan, Ukraine, Uruguay, Vanuatu, Venezuela (République bolivarienne du), Viet</w:t>
      </w:r>
      <w:r w:rsidR="000D6A97" w:rsidRPr="002B0B37">
        <w:t> </w:t>
      </w:r>
      <w:r w:rsidRPr="002B0B37">
        <w:t>Nam, Zimbabwe et Union européenne (103).</w:t>
      </w:r>
    </w:p>
    <w:p w14:paraId="2A4890A9" w14:textId="358D03E6" w:rsidR="000F5E56" w:rsidRPr="002B0B37" w:rsidRDefault="00E84CBD" w:rsidP="002B0B37">
      <w:pPr>
        <w:pStyle w:val="Endofdocument-Annex"/>
      </w:pPr>
      <w:r w:rsidRPr="002B0B37">
        <w:t>[Fin de l</w:t>
      </w:r>
      <w:r w:rsidR="00EE58C8" w:rsidRPr="002B0B37">
        <w:t>’</w:t>
      </w:r>
      <w:r w:rsidRPr="002B0B37">
        <w:t>annexe II et du document]</w:t>
      </w:r>
    </w:p>
    <w:sectPr w:rsidR="000F5E56" w:rsidRPr="002B0B37" w:rsidSect="002B0B37">
      <w:headerReference w:type="default" r:id="rId23"/>
      <w:head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DFF4" w14:textId="77777777" w:rsidR="003D1BA7" w:rsidRDefault="003D1BA7">
      <w:r>
        <w:separator/>
      </w:r>
    </w:p>
  </w:endnote>
  <w:endnote w:type="continuationSeparator" w:id="0">
    <w:p w14:paraId="04BA09FC" w14:textId="77777777" w:rsidR="003D1BA7" w:rsidRPr="009D30E6" w:rsidRDefault="003D1BA7" w:rsidP="00D45252">
      <w:pPr>
        <w:rPr>
          <w:sz w:val="17"/>
          <w:szCs w:val="17"/>
        </w:rPr>
      </w:pPr>
      <w:r w:rsidRPr="009D30E6">
        <w:rPr>
          <w:sz w:val="17"/>
          <w:szCs w:val="17"/>
        </w:rPr>
        <w:separator/>
      </w:r>
    </w:p>
    <w:p w14:paraId="701DCA8E" w14:textId="77777777" w:rsidR="003D1BA7" w:rsidRPr="009D30E6" w:rsidRDefault="003D1BA7" w:rsidP="00D45252">
      <w:pPr>
        <w:spacing w:after="60"/>
        <w:rPr>
          <w:sz w:val="17"/>
          <w:szCs w:val="17"/>
        </w:rPr>
      </w:pPr>
      <w:r w:rsidRPr="009D30E6">
        <w:rPr>
          <w:sz w:val="17"/>
          <w:szCs w:val="17"/>
        </w:rPr>
        <w:t>[Suite de la note de la page précédente]</w:t>
      </w:r>
    </w:p>
  </w:endnote>
  <w:endnote w:type="continuationNotice" w:id="1">
    <w:p w14:paraId="48D3DA60" w14:textId="77777777" w:rsidR="003D1BA7" w:rsidRPr="009D30E6" w:rsidRDefault="003D1BA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44A6" w14:textId="77777777" w:rsidR="00E84CBD" w:rsidRDefault="00E84CBD" w:rsidP="00A45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5F86" w14:textId="77777777" w:rsidR="00E84CBD" w:rsidRDefault="00E84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2602" w14:textId="77777777" w:rsidR="00E84CBD" w:rsidRDefault="00E84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5637" w14:textId="77777777" w:rsidR="003D1BA7" w:rsidRDefault="003D1BA7">
      <w:r>
        <w:separator/>
      </w:r>
    </w:p>
  </w:footnote>
  <w:footnote w:type="continuationSeparator" w:id="0">
    <w:p w14:paraId="2095238D" w14:textId="77777777" w:rsidR="003D1BA7" w:rsidRDefault="003D1BA7" w:rsidP="007461F1">
      <w:r>
        <w:separator/>
      </w:r>
    </w:p>
    <w:p w14:paraId="1481A1A8" w14:textId="77777777" w:rsidR="003D1BA7" w:rsidRPr="009D30E6" w:rsidRDefault="003D1BA7" w:rsidP="007461F1">
      <w:pPr>
        <w:spacing w:after="60"/>
        <w:rPr>
          <w:sz w:val="17"/>
          <w:szCs w:val="17"/>
        </w:rPr>
      </w:pPr>
      <w:r w:rsidRPr="009D30E6">
        <w:rPr>
          <w:sz w:val="17"/>
          <w:szCs w:val="17"/>
        </w:rPr>
        <w:t>[Suite de la note de la page précédente]</w:t>
      </w:r>
    </w:p>
  </w:footnote>
  <w:footnote w:type="continuationNotice" w:id="1">
    <w:p w14:paraId="03D29563" w14:textId="77777777" w:rsidR="003D1BA7" w:rsidRPr="009D30E6" w:rsidRDefault="003D1BA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1249" w14:textId="77777777" w:rsidR="00E84CBD" w:rsidRDefault="00E84CBD" w:rsidP="00340D47">
    <w:pPr>
      <w:jc w:val="right"/>
    </w:pPr>
    <w:r>
      <w:t>MVT/A/11/1</w:t>
    </w:r>
  </w:p>
  <w:p w14:paraId="6A703DE1" w14:textId="77777777" w:rsidR="00E84CBD" w:rsidRDefault="00E84CBD" w:rsidP="00340D47">
    <w:pPr>
      <w:jc w:val="right"/>
    </w:pPr>
    <w:proofErr w:type="gramStart"/>
    <w:r>
      <w:t>page</w:t>
    </w:r>
    <w:proofErr w:type="gramEnd"/>
    <w:r>
      <w:t> </w:t>
    </w:r>
    <w:r>
      <w:fldChar w:fldCharType="begin"/>
    </w:r>
    <w:r>
      <w:instrText xml:space="preserve"> PAGE  \* MERGEFORMAT </w:instrText>
    </w:r>
    <w:r>
      <w:fldChar w:fldCharType="separate"/>
    </w:r>
    <w:r>
      <w:t>2</w:t>
    </w:r>
    <w:r>
      <w:fldChar w:fldCharType="end"/>
    </w:r>
  </w:p>
  <w:p w14:paraId="6F02C5E4" w14:textId="77777777" w:rsidR="00E84CBD" w:rsidRDefault="00E84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C4A5" w14:textId="77777777" w:rsidR="00E84CBD" w:rsidRDefault="00E84CBD" w:rsidP="00477D6B">
    <w:pPr>
      <w:jc w:val="right"/>
    </w:pPr>
    <w:r>
      <w:t>MVT/A/11/1</w:t>
    </w:r>
  </w:p>
  <w:p w14:paraId="401D2719" w14:textId="0B30F966" w:rsidR="00E84CBD" w:rsidRDefault="00E84CBD" w:rsidP="002B0B37">
    <w:pPr>
      <w:spacing w:after="480"/>
      <w:jc w:val="right"/>
    </w:pPr>
    <w:proofErr w:type="gramStart"/>
    <w:r>
      <w:t>page</w:t>
    </w:r>
    <w:proofErr w:type="gramEnd"/>
    <w:r>
      <w:t>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69D7" w14:textId="77777777" w:rsidR="00E84CBD" w:rsidRPr="00DF5AA7" w:rsidRDefault="00E84CBD" w:rsidP="00A4566F">
    <w:pPr>
      <w:jc w:val="right"/>
      <w:rPr>
        <w:lang w:val="en-US"/>
      </w:rPr>
    </w:pPr>
    <w:r w:rsidRPr="00DF5AA7">
      <w:rPr>
        <w:lang w:val="en-US"/>
      </w:rPr>
      <w:t>WO/GA/41/11 Rev.</w:t>
    </w:r>
  </w:p>
  <w:p w14:paraId="2F834721" w14:textId="77777777" w:rsidR="00E84CBD" w:rsidRPr="00DF5AA7" w:rsidRDefault="00E84CBD" w:rsidP="00A4566F">
    <w:pPr>
      <w:jc w:val="right"/>
      <w:rPr>
        <w:lang w:val="en-US"/>
      </w:rPr>
    </w:pPr>
    <w:r w:rsidRPr="00DF5AA7">
      <w:rPr>
        <w:lang w:val="en-US"/>
      </w:rPr>
      <w:t>Annexe I, page </w:t>
    </w:r>
    <w:r>
      <w:fldChar w:fldCharType="begin"/>
    </w:r>
    <w:r w:rsidRPr="00DF5AA7">
      <w:rPr>
        <w:lang w:val="en-US"/>
      </w:rPr>
      <w:instrText xml:space="preserve"> PAGE  \* MERGEFORMAT </w:instrText>
    </w:r>
    <w:r>
      <w:fldChar w:fldCharType="separate"/>
    </w:r>
    <w:r w:rsidRPr="00DF5AA7">
      <w:rPr>
        <w:lang w:val="en-US"/>
      </w:rPr>
      <w:t>2</w:t>
    </w:r>
    <w:r>
      <w:fldChar w:fldCharType="end"/>
    </w:r>
  </w:p>
  <w:p w14:paraId="5A4C97A6" w14:textId="77777777" w:rsidR="00E84CBD" w:rsidRPr="003E35D7" w:rsidRDefault="00E84CBD" w:rsidP="00A4566F">
    <w:pPr>
      <w:jc w:val="right"/>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0A20" w14:textId="77777777" w:rsidR="00E84CBD" w:rsidRPr="00DF5AA7" w:rsidRDefault="00E84CBD" w:rsidP="00477D6B">
    <w:pPr>
      <w:jc w:val="right"/>
      <w:rPr>
        <w:lang w:val="en-US"/>
      </w:rPr>
    </w:pPr>
    <w:r w:rsidRPr="00DF5AA7">
      <w:rPr>
        <w:lang w:val="en-US"/>
      </w:rPr>
      <w:t>WO/GA/41/11 Rev.</w:t>
    </w:r>
  </w:p>
  <w:p w14:paraId="54853FF8" w14:textId="77777777" w:rsidR="00E84CBD" w:rsidRPr="00DF5AA7" w:rsidRDefault="00E84CBD" w:rsidP="00477D6B">
    <w:pPr>
      <w:jc w:val="right"/>
      <w:rPr>
        <w:lang w:val="en-US"/>
      </w:rPr>
    </w:pPr>
    <w:r w:rsidRPr="00DF5AA7">
      <w:rPr>
        <w:lang w:val="en-US"/>
      </w:rPr>
      <w:t>Annexe I, page </w:t>
    </w:r>
    <w:r>
      <w:fldChar w:fldCharType="begin"/>
    </w:r>
    <w:r w:rsidRPr="00DF5AA7">
      <w:rPr>
        <w:lang w:val="en-US"/>
      </w:rPr>
      <w:instrText xml:space="preserve"> PAGE  \* MERGEFORMAT </w:instrText>
    </w:r>
    <w:r>
      <w:fldChar w:fldCharType="separate"/>
    </w:r>
    <w:r w:rsidRPr="00DF5AA7">
      <w:rPr>
        <w:lang w:val="en-US"/>
      </w:rPr>
      <w:t>2</w:t>
    </w:r>
    <w:r>
      <w:fldChar w:fldCharType="end"/>
    </w:r>
  </w:p>
  <w:p w14:paraId="16F3FED6" w14:textId="77777777" w:rsidR="00E84CBD" w:rsidRPr="003E35D7" w:rsidRDefault="00E84CBD" w:rsidP="00477D6B">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F6AC" w14:textId="77777777" w:rsidR="00E84CBD" w:rsidRDefault="00E84CBD" w:rsidP="00E65A4C">
    <w:pPr>
      <w:jc w:val="right"/>
    </w:pPr>
    <w:r>
      <w:t>MVT/A/11/1</w:t>
    </w:r>
  </w:p>
  <w:p w14:paraId="23CE0E23" w14:textId="77777777" w:rsidR="00E84CBD" w:rsidRDefault="00E84CBD" w:rsidP="002B0B37">
    <w:pPr>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708B" w14:textId="30547914" w:rsidR="00F16975" w:rsidRDefault="00E84CBD" w:rsidP="00477D6B">
    <w:pPr>
      <w:jc w:val="right"/>
    </w:pPr>
    <w:bookmarkStart w:id="8" w:name="Code2"/>
    <w:bookmarkEnd w:id="8"/>
    <w:r>
      <w:t>MVT/A/11/1</w:t>
    </w:r>
  </w:p>
  <w:p w14:paraId="5FE35425" w14:textId="77777777" w:rsidR="004F4E31" w:rsidRDefault="00F16975" w:rsidP="0078475B">
    <w:pPr>
      <w:spacing w:after="480"/>
      <w:jc w:val="right"/>
    </w:pPr>
    <w:proofErr w:type="gramStart"/>
    <w:r>
      <w:t>page</w:t>
    </w:r>
    <w:proofErr w:type="gramEnd"/>
    <w:r w:rsidR="0078475B">
      <w:t> </w:t>
    </w:r>
    <w:r>
      <w:fldChar w:fldCharType="begin"/>
    </w:r>
    <w:r>
      <w:instrText xml:space="preserve"> PAGE  \* MERGEFORMAT </w:instrText>
    </w:r>
    <w:r>
      <w:fldChar w:fldCharType="separate"/>
    </w:r>
    <w:r w:rsidR="004F4E31">
      <w:rPr>
        <w:noProof/>
      </w:rPr>
      <w:t>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52CF" w14:textId="77777777" w:rsidR="002B0B37" w:rsidRDefault="002B0B37" w:rsidP="00E65A4C">
    <w:pPr>
      <w:jc w:val="right"/>
    </w:pPr>
    <w:r>
      <w:t>MVT/A/11/1</w:t>
    </w:r>
  </w:p>
  <w:p w14:paraId="2AF29722" w14:textId="379CB537" w:rsidR="002B0B37" w:rsidRDefault="002B0B37" w:rsidP="002B0B37">
    <w:pP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3A41CD5"/>
    <w:multiLevelType w:val="hybridMultilevel"/>
    <w:tmpl w:val="E5AA3F4A"/>
    <w:lvl w:ilvl="0" w:tplc="716CC1C8">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591EAF"/>
    <w:multiLevelType w:val="multilevel"/>
    <w:tmpl w:val="D29C4F8A"/>
    <w:styleLink w:val="Headings"/>
    <w:lvl w:ilvl="0">
      <w:start w:val="1"/>
      <w:numFmt w:val="none"/>
      <w:lvlText w:val=""/>
      <w:lvlJc w:val="left"/>
      <w:pPr>
        <w:ind w:left="0" w:firstLine="0"/>
      </w:pPr>
      <w:rPr>
        <w:rFonts w:hint="default"/>
      </w:rPr>
    </w:lvl>
    <w:lvl w:ilvl="1">
      <w:start w:val="1"/>
      <w:numFmt w:val="none"/>
      <w:lvlRestart w:val="0"/>
      <w:lvlText w:val=""/>
      <w:lvlJc w:val="left"/>
      <w:pPr>
        <w:ind w:left="0" w:firstLine="0"/>
      </w:pPr>
      <w:rPr>
        <w:rFonts w:hint="default"/>
      </w:rPr>
    </w:lvl>
    <w:lvl w:ilvl="2">
      <w:start w:val="1"/>
      <w:numFmt w:val="upperRoman"/>
      <w:lvlText w:val="%3."/>
      <w:lvlJc w:val="left"/>
      <w:pPr>
        <w:tabs>
          <w:tab w:val="num" w:pos="567"/>
        </w:tabs>
        <w:ind w:left="567" w:hanging="567"/>
      </w:pPr>
      <w:rPr>
        <w:rFonts w:hint="default"/>
      </w:rPr>
    </w:lvl>
    <w:lvl w:ilvl="3">
      <w:start w:val="1"/>
      <w:numFmt w:val="upperLetter"/>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none"/>
      <w:lvlRestart w:val="0"/>
      <w:lvlText w:val=""/>
      <w:lvlJc w:val="left"/>
      <w:pPr>
        <w:ind w:left="0" w:firstLine="0"/>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8F68C1"/>
    <w:multiLevelType w:val="multilevel"/>
    <w:tmpl w:val="638A0484"/>
    <w:styleLink w:val="ContinuousNumbering"/>
    <w:lvl w:ilvl="0">
      <w:start w:val="1"/>
      <w:numFmt w:val="none"/>
      <w:pStyle w:val="Preparedby"/>
      <w:lvlText w:val=""/>
      <w:lvlJc w:val="left"/>
      <w:pPr>
        <w:ind w:left="0" w:firstLine="0"/>
      </w:pPr>
      <w:rPr>
        <w:rFonts w:hint="default"/>
      </w:rPr>
    </w:lvl>
    <w:lvl w:ilvl="1">
      <w:start w:val="1"/>
      <w:numFmt w:val="decimal"/>
      <w:pStyle w:val="Text"/>
      <w:lvlText w:val="%2."/>
      <w:lvlJc w:val="left"/>
      <w:pPr>
        <w:tabs>
          <w:tab w:val="num" w:pos="567"/>
        </w:tabs>
        <w:ind w:left="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891230270">
    <w:abstractNumId w:val="2"/>
  </w:num>
  <w:num w:numId="2" w16cid:durableId="588387405">
    <w:abstractNumId w:val="5"/>
  </w:num>
  <w:num w:numId="3" w16cid:durableId="2112386413">
    <w:abstractNumId w:val="0"/>
  </w:num>
  <w:num w:numId="4" w16cid:durableId="653218688">
    <w:abstractNumId w:val="7"/>
  </w:num>
  <w:num w:numId="5" w16cid:durableId="696396289">
    <w:abstractNumId w:val="1"/>
  </w:num>
  <w:num w:numId="6" w16cid:durableId="632902901">
    <w:abstractNumId w:val="3"/>
  </w:num>
  <w:num w:numId="7" w16cid:durableId="965820666">
    <w:abstractNumId w:val="8"/>
  </w:num>
  <w:num w:numId="8" w16cid:durableId="1798521853">
    <w:abstractNumId w:val="6"/>
  </w:num>
  <w:num w:numId="9" w16cid:durableId="1389376767">
    <w:abstractNumId w:val="8"/>
    <w:lvlOverride w:ilvl="0">
      <w:lvl w:ilvl="0">
        <w:start w:val="1"/>
        <w:numFmt w:val="none"/>
        <w:pStyle w:val="Preparedby"/>
        <w:lvlText w:val=""/>
        <w:lvlJc w:val="left"/>
        <w:pPr>
          <w:ind w:left="0" w:firstLine="0"/>
        </w:pPr>
        <w:rPr>
          <w:rFonts w:hint="default"/>
        </w:rPr>
      </w:lvl>
    </w:lvlOverride>
    <w:lvlOverride w:ilvl="1">
      <w:lvl w:ilvl="1">
        <w:start w:val="1"/>
        <w:numFmt w:val="decimal"/>
        <w:pStyle w:val="Text"/>
        <w:lvlText w:val="%2."/>
        <w:lvlJc w:val="left"/>
        <w:pPr>
          <w:tabs>
            <w:tab w:val="num" w:pos="567"/>
          </w:tabs>
          <w:ind w:left="0" w:firstLine="0"/>
        </w:pPr>
        <w:rPr>
          <w:rFonts w:hint="default"/>
          <w:i w:val="0"/>
          <w:iCs/>
        </w:rPr>
      </w:lvl>
    </w:lvlOverride>
    <w:lvlOverride w:ilvl="2">
      <w:lvl w:ilvl="2">
        <w:start w:val="1"/>
        <w:numFmt w:val="none"/>
        <w:lvlText w:val=""/>
        <w:lvlJc w:val="left"/>
        <w:pPr>
          <w:ind w:left="1080" w:hanging="360"/>
        </w:pPr>
        <w:rPr>
          <w:rFont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10" w16cid:durableId="1300841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BD"/>
    <w:rsid w:val="00011B7D"/>
    <w:rsid w:val="00053214"/>
    <w:rsid w:val="00075432"/>
    <w:rsid w:val="000D6A97"/>
    <w:rsid w:val="000E23C7"/>
    <w:rsid w:val="000F5E56"/>
    <w:rsid w:val="001362EE"/>
    <w:rsid w:val="00166201"/>
    <w:rsid w:val="001832A6"/>
    <w:rsid w:val="00195C6E"/>
    <w:rsid w:val="001B266A"/>
    <w:rsid w:val="001D3D56"/>
    <w:rsid w:val="002144F8"/>
    <w:rsid w:val="00224CC3"/>
    <w:rsid w:val="00240654"/>
    <w:rsid w:val="002634C4"/>
    <w:rsid w:val="00274E1D"/>
    <w:rsid w:val="002B0B37"/>
    <w:rsid w:val="002D4918"/>
    <w:rsid w:val="002E4D1A"/>
    <w:rsid w:val="002F16BC"/>
    <w:rsid w:val="002F4E68"/>
    <w:rsid w:val="00315FCA"/>
    <w:rsid w:val="00362C28"/>
    <w:rsid w:val="003845C1"/>
    <w:rsid w:val="003A1BCD"/>
    <w:rsid w:val="003D1BA7"/>
    <w:rsid w:val="003D763A"/>
    <w:rsid w:val="004008A2"/>
    <w:rsid w:val="004025DF"/>
    <w:rsid w:val="00423E3E"/>
    <w:rsid w:val="00427AF4"/>
    <w:rsid w:val="004647DA"/>
    <w:rsid w:val="00477D6B"/>
    <w:rsid w:val="004D6471"/>
    <w:rsid w:val="004F4E31"/>
    <w:rsid w:val="00525B63"/>
    <w:rsid w:val="00547476"/>
    <w:rsid w:val="00561DB8"/>
    <w:rsid w:val="00567A4C"/>
    <w:rsid w:val="005E6516"/>
    <w:rsid w:val="00605827"/>
    <w:rsid w:val="00676936"/>
    <w:rsid w:val="006B0DB5"/>
    <w:rsid w:val="006E4243"/>
    <w:rsid w:val="007461F1"/>
    <w:rsid w:val="0078475B"/>
    <w:rsid w:val="007B1106"/>
    <w:rsid w:val="007D6961"/>
    <w:rsid w:val="007F07CB"/>
    <w:rsid w:val="00810CEF"/>
    <w:rsid w:val="0081208D"/>
    <w:rsid w:val="00841E6E"/>
    <w:rsid w:val="00842A13"/>
    <w:rsid w:val="008B2CC1"/>
    <w:rsid w:val="008C3875"/>
    <w:rsid w:val="008E7930"/>
    <w:rsid w:val="0090731E"/>
    <w:rsid w:val="00942A17"/>
    <w:rsid w:val="00966A22"/>
    <w:rsid w:val="00974CD6"/>
    <w:rsid w:val="009D30E6"/>
    <w:rsid w:val="009E3F6F"/>
    <w:rsid w:val="009F499F"/>
    <w:rsid w:val="00A02BD3"/>
    <w:rsid w:val="00A2533D"/>
    <w:rsid w:val="00A3149E"/>
    <w:rsid w:val="00A95F8F"/>
    <w:rsid w:val="00AA1F20"/>
    <w:rsid w:val="00AC0AE4"/>
    <w:rsid w:val="00AD61DB"/>
    <w:rsid w:val="00B066A5"/>
    <w:rsid w:val="00B263A7"/>
    <w:rsid w:val="00B80642"/>
    <w:rsid w:val="00B87BCF"/>
    <w:rsid w:val="00BA62D4"/>
    <w:rsid w:val="00C40E15"/>
    <w:rsid w:val="00C43D27"/>
    <w:rsid w:val="00C664C8"/>
    <w:rsid w:val="00C74FD4"/>
    <w:rsid w:val="00C76A79"/>
    <w:rsid w:val="00CA15F5"/>
    <w:rsid w:val="00CE042C"/>
    <w:rsid w:val="00CE1AFD"/>
    <w:rsid w:val="00CF0460"/>
    <w:rsid w:val="00D45252"/>
    <w:rsid w:val="00D71B4D"/>
    <w:rsid w:val="00D75C1E"/>
    <w:rsid w:val="00D93D55"/>
    <w:rsid w:val="00DB0349"/>
    <w:rsid w:val="00DD6A16"/>
    <w:rsid w:val="00DF5AA7"/>
    <w:rsid w:val="00E0091A"/>
    <w:rsid w:val="00E203AA"/>
    <w:rsid w:val="00E41ABD"/>
    <w:rsid w:val="00E527A5"/>
    <w:rsid w:val="00E76456"/>
    <w:rsid w:val="00E84CBD"/>
    <w:rsid w:val="00EA3A94"/>
    <w:rsid w:val="00EC3781"/>
    <w:rsid w:val="00EE58C8"/>
    <w:rsid w:val="00EE71CB"/>
    <w:rsid w:val="00F16975"/>
    <w:rsid w:val="00F25A80"/>
    <w:rsid w:val="00F66152"/>
    <w:rsid w:val="00F97043"/>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682B9"/>
  <w15:docId w15:val="{CE8836DB-888C-4B06-A588-81EC0A9A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ListParagraph"/>
    <w:next w:val="Normal"/>
    <w:link w:val="Heading1Char"/>
    <w:qFormat/>
    <w:rsid w:val="002B0B37"/>
    <w:pPr>
      <w:keepNext/>
      <w:numPr>
        <w:numId w:val="10"/>
      </w:numPr>
      <w:spacing w:before="480" w:after="240"/>
      <w:ind w:left="567" w:hanging="567"/>
      <w:outlineLvl w:val="0"/>
    </w:pPr>
    <w:rPr>
      <w:b/>
      <w:bCs/>
      <w:caps/>
    </w:rPr>
  </w:style>
  <w:style w:type="paragraph" w:styleId="Heading2">
    <w:name w:val="heading 2"/>
    <w:basedOn w:val="Normal"/>
    <w:next w:val="Normal"/>
    <w:qFormat/>
    <w:rsid w:val="00B263A7"/>
    <w:pPr>
      <w:keepNext/>
      <w:spacing w:after="360"/>
      <w:outlineLvl w:val="1"/>
    </w:pPr>
    <w:rPr>
      <w:bCs/>
      <w:iCs/>
      <w:caps/>
      <w:szCs w:val="28"/>
      <w:lang w:val="fr-FR"/>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5">
    <w:name w:val="heading 5"/>
    <w:next w:val="Normal"/>
    <w:link w:val="Heading5Char"/>
    <w:unhideWhenUsed/>
    <w:qFormat/>
    <w:rsid w:val="00E84CBD"/>
    <w:pPr>
      <w:keepNext/>
      <w:keepLines/>
      <w:tabs>
        <w:tab w:val="num" w:pos="567"/>
      </w:tabs>
      <w:spacing w:before="493" w:after="313"/>
      <w:ind w:left="567" w:hanging="567"/>
      <w:outlineLvl w:val="4"/>
    </w:pPr>
    <w:rPr>
      <w:rFonts w:ascii="Arial" w:eastAsiaTheme="majorEastAsia" w:hAnsi="Arial" w:cstheme="majorBidi"/>
      <w:sz w:val="22"/>
      <w:u w:val="single"/>
      <w:lang w:val="fr-FR" w:eastAsia="zh-CN"/>
    </w:rPr>
  </w:style>
  <w:style w:type="paragraph" w:styleId="Heading6">
    <w:name w:val="heading 6"/>
    <w:basedOn w:val="Normal"/>
    <w:next w:val="Normal"/>
    <w:link w:val="Heading6Char"/>
    <w:unhideWhenUsed/>
    <w:qFormat/>
    <w:rsid w:val="00E84CBD"/>
    <w:pPr>
      <w:keepNext/>
      <w:keepLines/>
      <w:spacing w:before="493" w:after="313"/>
      <w:outlineLvl w:val="5"/>
    </w:pPr>
    <w:rPr>
      <w:rFonts w:eastAsiaTheme="majorEastAsia"/>
      <w:i/>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2B0B37"/>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5Char">
    <w:name w:val="Heading 5 Char"/>
    <w:basedOn w:val="DefaultParagraphFont"/>
    <w:link w:val="Heading5"/>
    <w:rsid w:val="00E84CBD"/>
    <w:rPr>
      <w:rFonts w:ascii="Arial" w:eastAsiaTheme="majorEastAsia" w:hAnsi="Arial" w:cstheme="majorBidi"/>
      <w:sz w:val="22"/>
      <w:u w:val="single"/>
      <w:lang w:val="fr-FR" w:eastAsia="zh-CN"/>
    </w:rPr>
  </w:style>
  <w:style w:type="character" w:customStyle="1" w:styleId="Heading6Char">
    <w:name w:val="Heading 6 Char"/>
    <w:basedOn w:val="DefaultParagraphFont"/>
    <w:link w:val="Heading6"/>
    <w:rsid w:val="00E84CBD"/>
    <w:rPr>
      <w:rFonts w:ascii="Arial" w:eastAsiaTheme="majorEastAsia" w:hAnsi="Arial" w:cs="Arial"/>
      <w:i/>
      <w:sz w:val="22"/>
      <w:u w:val="single"/>
      <w:lang w:val="fr-FR" w:eastAsia="zh-CN"/>
    </w:rPr>
  </w:style>
  <w:style w:type="character" w:styleId="Hyperlink">
    <w:name w:val="Hyperlink"/>
    <w:basedOn w:val="DefaultParagraphFont"/>
    <w:rsid w:val="00E84CBD"/>
    <w:rPr>
      <w:color w:val="auto"/>
      <w:u w:val="none"/>
    </w:rPr>
  </w:style>
  <w:style w:type="numbering" w:customStyle="1" w:styleId="ContinuousNumbering">
    <w:name w:val="ContinuousNumbering"/>
    <w:uiPriority w:val="99"/>
    <w:rsid w:val="00E84CBD"/>
    <w:pPr>
      <w:numPr>
        <w:numId w:val="7"/>
      </w:numPr>
    </w:pPr>
  </w:style>
  <w:style w:type="character" w:customStyle="1" w:styleId="FooterChar">
    <w:name w:val="Footer Char"/>
    <w:basedOn w:val="DefaultParagraphFont"/>
    <w:link w:val="Footer"/>
    <w:rsid w:val="00E84CBD"/>
    <w:rPr>
      <w:rFonts w:ascii="Arial" w:eastAsia="SimSun" w:hAnsi="Arial" w:cs="Arial"/>
      <w:sz w:val="22"/>
      <w:lang w:eastAsia="zh-CN"/>
    </w:rPr>
  </w:style>
  <w:style w:type="paragraph" w:customStyle="1" w:styleId="TextAbstract">
    <w:name w:val="Text Abstract"/>
    <w:link w:val="TextAbstractChar"/>
    <w:qFormat/>
    <w:rsid w:val="00E84CBD"/>
    <w:pPr>
      <w:spacing w:before="253" w:after="253"/>
    </w:pPr>
    <w:rPr>
      <w:rFonts w:ascii="Arial" w:eastAsia="SimSun" w:hAnsi="Arial" w:cs="Arial"/>
      <w:sz w:val="22"/>
      <w:szCs w:val="22"/>
      <w:lang w:val="fr-FR" w:eastAsia="zh-CN"/>
    </w:rPr>
  </w:style>
  <w:style w:type="character" w:customStyle="1" w:styleId="TextAbstractChar">
    <w:name w:val="Text Abstract Char"/>
    <w:basedOn w:val="DefaultParagraphFont"/>
    <w:link w:val="TextAbstract"/>
    <w:rsid w:val="00E84CBD"/>
    <w:rPr>
      <w:rFonts w:ascii="Arial" w:eastAsia="SimSun" w:hAnsi="Arial" w:cs="Arial"/>
      <w:sz w:val="22"/>
      <w:szCs w:val="22"/>
      <w:lang w:val="fr-FR" w:eastAsia="zh-CN"/>
    </w:rPr>
  </w:style>
  <w:style w:type="character" w:customStyle="1" w:styleId="HeaderChar">
    <w:name w:val="Header Char"/>
    <w:basedOn w:val="DefaultParagraphFont"/>
    <w:link w:val="Header"/>
    <w:uiPriority w:val="99"/>
    <w:rsid w:val="00E84CBD"/>
    <w:rPr>
      <w:rFonts w:ascii="Arial" w:eastAsia="SimSun" w:hAnsi="Arial" w:cs="Arial"/>
      <w:sz w:val="22"/>
      <w:lang w:eastAsia="zh-CN"/>
    </w:rPr>
  </w:style>
  <w:style w:type="character" w:customStyle="1" w:styleId="Heading1Char">
    <w:name w:val="Heading 1 Char"/>
    <w:basedOn w:val="DefaultParagraphFont"/>
    <w:link w:val="Heading1"/>
    <w:rsid w:val="002B0B37"/>
    <w:rPr>
      <w:rFonts w:ascii="Arial" w:eastAsia="SimSun" w:hAnsi="Arial" w:cs="Arial"/>
      <w:b/>
      <w:bCs/>
      <w:caps/>
      <w:sz w:val="22"/>
      <w:lang w:eastAsia="zh-CN"/>
    </w:rPr>
  </w:style>
  <w:style w:type="character" w:customStyle="1" w:styleId="Heading3Char">
    <w:name w:val="Heading 3 Char"/>
    <w:basedOn w:val="DefaultParagraphFont"/>
    <w:link w:val="Heading3"/>
    <w:rsid w:val="00E84CBD"/>
    <w:rPr>
      <w:rFonts w:ascii="Arial" w:eastAsia="SimSun" w:hAnsi="Arial" w:cs="Arial"/>
      <w:bCs/>
      <w:sz w:val="22"/>
      <w:szCs w:val="26"/>
      <w:u w:val="single"/>
      <w:lang w:eastAsia="zh-CN"/>
    </w:rPr>
  </w:style>
  <w:style w:type="numbering" w:customStyle="1" w:styleId="Headings">
    <w:name w:val="Headings"/>
    <w:uiPriority w:val="99"/>
    <w:rsid w:val="00E84CBD"/>
    <w:pPr>
      <w:numPr>
        <w:numId w:val="8"/>
      </w:numPr>
    </w:pPr>
  </w:style>
  <w:style w:type="paragraph" w:customStyle="1" w:styleId="Preparedby">
    <w:name w:val="Prepared by"/>
    <w:next w:val="Normal"/>
    <w:qFormat/>
    <w:rsid w:val="00E84CBD"/>
    <w:pPr>
      <w:numPr>
        <w:numId w:val="7"/>
      </w:numPr>
      <w:spacing w:before="252" w:after="756"/>
    </w:pPr>
    <w:rPr>
      <w:rFonts w:ascii="Arial" w:eastAsia="SimSun" w:hAnsi="Arial" w:cs="Arial"/>
      <w:i/>
      <w:sz w:val="22"/>
      <w:lang w:val="fr-FR" w:eastAsia="zh-CN"/>
    </w:rPr>
  </w:style>
  <w:style w:type="paragraph" w:customStyle="1" w:styleId="Text">
    <w:name w:val="Text"/>
    <w:basedOn w:val="TextAbstract"/>
    <w:link w:val="TextChar"/>
    <w:qFormat/>
    <w:rsid w:val="00E84CBD"/>
    <w:pPr>
      <w:numPr>
        <w:ilvl w:val="1"/>
        <w:numId w:val="7"/>
      </w:numPr>
    </w:pPr>
  </w:style>
  <w:style w:type="character" w:customStyle="1" w:styleId="TextChar">
    <w:name w:val="Text Char"/>
    <w:basedOn w:val="DefaultParagraphFont"/>
    <w:link w:val="Text"/>
    <w:rsid w:val="00E84CBD"/>
    <w:rPr>
      <w:rFonts w:ascii="Arial" w:eastAsia="SimSun" w:hAnsi="Arial" w:cs="Arial"/>
      <w:sz w:val="22"/>
      <w:szCs w:val="22"/>
      <w:lang w:val="fr-FR" w:eastAsia="zh-CN"/>
    </w:rPr>
  </w:style>
  <w:style w:type="paragraph" w:styleId="ListParagraph">
    <w:name w:val="List Paragraph"/>
    <w:basedOn w:val="Normal"/>
    <w:uiPriority w:val="34"/>
    <w:qFormat/>
    <w:rsid w:val="002B0B37"/>
    <w:pPr>
      <w:ind w:left="720"/>
      <w:contextualSpacing/>
    </w:pPr>
  </w:style>
  <w:style w:type="character" w:styleId="FollowedHyperlink">
    <w:name w:val="FollowedHyperlink"/>
    <w:basedOn w:val="DefaultParagraphFont"/>
    <w:semiHidden/>
    <w:unhideWhenUsed/>
    <w:rsid w:val="00E41A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ipo.int/marrakesh_treaty/fr/"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ipo.int/fr/web/marrakesh-treaty/"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1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DEAADBFP-1499948599-54745</_dlc_DocId>
    <_dlc_DocIdUrl xmlns="afdacc0a-6563-489f-9b51-6fc9acac5c48">
      <Url>https://wipoprod.sharepoint.com/sites/SPS-INT-BFP-DEAAD-AsseAffa/_layouts/15/DocIdRedir.aspx?ID=DEAADBFP-1499948599-54745</Url>
      <Description>DEAADBFP-1499948599-54745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9F8BA6-A022-44EC-A7DE-53CE5E71B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AFA1D-4472-47E0-8FEA-DF7A8625F5E8}">
  <ds:schemaRefs>
    <ds:schemaRef ds:uri="http://schemas.microsoft.com/sharepoint/v3/contenttype/forms"/>
  </ds:schemaRefs>
</ds:datastoreItem>
</file>

<file path=customXml/itemProps3.xml><?xml version="1.0" encoding="utf-8"?>
<ds:datastoreItem xmlns:ds="http://schemas.openxmlformats.org/officeDocument/2006/customXml" ds:itemID="{D80D3695-15E2-461B-B39B-20C50BF13C23}">
  <ds:schemaRefs>
    <ds:schemaRef ds:uri="Microsoft.SharePoint.Taxonomy.ContentTypeSync"/>
  </ds:schemaRefs>
</ds:datastoreItem>
</file>

<file path=customXml/itemProps4.xml><?xml version="1.0" encoding="utf-8"?>
<ds:datastoreItem xmlns:ds="http://schemas.openxmlformats.org/officeDocument/2006/customXml" ds:itemID="{D8D90D35-37E2-4A24-815F-0AAAD37EDFF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5.xml><?xml version="1.0" encoding="utf-8"?>
<ds:datastoreItem xmlns:ds="http://schemas.openxmlformats.org/officeDocument/2006/customXml" ds:itemID="{D7B23830-D3FC-4B47-8F89-76C590DF24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MVT_A_11 (F)</Template>
  <TotalTime>2</TotalTime>
  <Pages>5</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MVT/A/11/1</vt:lpstr>
    </vt:vector>
  </TitlesOfParts>
  <Company>WIPO</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MVT/A/11/1</dc:title>
  <dc:creator>WIPO</dc:creator>
  <cp:keywords>PUBLIC</cp:keywords>
  <cp:lastModifiedBy>RUBAN Annaig</cp:lastModifiedBy>
  <cp:revision>3</cp:revision>
  <cp:lastPrinted>2011-05-19T12:37:00Z</cp:lastPrinted>
  <dcterms:created xsi:type="dcterms:W3CDTF">2026-05-04T19:23:00Z</dcterms:created>
  <dcterms:modified xsi:type="dcterms:W3CDTF">2026-05-05T08:01:00Z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2025-02-18T10:24:08Z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eb048c37-e300-4df7-8a97-5ecde03469dd</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3;#Diplomatic Engagement and Assemblies Affairs Division|c4a5cf71-800f-4e10-aab9-36d8b83eadc2</vt:lpwstr>
  </property>
  <property fmtid="{D5CDD505-2E9C-101B-9397-08002B2CF9AE}" pid="19" name="RMClassification">
    <vt:lpwstr>7;#09 Official Meeting Documents|1c3d7eba-ea38-434e-9ba8-de39eb589212</vt:lpwstr>
  </property>
  <property fmtid="{D5CDD505-2E9C-101B-9397-08002B2CF9AE}" pid="20" name="Body1">
    <vt:lpwstr/>
  </property>
  <property fmtid="{D5CDD505-2E9C-101B-9397-08002B2CF9AE}" pid="21" name="Languages">
    <vt:lpwstr>1;#English|950e6fa2-2df0-4983-a604-54e57c7a6d93</vt:lpwstr>
  </property>
  <property fmtid="{D5CDD505-2E9C-101B-9397-08002B2CF9AE}" pid="22" name="lcf76f155ced4ddcb4097134ff3c332f">
    <vt:lpwstr/>
  </property>
  <property fmtid="{D5CDD505-2E9C-101B-9397-08002B2CF9AE}" pid="23" name="_dlc_DocIdItemGuid">
    <vt:lpwstr>ce62dcd4-db11-4392-8c46-ebc5cd397311</vt:lpwstr>
  </property>
</Properties>
</file>