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682181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682181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82181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85E33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682181" w:rsidRDefault="00E72EF8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82181">
        <w:rPr>
          <w:rFonts w:ascii="Arial Black" w:hAnsi="Arial Black"/>
          <w:caps/>
          <w:sz w:val="15"/>
          <w:szCs w:val="15"/>
          <w:lang w:val="fr-FR"/>
        </w:rPr>
        <w:t>MM/A/56/</w:t>
      </w:r>
      <w:bookmarkStart w:id="1" w:name="Code"/>
      <w:r w:rsidR="0091042F" w:rsidRPr="00682181">
        <w:rPr>
          <w:rFonts w:ascii="Arial Black" w:hAnsi="Arial Black"/>
          <w:caps/>
          <w:sz w:val="15"/>
          <w:szCs w:val="15"/>
          <w:lang w:val="fr-FR"/>
        </w:rPr>
        <w:t>INF/1</w:t>
      </w:r>
    </w:p>
    <w:bookmarkEnd w:id="1"/>
    <w:p w:rsidR="008B2CC1" w:rsidRPr="0068218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68218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266B6">
        <w:rPr>
          <w:rFonts w:ascii="Arial Black" w:hAnsi="Arial Black"/>
          <w:caps/>
          <w:sz w:val="15"/>
          <w:szCs w:val="15"/>
          <w:lang w:val="fr-FR"/>
        </w:rPr>
        <w:t> :</w:t>
      </w:r>
      <w:r w:rsidRPr="0068218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91042F" w:rsidRPr="0068218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682181" w:rsidRDefault="00911D7A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>
        <w:rPr>
          <w:rFonts w:ascii="Arial Black" w:hAnsi="Arial Black"/>
          <w:caps/>
          <w:sz w:val="15"/>
          <w:szCs w:val="15"/>
          <w:lang w:val="fr-FR"/>
        </w:rPr>
        <w:t>D</w:t>
      </w:r>
      <w:r w:rsidR="00DB0349" w:rsidRPr="00682181">
        <w:rPr>
          <w:rFonts w:ascii="Arial Black" w:hAnsi="Arial Black"/>
          <w:caps/>
          <w:sz w:val="15"/>
          <w:szCs w:val="15"/>
          <w:lang w:val="fr-FR"/>
        </w:rPr>
        <w:t>ate</w:t>
      </w:r>
      <w:r w:rsidR="001266B6">
        <w:rPr>
          <w:rFonts w:ascii="Arial Black" w:hAnsi="Arial Black"/>
          <w:caps/>
          <w:sz w:val="15"/>
          <w:szCs w:val="15"/>
          <w:lang w:val="fr-FR"/>
        </w:rPr>
        <w:t> : 1</w:t>
      </w:r>
      <w:r w:rsidR="001266B6" w:rsidRPr="001266B6">
        <w:rPr>
          <w:rFonts w:ascii="Arial Black" w:hAnsi="Arial Black"/>
          <w:caps/>
          <w:sz w:val="15"/>
          <w:szCs w:val="15"/>
          <w:vertAlign w:val="superscript"/>
          <w:lang w:val="fr-FR"/>
        </w:rPr>
        <w:t>er</w:t>
      </w:r>
      <w:r w:rsidR="001266B6">
        <w:rPr>
          <w:rFonts w:ascii="Arial Black" w:hAnsi="Arial Black"/>
          <w:caps/>
          <w:sz w:val="15"/>
          <w:szCs w:val="15"/>
          <w:lang w:val="fr-FR"/>
        </w:rPr>
        <w:t> </w:t>
      </w:r>
      <w:bookmarkStart w:id="3" w:name="Date"/>
      <w:r w:rsidR="00DA3B2D" w:rsidRPr="00980008">
        <w:rPr>
          <w:rFonts w:ascii="Arial Black" w:hAnsi="Arial Black"/>
          <w:caps/>
          <w:sz w:val="15"/>
          <w:szCs w:val="15"/>
          <w:lang w:val="fr-FR"/>
        </w:rPr>
        <w:t>juillet</w:t>
      </w:r>
      <w:r w:rsidR="00DA3B2D">
        <w:rPr>
          <w:rFonts w:ascii="Arial Black" w:hAnsi="Arial Black"/>
          <w:caps/>
          <w:sz w:val="15"/>
          <w:szCs w:val="15"/>
          <w:lang w:val="fr-FR"/>
        </w:rPr>
        <w:t> </w:t>
      </w:r>
      <w:r w:rsidR="00DA3B2D" w:rsidRPr="00980008">
        <w:rPr>
          <w:rFonts w:ascii="Arial Black" w:hAnsi="Arial Black"/>
          <w:caps/>
          <w:sz w:val="15"/>
          <w:szCs w:val="15"/>
          <w:lang w:val="fr-FR"/>
        </w:rPr>
        <w:t>20</w:t>
      </w:r>
      <w:r w:rsidR="0091042F" w:rsidRPr="00980008">
        <w:rPr>
          <w:rFonts w:ascii="Arial Black" w:hAnsi="Arial Black"/>
          <w:caps/>
          <w:sz w:val="15"/>
          <w:szCs w:val="15"/>
          <w:lang w:val="fr-FR"/>
        </w:rPr>
        <w:t>22</w:t>
      </w:r>
    </w:p>
    <w:bookmarkEnd w:id="3"/>
    <w:p w:rsidR="00C40E15" w:rsidRPr="00682181" w:rsidRDefault="00E72EF8" w:rsidP="00DB0349">
      <w:pPr>
        <w:spacing w:after="600"/>
        <w:rPr>
          <w:b/>
          <w:sz w:val="28"/>
          <w:szCs w:val="28"/>
          <w:lang w:val="fr-FR"/>
        </w:rPr>
      </w:pPr>
      <w:r w:rsidRPr="00682181">
        <w:rPr>
          <w:b/>
          <w:sz w:val="28"/>
          <w:szCs w:val="28"/>
          <w:lang w:val="fr-FR"/>
        </w:rPr>
        <w:t>Union particulière pour l</w:t>
      </w:r>
      <w:r w:rsidR="001266B6">
        <w:rPr>
          <w:b/>
          <w:sz w:val="28"/>
          <w:szCs w:val="28"/>
          <w:lang w:val="fr-FR"/>
        </w:rPr>
        <w:t>’</w:t>
      </w:r>
      <w:r w:rsidRPr="00682181">
        <w:rPr>
          <w:b/>
          <w:sz w:val="28"/>
          <w:szCs w:val="28"/>
          <w:lang w:val="fr-FR"/>
        </w:rPr>
        <w:t>enregistrement international des marques (Union de Madrid)</w:t>
      </w:r>
    </w:p>
    <w:p w:rsidR="003845C1" w:rsidRPr="00682181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682181">
        <w:rPr>
          <w:b/>
          <w:sz w:val="28"/>
          <w:szCs w:val="28"/>
          <w:lang w:val="fr-FR"/>
        </w:rPr>
        <w:t>Assemblée</w:t>
      </w:r>
    </w:p>
    <w:p w:rsidR="008B2CC1" w:rsidRPr="00682181" w:rsidRDefault="00E72EF8" w:rsidP="008B2CC1">
      <w:pPr>
        <w:rPr>
          <w:b/>
          <w:sz w:val="24"/>
          <w:szCs w:val="24"/>
          <w:lang w:val="fr-FR"/>
        </w:rPr>
      </w:pPr>
      <w:r w:rsidRPr="00682181">
        <w:rPr>
          <w:b/>
          <w:bCs/>
          <w:iCs/>
          <w:sz w:val="24"/>
          <w:lang w:val="fr-FR"/>
        </w:rPr>
        <w:t>Cinquante</w:t>
      </w:r>
      <w:r w:rsidR="0004766F">
        <w:rPr>
          <w:b/>
          <w:bCs/>
          <w:iCs/>
          <w:sz w:val="24"/>
          <w:lang w:val="fr-FR"/>
        </w:rPr>
        <w:noBreakHyphen/>
      </w:r>
      <w:r w:rsidRPr="00682181">
        <w:rPr>
          <w:b/>
          <w:bCs/>
          <w:iCs/>
          <w:sz w:val="24"/>
          <w:lang w:val="fr-FR"/>
        </w:rPr>
        <w:t>six</w:t>
      </w:r>
      <w:r w:rsidR="001266B6">
        <w:rPr>
          <w:b/>
          <w:bCs/>
          <w:iCs/>
          <w:sz w:val="24"/>
          <w:lang w:val="fr-FR"/>
        </w:rPr>
        <w:t>ième session</w:t>
      </w:r>
      <w:r w:rsidRPr="00682181">
        <w:rPr>
          <w:b/>
          <w:bCs/>
          <w:iCs/>
          <w:sz w:val="24"/>
          <w:lang w:val="fr-FR"/>
        </w:rPr>
        <w:t xml:space="preserve"> (32</w:t>
      </w:r>
      <w:r w:rsidRPr="00682181">
        <w:rPr>
          <w:b/>
          <w:bCs/>
          <w:iCs/>
          <w:sz w:val="24"/>
          <w:vertAlign w:val="superscript"/>
          <w:lang w:val="fr-FR"/>
        </w:rPr>
        <w:t>e</w:t>
      </w:r>
      <w:r w:rsidR="00D55E80">
        <w:rPr>
          <w:b/>
          <w:bCs/>
          <w:iCs/>
          <w:sz w:val="24"/>
          <w:lang w:val="fr-FR"/>
        </w:rPr>
        <w:t> </w:t>
      </w:r>
      <w:r w:rsidRPr="00682181">
        <w:rPr>
          <w:b/>
          <w:bCs/>
          <w:iCs/>
          <w:sz w:val="24"/>
          <w:lang w:val="fr-FR"/>
        </w:rPr>
        <w:t>session extraordinaire)</w:t>
      </w:r>
    </w:p>
    <w:p w:rsidR="008B2CC1" w:rsidRPr="00682181" w:rsidRDefault="00E72EF8" w:rsidP="00DB0349">
      <w:pPr>
        <w:spacing w:after="720"/>
        <w:rPr>
          <w:b/>
          <w:sz w:val="24"/>
          <w:szCs w:val="24"/>
          <w:lang w:val="fr-FR"/>
        </w:rPr>
      </w:pPr>
      <w:r w:rsidRPr="00682181">
        <w:rPr>
          <w:b/>
          <w:sz w:val="24"/>
          <w:szCs w:val="24"/>
          <w:lang w:val="fr-FR"/>
        </w:rPr>
        <w:t>Genève, 1</w:t>
      </w:r>
      <w:r w:rsidR="00526CD4" w:rsidRPr="00682181">
        <w:rPr>
          <w:b/>
          <w:sz w:val="24"/>
          <w:szCs w:val="24"/>
          <w:lang w:val="fr-FR"/>
        </w:rPr>
        <w:t>4</w:t>
      </w:r>
      <w:r w:rsidRPr="00682181">
        <w:rPr>
          <w:b/>
          <w:sz w:val="24"/>
          <w:szCs w:val="24"/>
          <w:lang w:val="fr-FR"/>
        </w:rPr>
        <w:t xml:space="preserve"> – 2</w:t>
      </w:r>
      <w:r w:rsidR="00DA04C0" w:rsidRPr="00682181">
        <w:rPr>
          <w:b/>
          <w:sz w:val="24"/>
          <w:szCs w:val="24"/>
          <w:lang w:val="fr-FR"/>
        </w:rPr>
        <w:t>2 juillet 20</w:t>
      </w:r>
      <w:r w:rsidRPr="00682181">
        <w:rPr>
          <w:b/>
          <w:sz w:val="24"/>
          <w:szCs w:val="24"/>
          <w:lang w:val="fr-FR"/>
        </w:rPr>
        <w:t>22</w:t>
      </w:r>
    </w:p>
    <w:p w:rsidR="0091042F" w:rsidRPr="00682181" w:rsidRDefault="00980008" w:rsidP="0091042F">
      <w:pPr>
        <w:spacing w:after="360"/>
        <w:rPr>
          <w:caps/>
          <w:sz w:val="24"/>
          <w:lang w:val="fr-FR"/>
        </w:rPr>
      </w:pPr>
      <w:r w:rsidRPr="00BE6162">
        <w:rPr>
          <w:caps/>
          <w:color w:val="000000"/>
          <w:sz w:val="24"/>
        </w:rPr>
        <w:t>Excédent</w:t>
      </w:r>
      <w:r w:rsidR="0004766F">
        <w:rPr>
          <w:caps/>
          <w:color w:val="000000"/>
          <w:sz w:val="24"/>
        </w:rPr>
        <w:t>s</w:t>
      </w:r>
      <w:r w:rsidRPr="00BE6162">
        <w:rPr>
          <w:caps/>
          <w:color w:val="000000"/>
          <w:sz w:val="24"/>
        </w:rPr>
        <w:t xml:space="preserve"> de l</w:t>
      </w:r>
      <w:r w:rsidR="001266B6">
        <w:rPr>
          <w:caps/>
          <w:color w:val="000000"/>
          <w:sz w:val="24"/>
        </w:rPr>
        <w:t>’</w:t>
      </w:r>
      <w:r w:rsidRPr="00BE6162">
        <w:rPr>
          <w:caps/>
          <w:color w:val="000000"/>
          <w:sz w:val="24"/>
        </w:rPr>
        <w:t>Union de Madrid pour les exercices biennaux 2018</w:t>
      </w:r>
      <w:r w:rsidR="0004766F">
        <w:rPr>
          <w:caps/>
          <w:color w:val="000000"/>
          <w:sz w:val="24"/>
        </w:rPr>
        <w:noBreakHyphen/>
      </w:r>
      <w:r w:rsidRPr="00BE6162">
        <w:rPr>
          <w:caps/>
          <w:color w:val="000000"/>
          <w:sz w:val="24"/>
        </w:rPr>
        <w:t>2019 et 2020</w:t>
      </w:r>
      <w:r w:rsidR="0004766F">
        <w:rPr>
          <w:caps/>
          <w:color w:val="000000"/>
          <w:sz w:val="24"/>
        </w:rPr>
        <w:noBreakHyphen/>
      </w:r>
      <w:r w:rsidRPr="00BE6162">
        <w:rPr>
          <w:caps/>
          <w:color w:val="000000"/>
          <w:sz w:val="24"/>
        </w:rPr>
        <w:t>2021</w:t>
      </w:r>
    </w:p>
    <w:p w:rsidR="0091042F" w:rsidRPr="00682181" w:rsidRDefault="0091042F" w:rsidP="0091042F">
      <w:pPr>
        <w:spacing w:after="960"/>
        <w:rPr>
          <w:i/>
          <w:lang w:val="fr-FR"/>
        </w:rPr>
      </w:pPr>
      <w:r w:rsidRPr="00682181">
        <w:rPr>
          <w:i/>
          <w:lang w:val="fr-FR"/>
        </w:rPr>
        <w:t xml:space="preserve">Document établi par le </w:t>
      </w:r>
      <w:r w:rsidR="00E5688E" w:rsidRPr="00E5688E">
        <w:rPr>
          <w:i/>
          <w:lang w:val="en-US"/>
        </w:rPr>
        <w:t>Secrétariat</w:t>
      </w:r>
    </w:p>
    <w:p w:rsidR="00DA3B2D" w:rsidRDefault="00E5688E" w:rsidP="00E5688E">
      <w:pPr>
        <w:pStyle w:val="ONUMFS"/>
      </w:pPr>
      <w:r w:rsidRPr="00E5688E">
        <w:t>L</w:t>
      </w:r>
      <w:r w:rsidR="001266B6">
        <w:t>’</w:t>
      </w:r>
      <w:r w:rsidRPr="00E5688E">
        <w:t xml:space="preserve">objectif </w:t>
      </w:r>
      <w:r w:rsidRPr="00E5688E">
        <w:rPr>
          <w:color w:val="000000"/>
        </w:rPr>
        <w:t xml:space="preserve">du présent </w:t>
      </w:r>
      <w:r w:rsidRPr="00E5688E">
        <w:t xml:space="preserve">document est de </w:t>
      </w:r>
      <w:r w:rsidR="00CE476C">
        <w:rPr>
          <w:color w:val="000000"/>
        </w:rPr>
        <w:t>fournir</w:t>
      </w:r>
      <w:r w:rsidRPr="00E5688E">
        <w:rPr>
          <w:color w:val="000000"/>
        </w:rPr>
        <w:t xml:space="preserve"> </w:t>
      </w:r>
      <w:r w:rsidRPr="00E5688E">
        <w:t xml:space="preserve">aux États membres </w:t>
      </w:r>
      <w:r w:rsidR="00B70681">
        <w:t>des informations</w:t>
      </w:r>
      <w:r w:rsidRPr="00E5688E">
        <w:t xml:space="preserve"> </w:t>
      </w:r>
      <w:r w:rsidR="00B70681">
        <w:t>t</w:t>
      </w:r>
      <w:r w:rsidRPr="00E5688E">
        <w:t>ransparent</w:t>
      </w:r>
      <w:r w:rsidR="00B70681">
        <w:t>es</w:t>
      </w:r>
      <w:r w:rsidRPr="00E5688E">
        <w:t xml:space="preserve"> et </w:t>
      </w:r>
      <w:r w:rsidR="00B70681">
        <w:t>actualisées</w:t>
      </w:r>
      <w:r w:rsidRPr="00E5688E">
        <w:t xml:space="preserve"> </w:t>
      </w:r>
      <w:r w:rsidR="00B70681">
        <w:t>sur les</w:t>
      </w:r>
      <w:r w:rsidRPr="00E5688E">
        <w:t xml:space="preserve"> excédents de l</w:t>
      </w:r>
      <w:r w:rsidR="001266B6">
        <w:t>’</w:t>
      </w:r>
      <w:r w:rsidRPr="00E5688E">
        <w:t xml:space="preserve">Union de Madrid pour les exercices </w:t>
      </w:r>
      <w:r w:rsidR="004038E9">
        <w:t xml:space="preserve">biennaux </w:t>
      </w:r>
      <w:r w:rsidRPr="00E5688E">
        <w:t>2018</w:t>
      </w:r>
      <w:r w:rsidR="0004766F">
        <w:rPr>
          <w:color w:val="000000"/>
        </w:rPr>
        <w:noBreakHyphen/>
      </w:r>
      <w:r w:rsidRPr="00E5688E">
        <w:rPr>
          <w:color w:val="000000"/>
        </w:rPr>
        <w:t>20</w:t>
      </w:r>
      <w:r w:rsidRPr="00E5688E">
        <w:t>19 et 2020</w:t>
      </w:r>
      <w:r w:rsidR="0004766F">
        <w:rPr>
          <w:color w:val="000000"/>
        </w:rPr>
        <w:noBreakHyphen/>
      </w:r>
      <w:r w:rsidRPr="00E5688E">
        <w:rPr>
          <w:color w:val="000000"/>
        </w:rPr>
        <w:t>20</w:t>
      </w:r>
      <w:r w:rsidRPr="00E5688E">
        <w:t>21</w:t>
      </w:r>
      <w:r w:rsidRPr="00E5688E">
        <w:rPr>
          <w:color w:val="000000"/>
        </w:rPr>
        <w:t xml:space="preserve"> </w:t>
      </w:r>
      <w:r w:rsidR="00CE476C">
        <w:rPr>
          <w:color w:val="000000"/>
        </w:rPr>
        <w:t>et</w:t>
      </w:r>
      <w:r w:rsidRPr="00E5688E">
        <w:rPr>
          <w:color w:val="000000"/>
        </w:rPr>
        <w:t xml:space="preserve"> </w:t>
      </w:r>
      <w:r w:rsidR="00CE476C">
        <w:rPr>
          <w:color w:val="000000"/>
        </w:rPr>
        <w:t>l</w:t>
      </w:r>
      <w:r w:rsidRPr="00E5688E">
        <w:t>e</w:t>
      </w:r>
      <w:r w:rsidRPr="00E5688E">
        <w:rPr>
          <w:color w:val="000000"/>
        </w:rPr>
        <w:t>s</w:t>
      </w:r>
      <w:r w:rsidRPr="00E5688E">
        <w:t xml:space="preserve"> actif</w:t>
      </w:r>
      <w:r w:rsidRPr="00E5688E">
        <w:rPr>
          <w:color w:val="000000"/>
        </w:rPr>
        <w:t>s</w:t>
      </w:r>
      <w:r w:rsidRPr="00E5688E">
        <w:t xml:space="preserve"> net</w:t>
      </w:r>
      <w:r w:rsidRPr="00E5688E">
        <w:rPr>
          <w:color w:val="000000"/>
        </w:rPr>
        <w:t>s</w:t>
      </w:r>
      <w:r w:rsidRPr="00E5688E">
        <w:t xml:space="preserve"> de l</w:t>
      </w:r>
      <w:r w:rsidR="001266B6">
        <w:t>’</w:t>
      </w:r>
      <w:r w:rsidRPr="00E5688E">
        <w:t>Union de Madrid au 3</w:t>
      </w:r>
      <w:r w:rsidR="00DA3B2D" w:rsidRPr="00E5688E">
        <w:t>1</w:t>
      </w:r>
      <w:r w:rsidR="00DA3B2D">
        <w:t> </w:t>
      </w:r>
      <w:r w:rsidR="00DA3B2D" w:rsidRPr="00E5688E">
        <w:t>décembre</w:t>
      </w:r>
      <w:r w:rsidR="00DA3B2D">
        <w:t> </w:t>
      </w:r>
      <w:r w:rsidR="00DA3B2D" w:rsidRPr="00E5688E">
        <w:t>20</w:t>
      </w:r>
      <w:r w:rsidRPr="00E5688E">
        <w:t>21.</w:t>
      </w:r>
    </w:p>
    <w:p w:rsidR="0091042F" w:rsidRPr="00682181" w:rsidRDefault="00E5688E" w:rsidP="00E5688E">
      <w:pPr>
        <w:pStyle w:val="ONUMFS"/>
        <w:rPr>
          <w:lang w:val="fr-FR"/>
        </w:rPr>
      </w:pPr>
      <w:r w:rsidRPr="00BE6162">
        <w:rPr>
          <w:color w:val="000000"/>
        </w:rPr>
        <w:t>L</w:t>
      </w:r>
      <w:r w:rsidR="001266B6">
        <w:rPr>
          <w:color w:val="000000"/>
        </w:rPr>
        <w:t>’</w:t>
      </w:r>
      <w:r w:rsidRPr="00BE6162">
        <w:rPr>
          <w:color w:val="000000"/>
        </w:rPr>
        <w:t>excédent des recettes par rapport aux dépenses de l</w:t>
      </w:r>
      <w:r w:rsidR="001266B6">
        <w:rPr>
          <w:color w:val="000000"/>
        </w:rPr>
        <w:t>’</w:t>
      </w:r>
      <w:r w:rsidRPr="00BE6162">
        <w:rPr>
          <w:color w:val="000000"/>
        </w:rPr>
        <w:t>Union de Madrid s</w:t>
      </w:r>
      <w:r w:rsidR="001266B6">
        <w:rPr>
          <w:color w:val="000000"/>
        </w:rPr>
        <w:t>’</w:t>
      </w:r>
      <w:r w:rsidRPr="00BE6162">
        <w:rPr>
          <w:color w:val="000000"/>
        </w:rPr>
        <w:t>est élevé à</w:t>
      </w:r>
      <w:r w:rsidRPr="00BE6162">
        <w:t xml:space="preserve"> 15,</w:t>
      </w:r>
      <w:r w:rsidR="00DA3B2D" w:rsidRPr="00BE6162">
        <w:t>9</w:t>
      </w:r>
      <w:r w:rsidR="00DA3B2D">
        <w:t> </w:t>
      </w:r>
      <w:r w:rsidR="00DA3B2D" w:rsidRPr="00BE6162">
        <w:t>million</w:t>
      </w:r>
      <w:r w:rsidRPr="00BE6162">
        <w:t xml:space="preserve">s de francs </w:t>
      </w:r>
      <w:r w:rsidRPr="00E5688E">
        <w:t>suisses</w:t>
      </w:r>
      <w:r w:rsidRPr="00E5688E">
        <w:rPr>
          <w:rStyle w:val="FootnoteReference"/>
        </w:rPr>
        <w:footnoteReference w:id="2"/>
      </w:r>
      <w:r w:rsidRPr="00E5688E">
        <w:t xml:space="preserve"> au cours de l</w:t>
      </w:r>
      <w:r w:rsidR="001266B6">
        <w:t>’</w:t>
      </w:r>
      <w:r w:rsidRPr="00E5688E">
        <w:t xml:space="preserve">exercice </w:t>
      </w:r>
      <w:r w:rsidR="00DA3B2D">
        <w:t>biennal </w:t>
      </w:r>
      <w:r w:rsidR="00DA3B2D" w:rsidRPr="00E5688E">
        <w:t>2018</w:t>
      </w:r>
      <w:r w:rsidR="0004766F">
        <w:noBreakHyphen/>
      </w:r>
      <w:r w:rsidRPr="00E5688E">
        <w:t>2019 et à 22,</w:t>
      </w:r>
      <w:r w:rsidR="00DA3B2D" w:rsidRPr="00E5688E">
        <w:t>5</w:t>
      </w:r>
      <w:r w:rsidR="00DA3B2D">
        <w:t> </w:t>
      </w:r>
      <w:r w:rsidR="00DA3B2D" w:rsidRPr="00E5688E">
        <w:t>million</w:t>
      </w:r>
      <w:r w:rsidRPr="00E5688E">
        <w:t xml:space="preserve">s de francs suisses </w:t>
      </w:r>
      <w:r w:rsidR="00E91439">
        <w:t>au cours de</w:t>
      </w:r>
      <w:r w:rsidRPr="00E5688E">
        <w:t xml:space="preserve"> l</w:t>
      </w:r>
      <w:r w:rsidR="001266B6">
        <w:t>’</w:t>
      </w:r>
      <w:r w:rsidRPr="00E5688E">
        <w:t xml:space="preserve">exercice </w:t>
      </w:r>
      <w:r w:rsidR="00DA3B2D">
        <w:t>biennal </w:t>
      </w:r>
      <w:r w:rsidR="00DA3B2D" w:rsidRPr="00E5688E">
        <w:t>2020</w:t>
      </w:r>
      <w:r w:rsidR="0004766F">
        <w:noBreakHyphen/>
      </w:r>
      <w:r w:rsidRPr="00E5688E">
        <w:t>2021, comme l</w:t>
      </w:r>
      <w:r w:rsidR="001266B6">
        <w:t>’</w:t>
      </w:r>
      <w:r w:rsidRPr="00E5688E">
        <w:t>indique le Rapport sur la performance de l</w:t>
      </w:r>
      <w:r w:rsidR="001266B6">
        <w:t>’</w:t>
      </w:r>
      <w:r w:rsidRPr="00E5688E">
        <w:t xml:space="preserve">OMPI </w:t>
      </w:r>
      <w:r w:rsidR="00DA3B2D" w:rsidRPr="00E5688E">
        <w:t>pour</w:t>
      </w:r>
      <w:r w:rsidR="00DA3B2D">
        <w:t> </w:t>
      </w:r>
      <w:r w:rsidR="00DA3B2D" w:rsidRPr="00E5688E">
        <w:t>2020</w:t>
      </w:r>
      <w:r w:rsidR="0004766F">
        <w:noBreakHyphen/>
      </w:r>
      <w:r w:rsidRPr="00E5688E">
        <w:t>21 (document WO/PBC/34/7).</w:t>
      </w:r>
    </w:p>
    <w:p w:rsidR="0091042F" w:rsidRPr="00682181" w:rsidRDefault="0091042F" w:rsidP="0091042F">
      <w:pPr>
        <w:pStyle w:val="ONUMFS"/>
        <w:rPr>
          <w:lang w:val="fr-FR"/>
        </w:rPr>
      </w:pPr>
      <w:r w:rsidRPr="00682181">
        <w:rPr>
          <w:lang w:val="fr-FR"/>
        </w:rPr>
        <w:t>L</w:t>
      </w:r>
      <w:r w:rsidR="001266B6">
        <w:rPr>
          <w:lang w:val="fr-FR"/>
        </w:rPr>
        <w:t>’</w:t>
      </w:r>
      <w:r w:rsidRPr="00682181">
        <w:rPr>
          <w:lang w:val="fr-FR"/>
        </w:rPr>
        <w:t>article 8.4) du Protocole relatif à l</w:t>
      </w:r>
      <w:r w:rsidR="001266B6">
        <w:rPr>
          <w:lang w:val="fr-FR"/>
        </w:rPr>
        <w:t>’</w:t>
      </w:r>
      <w:r w:rsidRPr="00682181">
        <w:rPr>
          <w:lang w:val="fr-FR"/>
        </w:rPr>
        <w:t>Arrangement de Madrid concernant l</w:t>
      </w:r>
      <w:r w:rsidR="001266B6">
        <w:rPr>
          <w:lang w:val="fr-FR"/>
        </w:rPr>
        <w:t>’</w:t>
      </w:r>
      <w:r w:rsidRPr="00682181">
        <w:rPr>
          <w:lang w:val="fr-FR"/>
        </w:rPr>
        <w:t>enregistrement international des marques prévoit que “[l]e produit annuel des diverses recettes de l</w:t>
      </w:r>
      <w:r w:rsidR="001266B6">
        <w:rPr>
          <w:lang w:val="fr-FR"/>
        </w:rPr>
        <w:t>’</w:t>
      </w:r>
      <w:r w:rsidRPr="00682181">
        <w:rPr>
          <w:lang w:val="fr-FR"/>
        </w:rPr>
        <w:t>enregistrement international, à l</w:t>
      </w:r>
      <w:r w:rsidR="001266B6">
        <w:rPr>
          <w:lang w:val="fr-FR"/>
        </w:rPr>
        <w:t>’</w:t>
      </w:r>
      <w:r w:rsidRPr="00682181">
        <w:rPr>
          <w:lang w:val="fr-FR"/>
        </w:rPr>
        <w:t>exception des recettes provenant des émoluments visés à l</w:t>
      </w:r>
      <w:r w:rsidR="001266B6">
        <w:rPr>
          <w:lang w:val="fr-FR"/>
        </w:rPr>
        <w:t>’</w:t>
      </w:r>
      <w:r w:rsidRPr="00682181">
        <w:rPr>
          <w:lang w:val="fr-FR"/>
        </w:rPr>
        <w:t>alinéa </w:t>
      </w:r>
      <w:proofErr w:type="gramStart"/>
      <w:r w:rsidRPr="00682181">
        <w:rPr>
          <w:lang w:val="fr-FR"/>
        </w:rPr>
        <w:t>2)ii</w:t>
      </w:r>
      <w:proofErr w:type="gramEnd"/>
      <w:r w:rsidRPr="00682181">
        <w:rPr>
          <w:lang w:val="fr-FR"/>
        </w:rPr>
        <w:t>) et iii), sera réparti par parts égales entre les parties contractantes par les soins du Bureau international, après déduction des frais et charges nécessités par l</w:t>
      </w:r>
      <w:r w:rsidR="001266B6">
        <w:rPr>
          <w:lang w:val="fr-FR"/>
        </w:rPr>
        <w:t>’</w:t>
      </w:r>
      <w:r w:rsidRPr="00682181">
        <w:rPr>
          <w:lang w:val="fr-FR"/>
        </w:rPr>
        <w:t>exécution du présent Protocole”.  L</w:t>
      </w:r>
      <w:r w:rsidR="001266B6">
        <w:rPr>
          <w:lang w:val="fr-FR"/>
        </w:rPr>
        <w:t>’</w:t>
      </w:r>
      <w:r w:rsidRPr="00682181">
        <w:rPr>
          <w:lang w:val="fr-FR"/>
        </w:rPr>
        <w:t>article 4.7 du Règlement financier et règlement d</w:t>
      </w:r>
      <w:r w:rsidR="001266B6">
        <w:rPr>
          <w:lang w:val="fr-FR"/>
        </w:rPr>
        <w:t>’</w:t>
      </w:r>
      <w:r w:rsidRPr="00682181">
        <w:rPr>
          <w:lang w:val="fr-FR"/>
        </w:rPr>
        <w:t>exécution du Règlement financier de l</w:t>
      </w:r>
      <w:r w:rsidR="001266B6">
        <w:rPr>
          <w:lang w:val="fr-FR"/>
        </w:rPr>
        <w:t>’</w:t>
      </w:r>
      <w:r w:rsidRPr="00682181">
        <w:rPr>
          <w:lang w:val="fr-FR"/>
        </w:rPr>
        <w:t xml:space="preserve">Organisation Mondiale de la Propriété Intellectuelle indique que “[s]i, après la </w:t>
      </w:r>
      <w:r w:rsidRPr="00682181">
        <w:rPr>
          <w:lang w:val="fr-FR"/>
        </w:rPr>
        <w:lastRenderedPageBreak/>
        <w:t>clôture de l</w:t>
      </w:r>
      <w:r w:rsidR="001266B6">
        <w:rPr>
          <w:lang w:val="fr-FR"/>
        </w:rPr>
        <w:t>’</w:t>
      </w:r>
      <w:r w:rsidRPr="00682181">
        <w:rPr>
          <w:lang w:val="fr-FR"/>
        </w:rPr>
        <w:t>exercice financier, les comptes de l</w:t>
      </w:r>
      <w:r w:rsidR="001266B6">
        <w:rPr>
          <w:lang w:val="fr-FR"/>
        </w:rPr>
        <w:t>’</w:t>
      </w:r>
      <w:r w:rsidRPr="00682181">
        <w:rPr>
          <w:lang w:val="fr-FR"/>
        </w:rPr>
        <w:t>une des unions font apparaître un excédent de recettes, celui</w:t>
      </w:r>
      <w:r w:rsidR="0004766F">
        <w:rPr>
          <w:lang w:val="fr-FR"/>
        </w:rPr>
        <w:noBreakHyphen/>
      </w:r>
      <w:r w:rsidRPr="00682181">
        <w:rPr>
          <w:lang w:val="fr-FR"/>
        </w:rPr>
        <w:t>ci sera comptabilisé dans les fonds de réserve sauf décision contraire de l</w:t>
      </w:r>
      <w:r w:rsidR="001266B6">
        <w:rPr>
          <w:lang w:val="fr-FR"/>
        </w:rPr>
        <w:t>’</w:t>
      </w:r>
      <w:r w:rsidRPr="00682181">
        <w:rPr>
          <w:lang w:val="fr-FR"/>
        </w:rPr>
        <w:t>Assemblée générale ou de l</w:t>
      </w:r>
      <w:r w:rsidR="001266B6">
        <w:rPr>
          <w:lang w:val="fr-FR"/>
        </w:rPr>
        <w:t>’</w:t>
      </w:r>
      <w:r w:rsidRPr="00682181">
        <w:rPr>
          <w:lang w:val="fr-FR"/>
        </w:rPr>
        <w:t>assemblée de l</w:t>
      </w:r>
      <w:r w:rsidR="001266B6">
        <w:rPr>
          <w:lang w:val="fr-FR"/>
        </w:rPr>
        <w:t>’</w:t>
      </w:r>
      <w:r w:rsidRPr="00682181">
        <w:rPr>
          <w:lang w:val="fr-FR"/>
        </w:rPr>
        <w:t>union concernée”.</w:t>
      </w:r>
    </w:p>
    <w:p w:rsidR="0091042F" w:rsidRPr="00E05997" w:rsidRDefault="00E05997" w:rsidP="0091042F">
      <w:pPr>
        <w:pStyle w:val="ONUMFS"/>
        <w:rPr>
          <w:lang w:val="fr-FR"/>
        </w:rPr>
      </w:pPr>
      <w:r w:rsidRPr="00E05997">
        <w:t>Conformément à l</w:t>
      </w:r>
      <w:r w:rsidR="001266B6">
        <w:t>’</w:t>
      </w:r>
      <w:r w:rsidR="00DA3B2D" w:rsidRPr="00E05997">
        <w:t>article</w:t>
      </w:r>
      <w:r w:rsidR="00DA3B2D">
        <w:t> </w:t>
      </w:r>
      <w:r w:rsidR="00DA3B2D" w:rsidRPr="00E05997">
        <w:t>4</w:t>
      </w:r>
      <w:r w:rsidRPr="00E05997">
        <w:t>.7 du Règlement financier, il est prévu de conserver ces excédents</w:t>
      </w:r>
      <w:r w:rsidRPr="00E05997">
        <w:rPr>
          <w:rStyle w:val="FootnoteReference"/>
        </w:rPr>
        <w:footnoteReference w:id="3"/>
      </w:r>
      <w:r w:rsidRPr="00E05997">
        <w:t xml:space="preserve"> dans les fonds de réserve de l</w:t>
      </w:r>
      <w:r w:rsidR="001266B6">
        <w:t>’</w:t>
      </w:r>
      <w:r w:rsidRPr="00E05997">
        <w:t>Union de Madrid</w:t>
      </w:r>
      <w:r w:rsidR="001266B6">
        <w:rPr>
          <w:lang w:val="fr-FR"/>
        </w:rPr>
        <w:t> :</w:t>
      </w:r>
    </w:p>
    <w:p w:rsidR="0091042F" w:rsidRPr="00682181" w:rsidRDefault="0091042F" w:rsidP="0091042F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proofErr w:type="gramStart"/>
      <w:r w:rsidRPr="00682181">
        <w:rPr>
          <w:lang w:val="fr-FR"/>
        </w:rPr>
        <w:t>en</w:t>
      </w:r>
      <w:proofErr w:type="gramEnd"/>
      <w:r w:rsidRPr="00682181">
        <w:rPr>
          <w:lang w:val="fr-FR"/>
        </w:rPr>
        <w:t xml:space="preserve"> prévision d</w:t>
      </w:r>
      <w:r w:rsidR="001266B6">
        <w:rPr>
          <w:lang w:val="fr-FR"/>
        </w:rPr>
        <w:t>’</w:t>
      </w:r>
      <w:r w:rsidRPr="00682181">
        <w:rPr>
          <w:lang w:val="fr-FR"/>
        </w:rPr>
        <w:t>une proposition qui sera soumise à l</w:t>
      </w:r>
      <w:r w:rsidR="001266B6">
        <w:rPr>
          <w:lang w:val="fr-FR"/>
        </w:rPr>
        <w:t>’</w:t>
      </w:r>
      <w:r w:rsidRPr="00682181">
        <w:rPr>
          <w:lang w:val="fr-FR"/>
        </w:rPr>
        <w:t>examen des États membres concernant le financement de la deuxième phase du projet relatif à la plateforme informatique du système de Madrid, afin de favoriser le développement et l</w:t>
      </w:r>
      <w:r w:rsidR="001266B6">
        <w:rPr>
          <w:lang w:val="fr-FR"/>
        </w:rPr>
        <w:t>’</w:t>
      </w:r>
      <w:r w:rsidRPr="00682181">
        <w:rPr>
          <w:lang w:val="fr-FR"/>
        </w:rPr>
        <w:t xml:space="preserve">amélioration continus des </w:t>
      </w:r>
      <w:r w:rsidR="00AF3F44">
        <w:rPr>
          <w:lang w:val="fr-FR"/>
        </w:rPr>
        <w:t>solutions</w:t>
      </w:r>
      <w:r w:rsidRPr="00682181">
        <w:rPr>
          <w:lang w:val="fr-FR"/>
        </w:rPr>
        <w:t xml:space="preserve"> informatiques du système de Madr</w:t>
      </w:r>
      <w:r w:rsidR="004C1EFC" w:rsidRPr="00682181">
        <w:rPr>
          <w:lang w:val="fr-FR"/>
        </w:rPr>
        <w:t>id</w:t>
      </w:r>
      <w:r w:rsidR="004C1EFC">
        <w:rPr>
          <w:lang w:val="fr-FR"/>
        </w:rPr>
        <w:t xml:space="preserve">.  </w:t>
      </w:r>
      <w:r w:rsidR="004C1EFC" w:rsidRPr="00682181">
        <w:rPr>
          <w:lang w:val="fr-FR"/>
        </w:rPr>
        <w:t>Il</w:t>
      </w:r>
      <w:r w:rsidRPr="00682181">
        <w:rPr>
          <w:lang w:val="fr-FR"/>
        </w:rPr>
        <w:t xml:space="preserve"> est rappelé que la première phase du projet du Plan</w:t>
      </w:r>
      <w:r w:rsidR="0004766F">
        <w:rPr>
          <w:lang w:val="fr-FR"/>
        </w:rPr>
        <w:noBreakHyphen/>
      </w:r>
      <w:r w:rsidRPr="00682181">
        <w:rPr>
          <w:lang w:val="fr-FR"/>
        </w:rPr>
        <w:t>cadre d</w:t>
      </w:r>
      <w:r w:rsidR="001266B6">
        <w:rPr>
          <w:lang w:val="fr-FR"/>
        </w:rPr>
        <w:t>’</w:t>
      </w:r>
      <w:r w:rsidR="00DE428B">
        <w:rPr>
          <w:lang w:val="fr-FR"/>
        </w:rPr>
        <w:t>équipement </w:t>
      </w:r>
      <w:r w:rsidRPr="00682181">
        <w:rPr>
          <w:lang w:val="fr-FR"/>
        </w:rPr>
        <w:t xml:space="preserve">(PCE) concernant la plateforme informatique du système de Madrid a été approuvée par les États membres en 2017, avec un budget de six millions de francs suisses </w:t>
      </w:r>
      <w:r w:rsidR="00AF3F44">
        <w:rPr>
          <w:lang w:val="fr-FR"/>
        </w:rPr>
        <w:t>financé</w:t>
      </w:r>
      <w:r w:rsidRPr="00682181">
        <w:rPr>
          <w:lang w:val="fr-FR"/>
        </w:rPr>
        <w:t xml:space="preserve"> au moyen des réserves (veuillez consulter le Rapport sur la performance en 2020</w:t>
      </w:r>
      <w:r w:rsidR="0004766F">
        <w:rPr>
          <w:lang w:val="fr-FR"/>
        </w:rPr>
        <w:noBreakHyphen/>
      </w:r>
      <w:r w:rsidR="00DE428B">
        <w:rPr>
          <w:lang w:val="fr-FR"/>
        </w:rPr>
        <w:t>2021 (a</w:t>
      </w:r>
      <w:r w:rsidRPr="00682181">
        <w:rPr>
          <w:lang w:val="fr-FR"/>
        </w:rPr>
        <w:t>nnexe XI du document WO/PBC/34/7) pour les dernières informations relatives à l</w:t>
      </w:r>
      <w:r w:rsidR="001266B6">
        <w:rPr>
          <w:lang w:val="fr-FR"/>
        </w:rPr>
        <w:t>’</w:t>
      </w:r>
      <w:r w:rsidRPr="00682181">
        <w:rPr>
          <w:lang w:val="fr-FR"/>
        </w:rPr>
        <w:t>état d</w:t>
      </w:r>
      <w:r w:rsidR="001266B6">
        <w:rPr>
          <w:lang w:val="fr-FR"/>
        </w:rPr>
        <w:t>’</w:t>
      </w:r>
      <w:r w:rsidRPr="00682181">
        <w:rPr>
          <w:lang w:val="fr-FR"/>
        </w:rPr>
        <w:t>avancement de ce projet));</w:t>
      </w:r>
    </w:p>
    <w:p w:rsidR="0091042F" w:rsidRPr="00682181" w:rsidRDefault="0091042F" w:rsidP="0091042F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proofErr w:type="gramStart"/>
      <w:r w:rsidRPr="00682181">
        <w:rPr>
          <w:lang w:val="fr-FR"/>
        </w:rPr>
        <w:t>pour</w:t>
      </w:r>
      <w:proofErr w:type="gramEnd"/>
      <w:r w:rsidRPr="00682181">
        <w:rPr>
          <w:lang w:val="fr-FR"/>
        </w:rPr>
        <w:t xml:space="preserve"> s</w:t>
      </w:r>
      <w:r w:rsidR="001266B6">
        <w:rPr>
          <w:lang w:val="fr-FR"/>
        </w:rPr>
        <w:t>’</w:t>
      </w:r>
      <w:r w:rsidRPr="00682181">
        <w:rPr>
          <w:lang w:val="fr-FR"/>
        </w:rPr>
        <w:t>assurer que les actifs nets de l</w:t>
      </w:r>
      <w:r w:rsidR="001266B6">
        <w:rPr>
          <w:lang w:val="fr-FR"/>
        </w:rPr>
        <w:t>’</w:t>
      </w:r>
      <w:r w:rsidRPr="00682181">
        <w:rPr>
          <w:lang w:val="fr-FR"/>
        </w:rPr>
        <w:t>Union de Madrid ne tombent pas en</w:t>
      </w:r>
      <w:r w:rsidR="00D55E80">
        <w:rPr>
          <w:lang w:val="fr-FR"/>
        </w:rPr>
        <w:t xml:space="preserve"> </w:t>
      </w:r>
      <w:r w:rsidRPr="00682181">
        <w:rPr>
          <w:lang w:val="fr-FR"/>
        </w:rPr>
        <w:t>dessous de leur niveau cib</w:t>
      </w:r>
      <w:r w:rsidR="004C1EFC" w:rsidRPr="00682181">
        <w:rPr>
          <w:lang w:val="fr-FR"/>
        </w:rPr>
        <w:t>le</w:t>
      </w:r>
      <w:r w:rsidR="004C1EFC">
        <w:rPr>
          <w:lang w:val="fr-FR"/>
        </w:rPr>
        <w:t xml:space="preserve">.  </w:t>
      </w:r>
      <w:r w:rsidR="004C1EFC" w:rsidRPr="00682181">
        <w:rPr>
          <w:lang w:val="fr-FR"/>
        </w:rPr>
        <w:t>Fi</w:t>
      </w:r>
      <w:r w:rsidRPr="00682181">
        <w:rPr>
          <w:lang w:val="fr-FR"/>
        </w:rPr>
        <w:t>n 2021, les actifs nets de l</w:t>
      </w:r>
      <w:r w:rsidR="001266B6">
        <w:rPr>
          <w:lang w:val="fr-FR"/>
        </w:rPr>
        <w:t>’</w:t>
      </w:r>
      <w:r w:rsidRPr="00682181">
        <w:rPr>
          <w:lang w:val="fr-FR"/>
        </w:rPr>
        <w:t>Union de Madrid s</w:t>
      </w:r>
      <w:r w:rsidR="001266B6">
        <w:rPr>
          <w:lang w:val="fr-FR"/>
        </w:rPr>
        <w:t>’</w:t>
      </w:r>
      <w:r w:rsidRPr="00682181">
        <w:rPr>
          <w:lang w:val="fr-FR"/>
        </w:rPr>
        <w:t>élevaient à 35,7 millions de francs suisses (pertes actuarielles incluses), en baisse par rapport aux 51,9 millions de francs suisses à la fin de 2019 (pertes actuarielles inclus</w:t>
      </w:r>
      <w:r w:rsidR="004C1EFC" w:rsidRPr="00682181">
        <w:rPr>
          <w:lang w:val="fr-FR"/>
        </w:rPr>
        <w:t>es)</w:t>
      </w:r>
      <w:r w:rsidR="004C1EFC">
        <w:rPr>
          <w:lang w:val="fr-FR"/>
        </w:rPr>
        <w:t xml:space="preserve">.  </w:t>
      </w:r>
      <w:r w:rsidR="004C1EFC" w:rsidRPr="00682181">
        <w:rPr>
          <w:lang w:val="fr-FR"/>
        </w:rPr>
        <w:t>Ce</w:t>
      </w:r>
      <w:r w:rsidRPr="00682181">
        <w:rPr>
          <w:lang w:val="fr-FR"/>
        </w:rPr>
        <w:t>tte diminution est entièrement imputable à l</w:t>
      </w:r>
      <w:r w:rsidR="001266B6">
        <w:rPr>
          <w:lang w:val="fr-FR"/>
        </w:rPr>
        <w:t>’</w:t>
      </w:r>
      <w:r w:rsidRPr="00682181">
        <w:rPr>
          <w:lang w:val="fr-FR"/>
        </w:rPr>
        <w:t>augmentation des engagements au titre de l</w:t>
      </w:r>
      <w:r w:rsidR="001266B6">
        <w:rPr>
          <w:lang w:val="fr-FR"/>
        </w:rPr>
        <w:t>’</w:t>
      </w:r>
      <w:r w:rsidRPr="00682181">
        <w:rPr>
          <w:lang w:val="fr-FR"/>
        </w:rPr>
        <w:t>AMCS en 2020</w:t>
      </w:r>
      <w:r w:rsidR="0004766F">
        <w:rPr>
          <w:lang w:val="fr-FR"/>
        </w:rPr>
        <w:noBreakHyphen/>
      </w:r>
      <w:r w:rsidRPr="00682181">
        <w:rPr>
          <w:lang w:val="fr-FR"/>
        </w:rPr>
        <w:t>2021.  Le niveau cible des fonds de réserve et de roulement pour l</w:t>
      </w:r>
      <w:r w:rsidR="001266B6">
        <w:rPr>
          <w:lang w:val="fr-FR"/>
        </w:rPr>
        <w:t>’</w:t>
      </w:r>
      <w:r w:rsidRPr="00682181">
        <w:rPr>
          <w:lang w:val="fr-FR"/>
        </w:rPr>
        <w:t>Union de Madrid en 2022</w:t>
      </w:r>
      <w:r w:rsidR="0004766F">
        <w:rPr>
          <w:lang w:val="fr-FR"/>
        </w:rPr>
        <w:noBreakHyphen/>
      </w:r>
      <w:r w:rsidRPr="00682181">
        <w:rPr>
          <w:lang w:val="fr-FR"/>
        </w:rPr>
        <w:t>2023 s</w:t>
      </w:r>
      <w:r w:rsidR="001266B6">
        <w:rPr>
          <w:lang w:val="fr-FR"/>
        </w:rPr>
        <w:t>’</w:t>
      </w:r>
      <w:r w:rsidRPr="00682181">
        <w:rPr>
          <w:lang w:val="fr-FR"/>
        </w:rPr>
        <w:t>élève à 36,8 millions de francs suisses (veuillez consulter le programme de travail et budget 2022</w:t>
      </w:r>
      <w:r w:rsidR="0004766F">
        <w:rPr>
          <w:lang w:val="fr-FR"/>
        </w:rPr>
        <w:noBreakHyphen/>
      </w:r>
      <w:r w:rsidRPr="00682181">
        <w:rPr>
          <w:lang w:val="fr-FR"/>
        </w:rPr>
        <w:t>2023 de l</w:t>
      </w:r>
      <w:r w:rsidR="001266B6">
        <w:rPr>
          <w:lang w:val="fr-FR"/>
        </w:rPr>
        <w:t>’</w:t>
      </w:r>
      <w:r w:rsidRPr="00682181">
        <w:rPr>
          <w:lang w:val="fr-FR"/>
        </w:rPr>
        <w:t>OMPI</w:t>
      </w:r>
      <w:r w:rsidRPr="00682181">
        <w:rPr>
          <w:rStyle w:val="FootnoteReference"/>
          <w:lang w:val="fr-FR"/>
        </w:rPr>
        <w:footnoteReference w:id="4"/>
      </w:r>
      <w:r w:rsidRPr="00682181">
        <w:rPr>
          <w:lang w:val="fr-FR"/>
        </w:rPr>
        <w:t>).</w:t>
      </w:r>
    </w:p>
    <w:p w:rsidR="000F5E56" w:rsidRPr="00682181" w:rsidRDefault="0091042F" w:rsidP="0091042F">
      <w:pPr>
        <w:pStyle w:val="Endofdocument-Annex"/>
        <w:rPr>
          <w:lang w:val="fr-FR"/>
        </w:rPr>
      </w:pPr>
      <w:r w:rsidRPr="00682181">
        <w:rPr>
          <w:lang w:val="fr-FR"/>
        </w:rPr>
        <w:t>[Fin du document]</w:t>
      </w:r>
    </w:p>
    <w:sectPr w:rsidR="000F5E56" w:rsidRPr="00682181" w:rsidSect="00126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2F" w:rsidRDefault="0091042F">
      <w:r>
        <w:separator/>
      </w:r>
    </w:p>
  </w:endnote>
  <w:endnote w:type="continuationSeparator" w:id="0">
    <w:p w:rsidR="0091042F" w:rsidRPr="009D30E6" w:rsidRDefault="0091042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042F" w:rsidRPr="009D30E6" w:rsidRDefault="0091042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1042F" w:rsidRPr="009D30E6" w:rsidRDefault="0091042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80" w:rsidRDefault="00D55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81" w:rsidRDefault="006821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80" w:rsidRDefault="00D55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2F" w:rsidRDefault="0091042F">
      <w:r>
        <w:separator/>
      </w:r>
    </w:p>
  </w:footnote>
  <w:footnote w:type="continuationSeparator" w:id="0">
    <w:p w:rsidR="0091042F" w:rsidRDefault="0091042F" w:rsidP="007461F1">
      <w:r>
        <w:separator/>
      </w:r>
    </w:p>
    <w:p w:rsidR="0091042F" w:rsidRPr="009D30E6" w:rsidRDefault="0091042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1042F" w:rsidRPr="009D30E6" w:rsidRDefault="0091042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E5688E" w:rsidRPr="00BE6162" w:rsidRDefault="00E5688E" w:rsidP="00E568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05997">
        <w:t>Voir le Rapport sur la performance de l</w:t>
      </w:r>
      <w:r w:rsidR="00D66B55">
        <w:t>’</w:t>
      </w:r>
      <w:r w:rsidRPr="00E05997">
        <w:t xml:space="preserve">OMPI </w:t>
      </w:r>
      <w:r w:rsidR="00885282" w:rsidRPr="00E05997">
        <w:t>pour</w:t>
      </w:r>
      <w:r w:rsidR="00885282">
        <w:t> </w:t>
      </w:r>
      <w:r w:rsidR="00885282" w:rsidRPr="00E05997">
        <w:t>2018</w:t>
      </w:r>
      <w:r w:rsidR="0004766F">
        <w:noBreakHyphen/>
      </w:r>
      <w:r w:rsidRPr="00E05997">
        <w:t>2019, disponible à l</w:t>
      </w:r>
      <w:r w:rsidR="00D66B55">
        <w:t>’</w:t>
      </w:r>
      <w:r w:rsidRPr="00E05997">
        <w:t>adresse</w:t>
      </w:r>
      <w:r w:rsidR="0004766F">
        <w:t xml:space="preserve"> suivante</w:t>
      </w:r>
      <w:r w:rsidR="00D66B55">
        <w:t> :</w:t>
      </w:r>
      <w:r w:rsidRPr="00E05997">
        <w:t xml:space="preserve"> https://www.wipo.int/edocs/mdocs/govbody/fr/wo_pbc_31/wo_pbc_31_6.pdf.</w:t>
      </w:r>
    </w:p>
  </w:footnote>
  <w:footnote w:id="3">
    <w:p w:rsidR="00E05997" w:rsidRPr="00BE6162" w:rsidRDefault="00E05997" w:rsidP="00E059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D96516">
        <w:t>En raison de la pandémie de COVID</w:t>
      </w:r>
      <w:r w:rsidR="0004766F">
        <w:noBreakHyphen/>
      </w:r>
      <w:r w:rsidRPr="00D96516">
        <w:t xml:space="preserve">19 et, par conséquent, de la nécessité de </w:t>
      </w:r>
      <w:r w:rsidR="00EE2CB6" w:rsidRPr="00EE2CB6">
        <w:t>s</w:t>
      </w:r>
      <w:r w:rsidR="00D66B55">
        <w:t>’</w:t>
      </w:r>
      <w:r w:rsidR="00EE2CB6" w:rsidRPr="00EE2CB6">
        <w:t>en tenir au strict minimum possible en ce qui concerne les assemblées de l</w:t>
      </w:r>
      <w:r w:rsidR="00D66B55">
        <w:t>’</w:t>
      </w:r>
      <w:r w:rsidR="00EE2CB6" w:rsidRPr="00EE2CB6">
        <w:t>OMPI</w:t>
      </w:r>
      <w:r w:rsidRPr="00D96516">
        <w:t>, aucun document n</w:t>
      </w:r>
      <w:r w:rsidR="00D66B55">
        <w:t>’</w:t>
      </w:r>
      <w:r w:rsidRPr="00D96516">
        <w:t>a été présenté à la cinquante</w:t>
      </w:r>
      <w:r w:rsidR="0004766F">
        <w:noBreakHyphen/>
      </w:r>
      <w:r w:rsidRPr="00D96516">
        <w:t>quatr</w:t>
      </w:r>
      <w:r w:rsidR="00D66B55">
        <w:t>ième session</w:t>
      </w:r>
      <w:r w:rsidRPr="00D96516">
        <w:t xml:space="preserve"> (31</w:t>
      </w:r>
      <w:r w:rsidRPr="007406C5">
        <w:rPr>
          <w:vertAlign w:val="superscript"/>
        </w:rPr>
        <w:t>e</w:t>
      </w:r>
      <w:r w:rsidR="0004766F">
        <w:t> </w:t>
      </w:r>
      <w:r w:rsidRPr="00D96516">
        <w:t>session extraordinaire) de l</w:t>
      </w:r>
      <w:r w:rsidR="00D66B55">
        <w:t>’</w:t>
      </w:r>
      <w:r w:rsidRPr="00D96516">
        <w:t>Assemblée de l</w:t>
      </w:r>
      <w:r w:rsidR="00D66B55">
        <w:t>’</w:t>
      </w:r>
      <w:r w:rsidRPr="00D96516">
        <w:t>Union de Madrid concernant l</w:t>
      </w:r>
      <w:r w:rsidR="00D66B55">
        <w:t>’</w:t>
      </w:r>
      <w:r w:rsidRPr="00D96516">
        <w:t>excédent de l</w:t>
      </w:r>
      <w:r w:rsidR="00D66B55">
        <w:t>’</w:t>
      </w:r>
      <w:r w:rsidRPr="00D96516">
        <w:t xml:space="preserve">Union de Madrid </w:t>
      </w:r>
      <w:r w:rsidR="00885282" w:rsidRPr="00D96516">
        <w:t>pour</w:t>
      </w:r>
      <w:r w:rsidR="00885282">
        <w:t> </w:t>
      </w:r>
      <w:r w:rsidR="00885282" w:rsidRPr="00D96516">
        <w:t>2018</w:t>
      </w:r>
      <w:r w:rsidR="0004766F">
        <w:noBreakHyphen/>
      </w:r>
      <w:r w:rsidRPr="00D96516">
        <w:t>2019.</w:t>
      </w:r>
    </w:p>
  </w:footnote>
  <w:footnote w:id="4">
    <w:p w:rsidR="0091042F" w:rsidRPr="0059788B" w:rsidRDefault="0091042F" w:rsidP="00910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428B">
        <w:tab/>
      </w:r>
      <w:hyperlink r:id="rId1" w:history="1">
        <w:r w:rsidRPr="00DE428B">
          <w:rPr>
            <w:rStyle w:val="Hyperlink"/>
            <w:color w:val="auto"/>
            <w:u w:val="none"/>
          </w:rPr>
          <w:t>https://www.wipo.int/export/sites/www/about</w:t>
        </w:r>
        <w:r w:rsidR="0004766F">
          <w:rPr>
            <w:rStyle w:val="Hyperlink"/>
            <w:color w:val="auto"/>
            <w:u w:val="none"/>
          </w:rPr>
          <w:noBreakHyphen/>
        </w:r>
        <w:r w:rsidRPr="00DE428B">
          <w:rPr>
            <w:rStyle w:val="Hyperlink"/>
            <w:color w:val="auto"/>
            <w:u w:val="none"/>
          </w:rPr>
          <w:t>wipo/fr/budget/pdf/budget</w:t>
        </w:r>
        <w:r w:rsidR="0004766F">
          <w:rPr>
            <w:rStyle w:val="Hyperlink"/>
            <w:color w:val="auto"/>
            <w:u w:val="none"/>
          </w:rPr>
          <w:noBreakHyphen/>
        </w:r>
        <w:r w:rsidRPr="00DE428B">
          <w:rPr>
            <w:rStyle w:val="Hyperlink"/>
            <w:color w:val="auto"/>
            <w:u w:val="none"/>
          </w:rPr>
          <w:t>2022</w:t>
        </w:r>
        <w:r w:rsidR="0004766F">
          <w:rPr>
            <w:rStyle w:val="Hyperlink"/>
            <w:color w:val="auto"/>
            <w:u w:val="none"/>
          </w:rPr>
          <w:noBreakHyphen/>
        </w:r>
        <w:r w:rsidRPr="00DE428B">
          <w:rPr>
            <w:rStyle w:val="Hyperlink"/>
            <w:color w:val="auto"/>
            <w:u w:val="none"/>
          </w:rPr>
          <w:t>2023.pdf</w:t>
        </w:r>
      </w:hyperlink>
      <w:r w:rsidR="00DE428B" w:rsidRPr="00DE428B">
        <w:rPr>
          <w:rStyle w:val="Hyperlink"/>
          <w:color w:val="auto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80" w:rsidRDefault="00D55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1042F" w:rsidP="00477D6B">
    <w:pPr>
      <w:jc w:val="right"/>
    </w:pPr>
    <w:bookmarkStart w:id="4" w:name="Code2"/>
    <w:bookmarkEnd w:id="4"/>
    <w:r>
      <w:t>MM/A/56/INF/1</w:t>
    </w:r>
  </w:p>
  <w:p w:rsidR="004F4E31" w:rsidRDefault="0091042F" w:rsidP="0091042F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7225F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80" w:rsidRDefault="00D55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707A6D"/>
    <w:multiLevelType w:val="multilevel"/>
    <w:tmpl w:val="E8F242BE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84135D"/>
    <w:multiLevelType w:val="hybridMultilevel"/>
    <w:tmpl w:val="730AC378"/>
    <w:lvl w:ilvl="0" w:tplc="0409000F">
      <w:start w:val="1"/>
      <w:numFmt w:val="decimal"/>
      <w:lvlText w:val="%1."/>
      <w:lvlJc w:val="left"/>
      <w:pPr>
        <w:ind w:left="118" w:hanging="567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022211AA">
      <w:start w:val="1"/>
      <w:numFmt w:val="bullet"/>
      <w:lvlText w:val="-"/>
      <w:lvlJc w:val="left"/>
      <w:pPr>
        <w:ind w:left="1066" w:hanging="567"/>
      </w:pPr>
      <w:rPr>
        <w:rFonts w:ascii="Sitka Small" w:hAnsi="Sitka Small" w:hint="default"/>
        <w:lang w:val="en-US" w:eastAsia="en-US" w:bidi="en-US"/>
      </w:rPr>
    </w:lvl>
    <w:lvl w:ilvl="2" w:tplc="924CE908">
      <w:numFmt w:val="bullet"/>
      <w:lvlText w:val="•"/>
      <w:lvlJc w:val="left"/>
      <w:pPr>
        <w:ind w:left="2013" w:hanging="567"/>
      </w:pPr>
      <w:rPr>
        <w:rFonts w:hint="default"/>
        <w:lang w:val="en-US" w:eastAsia="en-US" w:bidi="en-US"/>
      </w:rPr>
    </w:lvl>
    <w:lvl w:ilvl="3" w:tplc="5CCC7DC6">
      <w:numFmt w:val="bullet"/>
      <w:lvlText w:val="•"/>
      <w:lvlJc w:val="left"/>
      <w:pPr>
        <w:ind w:left="2959" w:hanging="567"/>
      </w:pPr>
      <w:rPr>
        <w:rFonts w:hint="default"/>
        <w:lang w:val="en-US" w:eastAsia="en-US" w:bidi="en-US"/>
      </w:rPr>
    </w:lvl>
    <w:lvl w:ilvl="4" w:tplc="AE6A940E">
      <w:numFmt w:val="bullet"/>
      <w:lvlText w:val="•"/>
      <w:lvlJc w:val="left"/>
      <w:pPr>
        <w:ind w:left="3906" w:hanging="567"/>
      </w:pPr>
      <w:rPr>
        <w:rFonts w:hint="default"/>
        <w:lang w:val="en-US" w:eastAsia="en-US" w:bidi="en-US"/>
      </w:rPr>
    </w:lvl>
    <w:lvl w:ilvl="5" w:tplc="4FBA1F40">
      <w:numFmt w:val="bullet"/>
      <w:lvlText w:val="•"/>
      <w:lvlJc w:val="left"/>
      <w:pPr>
        <w:ind w:left="4853" w:hanging="567"/>
      </w:pPr>
      <w:rPr>
        <w:rFonts w:hint="default"/>
        <w:lang w:val="en-US" w:eastAsia="en-US" w:bidi="en-US"/>
      </w:rPr>
    </w:lvl>
    <w:lvl w:ilvl="6" w:tplc="4DEA797A">
      <w:numFmt w:val="bullet"/>
      <w:lvlText w:val="•"/>
      <w:lvlJc w:val="left"/>
      <w:pPr>
        <w:ind w:left="5799" w:hanging="567"/>
      </w:pPr>
      <w:rPr>
        <w:rFonts w:hint="default"/>
        <w:lang w:val="en-US" w:eastAsia="en-US" w:bidi="en-US"/>
      </w:rPr>
    </w:lvl>
    <w:lvl w:ilvl="7" w:tplc="C8201ACA">
      <w:numFmt w:val="bullet"/>
      <w:lvlText w:val="•"/>
      <w:lvlJc w:val="left"/>
      <w:pPr>
        <w:ind w:left="6746" w:hanging="567"/>
      </w:pPr>
      <w:rPr>
        <w:rFonts w:hint="default"/>
        <w:lang w:val="en-US" w:eastAsia="en-US" w:bidi="en-US"/>
      </w:rPr>
    </w:lvl>
    <w:lvl w:ilvl="8" w:tplc="FD122A7A">
      <w:numFmt w:val="bullet"/>
      <w:lvlText w:val="•"/>
      <w:lvlJc w:val="left"/>
      <w:pPr>
        <w:ind w:left="7693" w:hanging="567"/>
      </w:pPr>
      <w:rPr>
        <w:rFonts w:hint="default"/>
        <w:lang w:val="en-US" w:eastAsia="en-US" w:bidi="en-US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F"/>
    <w:rsid w:val="00011B7D"/>
    <w:rsid w:val="0004766F"/>
    <w:rsid w:val="00075432"/>
    <w:rsid w:val="000F5E56"/>
    <w:rsid w:val="001266B6"/>
    <w:rsid w:val="001362EE"/>
    <w:rsid w:val="001832A6"/>
    <w:rsid w:val="00195C6E"/>
    <w:rsid w:val="001B266A"/>
    <w:rsid w:val="001D3D56"/>
    <w:rsid w:val="001F3D12"/>
    <w:rsid w:val="00240654"/>
    <w:rsid w:val="002634C4"/>
    <w:rsid w:val="002D4918"/>
    <w:rsid w:val="002E4D1A"/>
    <w:rsid w:val="002F16BC"/>
    <w:rsid w:val="002F1B6F"/>
    <w:rsid w:val="002F4E68"/>
    <w:rsid w:val="00315FCA"/>
    <w:rsid w:val="003845C1"/>
    <w:rsid w:val="003A1BCD"/>
    <w:rsid w:val="004008A2"/>
    <w:rsid w:val="004025DF"/>
    <w:rsid w:val="004038E9"/>
    <w:rsid w:val="00423E3E"/>
    <w:rsid w:val="00427AF4"/>
    <w:rsid w:val="00453B24"/>
    <w:rsid w:val="004647DA"/>
    <w:rsid w:val="00477D6B"/>
    <w:rsid w:val="004C1EFC"/>
    <w:rsid w:val="004D6471"/>
    <w:rsid w:val="004F4E31"/>
    <w:rsid w:val="00525B63"/>
    <w:rsid w:val="00526CD4"/>
    <w:rsid w:val="00547476"/>
    <w:rsid w:val="005611AA"/>
    <w:rsid w:val="00561DB8"/>
    <w:rsid w:val="00567A4C"/>
    <w:rsid w:val="005E6516"/>
    <w:rsid w:val="00605827"/>
    <w:rsid w:val="00646CB1"/>
    <w:rsid w:val="00676936"/>
    <w:rsid w:val="00682181"/>
    <w:rsid w:val="006B0DB5"/>
    <w:rsid w:val="006B56CC"/>
    <w:rsid w:val="006E4243"/>
    <w:rsid w:val="007225F1"/>
    <w:rsid w:val="007406C5"/>
    <w:rsid w:val="007461F1"/>
    <w:rsid w:val="00766477"/>
    <w:rsid w:val="007D6961"/>
    <w:rsid w:val="007F07CB"/>
    <w:rsid w:val="00802AF1"/>
    <w:rsid w:val="00810CEF"/>
    <w:rsid w:val="0081208D"/>
    <w:rsid w:val="00842A13"/>
    <w:rsid w:val="00885282"/>
    <w:rsid w:val="008B2CC1"/>
    <w:rsid w:val="008E7930"/>
    <w:rsid w:val="0090731E"/>
    <w:rsid w:val="0091042F"/>
    <w:rsid w:val="00911D7A"/>
    <w:rsid w:val="00966A22"/>
    <w:rsid w:val="00974CD6"/>
    <w:rsid w:val="00974D5C"/>
    <w:rsid w:val="00980008"/>
    <w:rsid w:val="009D30E6"/>
    <w:rsid w:val="009E3F6F"/>
    <w:rsid w:val="009F499F"/>
    <w:rsid w:val="00A41ABF"/>
    <w:rsid w:val="00A57DD3"/>
    <w:rsid w:val="00AC0AE4"/>
    <w:rsid w:val="00AD61DB"/>
    <w:rsid w:val="00AF3F44"/>
    <w:rsid w:val="00B2492F"/>
    <w:rsid w:val="00B70681"/>
    <w:rsid w:val="00B87BCF"/>
    <w:rsid w:val="00BA62D4"/>
    <w:rsid w:val="00C40E15"/>
    <w:rsid w:val="00C664C8"/>
    <w:rsid w:val="00C76A79"/>
    <w:rsid w:val="00CA15F5"/>
    <w:rsid w:val="00CB65D6"/>
    <w:rsid w:val="00CE476C"/>
    <w:rsid w:val="00CF0460"/>
    <w:rsid w:val="00D45252"/>
    <w:rsid w:val="00D55E80"/>
    <w:rsid w:val="00D66B55"/>
    <w:rsid w:val="00D71B4D"/>
    <w:rsid w:val="00D75C1E"/>
    <w:rsid w:val="00D93D55"/>
    <w:rsid w:val="00D96516"/>
    <w:rsid w:val="00DA04C0"/>
    <w:rsid w:val="00DA3B2D"/>
    <w:rsid w:val="00DB0349"/>
    <w:rsid w:val="00DD6A16"/>
    <w:rsid w:val="00DE428B"/>
    <w:rsid w:val="00E0091A"/>
    <w:rsid w:val="00E05997"/>
    <w:rsid w:val="00E165BE"/>
    <w:rsid w:val="00E203AA"/>
    <w:rsid w:val="00E527A5"/>
    <w:rsid w:val="00E5688E"/>
    <w:rsid w:val="00E72EF8"/>
    <w:rsid w:val="00E76456"/>
    <w:rsid w:val="00E91439"/>
    <w:rsid w:val="00EE2CB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46D3A26-4659-44F6-B0F6-6AD419DC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91042F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91042F"/>
    <w:pPr>
      <w:widowControl w:val="0"/>
      <w:autoSpaceDE w:val="0"/>
      <w:autoSpaceDN w:val="0"/>
      <w:ind w:left="118" w:right="178"/>
    </w:pPr>
    <w:rPr>
      <w:rFonts w:eastAsia="Arial"/>
      <w:szCs w:val="22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42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104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042F"/>
    <w:rPr>
      <w:color w:val="0000FF" w:themeColor="hyperlink"/>
      <w:u w:val="single"/>
    </w:rPr>
  </w:style>
  <w:style w:type="paragraph" w:customStyle="1" w:styleId="Bulletedlistlevel2">
    <w:name w:val="Bulleted list level 2"/>
    <w:basedOn w:val="Normal"/>
    <w:rsid w:val="0091042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about-wipo/fr/budget/pdf/budget-2022-202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A 56 (F)</Template>
  <TotalTime>1</TotalTime>
  <Pages>2</Pages>
  <Words>514</Words>
  <Characters>2904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MM/A/56/INF/1</vt:lpstr>
    </vt:vector>
  </TitlesOfParts>
  <Company>WIPO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MM/A/56/INF/1</dc:title>
  <dc:creator>WIPO</dc:creator>
  <cp:keywords>PUBLIC</cp:keywords>
  <cp:lastModifiedBy>HÄFLIGER Patience</cp:lastModifiedBy>
  <cp:revision>3</cp:revision>
  <cp:lastPrinted>2011-05-19T12:37:00Z</cp:lastPrinted>
  <dcterms:created xsi:type="dcterms:W3CDTF">2022-07-05T12:25:00Z</dcterms:created>
  <dcterms:modified xsi:type="dcterms:W3CDTF">2022-07-05T12:25:00Z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