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A4858" w:rsidRPr="008B2CC1" w:rsidTr="00FA485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A4858" w:rsidRPr="008B2CC1" w:rsidRDefault="00FA4858" w:rsidP="00236A3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A4858" w:rsidRPr="008B2CC1" w:rsidRDefault="00FA4858" w:rsidP="00236A3B">
            <w:r>
              <w:rPr>
                <w:noProof/>
                <w:lang w:val="en-US" w:eastAsia="en-US"/>
              </w:rPr>
              <w:drawing>
                <wp:inline distT="0" distB="0" distL="0" distR="0" wp14:anchorId="3772D583" wp14:editId="4B75DA08">
                  <wp:extent cx="1857375" cy="1323975"/>
                  <wp:effectExtent l="0" t="0" r="0" b="0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A4858" w:rsidRPr="008B2CC1" w:rsidRDefault="00FA4858" w:rsidP="00236A3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A4858" w:rsidRPr="001832A6" w:rsidTr="00236A3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A4858" w:rsidRPr="0090731E" w:rsidRDefault="00FA4858" w:rsidP="00236A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MM/A/50/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FA4858" w:rsidRPr="001832A6" w:rsidTr="00236A3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A4858" w:rsidRPr="0090731E" w:rsidRDefault="00FA4858" w:rsidP="00236A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0700B" w:rsidRPr="00A0700B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FA4858" w:rsidRPr="001832A6" w:rsidTr="00236A3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A4858" w:rsidRPr="0090731E" w:rsidRDefault="00FA4858" w:rsidP="00236A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0700B" w:rsidRPr="00A0700B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 juillet 2016</w:t>
            </w:r>
          </w:p>
        </w:tc>
      </w:tr>
    </w:tbl>
    <w:p w:rsidR="00FA4858" w:rsidRPr="008B2CC1" w:rsidRDefault="00FA4858" w:rsidP="00FA4858"/>
    <w:p w:rsidR="00FA4858" w:rsidRPr="008B2CC1" w:rsidRDefault="00FA4858" w:rsidP="00FA4858"/>
    <w:p w:rsidR="00FA4858" w:rsidRPr="008B2CC1" w:rsidRDefault="00FA4858" w:rsidP="00FA4858"/>
    <w:p w:rsidR="00FA4858" w:rsidRPr="008B2CC1" w:rsidRDefault="00FA4858" w:rsidP="00FA4858"/>
    <w:p w:rsidR="00FA4858" w:rsidRPr="008B2CC1" w:rsidRDefault="00FA4858" w:rsidP="00FA4858"/>
    <w:p w:rsidR="00FA4858" w:rsidRPr="003845C1" w:rsidRDefault="00FA4858" w:rsidP="00FA48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Union particulière pour l’enregistrement international des </w:t>
      </w:r>
      <w:proofErr w:type="gramStart"/>
      <w:r>
        <w:rPr>
          <w:b/>
          <w:sz w:val="28"/>
          <w:szCs w:val="28"/>
        </w:rPr>
        <w:t>marques</w:t>
      </w:r>
      <w:proofErr w:type="gramEnd"/>
      <w:r>
        <w:rPr>
          <w:b/>
          <w:sz w:val="28"/>
          <w:szCs w:val="28"/>
        </w:rPr>
        <w:br/>
        <w:t>(Union de Madrid)</w:t>
      </w:r>
    </w:p>
    <w:p w:rsidR="00FA4858" w:rsidRDefault="00FA4858" w:rsidP="00FA4858"/>
    <w:p w:rsidR="00FA4858" w:rsidRDefault="00FA4858" w:rsidP="00FA4858"/>
    <w:p w:rsidR="00FA4858" w:rsidRPr="00C40E15" w:rsidRDefault="00FA4858" w:rsidP="00FA4858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FA4858" w:rsidRDefault="00FA4858" w:rsidP="00FA4858"/>
    <w:p w:rsidR="00FA4858" w:rsidRDefault="00FA4858" w:rsidP="00FA4858"/>
    <w:p w:rsidR="00FA4858" w:rsidRPr="003845C1" w:rsidRDefault="00FA4858" w:rsidP="00FA4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Cinquantième</w:t>
      </w:r>
      <w:r w:rsidR="00A0700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session (29</w:t>
      </w:r>
      <w:r w:rsidRPr="00DC3068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session extraordinaire)</w:t>
      </w:r>
    </w:p>
    <w:p w:rsidR="00FA4858" w:rsidRPr="003845C1" w:rsidRDefault="00FA4858" w:rsidP="00FA4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3 – 11 octobre 2016</w:t>
      </w:r>
    </w:p>
    <w:p w:rsidR="00FA4858" w:rsidRPr="008B2CC1" w:rsidRDefault="00FA4858" w:rsidP="00FA4858"/>
    <w:p w:rsidR="00FA4858" w:rsidRPr="008B2CC1" w:rsidRDefault="00FA4858" w:rsidP="00FA4858"/>
    <w:p w:rsidR="00FA4858" w:rsidRPr="008B2CC1" w:rsidRDefault="00FA4858" w:rsidP="00FA4858"/>
    <w:p w:rsidR="00FC091E" w:rsidRPr="00837D3E" w:rsidRDefault="0052496E" w:rsidP="0052496E">
      <w:pPr>
        <w:rPr>
          <w:caps/>
          <w:sz w:val="24"/>
          <w:lang w:val="fr-CH"/>
        </w:rPr>
      </w:pPr>
      <w:r w:rsidRPr="00837D3E">
        <w:rPr>
          <w:caps/>
          <w:sz w:val="24"/>
          <w:lang w:val="fr-CH"/>
        </w:rPr>
        <w:t>Proposition concernant les adhésions à l</w:t>
      </w:r>
      <w:r w:rsidR="00FA4858">
        <w:rPr>
          <w:caps/>
          <w:sz w:val="24"/>
          <w:lang w:val="fr-CH"/>
        </w:rPr>
        <w:t>’</w:t>
      </w:r>
      <w:r w:rsidRPr="00837D3E">
        <w:rPr>
          <w:caps/>
          <w:sz w:val="24"/>
          <w:lang w:val="fr-CH"/>
        </w:rPr>
        <w:t>Arrangement de Madrid uniquement</w:t>
      </w:r>
    </w:p>
    <w:p w:rsidR="00FC091E" w:rsidRPr="00837D3E" w:rsidRDefault="00FC091E" w:rsidP="008B2CC1">
      <w:pPr>
        <w:rPr>
          <w:lang w:val="fr-CH"/>
        </w:rPr>
      </w:pPr>
    </w:p>
    <w:p w:rsidR="00FC091E" w:rsidRPr="00837D3E" w:rsidRDefault="0052496E" w:rsidP="0052496E">
      <w:pPr>
        <w:rPr>
          <w:i/>
          <w:lang w:val="fr-CH"/>
        </w:rPr>
      </w:pPr>
      <w:bookmarkStart w:id="3" w:name="Prepared"/>
      <w:bookmarkEnd w:id="3"/>
      <w:r w:rsidRPr="00837D3E">
        <w:rPr>
          <w:i/>
          <w:lang w:val="fr-CH"/>
        </w:rPr>
        <w:t>Document établi par le Bureau international</w:t>
      </w:r>
    </w:p>
    <w:p w:rsidR="00FC091E" w:rsidRPr="00837D3E" w:rsidRDefault="00FC091E">
      <w:pPr>
        <w:rPr>
          <w:lang w:val="fr-CH"/>
        </w:rPr>
      </w:pPr>
    </w:p>
    <w:p w:rsidR="00FC091E" w:rsidRPr="00837D3E" w:rsidRDefault="00FC091E">
      <w:pPr>
        <w:rPr>
          <w:lang w:val="fr-CH"/>
        </w:rPr>
      </w:pPr>
    </w:p>
    <w:p w:rsidR="00FC091E" w:rsidRPr="00837D3E" w:rsidRDefault="00FC091E">
      <w:pPr>
        <w:rPr>
          <w:lang w:val="fr-CH"/>
        </w:rPr>
      </w:pPr>
    </w:p>
    <w:p w:rsidR="00FC091E" w:rsidRPr="00837D3E" w:rsidRDefault="00FC091E" w:rsidP="0053057A">
      <w:pPr>
        <w:rPr>
          <w:lang w:val="fr-CH"/>
        </w:rPr>
      </w:pPr>
    </w:p>
    <w:p w:rsidR="00FC091E" w:rsidRPr="00EE3440" w:rsidRDefault="00A01C73" w:rsidP="00697DA9">
      <w:pPr>
        <w:pStyle w:val="ONUMFS"/>
        <w:rPr>
          <w:lang w:val="fr-CH"/>
        </w:rPr>
      </w:pPr>
      <w:r w:rsidRPr="00EE3440">
        <w:rPr>
          <w:lang w:val="fr-CH"/>
        </w:rPr>
        <w:t>Le 3</w:t>
      </w:r>
      <w:r w:rsidR="00FA4858" w:rsidRPr="00EE3440">
        <w:rPr>
          <w:lang w:val="fr-CH"/>
        </w:rPr>
        <w:t>1 octobre 20</w:t>
      </w:r>
      <w:r w:rsidRPr="00EE3440">
        <w:rPr>
          <w:lang w:val="fr-CH"/>
        </w:rPr>
        <w:t>15, le Protocole relatif à l</w:t>
      </w:r>
      <w:r w:rsidR="00FA4858" w:rsidRPr="00EE3440">
        <w:rPr>
          <w:lang w:val="fr-CH"/>
        </w:rPr>
        <w:t>’</w:t>
      </w:r>
      <w:r w:rsidRPr="00EE3440">
        <w:rPr>
          <w:lang w:val="fr-CH"/>
        </w:rPr>
        <w:t>Arrangement de Madrid concernant l</w:t>
      </w:r>
      <w:r w:rsidR="00FA4858" w:rsidRPr="00EE3440">
        <w:rPr>
          <w:lang w:val="fr-CH"/>
        </w:rPr>
        <w:t>’</w:t>
      </w:r>
      <w:r w:rsidRPr="00EE3440">
        <w:rPr>
          <w:lang w:val="fr-CH"/>
        </w:rPr>
        <w:t>enregistrement international des marques (ci</w:t>
      </w:r>
      <w:r w:rsidR="0065530F" w:rsidRPr="00EE3440">
        <w:rPr>
          <w:lang w:val="fr-CH"/>
        </w:rPr>
        <w:noBreakHyphen/>
      </w:r>
      <w:r w:rsidRPr="00EE3440">
        <w:rPr>
          <w:lang w:val="fr-CH"/>
        </w:rPr>
        <w:t xml:space="preserve">après dénommé “Protocole”) est entré en vigueur en Algérie, </w:t>
      </w:r>
      <w:r w:rsidR="00792EE8" w:rsidRPr="00EE3440">
        <w:rPr>
          <w:lang w:val="fr-CH"/>
        </w:rPr>
        <w:t>dernier membre de l</w:t>
      </w:r>
      <w:r w:rsidR="00FA4858" w:rsidRPr="00EE3440">
        <w:rPr>
          <w:lang w:val="fr-CH"/>
        </w:rPr>
        <w:t>’</w:t>
      </w:r>
      <w:r w:rsidR="00792EE8" w:rsidRPr="00EE3440">
        <w:rPr>
          <w:lang w:val="fr-CH"/>
        </w:rPr>
        <w:t>U</w:t>
      </w:r>
      <w:r w:rsidRPr="00EE3440">
        <w:rPr>
          <w:lang w:val="fr-CH"/>
        </w:rPr>
        <w:t xml:space="preserve">nion de Madrid à être lié exclusivement </w:t>
      </w:r>
      <w:r w:rsidR="00E36782" w:rsidRPr="00EE3440">
        <w:rPr>
          <w:lang w:val="fr-CH"/>
        </w:rPr>
        <w:t>par</w:t>
      </w:r>
      <w:r w:rsidRPr="00EE3440">
        <w:rPr>
          <w:lang w:val="fr-CH"/>
        </w:rPr>
        <w:t xml:space="preserve"> l</w:t>
      </w:r>
      <w:r w:rsidR="00FA4858" w:rsidRPr="00EE3440">
        <w:rPr>
          <w:lang w:val="fr-CH"/>
        </w:rPr>
        <w:t>’</w:t>
      </w:r>
      <w:r w:rsidRPr="00EE3440">
        <w:rPr>
          <w:lang w:val="fr-CH"/>
        </w:rPr>
        <w:t>Arrangement de Madrid concernant l</w:t>
      </w:r>
      <w:r w:rsidR="00FA4858" w:rsidRPr="00EE3440">
        <w:rPr>
          <w:lang w:val="fr-CH"/>
        </w:rPr>
        <w:t>’</w:t>
      </w:r>
      <w:r w:rsidRPr="00EE3440">
        <w:rPr>
          <w:lang w:val="fr-CH"/>
        </w:rPr>
        <w:t>enregistrement international des marques (ci</w:t>
      </w:r>
      <w:r w:rsidR="0065530F" w:rsidRPr="00EE3440">
        <w:rPr>
          <w:lang w:val="fr-CH"/>
        </w:rPr>
        <w:noBreakHyphen/>
      </w:r>
      <w:r w:rsidRPr="00EE3440">
        <w:rPr>
          <w:lang w:val="fr-CH"/>
        </w:rPr>
        <w:t>après dénommé “Arrangement”).</w:t>
      </w:r>
    </w:p>
    <w:p w:rsidR="00FC091E" w:rsidRPr="00837D3E" w:rsidRDefault="00A01C73" w:rsidP="00697DA9">
      <w:pPr>
        <w:pStyle w:val="ONUMFS"/>
        <w:rPr>
          <w:szCs w:val="22"/>
          <w:lang w:val="fr-CH"/>
        </w:rPr>
      </w:pPr>
      <w:r w:rsidRPr="00837D3E">
        <w:rPr>
          <w:szCs w:val="22"/>
          <w:lang w:val="fr-CH"/>
        </w:rPr>
        <w:t xml:space="preserve">Cet événement </w:t>
      </w:r>
      <w:r w:rsidR="00E36782">
        <w:rPr>
          <w:szCs w:val="22"/>
          <w:lang w:val="fr-CH"/>
        </w:rPr>
        <w:t>a marqué</w:t>
      </w:r>
      <w:r w:rsidRPr="00837D3E">
        <w:rPr>
          <w:szCs w:val="22"/>
          <w:lang w:val="fr-CH"/>
        </w:rPr>
        <w:t xml:space="preserve"> un tournant dans l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histoire du système de Madrid puisqu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il signifi</w:t>
      </w:r>
      <w:r w:rsidR="00E36782">
        <w:rPr>
          <w:szCs w:val="22"/>
          <w:lang w:val="fr-CH"/>
        </w:rPr>
        <w:t>ait</w:t>
      </w:r>
      <w:r w:rsidRPr="00837D3E">
        <w:rPr>
          <w:szCs w:val="22"/>
          <w:lang w:val="fr-CH"/>
        </w:rPr>
        <w:t xml:space="preserve"> que toutes les parties contractantes </w:t>
      </w:r>
      <w:r w:rsidR="00E36782">
        <w:rPr>
          <w:szCs w:val="22"/>
          <w:lang w:val="fr-CH"/>
        </w:rPr>
        <w:t>étaient</w:t>
      </w:r>
      <w:r w:rsidRPr="00837D3E">
        <w:rPr>
          <w:szCs w:val="22"/>
          <w:lang w:val="fr-CH"/>
        </w:rPr>
        <w:t>, à compter de cette date, liées par le Protoco</w:t>
      </w:r>
      <w:r w:rsidR="00697DA9" w:rsidRPr="00837D3E">
        <w:rPr>
          <w:szCs w:val="22"/>
          <w:lang w:val="fr-CH"/>
        </w:rPr>
        <w:t>le</w:t>
      </w:r>
      <w:r w:rsidR="00697DA9">
        <w:rPr>
          <w:szCs w:val="22"/>
          <w:lang w:val="fr-CH"/>
        </w:rPr>
        <w:t xml:space="preserve">.  </w:t>
      </w:r>
      <w:r w:rsidR="00697DA9" w:rsidRPr="00837D3E">
        <w:rPr>
          <w:szCs w:val="22"/>
          <w:lang w:val="fr-CH"/>
        </w:rPr>
        <w:t>En</w:t>
      </w:r>
      <w:r w:rsidRPr="00837D3E">
        <w:rPr>
          <w:szCs w:val="22"/>
          <w:lang w:val="fr-CH"/>
        </w:rPr>
        <w:t xml:space="preserve"> conséquence, toutes les désignations dans l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ensemble des enregistrements internationaux en vigueur, ainsi que toutes les demandes internationales présentées depuis lors, sont régies uniquement par le Protoco</w:t>
      </w:r>
      <w:r w:rsidR="00697DA9" w:rsidRPr="00837D3E">
        <w:rPr>
          <w:szCs w:val="22"/>
          <w:lang w:val="fr-CH"/>
        </w:rPr>
        <w:t>le</w:t>
      </w:r>
      <w:r w:rsidR="00697DA9">
        <w:rPr>
          <w:szCs w:val="22"/>
          <w:lang w:val="fr-CH"/>
        </w:rPr>
        <w:t xml:space="preserve">.  </w:t>
      </w:r>
      <w:r w:rsidR="00697DA9" w:rsidRPr="00837D3E">
        <w:rPr>
          <w:szCs w:val="22"/>
          <w:lang w:val="fr-CH"/>
        </w:rPr>
        <w:t>Ce</w:t>
      </w:r>
      <w:r w:rsidR="002D15C0" w:rsidRPr="00837D3E">
        <w:rPr>
          <w:szCs w:val="22"/>
          <w:lang w:val="fr-CH"/>
        </w:rPr>
        <w:t>la est dû au fait que les parties contractantes sont uniquement liées par le Protocole ou, selon l</w:t>
      </w:r>
      <w:r w:rsidR="00FA4858">
        <w:rPr>
          <w:szCs w:val="22"/>
          <w:lang w:val="fr-CH"/>
        </w:rPr>
        <w:t>’</w:t>
      </w:r>
      <w:r w:rsidR="002D15C0" w:rsidRPr="00837D3E">
        <w:rPr>
          <w:szCs w:val="22"/>
          <w:lang w:val="fr-CH"/>
        </w:rPr>
        <w:t>article 9</w:t>
      </w:r>
      <w:r w:rsidR="002D15C0" w:rsidRPr="00837D3E">
        <w:rPr>
          <w:i/>
          <w:szCs w:val="22"/>
          <w:lang w:val="fr-CH"/>
        </w:rPr>
        <w:t>sexies.</w:t>
      </w:r>
      <w:r w:rsidR="002D15C0" w:rsidRPr="00837D3E">
        <w:rPr>
          <w:szCs w:val="22"/>
          <w:lang w:val="fr-CH"/>
        </w:rPr>
        <w:t>1</w:t>
      </w:r>
      <w:r w:rsidR="00F46EFC">
        <w:rPr>
          <w:szCs w:val="22"/>
          <w:lang w:val="fr-CH"/>
        </w:rPr>
        <w:t>)</w:t>
      </w:r>
      <w:r w:rsidR="002D15C0" w:rsidRPr="00837D3E">
        <w:rPr>
          <w:szCs w:val="22"/>
          <w:lang w:val="fr-CH"/>
        </w:rPr>
        <w:t>a) du Protocole, que celui</w:t>
      </w:r>
      <w:r w:rsidR="0065530F">
        <w:rPr>
          <w:szCs w:val="22"/>
          <w:lang w:val="fr-CH"/>
        </w:rPr>
        <w:noBreakHyphen/>
      </w:r>
      <w:r w:rsidR="002D15C0" w:rsidRPr="00837D3E">
        <w:rPr>
          <w:szCs w:val="22"/>
          <w:lang w:val="fr-CH"/>
        </w:rPr>
        <w:t>ci s</w:t>
      </w:r>
      <w:r w:rsidR="00FA4858">
        <w:rPr>
          <w:szCs w:val="22"/>
          <w:lang w:val="fr-CH"/>
        </w:rPr>
        <w:t>’</w:t>
      </w:r>
      <w:r w:rsidR="002D15C0" w:rsidRPr="00837D3E">
        <w:rPr>
          <w:szCs w:val="22"/>
          <w:lang w:val="fr-CH"/>
        </w:rPr>
        <w:t>applique “[…] dans les relations mutuelles entre les États parties à la fois au présent Protocole et à l</w:t>
      </w:r>
      <w:r w:rsidR="00FA4858">
        <w:rPr>
          <w:szCs w:val="22"/>
          <w:lang w:val="fr-CH"/>
        </w:rPr>
        <w:t>’</w:t>
      </w:r>
      <w:r w:rsidR="002D15C0" w:rsidRPr="00837D3E">
        <w:rPr>
          <w:szCs w:val="22"/>
          <w:lang w:val="fr-CH"/>
        </w:rPr>
        <w:t>Arrangement de Madrid (Stockholm)</w:t>
      </w:r>
      <w:r w:rsidR="00A0700B">
        <w:rPr>
          <w:szCs w:val="22"/>
          <w:lang w:val="fr-CH"/>
        </w:rPr>
        <w:t>.”</w:t>
      </w:r>
      <w:r w:rsidR="002D15C0" w:rsidRPr="00837D3E">
        <w:rPr>
          <w:szCs w:val="22"/>
          <w:lang w:val="fr-CH"/>
        </w:rPr>
        <w:t xml:space="preserve">  En conséquence, l</w:t>
      </w:r>
      <w:r w:rsidR="00FA4858">
        <w:rPr>
          <w:szCs w:val="22"/>
          <w:lang w:val="fr-CH"/>
        </w:rPr>
        <w:t>’</w:t>
      </w:r>
      <w:r w:rsidR="002D15C0" w:rsidRPr="00837D3E">
        <w:rPr>
          <w:szCs w:val="22"/>
          <w:lang w:val="fr-CH"/>
        </w:rPr>
        <w:t>Arrangement est depuis lors, de fait, un traité non opérationnel</w:t>
      </w:r>
      <w:r w:rsidR="00E36782">
        <w:rPr>
          <w:szCs w:val="22"/>
          <w:lang w:val="fr-CH"/>
        </w:rPr>
        <w:t>,</w:t>
      </w:r>
      <w:r w:rsidR="002D15C0" w:rsidRPr="00837D3E">
        <w:rPr>
          <w:szCs w:val="22"/>
          <w:lang w:val="fr-CH"/>
        </w:rPr>
        <w:t xml:space="preserve"> et le système de Madrid n</w:t>
      </w:r>
      <w:r w:rsidR="00FA4858">
        <w:rPr>
          <w:szCs w:val="22"/>
          <w:lang w:val="fr-CH"/>
        </w:rPr>
        <w:t>’</w:t>
      </w:r>
      <w:r w:rsidR="002D15C0" w:rsidRPr="00837D3E">
        <w:rPr>
          <w:szCs w:val="22"/>
          <w:lang w:val="fr-CH"/>
        </w:rPr>
        <w:t>est plus régi que par un seul traité.</w:t>
      </w:r>
    </w:p>
    <w:p w:rsidR="00FC091E" w:rsidRPr="00837D3E" w:rsidRDefault="002D15C0" w:rsidP="00EE3440">
      <w:pPr>
        <w:pStyle w:val="ONUMFS"/>
        <w:keepLines/>
        <w:rPr>
          <w:szCs w:val="22"/>
          <w:lang w:val="fr-CH"/>
        </w:rPr>
      </w:pPr>
      <w:r w:rsidRPr="00837D3E">
        <w:rPr>
          <w:szCs w:val="22"/>
          <w:lang w:val="fr-CH"/>
        </w:rPr>
        <w:lastRenderedPageBreak/>
        <w:t>À sa treizième</w:t>
      </w:r>
      <w:r w:rsidR="00A0700B">
        <w:rPr>
          <w:szCs w:val="22"/>
          <w:lang w:val="fr-CH"/>
        </w:rPr>
        <w:t> </w:t>
      </w:r>
      <w:r w:rsidRPr="00837D3E">
        <w:rPr>
          <w:szCs w:val="22"/>
          <w:lang w:val="fr-CH"/>
        </w:rPr>
        <w:t xml:space="preserve">session en </w:t>
      </w:r>
      <w:r w:rsidR="00FA4858" w:rsidRPr="00837D3E">
        <w:rPr>
          <w:szCs w:val="22"/>
          <w:lang w:val="fr-CH"/>
        </w:rPr>
        <w:t>novembre</w:t>
      </w:r>
      <w:r w:rsidR="00FA4858">
        <w:rPr>
          <w:szCs w:val="22"/>
          <w:lang w:val="fr-CH"/>
        </w:rPr>
        <w:t> </w:t>
      </w:r>
      <w:r w:rsidR="00FA4858" w:rsidRPr="00837D3E">
        <w:rPr>
          <w:szCs w:val="22"/>
          <w:lang w:val="fr-CH"/>
        </w:rPr>
        <w:t>20</w:t>
      </w:r>
      <w:r w:rsidRPr="00837D3E">
        <w:rPr>
          <w:szCs w:val="22"/>
          <w:lang w:val="fr-CH"/>
        </w:rPr>
        <w:t>15, le Groupe de travail sur le développement juridique du système de Madrid concernant l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enregistrement international des marques (ci</w:t>
      </w:r>
      <w:r w:rsidR="0065530F">
        <w:rPr>
          <w:szCs w:val="22"/>
          <w:lang w:val="fr-CH"/>
        </w:rPr>
        <w:noBreakHyphen/>
      </w:r>
      <w:r w:rsidRPr="00837D3E">
        <w:rPr>
          <w:szCs w:val="22"/>
          <w:lang w:val="fr-CH"/>
        </w:rPr>
        <w:t xml:space="preserve">après dénommé “groupe de travail”), a examiné la possibilité de maintenir la situation actuelle, </w:t>
      </w:r>
      <w:r w:rsidR="00FA4858">
        <w:rPr>
          <w:szCs w:val="22"/>
          <w:lang w:val="fr-CH"/>
        </w:rPr>
        <w:t>à savoir</w:t>
      </w:r>
      <w:r w:rsidRPr="00837D3E">
        <w:rPr>
          <w:szCs w:val="22"/>
          <w:lang w:val="fr-CH"/>
        </w:rPr>
        <w:t xml:space="preserve"> le système de Madrid en tant que système régi par un seul traité, avec le Protocole comme seul traité opérationnel</w:t>
      </w:r>
      <w:r w:rsidRPr="00837D3E">
        <w:rPr>
          <w:rStyle w:val="FootnoteReference"/>
          <w:szCs w:val="22"/>
        </w:rPr>
        <w:footnoteReference w:id="2"/>
      </w:r>
      <w:r w:rsidRPr="00837D3E">
        <w:rPr>
          <w:szCs w:val="22"/>
          <w:lang w:val="fr-CH"/>
        </w:rPr>
        <w:t>.</w:t>
      </w:r>
    </w:p>
    <w:p w:rsidR="00FC091E" w:rsidRPr="00837D3E" w:rsidRDefault="002D15C0" w:rsidP="00697DA9">
      <w:pPr>
        <w:pStyle w:val="ONUMFS"/>
        <w:rPr>
          <w:szCs w:val="22"/>
          <w:lang w:val="fr-CH"/>
        </w:rPr>
      </w:pPr>
      <w:r w:rsidRPr="00837D3E">
        <w:rPr>
          <w:szCs w:val="22"/>
          <w:lang w:val="fr-CH"/>
        </w:rPr>
        <w:t>Lors de précédentes sessions en</w:t>
      </w:r>
      <w:r w:rsidR="00A0700B">
        <w:rPr>
          <w:szCs w:val="22"/>
          <w:lang w:val="fr-CH"/>
        </w:rPr>
        <w:t> </w:t>
      </w:r>
      <w:r w:rsidRPr="00837D3E">
        <w:rPr>
          <w:szCs w:val="22"/>
          <w:lang w:val="fr-CH"/>
        </w:rPr>
        <w:t>2005 et 2006, le groupe de travail a énoncé un plan approuvé par l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Assemblée de l</w:t>
      </w:r>
      <w:r w:rsidR="00FA4858">
        <w:rPr>
          <w:szCs w:val="22"/>
          <w:lang w:val="fr-CH"/>
        </w:rPr>
        <w:t>’</w:t>
      </w:r>
      <w:r w:rsidRPr="00837D3E">
        <w:rPr>
          <w:szCs w:val="22"/>
          <w:lang w:val="fr-CH"/>
        </w:rPr>
        <w:t>Union de Madrid (ci</w:t>
      </w:r>
      <w:r w:rsidR="0065530F">
        <w:rPr>
          <w:szCs w:val="22"/>
          <w:lang w:val="fr-CH"/>
        </w:rPr>
        <w:noBreakHyphen/>
      </w:r>
      <w:r w:rsidRPr="00837D3E">
        <w:rPr>
          <w:szCs w:val="22"/>
          <w:lang w:val="fr-CH"/>
        </w:rPr>
        <w:t xml:space="preserve">après dénommée “assemblée”) visant à </w:t>
      </w:r>
      <w:r w:rsidR="00D81F08">
        <w:rPr>
          <w:szCs w:val="22"/>
          <w:lang w:val="fr-CH"/>
        </w:rPr>
        <w:t>consolider</w:t>
      </w:r>
      <w:r w:rsidRPr="00837D3E">
        <w:rPr>
          <w:szCs w:val="22"/>
          <w:lang w:val="fr-CH"/>
        </w:rPr>
        <w:t xml:space="preserve"> le système de Madrid en tant que système régi par un seul traité</w:t>
      </w:r>
      <w:r w:rsidRPr="00837D3E">
        <w:rPr>
          <w:rStyle w:val="FootnoteReference"/>
          <w:szCs w:val="22"/>
        </w:rPr>
        <w:footnoteReference w:id="3"/>
      </w:r>
      <w:r w:rsidRPr="00837D3E">
        <w:rPr>
          <w:szCs w:val="22"/>
          <w:lang w:val="fr-CH"/>
        </w:rPr>
        <w:t>.</w:t>
      </w:r>
      <w:r w:rsidR="00784ED8" w:rsidRPr="00837D3E">
        <w:rPr>
          <w:szCs w:val="22"/>
          <w:lang w:val="fr-CH"/>
        </w:rPr>
        <w:t xml:space="preserve">  </w:t>
      </w:r>
      <w:r w:rsidR="00D81F08">
        <w:rPr>
          <w:szCs w:val="22"/>
          <w:lang w:val="fr-CH"/>
        </w:rPr>
        <w:t>Au cours</w:t>
      </w:r>
      <w:r w:rsidR="00792EE8" w:rsidRPr="00837D3E">
        <w:rPr>
          <w:szCs w:val="22"/>
          <w:lang w:val="fr-CH"/>
        </w:rPr>
        <w:t xml:space="preserve"> de ces sessions, il a été indiqué que l</w:t>
      </w:r>
      <w:r w:rsidR="00FA4858">
        <w:rPr>
          <w:szCs w:val="22"/>
          <w:lang w:val="fr-CH"/>
        </w:rPr>
        <w:t>’</w:t>
      </w:r>
      <w:r w:rsidR="00792EE8" w:rsidRPr="00837D3E">
        <w:rPr>
          <w:szCs w:val="22"/>
          <w:lang w:val="fr-CH"/>
        </w:rPr>
        <w:t>Arrangement cesserait d</w:t>
      </w:r>
      <w:r w:rsidR="00FA4858">
        <w:rPr>
          <w:szCs w:val="22"/>
          <w:lang w:val="fr-CH"/>
        </w:rPr>
        <w:t>’</w:t>
      </w:r>
      <w:r w:rsidR="00792EE8" w:rsidRPr="00837D3E">
        <w:rPr>
          <w:szCs w:val="22"/>
          <w:lang w:val="fr-CH"/>
        </w:rPr>
        <w:t>être applicable dans le cadre de la procédure d</w:t>
      </w:r>
      <w:r w:rsidR="00FA4858">
        <w:rPr>
          <w:szCs w:val="22"/>
          <w:lang w:val="fr-CH"/>
        </w:rPr>
        <w:t>’</w:t>
      </w:r>
      <w:r w:rsidR="00792EE8" w:rsidRPr="00837D3E">
        <w:rPr>
          <w:szCs w:val="22"/>
          <w:lang w:val="fr-CH"/>
        </w:rPr>
        <w:t>enregistrement international si trois</w:t>
      </w:r>
      <w:r w:rsidR="00A0700B">
        <w:rPr>
          <w:szCs w:val="22"/>
          <w:lang w:val="fr-CH"/>
        </w:rPr>
        <w:t> </w:t>
      </w:r>
      <w:r w:rsidR="00792EE8" w:rsidRPr="00837D3E">
        <w:rPr>
          <w:szCs w:val="22"/>
          <w:lang w:val="fr-CH"/>
        </w:rPr>
        <w:t xml:space="preserve">conditions étaient cumulativement remplies, </w:t>
      </w:r>
      <w:r w:rsidR="00FA4858">
        <w:rPr>
          <w:szCs w:val="22"/>
          <w:lang w:val="fr-CH"/>
        </w:rPr>
        <w:t>à savoir</w:t>
      </w:r>
      <w:r w:rsidR="00837D3E" w:rsidRPr="00837D3E">
        <w:rPr>
          <w:szCs w:val="22"/>
          <w:lang w:val="fr-CH"/>
        </w:rPr>
        <w:t> :</w:t>
      </w:r>
    </w:p>
    <w:p w:rsidR="00FC091E" w:rsidRPr="00837D3E" w:rsidRDefault="00792EE8" w:rsidP="00E55B80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CH"/>
        </w:rPr>
      </w:pPr>
      <w:r w:rsidRPr="00837D3E">
        <w:rPr>
          <w:lang w:val="fr-CH"/>
        </w:rPr>
        <w:t>l</w:t>
      </w:r>
      <w:r w:rsidR="00FA4858">
        <w:rPr>
          <w:lang w:val="fr-CH"/>
        </w:rPr>
        <w:t>’</w:t>
      </w:r>
      <w:r w:rsidRPr="00837D3E">
        <w:rPr>
          <w:lang w:val="fr-CH"/>
        </w:rPr>
        <w:t>Assemblée décidait d</w:t>
      </w:r>
      <w:r w:rsidR="00FA4858">
        <w:rPr>
          <w:lang w:val="fr-CH"/>
        </w:rPr>
        <w:t>’</w:t>
      </w:r>
      <w:r w:rsidRPr="00837D3E">
        <w:rPr>
          <w:lang w:val="fr-CH"/>
        </w:rPr>
        <w:t>abroger la clause de sauvegarde,</w:t>
      </w:r>
    </w:p>
    <w:p w:rsidR="00FC091E" w:rsidRPr="00837D3E" w:rsidRDefault="00792EE8" w:rsidP="00E55B80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CH"/>
        </w:rPr>
      </w:pPr>
      <w:r w:rsidRPr="00837D3E">
        <w:rPr>
          <w:lang w:val="fr-CH"/>
        </w:rPr>
        <w:t>les parties contractantes liées exclusivement par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 devenaient parties au Protocole;  et</w:t>
      </w:r>
    </w:p>
    <w:p w:rsidR="00FC091E" w:rsidRPr="00837D3E" w:rsidRDefault="00792EE8" w:rsidP="00E55B80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CH"/>
        </w:rPr>
      </w:pPr>
      <w:r w:rsidRPr="00837D3E">
        <w:rPr>
          <w:lang w:val="fr-CH"/>
        </w:rPr>
        <w:t>une décision était prise par 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assemblée </w:t>
      </w:r>
      <w:r w:rsidR="00D81F08">
        <w:rPr>
          <w:lang w:val="fr-CH"/>
        </w:rPr>
        <w:t>de</w:t>
      </w:r>
      <w:r w:rsidRPr="00837D3E">
        <w:rPr>
          <w:lang w:val="fr-CH"/>
        </w:rPr>
        <w:t xml:space="preserve"> </w:t>
      </w:r>
      <w:r w:rsidR="00A0700B">
        <w:rPr>
          <w:lang w:val="fr-CH"/>
        </w:rPr>
        <w:t>“</w:t>
      </w:r>
      <w:r w:rsidRPr="00837D3E">
        <w:rPr>
          <w:lang w:val="fr-CH"/>
        </w:rPr>
        <w:t>geler</w:t>
      </w:r>
      <w:r w:rsidR="00A0700B">
        <w:rPr>
          <w:lang w:val="fr-CH"/>
        </w:rPr>
        <w:t>”</w:t>
      </w:r>
      <w:r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</w:t>
      </w:r>
      <w:r w:rsidR="00D81F08">
        <w:rPr>
          <w:lang w:val="fr-CH"/>
        </w:rPr>
        <w:t>,</w:t>
      </w:r>
      <w:r w:rsidRPr="00837D3E">
        <w:rPr>
          <w:lang w:val="fr-CH"/>
        </w:rPr>
        <w:t xml:space="preserve"> afin qu</w:t>
      </w:r>
      <w:r w:rsidR="00FA4858">
        <w:rPr>
          <w:lang w:val="fr-CH"/>
        </w:rPr>
        <w:t>’</w:t>
      </w:r>
      <w:r w:rsidRPr="00837D3E">
        <w:rPr>
          <w:lang w:val="fr-CH"/>
        </w:rPr>
        <w:t>aucun autre pays ne puisse</w:t>
      </w:r>
      <w:r w:rsidR="00D81F08">
        <w:rPr>
          <w:lang w:val="fr-CH"/>
        </w:rPr>
        <w:t>, à l</w:t>
      </w:r>
      <w:r w:rsidR="00FA4858">
        <w:rPr>
          <w:lang w:val="fr-CH"/>
        </w:rPr>
        <w:t>’</w:t>
      </w:r>
      <w:r w:rsidR="00D81F08">
        <w:rPr>
          <w:lang w:val="fr-CH"/>
        </w:rPr>
        <w:t>avenir,</w:t>
      </w:r>
      <w:r w:rsidRPr="00837D3E">
        <w:rPr>
          <w:lang w:val="fr-CH"/>
        </w:rPr>
        <w:t xml:space="preserve"> adhérer </w:t>
      </w:r>
      <w:r w:rsidR="00D81F08">
        <w:rPr>
          <w:lang w:val="fr-CH"/>
        </w:rPr>
        <w:t>uniquement</w:t>
      </w:r>
      <w:r w:rsidRPr="00837D3E">
        <w:rPr>
          <w:lang w:val="fr-CH"/>
        </w:rPr>
        <w:t xml:space="preserve"> à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Arrangement, et que plus aucune demande internationale ne puisse donc être déposée en vertu de ce traité</w:t>
      </w:r>
      <w:r w:rsidRPr="00837D3E">
        <w:rPr>
          <w:rStyle w:val="FootnoteReference"/>
          <w:szCs w:val="22"/>
        </w:rPr>
        <w:footnoteReference w:id="4"/>
      </w:r>
      <w:r w:rsidRPr="00837D3E">
        <w:rPr>
          <w:lang w:val="fr-CH"/>
        </w:rPr>
        <w:t>.</w:t>
      </w:r>
    </w:p>
    <w:p w:rsidR="00FC091E" w:rsidRPr="00837D3E" w:rsidRDefault="00792EE8" w:rsidP="00697DA9">
      <w:pPr>
        <w:pStyle w:val="ONUMFS"/>
        <w:rPr>
          <w:lang w:val="fr-CH"/>
        </w:rPr>
      </w:pPr>
      <w:r w:rsidRPr="00837D3E">
        <w:rPr>
          <w:lang w:val="fr-CH"/>
        </w:rPr>
        <w:t>La première mesure tendant à l</w:t>
      </w:r>
      <w:r w:rsidR="00FA4858">
        <w:rPr>
          <w:lang w:val="fr-CH"/>
        </w:rPr>
        <w:t>’</w:t>
      </w:r>
      <w:r w:rsidRPr="00837D3E">
        <w:rPr>
          <w:lang w:val="fr-CH"/>
        </w:rPr>
        <w:t>instauration d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un système </w:t>
      </w:r>
      <w:r w:rsidR="00D736AA">
        <w:rPr>
          <w:lang w:val="fr-CH"/>
        </w:rPr>
        <w:t>régi par</w:t>
      </w:r>
      <w:r w:rsidRPr="00837D3E">
        <w:rPr>
          <w:lang w:val="fr-CH"/>
        </w:rPr>
        <w:t xml:space="preserve"> un seul traité a été prise en septembre 2007, avec l</w:t>
      </w:r>
      <w:r w:rsidR="00FA4858">
        <w:rPr>
          <w:lang w:val="fr-CH"/>
        </w:rPr>
        <w:t>’</w:t>
      </w:r>
      <w:r w:rsidRPr="00837D3E">
        <w:rPr>
          <w:lang w:val="fr-CH"/>
        </w:rPr>
        <w:t>approbation par l</w:t>
      </w:r>
      <w:r w:rsidR="00FA4858">
        <w:rPr>
          <w:lang w:val="fr-CH"/>
        </w:rPr>
        <w:t>’</w:t>
      </w:r>
      <w:r w:rsidRPr="00837D3E">
        <w:rPr>
          <w:lang w:val="fr-CH"/>
        </w:rPr>
        <w:t>assemblée d</w:t>
      </w:r>
      <w:r w:rsidR="00FA4858">
        <w:rPr>
          <w:lang w:val="fr-CH"/>
        </w:rPr>
        <w:t>’</w:t>
      </w:r>
      <w:r w:rsidRPr="00837D3E">
        <w:rPr>
          <w:lang w:val="fr-CH"/>
        </w:rPr>
        <w:t>une modification de l</w:t>
      </w:r>
      <w:r w:rsidR="00FA4858">
        <w:rPr>
          <w:lang w:val="fr-CH"/>
        </w:rPr>
        <w:t>’</w:t>
      </w:r>
      <w:r w:rsidRPr="00837D3E">
        <w:rPr>
          <w:lang w:val="fr-CH"/>
        </w:rPr>
        <w:t>alinéa 1) de l</w:t>
      </w:r>
      <w:r w:rsidR="00FA4858">
        <w:rPr>
          <w:lang w:val="fr-CH"/>
        </w:rPr>
        <w:t>’</w:t>
      </w:r>
      <w:r w:rsidRPr="00837D3E">
        <w:rPr>
          <w:lang w:val="fr-CH"/>
        </w:rPr>
        <w:t>article 9</w:t>
      </w:r>
      <w:r w:rsidRPr="00837D3E">
        <w:rPr>
          <w:i/>
          <w:lang w:val="fr-CH"/>
        </w:rPr>
        <w:t xml:space="preserve">sexies </w:t>
      </w:r>
      <w:r w:rsidRPr="00837D3E">
        <w:rPr>
          <w:lang w:val="fr-CH"/>
        </w:rPr>
        <w:t>du Protocole</w:t>
      </w:r>
      <w:r w:rsidR="00872AA4">
        <w:rPr>
          <w:lang w:val="fr-CH"/>
        </w:rPr>
        <w:t xml:space="preserve"> </w:t>
      </w:r>
      <w:r w:rsidRPr="00837D3E">
        <w:rPr>
          <w:lang w:val="fr-CH"/>
        </w:rPr>
        <w:t>abroge</w:t>
      </w:r>
      <w:r w:rsidR="00872AA4">
        <w:rPr>
          <w:lang w:val="fr-CH"/>
        </w:rPr>
        <w:t>ant</w:t>
      </w:r>
      <w:r w:rsidRPr="00837D3E">
        <w:rPr>
          <w:lang w:val="fr-CH"/>
        </w:rPr>
        <w:t xml:space="preserve"> la clause de sauvegar</w:t>
      </w:r>
      <w:r w:rsidR="00697DA9" w:rsidRPr="00837D3E">
        <w:rPr>
          <w:lang w:val="fr-CH"/>
        </w:rPr>
        <w:t>de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Da</w:t>
      </w:r>
      <w:r w:rsidRPr="00837D3E">
        <w:rPr>
          <w:lang w:val="fr-CH"/>
        </w:rPr>
        <w:t>ns un nouveau sous</w:t>
      </w:r>
      <w:r w:rsidR="0065530F">
        <w:rPr>
          <w:lang w:val="fr-CH"/>
        </w:rPr>
        <w:noBreakHyphen/>
      </w:r>
      <w:r w:rsidRPr="00837D3E">
        <w:rPr>
          <w:lang w:val="fr-CH"/>
        </w:rPr>
        <w:t>alinéa</w:t>
      </w:r>
      <w:r w:rsidR="00A0700B">
        <w:rPr>
          <w:lang w:val="fr-CH"/>
        </w:rPr>
        <w:t> </w:t>
      </w:r>
      <w:r w:rsidRPr="00837D3E">
        <w:rPr>
          <w:lang w:val="fr-CH"/>
        </w:rPr>
        <w:t>a), le principe a été établi selon lequel le Protocole, et seulement le Protocole, s</w:t>
      </w:r>
      <w:r w:rsidR="00FA4858">
        <w:rPr>
          <w:lang w:val="fr-CH"/>
        </w:rPr>
        <w:t>’</w:t>
      </w:r>
      <w:r w:rsidRPr="00837D3E">
        <w:rPr>
          <w:lang w:val="fr-CH"/>
        </w:rPr>
        <w:t>appliquerait, à tous égards, entre les États liés à la fois par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 et le Protoco</w:t>
      </w:r>
      <w:r w:rsidR="00697DA9" w:rsidRPr="00837D3E">
        <w:rPr>
          <w:lang w:val="fr-CH"/>
        </w:rPr>
        <w:t>le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L</w:t>
      </w:r>
      <w:r w:rsidR="00697DA9">
        <w:rPr>
          <w:lang w:val="fr-CH"/>
        </w:rPr>
        <w:t>’</w:t>
      </w:r>
      <w:r w:rsidR="00697DA9" w:rsidRPr="00837D3E">
        <w:rPr>
          <w:lang w:val="fr-CH"/>
        </w:rPr>
        <w:t>a</w:t>
      </w:r>
      <w:r w:rsidRPr="00837D3E">
        <w:rPr>
          <w:lang w:val="fr-CH"/>
        </w:rPr>
        <w:t>ssemblée a également établi, dans un nouveau sous</w:t>
      </w:r>
      <w:r w:rsidR="0065530F">
        <w:rPr>
          <w:lang w:val="fr-CH"/>
        </w:rPr>
        <w:noBreakHyphen/>
      </w:r>
      <w:r w:rsidRPr="00837D3E">
        <w:rPr>
          <w:lang w:val="fr-CH"/>
        </w:rPr>
        <w:t>alinéa</w:t>
      </w:r>
      <w:r w:rsidR="00A0700B">
        <w:rPr>
          <w:lang w:val="fr-CH"/>
        </w:rPr>
        <w:t> </w:t>
      </w:r>
      <w:r w:rsidRPr="00837D3E">
        <w:rPr>
          <w:lang w:val="fr-CH"/>
        </w:rPr>
        <w:t>b) que, dans le cadre de ces relations, les déclarations fait</w:t>
      </w:r>
      <w:r w:rsidR="00D81F08">
        <w:rPr>
          <w:lang w:val="fr-CH"/>
        </w:rPr>
        <w:t>es au titre des articles</w:t>
      </w:r>
      <w:r w:rsidR="00A0700B">
        <w:rPr>
          <w:lang w:val="fr-CH"/>
        </w:rPr>
        <w:t> </w:t>
      </w:r>
      <w:r w:rsidR="00D81F08">
        <w:rPr>
          <w:lang w:val="fr-CH"/>
        </w:rPr>
        <w:t xml:space="preserve">5.2)b), </w:t>
      </w:r>
      <w:r w:rsidRPr="00837D3E">
        <w:rPr>
          <w:lang w:val="fr-CH"/>
        </w:rPr>
        <w:t xml:space="preserve">5.2)c) </w:t>
      </w:r>
      <w:r w:rsidR="00D81F08">
        <w:rPr>
          <w:lang w:val="fr-CH"/>
        </w:rPr>
        <w:t xml:space="preserve">et 8.7) </w:t>
      </w:r>
      <w:r w:rsidRPr="00837D3E">
        <w:rPr>
          <w:lang w:val="fr-CH"/>
        </w:rPr>
        <w:t>seraient inopérantes.</w:t>
      </w:r>
    </w:p>
    <w:p w:rsidR="00FC091E" w:rsidRPr="00837D3E" w:rsidRDefault="00792EE8" w:rsidP="00697DA9">
      <w:pPr>
        <w:pStyle w:val="ONUMFS"/>
        <w:rPr>
          <w:lang w:val="fr-CH"/>
        </w:rPr>
      </w:pPr>
      <w:r w:rsidRPr="00837D3E">
        <w:rPr>
          <w:lang w:val="fr-CH"/>
        </w:rPr>
        <w:t>La deuxième mesure tendant à l</w:t>
      </w:r>
      <w:r w:rsidR="00FA4858">
        <w:rPr>
          <w:lang w:val="fr-CH"/>
        </w:rPr>
        <w:t>’</w:t>
      </w:r>
      <w:r w:rsidRPr="00837D3E">
        <w:rPr>
          <w:lang w:val="fr-CH"/>
        </w:rPr>
        <w:t>instauration d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un système </w:t>
      </w:r>
      <w:r w:rsidR="00D736AA">
        <w:rPr>
          <w:lang w:val="fr-CH"/>
        </w:rPr>
        <w:t>régi par</w:t>
      </w:r>
      <w:r w:rsidRPr="00837D3E">
        <w:rPr>
          <w:lang w:val="fr-CH"/>
        </w:rPr>
        <w:t xml:space="preserve"> un seul traité a été prise le 3</w:t>
      </w:r>
      <w:r w:rsidR="00FA4858" w:rsidRPr="00837D3E">
        <w:rPr>
          <w:lang w:val="fr-CH"/>
        </w:rPr>
        <w:t>1</w:t>
      </w:r>
      <w:r w:rsidR="00FA4858">
        <w:rPr>
          <w:lang w:val="fr-CH"/>
        </w:rPr>
        <w:t> </w:t>
      </w:r>
      <w:r w:rsidR="00FA4858" w:rsidRPr="00837D3E">
        <w:rPr>
          <w:lang w:val="fr-CH"/>
        </w:rPr>
        <w:t>octobre</w:t>
      </w:r>
      <w:r w:rsidR="00FA4858">
        <w:rPr>
          <w:lang w:val="fr-CH"/>
        </w:rPr>
        <w:t> </w:t>
      </w:r>
      <w:r w:rsidR="00FA4858" w:rsidRPr="00837D3E">
        <w:rPr>
          <w:lang w:val="fr-CH"/>
        </w:rPr>
        <w:t>20</w:t>
      </w:r>
      <w:r w:rsidRPr="00837D3E">
        <w:rPr>
          <w:lang w:val="fr-CH"/>
        </w:rPr>
        <w:t>15, lorsque l</w:t>
      </w:r>
      <w:r w:rsidR="00FA4858">
        <w:rPr>
          <w:lang w:val="fr-CH"/>
        </w:rPr>
        <w:t>’</w:t>
      </w:r>
      <w:r w:rsidRPr="00837D3E">
        <w:rPr>
          <w:lang w:val="fr-CH"/>
        </w:rPr>
        <w:t>Algérie, dernier membre à être lié uniquement par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Arrangement, est devenue partie au Protocole également.</w:t>
      </w:r>
    </w:p>
    <w:p w:rsidR="00FA4858" w:rsidRDefault="00CC2703" w:rsidP="00697DA9">
      <w:pPr>
        <w:pStyle w:val="ONUMFS"/>
        <w:rPr>
          <w:lang w:val="fr-CH"/>
        </w:rPr>
      </w:pPr>
      <w:r w:rsidRPr="00837D3E">
        <w:rPr>
          <w:lang w:val="fr-CH"/>
        </w:rPr>
        <w:t xml:space="preserve">En </w:t>
      </w:r>
      <w:r w:rsidR="00FA4858" w:rsidRPr="00837D3E">
        <w:rPr>
          <w:lang w:val="fr-CH"/>
        </w:rPr>
        <w:t>novembre</w:t>
      </w:r>
      <w:r w:rsidR="00FA4858">
        <w:rPr>
          <w:lang w:val="fr-CH"/>
        </w:rPr>
        <w:t> </w:t>
      </w:r>
      <w:r w:rsidR="00FA4858" w:rsidRPr="00837D3E">
        <w:rPr>
          <w:lang w:val="fr-CH"/>
        </w:rPr>
        <w:t>20</w:t>
      </w:r>
      <w:r w:rsidRPr="00837D3E">
        <w:rPr>
          <w:lang w:val="fr-CH"/>
        </w:rPr>
        <w:t xml:space="preserve">15, le groupe de travail a examiné la troisième et dernière étape du plan visant à maintenir la situation </w:t>
      </w:r>
      <w:r w:rsidR="00AE7E01">
        <w:rPr>
          <w:lang w:val="fr-CH"/>
        </w:rPr>
        <w:t xml:space="preserve">concernant un </w:t>
      </w:r>
      <w:r w:rsidR="00AE7E01" w:rsidRPr="00837D3E">
        <w:rPr>
          <w:lang w:val="fr-CH"/>
        </w:rPr>
        <w:t>système régi par un seul trai</w:t>
      </w:r>
      <w:r w:rsidR="00697DA9" w:rsidRPr="00837D3E">
        <w:rPr>
          <w:lang w:val="fr-CH"/>
        </w:rPr>
        <w:t>té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Le</w:t>
      </w:r>
      <w:r w:rsidRPr="00837D3E">
        <w:rPr>
          <w:lang w:val="fr-CH"/>
        </w:rPr>
        <w:t xml:space="preserve"> groupe de travail a recommandé que l</w:t>
      </w:r>
      <w:r w:rsidR="00FA4858">
        <w:rPr>
          <w:lang w:val="fr-CH"/>
        </w:rPr>
        <w:t>’</w:t>
      </w:r>
      <w:r w:rsidRPr="00837D3E">
        <w:rPr>
          <w:lang w:val="fr-CH"/>
        </w:rPr>
        <w:t>assemblée prenne, à sa session suivante en</w:t>
      </w:r>
      <w:r w:rsidR="00A0700B">
        <w:rPr>
          <w:lang w:val="fr-CH"/>
        </w:rPr>
        <w:t> </w:t>
      </w:r>
      <w:r w:rsidRPr="00837D3E">
        <w:rPr>
          <w:lang w:val="fr-CH"/>
        </w:rPr>
        <w:t xml:space="preserve">2016, </w:t>
      </w:r>
      <w:r w:rsidR="00E4603F">
        <w:t>“</w:t>
      </w:r>
      <w:r w:rsidRPr="00837D3E">
        <w:rPr>
          <w:lang w:val="fr-CH"/>
        </w:rPr>
        <w:t>les mesures nécessaires pour empêcher les adhésions à 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Arrangement </w:t>
      </w:r>
      <w:r w:rsidR="00E4603F">
        <w:rPr>
          <w:lang w:val="fr-CH"/>
        </w:rPr>
        <w:t xml:space="preserve">[…] </w:t>
      </w:r>
      <w:r w:rsidRPr="00837D3E">
        <w:rPr>
          <w:lang w:val="fr-CH"/>
        </w:rPr>
        <w:t>uniquement et a demandé que le Bureau international propose la mesure la plus appropriée à l</w:t>
      </w:r>
      <w:r w:rsidR="00FA4858">
        <w:rPr>
          <w:lang w:val="fr-CH"/>
        </w:rPr>
        <w:t>’</w:t>
      </w:r>
      <w:r w:rsidRPr="00837D3E">
        <w:rPr>
          <w:lang w:val="fr-CH"/>
        </w:rPr>
        <w:t>assemblée</w:t>
      </w:r>
      <w:r w:rsidR="00E4603F">
        <w:t>”</w:t>
      </w:r>
      <w:r w:rsidRPr="00837D3E">
        <w:rPr>
          <w:lang w:val="fr-CH"/>
        </w:rPr>
        <w:t>.</w:t>
      </w:r>
    </w:p>
    <w:p w:rsidR="00FC091E" w:rsidRPr="00837D3E" w:rsidRDefault="00CC2703" w:rsidP="00697DA9">
      <w:pPr>
        <w:pStyle w:val="ONUMFS"/>
        <w:rPr>
          <w:lang w:val="fr-CH"/>
        </w:rPr>
      </w:pPr>
      <w:r w:rsidRPr="00837D3E">
        <w:rPr>
          <w:lang w:val="fr-CH"/>
        </w:rPr>
        <w:t>Le groupe de travail a examiné deux</w:t>
      </w:r>
      <w:r w:rsidR="00A0700B">
        <w:rPr>
          <w:lang w:val="fr-CH"/>
        </w:rPr>
        <w:t> </w:t>
      </w:r>
      <w:r w:rsidRPr="00837D3E">
        <w:rPr>
          <w:lang w:val="fr-CH"/>
        </w:rPr>
        <w:t>mesures qui pourraient être prises pour atteindre l</w:t>
      </w:r>
      <w:r w:rsidR="00043909">
        <w:rPr>
          <w:lang w:val="fr-CH"/>
        </w:rPr>
        <w:t>’</w:t>
      </w:r>
      <w:bookmarkStart w:id="4" w:name="_GoBack"/>
      <w:bookmarkEnd w:id="4"/>
      <w:r w:rsidRPr="00837D3E">
        <w:rPr>
          <w:lang w:val="fr-CH"/>
        </w:rPr>
        <w:t>objectif susmentionné</w:t>
      </w:r>
      <w:r w:rsidR="00AE7E01">
        <w:rPr>
          <w:lang w:val="fr-CH"/>
        </w:rPr>
        <w:t xml:space="preserve">, </w:t>
      </w:r>
      <w:r w:rsidR="00FA4858">
        <w:rPr>
          <w:lang w:val="fr-CH"/>
        </w:rPr>
        <w:t>à savoir</w:t>
      </w:r>
      <w:r w:rsidR="00AE7E01">
        <w:rPr>
          <w:lang w:val="fr-CH"/>
        </w:rPr>
        <w:t xml:space="preserve"> que</w:t>
      </w:r>
      <w:r w:rsidRPr="00837D3E">
        <w:rPr>
          <w:lang w:val="fr-CH"/>
        </w:rPr>
        <w:t> :</w:t>
      </w:r>
    </w:p>
    <w:p w:rsidR="00FC091E" w:rsidRPr="00837D3E" w:rsidRDefault="00694A3E" w:rsidP="00E55B80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CH"/>
        </w:rPr>
      </w:pPr>
      <w:r w:rsidRPr="00837D3E">
        <w:rPr>
          <w:lang w:val="fr-CH"/>
        </w:rPr>
        <w:t>l</w:t>
      </w:r>
      <w:r w:rsidR="00FA4858">
        <w:rPr>
          <w:lang w:val="fr-CH"/>
        </w:rPr>
        <w:t>’</w:t>
      </w:r>
      <w:r w:rsidRPr="00837D3E">
        <w:rPr>
          <w:lang w:val="fr-CH"/>
        </w:rPr>
        <w:t>assemblée charge le Directeur général de l</w:t>
      </w:r>
      <w:r w:rsidR="00FA4858">
        <w:rPr>
          <w:lang w:val="fr-CH"/>
        </w:rPr>
        <w:t>’</w:t>
      </w:r>
      <w:r w:rsidRPr="00837D3E">
        <w:rPr>
          <w:lang w:val="fr-CH"/>
        </w:rPr>
        <w:t>Organisation Mondiale de la Propriété Intellectuelle (OMPI) de ne pas accepter de nouvelle adhésion à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 uniquement;  et</w:t>
      </w:r>
    </w:p>
    <w:p w:rsidR="00FC091E" w:rsidRPr="00837D3E" w:rsidRDefault="00CC2703" w:rsidP="00E55B80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CH"/>
        </w:rPr>
      </w:pPr>
      <w:r w:rsidRPr="00837D3E">
        <w:rPr>
          <w:lang w:val="fr-CH"/>
        </w:rPr>
        <w:lastRenderedPageBreak/>
        <w:t>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assemblée décide de </w:t>
      </w:r>
      <w:r w:rsidR="00A0700B">
        <w:rPr>
          <w:lang w:val="fr-CH"/>
        </w:rPr>
        <w:t>“</w:t>
      </w:r>
      <w:r w:rsidRPr="00837D3E">
        <w:rPr>
          <w:lang w:val="fr-CH"/>
        </w:rPr>
        <w:t>geler</w:t>
      </w:r>
      <w:r w:rsidR="00A0700B">
        <w:rPr>
          <w:lang w:val="fr-CH"/>
        </w:rPr>
        <w:t>”</w:t>
      </w:r>
      <w:r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Pr="00837D3E">
        <w:rPr>
          <w:lang w:val="fr-CH"/>
        </w:rPr>
        <w:t>article</w:t>
      </w:r>
      <w:r w:rsidR="00A0700B">
        <w:rPr>
          <w:lang w:val="fr-CH"/>
        </w:rPr>
        <w:t> </w:t>
      </w:r>
      <w:r w:rsidRPr="00837D3E">
        <w:rPr>
          <w:lang w:val="fr-CH"/>
        </w:rPr>
        <w:t>14.1) et 2)a) de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Arrangement.</w:t>
      </w:r>
    </w:p>
    <w:p w:rsidR="00FC091E" w:rsidRPr="00837D3E" w:rsidRDefault="00837D3E" w:rsidP="00697DA9">
      <w:pPr>
        <w:pStyle w:val="ONUMFS"/>
        <w:rPr>
          <w:lang w:val="fr-CH" w:eastAsia="en-US"/>
        </w:rPr>
      </w:pPr>
      <w:r w:rsidRPr="00837D3E">
        <w:rPr>
          <w:lang w:val="fr-CH" w:eastAsia="en-US"/>
        </w:rPr>
        <w:t>Le Bureau international a soigneusement étudié la première option, selon laquelle</w:t>
      </w:r>
      <w:r w:rsidR="00AE7E01" w:rsidRPr="00AE7E01">
        <w:rPr>
          <w:lang w:val="fr-CH"/>
        </w:rPr>
        <w:t xml:space="preserve"> </w:t>
      </w:r>
      <w:r w:rsidR="00AE7E01" w:rsidRPr="00837D3E">
        <w:rPr>
          <w:lang w:val="fr-CH"/>
        </w:rPr>
        <w:t>l</w:t>
      </w:r>
      <w:r w:rsidR="00FA4858">
        <w:rPr>
          <w:lang w:val="fr-CH"/>
        </w:rPr>
        <w:t>’</w:t>
      </w:r>
      <w:r w:rsidR="00AE7E01" w:rsidRPr="00837D3E">
        <w:rPr>
          <w:lang w:val="fr-CH"/>
        </w:rPr>
        <w:t>assemblée</w:t>
      </w:r>
      <w:r w:rsidRPr="00837D3E">
        <w:rPr>
          <w:lang w:val="fr-CH" w:eastAsia="en-US"/>
        </w:rPr>
        <w:t xml:space="preserve"> charge le Directeur général de l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OMPI de ne pas accepter de nouvelle adhésion à l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Arrangement uniqueme</w:t>
      </w:r>
      <w:r w:rsidR="00697DA9" w:rsidRPr="00837D3E">
        <w:rPr>
          <w:lang w:val="fr-CH" w:eastAsia="en-US"/>
        </w:rPr>
        <w:t>nt</w:t>
      </w:r>
      <w:r w:rsidR="00697DA9">
        <w:rPr>
          <w:lang w:val="fr-CH" w:eastAsia="en-US"/>
        </w:rPr>
        <w:t xml:space="preserve">.  </w:t>
      </w:r>
      <w:r w:rsidR="00697DA9" w:rsidRPr="00837D3E">
        <w:rPr>
          <w:lang w:val="fr-CH" w:eastAsia="en-US"/>
        </w:rPr>
        <w:t>Le</w:t>
      </w:r>
      <w:r w:rsidRPr="00837D3E">
        <w:rPr>
          <w:lang w:val="fr-CH" w:eastAsia="en-US"/>
        </w:rPr>
        <w:t xml:space="preserve"> Bureau international estime que, dans le cadre du droit public international, le Directeur général de l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OMPI, en sa qualité de dépositaire, est sous l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obligation d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agir avec impartialité;  cela n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inclurait normalement pas le refus du dépôt d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instruments d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a</w:t>
      </w:r>
      <w:r w:rsidR="00AE7E01">
        <w:rPr>
          <w:lang w:val="fr-CH" w:eastAsia="en-US"/>
        </w:rPr>
        <w:t>d</w:t>
      </w:r>
      <w:r w:rsidRPr="00837D3E">
        <w:rPr>
          <w:lang w:val="fr-CH" w:eastAsia="en-US"/>
        </w:rPr>
        <w:t>hésion et</w:t>
      </w:r>
      <w:r w:rsidR="00AE7E01">
        <w:rPr>
          <w:lang w:val="fr-CH" w:eastAsia="en-US"/>
        </w:rPr>
        <w:t>,</w:t>
      </w:r>
      <w:r w:rsidRPr="00837D3E">
        <w:rPr>
          <w:lang w:val="fr-CH" w:eastAsia="en-US"/>
        </w:rPr>
        <w:t xml:space="preserve"> </w:t>
      </w:r>
      <w:r w:rsidR="00AE7E01" w:rsidRPr="00837D3E">
        <w:rPr>
          <w:lang w:val="fr-CH" w:eastAsia="en-US"/>
        </w:rPr>
        <w:t>en conséquence</w:t>
      </w:r>
      <w:r w:rsidR="00AE7E01">
        <w:rPr>
          <w:lang w:val="fr-CH" w:eastAsia="en-US"/>
        </w:rPr>
        <w:t>,</w:t>
      </w:r>
      <w:r w:rsidR="00AE7E01" w:rsidRPr="00837D3E">
        <w:rPr>
          <w:lang w:val="fr-CH" w:eastAsia="en-US"/>
        </w:rPr>
        <w:t xml:space="preserve"> </w:t>
      </w:r>
      <w:r w:rsidRPr="00837D3E">
        <w:rPr>
          <w:lang w:val="fr-CH" w:eastAsia="en-US"/>
        </w:rPr>
        <w:t>le Bureau international ne juge pas qu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 xml:space="preserve">il </w:t>
      </w:r>
      <w:r w:rsidR="00AE7E01">
        <w:rPr>
          <w:lang w:val="fr-CH" w:eastAsia="en-US"/>
        </w:rPr>
        <w:t>soit</w:t>
      </w:r>
      <w:r w:rsidRPr="00837D3E">
        <w:rPr>
          <w:lang w:val="fr-CH" w:eastAsia="en-US"/>
        </w:rPr>
        <w:t xml:space="preserve"> recommandé de présenter une telle proposition à l</w:t>
      </w:r>
      <w:r w:rsidR="00FA4858">
        <w:rPr>
          <w:lang w:val="fr-CH" w:eastAsia="en-US"/>
        </w:rPr>
        <w:t>’</w:t>
      </w:r>
      <w:r w:rsidRPr="00837D3E">
        <w:rPr>
          <w:lang w:val="fr-CH" w:eastAsia="en-US"/>
        </w:rPr>
        <w:t>assemblée.</w:t>
      </w:r>
    </w:p>
    <w:p w:rsidR="00FC091E" w:rsidRPr="00837D3E" w:rsidRDefault="00DD3329" w:rsidP="00697DA9">
      <w:pPr>
        <w:pStyle w:val="ONUMFS"/>
        <w:rPr>
          <w:lang w:val="fr-CH"/>
        </w:rPr>
      </w:pPr>
      <w:r w:rsidRPr="00837D3E">
        <w:rPr>
          <w:lang w:val="fr-CH"/>
        </w:rPr>
        <w:t>La deuxième option, selon laquelle 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assemblée décide de </w:t>
      </w:r>
      <w:r w:rsidR="00A0700B">
        <w:rPr>
          <w:lang w:val="fr-CH"/>
        </w:rPr>
        <w:t>“</w:t>
      </w:r>
      <w:r w:rsidRPr="00837D3E">
        <w:rPr>
          <w:lang w:val="fr-CH"/>
        </w:rPr>
        <w:t>geler</w:t>
      </w:r>
      <w:r w:rsidR="00A0700B">
        <w:rPr>
          <w:lang w:val="fr-CH"/>
        </w:rPr>
        <w:t>”</w:t>
      </w:r>
      <w:r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Pr="00837D3E">
        <w:rPr>
          <w:lang w:val="fr-CH"/>
        </w:rPr>
        <w:t>article</w:t>
      </w:r>
      <w:r w:rsidR="00A0700B">
        <w:rPr>
          <w:lang w:val="fr-CH"/>
        </w:rPr>
        <w:t> </w:t>
      </w:r>
      <w:r w:rsidRPr="00837D3E">
        <w:rPr>
          <w:lang w:val="fr-CH"/>
        </w:rPr>
        <w:t>14.1) et 2)a) de 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Arrangement, a été appuyée par un certain nombre de délégations au cours des délibérations </w:t>
      </w:r>
      <w:r w:rsidR="0014125A">
        <w:rPr>
          <w:lang w:val="fr-CH"/>
        </w:rPr>
        <w:t>du</w:t>
      </w:r>
      <w:r w:rsidRPr="00837D3E">
        <w:rPr>
          <w:lang w:val="fr-CH"/>
        </w:rPr>
        <w:t xml:space="preserve"> groupe de travail, est conforme au droit public international et compte de nombreux précédents à l</w:t>
      </w:r>
      <w:r w:rsidR="00FA4858">
        <w:rPr>
          <w:lang w:val="fr-CH"/>
        </w:rPr>
        <w:t>’</w:t>
      </w:r>
      <w:r w:rsidRPr="00837D3E">
        <w:rPr>
          <w:lang w:val="fr-CH"/>
        </w:rPr>
        <w:t>O</w:t>
      </w:r>
      <w:r w:rsidR="00697DA9" w:rsidRPr="00837D3E">
        <w:rPr>
          <w:lang w:val="fr-CH"/>
        </w:rPr>
        <w:t>MPI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En</w:t>
      </w:r>
      <w:r w:rsidRPr="00837D3E">
        <w:rPr>
          <w:lang w:val="fr-CH"/>
        </w:rPr>
        <w:t xml:space="preserve"> outre, cette option a été clairement exprimée dans le plan susmentionné </w:t>
      </w:r>
      <w:r w:rsidR="00AE7E01">
        <w:rPr>
          <w:lang w:val="fr-CH"/>
        </w:rPr>
        <w:t xml:space="preserve">établi </w:t>
      </w:r>
      <w:r w:rsidRPr="00837D3E">
        <w:rPr>
          <w:lang w:val="fr-CH"/>
        </w:rPr>
        <w:t>par le groupe de travail et entériné par l</w:t>
      </w:r>
      <w:r w:rsidR="00FA4858">
        <w:rPr>
          <w:lang w:val="fr-CH"/>
        </w:rPr>
        <w:t>’</w:t>
      </w:r>
      <w:r w:rsidRPr="00837D3E">
        <w:rPr>
          <w:lang w:val="fr-CH"/>
        </w:rPr>
        <w:t>assembl</w:t>
      </w:r>
      <w:r w:rsidR="00697DA9" w:rsidRPr="00837D3E">
        <w:rPr>
          <w:lang w:val="fr-CH"/>
        </w:rPr>
        <w:t>ée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Se</w:t>
      </w:r>
      <w:r w:rsidR="004717BF" w:rsidRPr="00837D3E">
        <w:rPr>
          <w:lang w:val="fr-CH"/>
        </w:rPr>
        <w:t>lon cette option, l</w:t>
      </w:r>
      <w:r w:rsidR="00FA4858">
        <w:rPr>
          <w:lang w:val="fr-CH"/>
        </w:rPr>
        <w:t>’</w:t>
      </w:r>
      <w:r w:rsidR="004717BF" w:rsidRPr="00837D3E">
        <w:rPr>
          <w:lang w:val="fr-CH"/>
        </w:rPr>
        <w:t xml:space="preserve">assemblée prendrait la décision de </w:t>
      </w:r>
      <w:r w:rsidR="003A264D">
        <w:rPr>
          <w:lang w:val="fr-CH"/>
        </w:rPr>
        <w:t>“</w:t>
      </w:r>
      <w:r w:rsidR="004717BF" w:rsidRPr="00837D3E">
        <w:rPr>
          <w:lang w:val="fr-CH"/>
        </w:rPr>
        <w:t>geler</w:t>
      </w:r>
      <w:r w:rsidR="003A264D">
        <w:rPr>
          <w:lang w:val="fr-CH"/>
        </w:rPr>
        <w:t>”</w:t>
      </w:r>
      <w:r w:rsidR="004717BF"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="004717BF"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="004717BF" w:rsidRPr="00837D3E">
        <w:rPr>
          <w:lang w:val="fr-CH"/>
        </w:rPr>
        <w:t>article</w:t>
      </w:r>
      <w:r w:rsidR="00A0700B">
        <w:rPr>
          <w:lang w:val="fr-CH"/>
        </w:rPr>
        <w:t> </w:t>
      </w:r>
      <w:r w:rsidR="004717BF" w:rsidRPr="00837D3E">
        <w:rPr>
          <w:lang w:val="fr-CH"/>
        </w:rPr>
        <w:t>14.1) et 2)a)</w:t>
      </w:r>
      <w:r w:rsidR="00AE7E01">
        <w:rPr>
          <w:lang w:val="fr-CH"/>
        </w:rPr>
        <w:t>,</w:t>
      </w:r>
      <w:r w:rsidR="004717BF" w:rsidRPr="00837D3E">
        <w:rPr>
          <w:lang w:val="fr-CH"/>
        </w:rPr>
        <w:t xml:space="preserve"> à </w:t>
      </w:r>
      <w:r w:rsidR="00AE7E01">
        <w:rPr>
          <w:lang w:val="fr-CH"/>
        </w:rPr>
        <w:t xml:space="preserve">compter de </w:t>
      </w:r>
      <w:r w:rsidR="004717BF" w:rsidRPr="00837D3E">
        <w:rPr>
          <w:lang w:val="fr-CH"/>
        </w:rPr>
        <w:t>la date de cette décision, avec les effets suivants :</w:t>
      </w:r>
    </w:p>
    <w:p w:rsidR="00FC091E" w:rsidRPr="00837D3E" w:rsidRDefault="00AE7E01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>
        <w:rPr>
          <w:lang w:val="fr-CH"/>
        </w:rPr>
        <w:t xml:space="preserve">de </w:t>
      </w:r>
      <w:r w:rsidR="004717BF" w:rsidRPr="00837D3E">
        <w:rPr>
          <w:lang w:val="fr-CH"/>
        </w:rPr>
        <w:t>nouvelles parties contractantes ne pourraient plus ratifier seulement l</w:t>
      </w:r>
      <w:r w:rsidR="00FA4858">
        <w:rPr>
          <w:lang w:val="fr-CH"/>
        </w:rPr>
        <w:t>’</w:t>
      </w:r>
      <w:r w:rsidR="004717BF" w:rsidRPr="00837D3E">
        <w:rPr>
          <w:lang w:val="fr-CH"/>
        </w:rPr>
        <w:t>Arrangement ou adhérer uniquement à celui</w:t>
      </w:r>
      <w:r w:rsidR="0065530F">
        <w:rPr>
          <w:lang w:val="fr-CH"/>
        </w:rPr>
        <w:noBreakHyphen/>
      </w:r>
      <w:r w:rsidR="004717BF" w:rsidRPr="00837D3E">
        <w:rPr>
          <w:lang w:val="fr-CH"/>
        </w:rPr>
        <w:t>ci mais pourraient simultanément ratifier l</w:t>
      </w:r>
      <w:r w:rsidR="00FA4858">
        <w:rPr>
          <w:lang w:val="fr-CH"/>
        </w:rPr>
        <w:t>’</w:t>
      </w:r>
      <w:r w:rsidR="004717BF" w:rsidRPr="00837D3E">
        <w:rPr>
          <w:lang w:val="fr-CH"/>
        </w:rPr>
        <w:t>Arrangement et le Protocole ou adhérer aux deux;</w:t>
      </w:r>
    </w:p>
    <w:p w:rsidR="00FC091E" w:rsidRPr="00837D3E" w:rsidRDefault="004717BF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837D3E">
        <w:rPr>
          <w:lang w:val="fr-CH"/>
        </w:rPr>
        <w:t>les pays qui sont parties contractantes du Protocole pour</w:t>
      </w:r>
      <w:r w:rsidR="00FC091E" w:rsidRPr="00837D3E">
        <w:rPr>
          <w:lang w:val="fr-CH"/>
        </w:rPr>
        <w:t>raient adhérer à l</w:t>
      </w:r>
      <w:r w:rsidR="00FA4858">
        <w:rPr>
          <w:lang w:val="fr-CH"/>
        </w:rPr>
        <w:t>’</w:t>
      </w:r>
      <w:r w:rsidR="00FC091E" w:rsidRPr="00837D3E">
        <w:rPr>
          <w:lang w:val="fr-CH"/>
        </w:rPr>
        <w:t>Arrangement;</w:t>
      </w:r>
    </w:p>
    <w:p w:rsidR="00FC091E" w:rsidRPr="00837D3E" w:rsidRDefault="004717BF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837D3E">
        <w:rPr>
          <w:lang w:val="fr-CH"/>
        </w:rPr>
        <w:t>les demandes internationales ne pourraient plus être déposées en vertu de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Arrangement;</w:t>
      </w:r>
    </w:p>
    <w:p w:rsidR="00FC091E" w:rsidRPr="00837D3E" w:rsidRDefault="004717BF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837D3E">
        <w:rPr>
          <w:lang w:val="fr-CH"/>
        </w:rPr>
        <w:t>aucune opération relevant de l</w:t>
      </w:r>
      <w:r w:rsidR="00FA4858">
        <w:rPr>
          <w:lang w:val="fr-CH"/>
        </w:rPr>
        <w:t>’</w:t>
      </w:r>
      <w:r w:rsidRPr="00837D3E">
        <w:rPr>
          <w:lang w:val="fr-CH"/>
        </w:rPr>
        <w:t xml:space="preserve">Arrangement ne serait plus effectuée, </w:t>
      </w:r>
      <w:r w:rsidR="00FA4858">
        <w:rPr>
          <w:lang w:val="fr-CH"/>
        </w:rPr>
        <w:t>y compris</w:t>
      </w:r>
      <w:r w:rsidRPr="00837D3E">
        <w:rPr>
          <w:lang w:val="fr-CH"/>
        </w:rPr>
        <w:t xml:space="preserve"> la présentation des désignations postérieures;</w:t>
      </w:r>
    </w:p>
    <w:p w:rsidR="00FC091E" w:rsidRPr="00837D3E" w:rsidRDefault="004717BF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837D3E">
        <w:rPr>
          <w:lang w:val="fr-CH"/>
        </w:rPr>
        <w:t>l</w:t>
      </w:r>
      <w:r w:rsidR="00FA4858">
        <w:rPr>
          <w:lang w:val="fr-CH"/>
        </w:rPr>
        <w:t>’</w:t>
      </w:r>
      <w:r w:rsidRPr="00837D3E">
        <w:rPr>
          <w:lang w:val="fr-CH"/>
        </w:rPr>
        <w:t>article 9</w:t>
      </w:r>
      <w:r w:rsidRPr="00837D3E">
        <w:rPr>
          <w:i/>
          <w:lang w:val="fr-CH"/>
        </w:rPr>
        <w:t>sexies</w:t>
      </w:r>
      <w:r w:rsidRPr="00837D3E">
        <w:rPr>
          <w:lang w:val="fr-CH"/>
        </w:rPr>
        <w:t>.1)b) du Protocole serait toujours applicable dans le cadre des relations mutuelles entre les parties contractantes liées à la fois pa</w:t>
      </w:r>
      <w:r w:rsidR="00AE7E01">
        <w:rPr>
          <w:lang w:val="fr-CH"/>
        </w:rPr>
        <w:t>r l</w:t>
      </w:r>
      <w:r w:rsidR="00FA4858">
        <w:rPr>
          <w:lang w:val="fr-CH"/>
        </w:rPr>
        <w:t>’</w:t>
      </w:r>
      <w:r w:rsidR="00AE7E01">
        <w:rPr>
          <w:lang w:val="fr-CH"/>
        </w:rPr>
        <w:t>Arrangement et le Protocole;  et</w:t>
      </w:r>
    </w:p>
    <w:p w:rsidR="00FC091E" w:rsidRPr="00837D3E" w:rsidRDefault="004717BF" w:rsidP="00E55B80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837D3E">
        <w:rPr>
          <w:lang w:val="fr-CH"/>
        </w:rPr>
        <w:t>l</w:t>
      </w:r>
      <w:r w:rsidR="00FA4858">
        <w:rPr>
          <w:lang w:val="fr-CH"/>
        </w:rPr>
        <w:t>’</w:t>
      </w:r>
      <w:r w:rsidRPr="00837D3E">
        <w:rPr>
          <w:lang w:val="fr-CH"/>
        </w:rPr>
        <w:t>assemblée pourrait toujours traiter de toutes les questions concernant l</w:t>
      </w:r>
      <w:r w:rsidR="00FA4858">
        <w:rPr>
          <w:lang w:val="fr-CH"/>
        </w:rPr>
        <w:t>’</w:t>
      </w:r>
      <w:r w:rsidRPr="00837D3E">
        <w:rPr>
          <w:lang w:val="fr-CH"/>
        </w:rPr>
        <w:t>applicat</w:t>
      </w:r>
      <w:r w:rsidR="00AE7E01">
        <w:rPr>
          <w:lang w:val="fr-CH"/>
        </w:rPr>
        <w:t>ion de l</w:t>
      </w:r>
      <w:r w:rsidR="00FA4858">
        <w:rPr>
          <w:lang w:val="fr-CH"/>
        </w:rPr>
        <w:t>’</w:t>
      </w:r>
      <w:r w:rsidR="00AE7E01">
        <w:rPr>
          <w:lang w:val="fr-CH"/>
        </w:rPr>
        <w:t>Arrangement et pourrai</w:t>
      </w:r>
      <w:r w:rsidRPr="00837D3E">
        <w:rPr>
          <w:lang w:val="fr-CH"/>
        </w:rPr>
        <w:t xml:space="preserve">t revenir ultérieurement, en tout temps, à sa décision de </w:t>
      </w:r>
      <w:r w:rsidR="00AA62AB">
        <w:rPr>
          <w:lang w:val="fr-CH"/>
        </w:rPr>
        <w:t>“</w:t>
      </w:r>
      <w:r w:rsidRPr="00837D3E">
        <w:rPr>
          <w:lang w:val="fr-CH"/>
        </w:rPr>
        <w:t>geler</w:t>
      </w:r>
      <w:r w:rsidR="00AA62AB">
        <w:rPr>
          <w:lang w:val="fr-CH"/>
        </w:rPr>
        <w:t>”</w:t>
      </w:r>
      <w:r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Pr="00837D3E">
        <w:rPr>
          <w:lang w:val="fr-CH"/>
        </w:rPr>
        <w:t>article</w:t>
      </w:r>
      <w:r w:rsidR="00A0700B">
        <w:rPr>
          <w:lang w:val="fr-CH"/>
        </w:rPr>
        <w:t> </w:t>
      </w:r>
      <w:r w:rsidRPr="00837D3E">
        <w:rPr>
          <w:lang w:val="fr-CH"/>
        </w:rPr>
        <w:t>14.1) et 2)a) de l</w:t>
      </w:r>
      <w:r w:rsidR="00FA4858">
        <w:rPr>
          <w:lang w:val="fr-CH"/>
        </w:rPr>
        <w:t>’</w:t>
      </w:r>
      <w:r w:rsidRPr="00837D3E">
        <w:rPr>
          <w:lang w:val="fr-CH"/>
        </w:rPr>
        <w:t>Arrangement.</w:t>
      </w:r>
    </w:p>
    <w:p w:rsidR="00FC091E" w:rsidRPr="00837D3E" w:rsidRDefault="004717BF" w:rsidP="00697DA9">
      <w:pPr>
        <w:pStyle w:val="ONUMFS"/>
        <w:rPr>
          <w:lang w:val="fr-CH"/>
        </w:rPr>
      </w:pPr>
      <w:r w:rsidRPr="00837D3E">
        <w:rPr>
          <w:lang w:val="fr-CH"/>
        </w:rPr>
        <w:t>Le groupe de travail a demandé au Bureau international de proposer la mesure la plus appropriée à l</w:t>
      </w:r>
      <w:r w:rsidR="00FA4858">
        <w:rPr>
          <w:lang w:val="fr-CH"/>
        </w:rPr>
        <w:t>’</w:t>
      </w:r>
      <w:r w:rsidRPr="00837D3E">
        <w:rPr>
          <w:lang w:val="fr-CH"/>
        </w:rPr>
        <w:t>assembl</w:t>
      </w:r>
      <w:r w:rsidR="00697DA9" w:rsidRPr="00837D3E">
        <w:rPr>
          <w:lang w:val="fr-CH"/>
        </w:rPr>
        <w:t>ée</w:t>
      </w:r>
      <w:r w:rsidR="00697DA9">
        <w:rPr>
          <w:lang w:val="fr-CH"/>
        </w:rPr>
        <w:t xml:space="preserve">.  </w:t>
      </w:r>
      <w:r w:rsidR="00697DA9" w:rsidRPr="00837D3E">
        <w:rPr>
          <w:lang w:val="fr-CH"/>
        </w:rPr>
        <w:t>Ap</w:t>
      </w:r>
      <w:r w:rsidR="00FC091E" w:rsidRPr="00837D3E">
        <w:rPr>
          <w:lang w:val="fr-CH"/>
        </w:rPr>
        <w:t>rès avoir soigneusement passé en revue les deux</w:t>
      </w:r>
      <w:r w:rsidR="00A0700B">
        <w:rPr>
          <w:lang w:val="fr-CH"/>
        </w:rPr>
        <w:t> </w:t>
      </w:r>
      <w:r w:rsidR="00FC091E" w:rsidRPr="00837D3E">
        <w:rPr>
          <w:lang w:val="fr-CH"/>
        </w:rPr>
        <w:t xml:space="preserve">options </w:t>
      </w:r>
      <w:r w:rsidR="006E74F5">
        <w:rPr>
          <w:lang w:val="fr-CH"/>
        </w:rPr>
        <w:t>envisageables</w:t>
      </w:r>
      <w:r w:rsidR="00FC091E" w:rsidRPr="00837D3E">
        <w:rPr>
          <w:lang w:val="fr-CH"/>
        </w:rPr>
        <w:t>, le Bureau international propose que l</w:t>
      </w:r>
      <w:r w:rsidR="00FA4858">
        <w:rPr>
          <w:lang w:val="fr-CH"/>
        </w:rPr>
        <w:t>’</w:t>
      </w:r>
      <w:r w:rsidR="00FC091E" w:rsidRPr="00837D3E">
        <w:rPr>
          <w:lang w:val="fr-CH"/>
        </w:rPr>
        <w:t xml:space="preserve">assemblée prenne la décision de </w:t>
      </w:r>
      <w:r w:rsidR="009C0052">
        <w:rPr>
          <w:lang w:val="fr-CH"/>
        </w:rPr>
        <w:t>“</w:t>
      </w:r>
      <w:r w:rsidR="00FC091E" w:rsidRPr="00837D3E">
        <w:rPr>
          <w:lang w:val="fr-CH"/>
        </w:rPr>
        <w:t>geler</w:t>
      </w:r>
      <w:r w:rsidR="009C0052">
        <w:rPr>
          <w:lang w:val="fr-CH"/>
        </w:rPr>
        <w:t>”</w:t>
      </w:r>
      <w:r w:rsidR="00FC091E" w:rsidRPr="00837D3E">
        <w:rPr>
          <w:lang w:val="fr-CH"/>
        </w:rPr>
        <w:t xml:space="preserve"> l</w:t>
      </w:r>
      <w:r w:rsidR="00FA4858">
        <w:rPr>
          <w:lang w:val="fr-CH"/>
        </w:rPr>
        <w:t>’</w:t>
      </w:r>
      <w:r w:rsidR="00FC091E" w:rsidRPr="00837D3E">
        <w:rPr>
          <w:lang w:val="fr-CH"/>
        </w:rPr>
        <w:t>application de l</w:t>
      </w:r>
      <w:r w:rsidR="00FA4858">
        <w:rPr>
          <w:lang w:val="fr-CH"/>
        </w:rPr>
        <w:t>’</w:t>
      </w:r>
      <w:r w:rsidR="00FC091E" w:rsidRPr="00837D3E">
        <w:rPr>
          <w:lang w:val="fr-CH"/>
        </w:rPr>
        <w:t>article</w:t>
      </w:r>
      <w:r w:rsidR="00A0700B">
        <w:rPr>
          <w:lang w:val="fr-CH"/>
        </w:rPr>
        <w:t> </w:t>
      </w:r>
      <w:r w:rsidR="00FC091E" w:rsidRPr="00837D3E">
        <w:rPr>
          <w:lang w:val="fr-CH"/>
        </w:rPr>
        <w:t>14.1) et 2)a) de l</w:t>
      </w:r>
      <w:r w:rsidR="00FA4858">
        <w:rPr>
          <w:lang w:val="fr-CH"/>
        </w:rPr>
        <w:t>’</w:t>
      </w:r>
      <w:r w:rsidR="00FC091E" w:rsidRPr="00837D3E">
        <w:rPr>
          <w:lang w:val="fr-CH"/>
        </w:rPr>
        <w:t>Arrangement comme étant la mesure la plus efficace pour garantir la consolidation du système de Madrid en tant que système régi par un seul traité.</w:t>
      </w:r>
    </w:p>
    <w:p w:rsidR="00FC091E" w:rsidRPr="00697DA9" w:rsidRDefault="00837D3E" w:rsidP="00697DA9">
      <w:pPr>
        <w:pStyle w:val="ONUMFS"/>
        <w:ind w:left="5533"/>
        <w:rPr>
          <w:i/>
        </w:rPr>
      </w:pPr>
      <w:r w:rsidRPr="00697DA9">
        <w:rPr>
          <w:i/>
        </w:rPr>
        <w:t>L</w:t>
      </w:r>
      <w:r w:rsidR="00FA4858" w:rsidRPr="00697DA9">
        <w:rPr>
          <w:i/>
        </w:rPr>
        <w:t>’</w:t>
      </w:r>
      <w:r w:rsidRPr="00697DA9">
        <w:rPr>
          <w:i/>
        </w:rPr>
        <w:t xml:space="preserve">assemblée est </w:t>
      </w:r>
      <w:r w:rsidR="00697DA9" w:rsidRPr="00697DA9">
        <w:rPr>
          <w:i/>
        </w:rPr>
        <w:t>invitée</w:t>
      </w:r>
      <w:r w:rsidRPr="00697DA9">
        <w:rPr>
          <w:i/>
        </w:rPr>
        <w:t> </w:t>
      </w:r>
      <w:r w:rsidR="00FC091E" w:rsidRPr="00697DA9">
        <w:rPr>
          <w:i/>
        </w:rPr>
        <w:t>:</w:t>
      </w:r>
    </w:p>
    <w:p w:rsidR="00E55B80" w:rsidRDefault="00FC091E" w:rsidP="00E55B80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CH"/>
        </w:rPr>
      </w:pPr>
      <w:r w:rsidRPr="00697DA9">
        <w:rPr>
          <w:i/>
          <w:lang w:val="fr-CH"/>
        </w:rPr>
        <w:t xml:space="preserve">à examiner les propositions faites dans la </w:t>
      </w:r>
      <w:r w:rsidR="00A0700B" w:rsidRPr="00697DA9">
        <w:rPr>
          <w:i/>
          <w:lang w:val="fr-CH"/>
        </w:rPr>
        <w:t>“</w:t>
      </w:r>
      <w:r w:rsidRPr="00697DA9">
        <w:rPr>
          <w:i/>
          <w:lang w:val="fr-CH"/>
        </w:rPr>
        <w:t>Proposition concernant les adhésions à l</w:t>
      </w:r>
      <w:r w:rsidR="00FA4858" w:rsidRPr="00697DA9">
        <w:rPr>
          <w:i/>
          <w:lang w:val="fr-CH"/>
        </w:rPr>
        <w:t>’</w:t>
      </w:r>
      <w:r w:rsidRPr="00697DA9">
        <w:rPr>
          <w:i/>
          <w:lang w:val="fr-CH"/>
        </w:rPr>
        <w:t>Arrangement de Madrid uniquement</w:t>
      </w:r>
      <w:r w:rsidR="00A0700B" w:rsidRPr="00697DA9">
        <w:rPr>
          <w:i/>
          <w:lang w:val="fr-CH"/>
        </w:rPr>
        <w:t>”</w:t>
      </w:r>
      <w:r w:rsidRPr="00697DA9">
        <w:rPr>
          <w:i/>
          <w:lang w:val="fr-CH"/>
        </w:rPr>
        <w:t xml:space="preserve"> (document MM/A/50/3) et</w:t>
      </w:r>
    </w:p>
    <w:p w:rsidR="00E55B80" w:rsidRDefault="00E55B80">
      <w:pPr>
        <w:rPr>
          <w:i/>
          <w:lang w:val="fr-CH"/>
        </w:rPr>
      </w:pPr>
      <w:r>
        <w:rPr>
          <w:i/>
          <w:lang w:val="fr-CH"/>
        </w:rPr>
        <w:br w:type="page"/>
      </w:r>
    </w:p>
    <w:p w:rsidR="00FC091E" w:rsidRPr="00697DA9" w:rsidRDefault="00FC091E" w:rsidP="00E55B80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CH"/>
        </w:rPr>
      </w:pPr>
      <w:r w:rsidRPr="00697DA9">
        <w:rPr>
          <w:i/>
          <w:lang w:val="fr-CH"/>
        </w:rPr>
        <w:t xml:space="preserve">à prendre la décision de </w:t>
      </w:r>
      <w:r w:rsidR="009C0052" w:rsidRPr="009C0052">
        <w:rPr>
          <w:i/>
          <w:lang w:val="fr-CH"/>
        </w:rPr>
        <w:t>“</w:t>
      </w:r>
      <w:r w:rsidRPr="00697DA9">
        <w:rPr>
          <w:i/>
          <w:lang w:val="fr-CH"/>
        </w:rPr>
        <w:t>geler</w:t>
      </w:r>
      <w:r w:rsidR="009C0052" w:rsidRPr="009C0052">
        <w:rPr>
          <w:i/>
          <w:lang w:val="fr-CH"/>
        </w:rPr>
        <w:t>”</w:t>
      </w:r>
      <w:r w:rsidRPr="00697DA9">
        <w:rPr>
          <w:i/>
          <w:lang w:val="fr-CH"/>
        </w:rPr>
        <w:t xml:space="preserve"> l</w:t>
      </w:r>
      <w:r w:rsidR="00FA4858" w:rsidRPr="00697DA9">
        <w:rPr>
          <w:i/>
          <w:lang w:val="fr-CH"/>
        </w:rPr>
        <w:t>’</w:t>
      </w:r>
      <w:r w:rsidRPr="00697DA9">
        <w:rPr>
          <w:i/>
          <w:lang w:val="fr-CH"/>
        </w:rPr>
        <w:t>application de l</w:t>
      </w:r>
      <w:r w:rsidR="00FA4858" w:rsidRPr="00697DA9">
        <w:rPr>
          <w:i/>
          <w:lang w:val="fr-CH"/>
        </w:rPr>
        <w:t>’</w:t>
      </w:r>
      <w:r w:rsidRPr="00697DA9">
        <w:rPr>
          <w:i/>
          <w:lang w:val="fr-CH"/>
        </w:rPr>
        <w:t>article</w:t>
      </w:r>
      <w:r w:rsidR="00A0700B" w:rsidRPr="00697DA9">
        <w:rPr>
          <w:i/>
          <w:lang w:val="fr-CH"/>
        </w:rPr>
        <w:t> </w:t>
      </w:r>
      <w:r w:rsidRPr="00697DA9">
        <w:rPr>
          <w:i/>
          <w:lang w:val="fr-CH"/>
        </w:rPr>
        <w:t>14.1) et 2)a) de l</w:t>
      </w:r>
      <w:r w:rsidR="00FA4858" w:rsidRPr="00697DA9">
        <w:rPr>
          <w:i/>
          <w:lang w:val="fr-CH"/>
        </w:rPr>
        <w:t>’</w:t>
      </w:r>
      <w:r w:rsidRPr="00697DA9">
        <w:rPr>
          <w:i/>
          <w:lang w:val="fr-CH"/>
        </w:rPr>
        <w:t xml:space="preserve">Arrangement de Madrid concernant </w:t>
      </w:r>
      <w:r w:rsidRPr="00697DA9">
        <w:rPr>
          <w:i/>
          <w:lang w:val="fr-CH"/>
        </w:rPr>
        <w:lastRenderedPageBreak/>
        <w:t>l</w:t>
      </w:r>
      <w:r w:rsidR="00FA4858" w:rsidRPr="00697DA9">
        <w:rPr>
          <w:i/>
          <w:lang w:val="fr-CH"/>
        </w:rPr>
        <w:t>’</w:t>
      </w:r>
      <w:r w:rsidRPr="00697DA9">
        <w:rPr>
          <w:i/>
          <w:lang w:val="fr-CH"/>
        </w:rPr>
        <w:t>enregistrement international des marques, avec les effets prévus au paragraphe</w:t>
      </w:r>
      <w:r w:rsidR="00A0700B" w:rsidRPr="00697DA9">
        <w:rPr>
          <w:i/>
          <w:lang w:val="fr-CH"/>
        </w:rPr>
        <w:t> </w:t>
      </w:r>
      <w:r w:rsidRPr="00697DA9">
        <w:rPr>
          <w:i/>
          <w:lang w:val="fr-CH"/>
        </w:rPr>
        <w:t xml:space="preserve">10 du document susmentionné, à </w:t>
      </w:r>
      <w:r w:rsidR="006E74F5" w:rsidRPr="00697DA9">
        <w:rPr>
          <w:i/>
          <w:lang w:val="fr-CH"/>
        </w:rPr>
        <w:t xml:space="preserve">compter de </w:t>
      </w:r>
      <w:r w:rsidRPr="00697DA9">
        <w:rPr>
          <w:i/>
          <w:lang w:val="fr-CH"/>
        </w:rPr>
        <w:t>la date de cette décision.</w:t>
      </w:r>
    </w:p>
    <w:p w:rsidR="00FC091E" w:rsidRDefault="00FC091E" w:rsidP="00697DA9">
      <w:pPr>
        <w:rPr>
          <w:lang w:val="fr-CH"/>
        </w:rPr>
      </w:pPr>
    </w:p>
    <w:p w:rsidR="00697DA9" w:rsidRPr="00837D3E" w:rsidRDefault="00697DA9" w:rsidP="00697DA9">
      <w:pPr>
        <w:rPr>
          <w:lang w:val="fr-CH"/>
        </w:rPr>
      </w:pPr>
    </w:p>
    <w:p w:rsidR="00FC091E" w:rsidRPr="00837D3E" w:rsidRDefault="00FC091E" w:rsidP="00FC091E">
      <w:pPr>
        <w:ind w:left="5533"/>
      </w:pPr>
      <w:r w:rsidRPr="00837D3E">
        <w:t>[Fin du document]</w:t>
      </w:r>
    </w:p>
    <w:sectPr w:rsidR="00FC091E" w:rsidRPr="00837D3E" w:rsidSect="00697DA9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C4" w:rsidRDefault="00A20DC4">
      <w:r>
        <w:separator/>
      </w:r>
    </w:p>
  </w:endnote>
  <w:endnote w:type="continuationSeparator" w:id="0">
    <w:p w:rsidR="00A20DC4" w:rsidRDefault="00A20DC4" w:rsidP="003B38C1">
      <w:r>
        <w:separator/>
      </w:r>
    </w:p>
    <w:p w:rsidR="00A20DC4" w:rsidRPr="00DE0930" w:rsidRDefault="00A20DC4" w:rsidP="003B38C1">
      <w:pPr>
        <w:spacing w:after="60"/>
        <w:rPr>
          <w:sz w:val="17"/>
          <w:lang w:val="en-US"/>
        </w:rPr>
      </w:pPr>
      <w:r w:rsidRPr="00DE0930">
        <w:rPr>
          <w:sz w:val="17"/>
          <w:lang w:val="en-US"/>
        </w:rPr>
        <w:t>[Endnote continued from previous page]</w:t>
      </w:r>
    </w:p>
  </w:endnote>
  <w:endnote w:type="continuationNotice" w:id="1">
    <w:p w:rsidR="00A20DC4" w:rsidRPr="00DE0930" w:rsidRDefault="00A20DC4" w:rsidP="003B38C1">
      <w:pPr>
        <w:spacing w:before="60"/>
        <w:jc w:val="right"/>
        <w:rPr>
          <w:sz w:val="17"/>
          <w:szCs w:val="17"/>
          <w:lang w:val="en-US"/>
        </w:rPr>
      </w:pPr>
      <w:r w:rsidRPr="00DE093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C4" w:rsidRDefault="00A20DC4">
      <w:r>
        <w:separator/>
      </w:r>
    </w:p>
  </w:footnote>
  <w:footnote w:type="continuationSeparator" w:id="0">
    <w:p w:rsidR="00A20DC4" w:rsidRDefault="00A20DC4" w:rsidP="008B60B2">
      <w:r>
        <w:separator/>
      </w:r>
    </w:p>
    <w:p w:rsidR="00A20DC4" w:rsidRPr="00DE0930" w:rsidRDefault="00A20DC4" w:rsidP="008B60B2">
      <w:pPr>
        <w:spacing w:after="60"/>
        <w:rPr>
          <w:sz w:val="17"/>
          <w:szCs w:val="17"/>
          <w:lang w:val="en-US"/>
        </w:rPr>
      </w:pPr>
      <w:r w:rsidRPr="00DE093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20DC4" w:rsidRPr="00DE0930" w:rsidRDefault="00A20DC4" w:rsidP="008B60B2">
      <w:pPr>
        <w:spacing w:before="60"/>
        <w:jc w:val="right"/>
        <w:rPr>
          <w:sz w:val="17"/>
          <w:szCs w:val="17"/>
          <w:lang w:val="en-US"/>
        </w:rPr>
      </w:pPr>
      <w:r w:rsidRPr="00DE0930">
        <w:rPr>
          <w:sz w:val="17"/>
          <w:szCs w:val="17"/>
          <w:lang w:val="en-US"/>
        </w:rPr>
        <w:t>[Footnote continued on next page]</w:t>
      </w:r>
    </w:p>
  </w:footnote>
  <w:footnote w:id="2">
    <w:p w:rsidR="002D15C0" w:rsidRPr="00AE7E01" w:rsidRDefault="002D15C0" w:rsidP="002D15C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D15C0">
        <w:rPr>
          <w:lang w:val="fr-CH"/>
        </w:rPr>
        <w:t xml:space="preserve"> </w:t>
      </w:r>
      <w:r w:rsidRPr="002D15C0">
        <w:rPr>
          <w:lang w:val="fr-CH"/>
        </w:rPr>
        <w:tab/>
      </w:r>
      <w:r w:rsidRPr="00AE7E01">
        <w:rPr>
          <w:lang w:val="fr-CH"/>
        </w:rPr>
        <w:t>Voir le document MM/LD/WG/13/7 “Examen de la proposition relative au gel de l</w:t>
      </w:r>
      <w:r w:rsidR="00697DA9">
        <w:rPr>
          <w:lang w:val="fr-CH"/>
        </w:rPr>
        <w:t>’</w:t>
      </w:r>
      <w:r w:rsidR="002F6FE3">
        <w:rPr>
          <w:lang w:val="fr-CH"/>
        </w:rPr>
        <w:t>a</w:t>
      </w:r>
      <w:r w:rsidRPr="00AE7E01">
        <w:rPr>
          <w:lang w:val="fr-CH"/>
        </w:rPr>
        <w:t>pplication de l</w:t>
      </w:r>
      <w:r w:rsidR="00697DA9">
        <w:rPr>
          <w:lang w:val="fr-CH"/>
        </w:rPr>
        <w:t>’</w:t>
      </w:r>
      <w:r w:rsidRPr="00AE7E01">
        <w:rPr>
          <w:lang w:val="fr-CH"/>
        </w:rPr>
        <w:t>article</w:t>
      </w:r>
      <w:r w:rsidR="0041713E">
        <w:rPr>
          <w:lang w:val="fr-CH"/>
        </w:rPr>
        <w:t> </w:t>
      </w:r>
      <w:r w:rsidRPr="00AE7E01">
        <w:rPr>
          <w:lang w:val="fr-CH"/>
        </w:rPr>
        <w:t>14.1) et 2)a) de l</w:t>
      </w:r>
      <w:r w:rsidR="00697DA9">
        <w:rPr>
          <w:lang w:val="fr-CH"/>
        </w:rPr>
        <w:t>’</w:t>
      </w:r>
      <w:r w:rsidRPr="00AE7E01">
        <w:rPr>
          <w:lang w:val="fr-CH"/>
        </w:rPr>
        <w:t>Arrangement de Madrid concernant l</w:t>
      </w:r>
      <w:r w:rsidR="00697DA9">
        <w:rPr>
          <w:lang w:val="fr-CH"/>
        </w:rPr>
        <w:t>’</w:t>
      </w:r>
      <w:r w:rsidRPr="00AE7E01">
        <w:rPr>
          <w:lang w:val="fr-CH"/>
        </w:rPr>
        <w:t>enregistre</w:t>
      </w:r>
      <w:r w:rsidR="00837D3E" w:rsidRPr="00AE7E01">
        <w:rPr>
          <w:lang w:val="fr-CH"/>
        </w:rPr>
        <w:t>ment international des marques</w:t>
      </w:r>
      <w:r w:rsidR="0041713E">
        <w:rPr>
          <w:lang w:val="fr-CH"/>
        </w:rPr>
        <w:t>”</w:t>
      </w:r>
      <w:r w:rsidR="00837D3E" w:rsidRPr="00AE7E01">
        <w:rPr>
          <w:lang w:val="fr-CH"/>
        </w:rPr>
        <w:t xml:space="preserve"> </w:t>
      </w:r>
      <w:r w:rsidRPr="00AE7E01">
        <w:rPr>
          <w:lang w:val="fr-CH"/>
        </w:rPr>
        <w:t>(</w:t>
      </w:r>
      <w:r w:rsidR="0065530F" w:rsidRPr="0065530F">
        <w:rPr>
          <w:lang w:val="fr-CH"/>
        </w:rPr>
        <w:t>http://www.wipo.int/meetings/fr/doc_details.jsp?doc_id=316237</w:t>
      </w:r>
      <w:r w:rsidRPr="00AE7E01">
        <w:rPr>
          <w:lang w:val="fr-CH"/>
        </w:rPr>
        <w:t>).</w:t>
      </w:r>
    </w:p>
  </w:footnote>
  <w:footnote w:id="3">
    <w:p w:rsidR="002D15C0" w:rsidRPr="00AE7E01" w:rsidRDefault="002D15C0" w:rsidP="00792EE8">
      <w:pPr>
        <w:pStyle w:val="FootnoteText"/>
        <w:rPr>
          <w:lang w:val="fr-CH"/>
        </w:rPr>
      </w:pPr>
      <w:r w:rsidRPr="00AE7E01">
        <w:rPr>
          <w:rStyle w:val="FootnoteReference"/>
        </w:rPr>
        <w:footnoteRef/>
      </w:r>
      <w:r w:rsidRPr="00AE7E01">
        <w:rPr>
          <w:lang w:val="fr-CH"/>
        </w:rPr>
        <w:t xml:space="preserve"> </w:t>
      </w:r>
      <w:r w:rsidRPr="00AE7E01">
        <w:rPr>
          <w:lang w:val="fr-CH"/>
        </w:rPr>
        <w:tab/>
      </w:r>
      <w:r w:rsidR="00792EE8" w:rsidRPr="00AE7E01">
        <w:rPr>
          <w:lang w:val="fr-CH"/>
        </w:rPr>
        <w:t xml:space="preserve">Voir le document MM/A/37/4 intitulé </w:t>
      </w:r>
      <w:r w:rsidR="0041713E">
        <w:rPr>
          <w:lang w:val="fr-CH"/>
        </w:rPr>
        <w:t>“</w:t>
      </w:r>
      <w:r w:rsidR="00837D3E" w:rsidRPr="00AE7E01">
        <w:rPr>
          <w:lang w:val="fr-CH"/>
        </w:rPr>
        <w:t>Rapport</w:t>
      </w:r>
      <w:r w:rsidR="0041713E">
        <w:rPr>
          <w:lang w:val="fr-CH"/>
        </w:rPr>
        <w:t>”</w:t>
      </w:r>
      <w:r w:rsidR="00837D3E" w:rsidRPr="00AE7E01">
        <w:rPr>
          <w:lang w:val="fr-CH"/>
        </w:rPr>
        <w:t xml:space="preserve"> </w:t>
      </w:r>
      <w:r w:rsidR="00792EE8" w:rsidRPr="00AE7E01">
        <w:rPr>
          <w:lang w:val="fr-CH"/>
        </w:rPr>
        <w:t>(</w:t>
      </w:r>
      <w:r w:rsidR="0065530F" w:rsidRPr="0065530F">
        <w:rPr>
          <w:lang w:val="fr-CH"/>
        </w:rPr>
        <w:t>http://www.wipo.int/meetings/fr/doc_details.jsp?doc_id=72054</w:t>
      </w:r>
      <w:r w:rsidR="00792EE8" w:rsidRPr="00AE7E01">
        <w:rPr>
          <w:lang w:val="fr-CH"/>
        </w:rPr>
        <w:t>).</w:t>
      </w:r>
    </w:p>
  </w:footnote>
  <w:footnote w:id="4">
    <w:p w:rsidR="00792EE8" w:rsidRPr="00AE7E01" w:rsidRDefault="00792EE8" w:rsidP="00792EE8">
      <w:pPr>
        <w:pStyle w:val="FootnoteText"/>
        <w:rPr>
          <w:lang w:val="fr-CH"/>
        </w:rPr>
      </w:pPr>
      <w:r w:rsidRPr="00AE7E01">
        <w:rPr>
          <w:rStyle w:val="FootnoteReference"/>
        </w:rPr>
        <w:footnoteRef/>
      </w:r>
      <w:r w:rsidRPr="00AE7E01">
        <w:rPr>
          <w:lang w:val="fr-CH"/>
        </w:rPr>
        <w:t xml:space="preserve"> </w:t>
      </w:r>
      <w:r w:rsidRPr="00AE7E01">
        <w:rPr>
          <w:lang w:val="fr-CH"/>
        </w:rPr>
        <w:tab/>
        <w:t>Voir le paragraphe</w:t>
      </w:r>
      <w:r w:rsidR="0041713E">
        <w:rPr>
          <w:lang w:val="fr-CH"/>
        </w:rPr>
        <w:t> </w:t>
      </w:r>
      <w:r w:rsidRPr="00AE7E01">
        <w:rPr>
          <w:lang w:val="fr-CH"/>
        </w:rPr>
        <w:t xml:space="preserve">112 du document MM/LD/WG/1/2 intitulé </w:t>
      </w:r>
      <w:r w:rsidR="0041713E">
        <w:rPr>
          <w:lang w:val="fr-CH"/>
        </w:rPr>
        <w:t>“</w:t>
      </w:r>
      <w:r w:rsidRPr="00AE7E01">
        <w:rPr>
          <w:lang w:val="fr-CH"/>
        </w:rPr>
        <w:t>Révision de la procédure de refus et de la clause de sauvegarde du Protocole de Madrid et possibles modifications du règlement d</w:t>
      </w:r>
      <w:r w:rsidR="00697DA9">
        <w:rPr>
          <w:lang w:val="fr-CH"/>
        </w:rPr>
        <w:t>’</w:t>
      </w:r>
      <w:r w:rsidRPr="00AE7E01">
        <w:rPr>
          <w:lang w:val="fr-CH"/>
        </w:rPr>
        <w:t>exécution commun</w:t>
      </w:r>
      <w:r w:rsidR="0041713E">
        <w:rPr>
          <w:lang w:val="fr-CH"/>
        </w:rPr>
        <w:t>”</w:t>
      </w:r>
      <w:r w:rsidRPr="00AE7E01">
        <w:rPr>
          <w:lang w:val="fr-CH"/>
        </w:rPr>
        <w:t xml:space="preserve"> (</w:t>
      </w:r>
      <w:r w:rsidR="0065530F" w:rsidRPr="0065530F">
        <w:rPr>
          <w:lang w:val="fr-CH"/>
        </w:rPr>
        <w:t>http://www.wipo.int/meetings/fr/doc_details.jsp?doc_id=43173</w:t>
      </w:r>
      <w:r w:rsidRPr="00AE7E01">
        <w:rPr>
          <w:lang w:val="fr-CH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34F" w:rsidP="00477D6B">
    <w:pPr>
      <w:jc w:val="right"/>
    </w:pPr>
    <w:bookmarkStart w:id="5" w:name="Code2"/>
    <w:bookmarkEnd w:id="5"/>
    <w:r>
      <w:t>MM/A/50/</w:t>
    </w:r>
    <w:r w:rsidR="000D5E60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B46D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B4D3E"/>
    <w:multiLevelType w:val="hybridMultilevel"/>
    <w:tmpl w:val="0DE0A9FA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EF22CA"/>
    <w:multiLevelType w:val="hybridMultilevel"/>
    <w:tmpl w:val="17F8F92E"/>
    <w:lvl w:ilvl="0" w:tplc="52C49C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BA76F2"/>
    <w:multiLevelType w:val="hybridMultilevel"/>
    <w:tmpl w:val="82126166"/>
    <w:lvl w:ilvl="0" w:tplc="EDE04E7C">
      <w:start w:val="1"/>
      <w:numFmt w:val="lowerRoman"/>
      <w:lvlText w:val="(%1)"/>
      <w:lvlJc w:val="left"/>
      <w:pPr>
        <w:ind w:left="57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1CEC4C6F"/>
    <w:multiLevelType w:val="multilevel"/>
    <w:tmpl w:val="FC60B336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4156E7F"/>
    <w:multiLevelType w:val="hybridMultilevel"/>
    <w:tmpl w:val="9CECA864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00B06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330BF"/>
    <w:multiLevelType w:val="multilevel"/>
    <w:tmpl w:val="81FADA04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51F86504"/>
    <w:multiLevelType w:val="multilevel"/>
    <w:tmpl w:val="3124C292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596B2083"/>
    <w:multiLevelType w:val="hybridMultilevel"/>
    <w:tmpl w:val="579A2324"/>
    <w:lvl w:ilvl="0" w:tplc="B7DC2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E6BC8"/>
    <w:multiLevelType w:val="hybridMultilevel"/>
    <w:tmpl w:val="E630445C"/>
    <w:lvl w:ilvl="0" w:tplc="F80A5994">
      <w:start w:val="2"/>
      <w:numFmt w:val="lowerRoman"/>
      <w:lvlText w:val="%1)"/>
      <w:lvlJc w:val="left"/>
      <w:pPr>
        <w:ind w:left="1287" w:hanging="72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C7320B"/>
    <w:multiLevelType w:val="hybridMultilevel"/>
    <w:tmpl w:val="C4CA08A4"/>
    <w:lvl w:ilvl="0" w:tplc="844CC504">
      <w:start w:val="2"/>
      <w:numFmt w:val="lowerRoman"/>
      <w:lvlText w:val="%1)"/>
      <w:lvlJc w:val="left"/>
      <w:pPr>
        <w:ind w:left="1287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DF534F"/>
    <w:rsid w:val="0001271D"/>
    <w:rsid w:val="00013F3F"/>
    <w:rsid w:val="000245BF"/>
    <w:rsid w:val="000428A9"/>
    <w:rsid w:val="00043909"/>
    <w:rsid w:val="00043CAA"/>
    <w:rsid w:val="00075432"/>
    <w:rsid w:val="000968ED"/>
    <w:rsid w:val="000D5E60"/>
    <w:rsid w:val="000D741B"/>
    <w:rsid w:val="000F5E56"/>
    <w:rsid w:val="001362EE"/>
    <w:rsid w:val="00136D90"/>
    <w:rsid w:val="0014125A"/>
    <w:rsid w:val="001832A6"/>
    <w:rsid w:val="001A591E"/>
    <w:rsid w:val="001A66BD"/>
    <w:rsid w:val="001B46D4"/>
    <w:rsid w:val="001C1008"/>
    <w:rsid w:val="0023286D"/>
    <w:rsid w:val="00241BBE"/>
    <w:rsid w:val="002634C4"/>
    <w:rsid w:val="0028584E"/>
    <w:rsid w:val="002928D3"/>
    <w:rsid w:val="002D15C0"/>
    <w:rsid w:val="002F1FE6"/>
    <w:rsid w:val="002F4E68"/>
    <w:rsid w:val="002F6FE3"/>
    <w:rsid w:val="003077AB"/>
    <w:rsid w:val="00312F7F"/>
    <w:rsid w:val="00313E34"/>
    <w:rsid w:val="003228B7"/>
    <w:rsid w:val="00325AB4"/>
    <w:rsid w:val="003673CF"/>
    <w:rsid w:val="00372A51"/>
    <w:rsid w:val="00382AB8"/>
    <w:rsid w:val="003845C1"/>
    <w:rsid w:val="003A264D"/>
    <w:rsid w:val="003A6F89"/>
    <w:rsid w:val="003B38C1"/>
    <w:rsid w:val="0041713E"/>
    <w:rsid w:val="00423E3E"/>
    <w:rsid w:val="00427AF4"/>
    <w:rsid w:val="00432FDB"/>
    <w:rsid w:val="004400E2"/>
    <w:rsid w:val="00441A38"/>
    <w:rsid w:val="004647DA"/>
    <w:rsid w:val="004717BF"/>
    <w:rsid w:val="00474062"/>
    <w:rsid w:val="00477D6B"/>
    <w:rsid w:val="004B07D2"/>
    <w:rsid w:val="00511D76"/>
    <w:rsid w:val="00517C0F"/>
    <w:rsid w:val="0052496E"/>
    <w:rsid w:val="0053057A"/>
    <w:rsid w:val="005517AE"/>
    <w:rsid w:val="00560A29"/>
    <w:rsid w:val="00593C28"/>
    <w:rsid w:val="00605827"/>
    <w:rsid w:val="0064266F"/>
    <w:rsid w:val="00646050"/>
    <w:rsid w:val="0065530F"/>
    <w:rsid w:val="006713CA"/>
    <w:rsid w:val="00676C5C"/>
    <w:rsid w:val="00694A3E"/>
    <w:rsid w:val="00697DA9"/>
    <w:rsid w:val="006E74F5"/>
    <w:rsid w:val="007058FB"/>
    <w:rsid w:val="0071715C"/>
    <w:rsid w:val="00784ED8"/>
    <w:rsid w:val="00792EE8"/>
    <w:rsid w:val="007B6A58"/>
    <w:rsid w:val="007D1613"/>
    <w:rsid w:val="00837D3E"/>
    <w:rsid w:val="00872AA4"/>
    <w:rsid w:val="00873870"/>
    <w:rsid w:val="00874E9A"/>
    <w:rsid w:val="00880289"/>
    <w:rsid w:val="008B2CC1"/>
    <w:rsid w:val="008B60B2"/>
    <w:rsid w:val="0090731E"/>
    <w:rsid w:val="00916EE2"/>
    <w:rsid w:val="00966A22"/>
    <w:rsid w:val="0096722F"/>
    <w:rsid w:val="00980843"/>
    <w:rsid w:val="00984E32"/>
    <w:rsid w:val="009C0052"/>
    <w:rsid w:val="009E2791"/>
    <w:rsid w:val="009E3F6F"/>
    <w:rsid w:val="009F499F"/>
    <w:rsid w:val="00A01C73"/>
    <w:rsid w:val="00A031E6"/>
    <w:rsid w:val="00A0700B"/>
    <w:rsid w:val="00A07C43"/>
    <w:rsid w:val="00A20DC4"/>
    <w:rsid w:val="00A42DAF"/>
    <w:rsid w:val="00A45BD8"/>
    <w:rsid w:val="00A54CFC"/>
    <w:rsid w:val="00A85B8E"/>
    <w:rsid w:val="00AA62AB"/>
    <w:rsid w:val="00AC205C"/>
    <w:rsid w:val="00AE7E01"/>
    <w:rsid w:val="00B05A69"/>
    <w:rsid w:val="00B148EA"/>
    <w:rsid w:val="00B9734B"/>
    <w:rsid w:val="00BF1142"/>
    <w:rsid w:val="00C10539"/>
    <w:rsid w:val="00C11BFE"/>
    <w:rsid w:val="00C2305F"/>
    <w:rsid w:val="00C24B9F"/>
    <w:rsid w:val="00C55F49"/>
    <w:rsid w:val="00C94629"/>
    <w:rsid w:val="00CB2003"/>
    <w:rsid w:val="00CC2703"/>
    <w:rsid w:val="00D45252"/>
    <w:rsid w:val="00D71B4D"/>
    <w:rsid w:val="00D736AA"/>
    <w:rsid w:val="00D81F08"/>
    <w:rsid w:val="00D93D55"/>
    <w:rsid w:val="00D94C7F"/>
    <w:rsid w:val="00DB053F"/>
    <w:rsid w:val="00DD3329"/>
    <w:rsid w:val="00DE0930"/>
    <w:rsid w:val="00DE43A6"/>
    <w:rsid w:val="00DF534F"/>
    <w:rsid w:val="00E335FE"/>
    <w:rsid w:val="00E36782"/>
    <w:rsid w:val="00E4603F"/>
    <w:rsid w:val="00E5021F"/>
    <w:rsid w:val="00E55B80"/>
    <w:rsid w:val="00EC4E49"/>
    <w:rsid w:val="00ED77FB"/>
    <w:rsid w:val="00EE3440"/>
    <w:rsid w:val="00F021A6"/>
    <w:rsid w:val="00F16054"/>
    <w:rsid w:val="00F305F5"/>
    <w:rsid w:val="00F46EFC"/>
    <w:rsid w:val="00F66152"/>
    <w:rsid w:val="00F71397"/>
    <w:rsid w:val="00FA4858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85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85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29E9-403D-45D1-B311-A8C9BBB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(E).dotm</Template>
  <TotalTime>10</TotalTime>
  <Pages>4</Pages>
  <Words>1145</Words>
  <Characters>6488</Characters>
  <Application>Microsoft Office Word</Application>
  <DocSecurity>0</DocSecurity>
  <Lines>154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</dc:title>
  <dc:creator>Madrid Registry</dc:creator>
  <cp:keywords>NGG/sc</cp:keywords>
  <cp:lastModifiedBy>DORE Marie-Pierre</cp:lastModifiedBy>
  <cp:revision>3</cp:revision>
  <cp:lastPrinted>2016-06-19T10:45:00Z</cp:lastPrinted>
  <dcterms:created xsi:type="dcterms:W3CDTF">2016-06-19T10:41:00Z</dcterms:created>
  <dcterms:modified xsi:type="dcterms:W3CDTF">2016-06-19T10:57:00Z</dcterms:modified>
</cp:coreProperties>
</file>