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67F4C" w:rsidRPr="00DB2449" w:rsidTr="005557E6">
        <w:tc>
          <w:tcPr>
            <w:tcW w:w="4513" w:type="dxa"/>
            <w:tcBorders>
              <w:bottom w:val="single" w:sz="4" w:space="0" w:color="auto"/>
            </w:tcBorders>
            <w:tcMar>
              <w:bottom w:w="170" w:type="dxa"/>
            </w:tcMar>
          </w:tcPr>
          <w:p w:rsidR="00F67F4C" w:rsidRPr="00DB2449" w:rsidRDefault="00F67F4C" w:rsidP="00682151">
            <w:pPr>
              <w:rPr>
                <w:lang w:val="fr-FR"/>
              </w:rPr>
            </w:pPr>
            <w:bookmarkStart w:id="0" w:name="_GoBack"/>
            <w:bookmarkEnd w:id="0"/>
          </w:p>
        </w:tc>
        <w:tc>
          <w:tcPr>
            <w:tcW w:w="4337" w:type="dxa"/>
            <w:tcBorders>
              <w:bottom w:val="single" w:sz="4" w:space="0" w:color="auto"/>
            </w:tcBorders>
            <w:tcMar>
              <w:left w:w="0" w:type="dxa"/>
              <w:right w:w="0" w:type="dxa"/>
            </w:tcMar>
          </w:tcPr>
          <w:p w:rsidR="00F67F4C" w:rsidRPr="00DB2449" w:rsidRDefault="001F301F" w:rsidP="00682151">
            <w:pPr>
              <w:rPr>
                <w:lang w:val="fr-FR"/>
              </w:rPr>
            </w:pPr>
            <w:r w:rsidRPr="00DB2449">
              <w:rPr>
                <w:noProof/>
                <w:lang w:eastAsia="en-US"/>
              </w:rPr>
              <w:drawing>
                <wp:inline distT="0" distB="0" distL="0" distR="0" wp14:anchorId="73DA7466" wp14:editId="1EB04F96">
                  <wp:extent cx="1858645" cy="1323975"/>
                  <wp:effectExtent l="0" t="0" r="825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67F4C" w:rsidRPr="00DB2449" w:rsidRDefault="00F67F4C" w:rsidP="00682151">
            <w:pPr>
              <w:jc w:val="right"/>
              <w:rPr>
                <w:lang w:val="fr-FR"/>
              </w:rPr>
            </w:pPr>
            <w:r w:rsidRPr="00DB2449">
              <w:rPr>
                <w:b/>
                <w:sz w:val="40"/>
                <w:szCs w:val="40"/>
                <w:lang w:val="fr-FR"/>
              </w:rPr>
              <w:t>F</w:t>
            </w:r>
          </w:p>
        </w:tc>
      </w:tr>
      <w:tr w:rsidR="00F67F4C" w:rsidRPr="00DB2449" w:rsidTr="00682151">
        <w:trPr>
          <w:trHeight w:hRule="exact" w:val="340"/>
        </w:trPr>
        <w:tc>
          <w:tcPr>
            <w:tcW w:w="9356" w:type="dxa"/>
            <w:gridSpan w:val="3"/>
            <w:tcBorders>
              <w:top w:val="single" w:sz="4" w:space="0" w:color="auto"/>
            </w:tcBorders>
            <w:tcMar>
              <w:top w:w="170" w:type="dxa"/>
              <w:left w:w="0" w:type="dxa"/>
              <w:right w:w="0" w:type="dxa"/>
            </w:tcMar>
            <w:vAlign w:val="bottom"/>
          </w:tcPr>
          <w:p w:rsidR="00F67F4C" w:rsidRPr="00DB2449" w:rsidRDefault="00F67F4C" w:rsidP="007C3F7D">
            <w:pPr>
              <w:jc w:val="right"/>
              <w:rPr>
                <w:rFonts w:ascii="Arial Black" w:hAnsi="Arial Black"/>
                <w:caps/>
                <w:sz w:val="15"/>
                <w:lang w:val="fr-FR"/>
              </w:rPr>
            </w:pPr>
            <w:r w:rsidRPr="00DB2449">
              <w:rPr>
                <w:rFonts w:ascii="Arial Black" w:hAnsi="Arial Black"/>
                <w:caps/>
                <w:sz w:val="15"/>
                <w:lang w:val="fr-FR"/>
              </w:rPr>
              <w:t xml:space="preserve">MM/A/49/5 </w:t>
            </w:r>
            <w:bookmarkStart w:id="1" w:name="Code"/>
            <w:bookmarkEnd w:id="1"/>
          </w:p>
        </w:tc>
      </w:tr>
      <w:tr w:rsidR="00F67F4C" w:rsidRPr="00DB2449" w:rsidTr="00682151">
        <w:trPr>
          <w:trHeight w:hRule="exact" w:val="170"/>
        </w:trPr>
        <w:tc>
          <w:tcPr>
            <w:tcW w:w="9356" w:type="dxa"/>
            <w:gridSpan w:val="3"/>
            <w:noWrap/>
            <w:tcMar>
              <w:left w:w="0" w:type="dxa"/>
              <w:right w:w="0" w:type="dxa"/>
            </w:tcMar>
            <w:vAlign w:val="bottom"/>
          </w:tcPr>
          <w:p w:rsidR="00F67F4C" w:rsidRPr="00DB2449" w:rsidRDefault="00F67F4C" w:rsidP="00682151">
            <w:pPr>
              <w:jc w:val="right"/>
              <w:rPr>
                <w:rFonts w:ascii="Arial Black" w:hAnsi="Arial Black"/>
                <w:caps/>
                <w:sz w:val="15"/>
                <w:lang w:val="fr-FR"/>
              </w:rPr>
            </w:pPr>
            <w:r w:rsidRPr="00DB2449">
              <w:rPr>
                <w:rFonts w:ascii="Arial Black" w:hAnsi="Arial Black"/>
                <w:caps/>
                <w:sz w:val="15"/>
                <w:lang w:val="fr-FR"/>
              </w:rPr>
              <w:t>ORIGINAL</w:t>
            </w:r>
            <w:r w:rsidR="00036C99" w:rsidRPr="00DB2449">
              <w:rPr>
                <w:rFonts w:ascii="Arial Black" w:hAnsi="Arial Black"/>
                <w:caps/>
                <w:sz w:val="15"/>
                <w:lang w:val="fr-FR"/>
              </w:rPr>
              <w:t> </w:t>
            </w:r>
            <w:r w:rsidRPr="00DB2449">
              <w:rPr>
                <w:rFonts w:ascii="Arial Black" w:hAnsi="Arial Black"/>
                <w:caps/>
                <w:sz w:val="15"/>
                <w:lang w:val="fr-FR"/>
              </w:rPr>
              <w:t xml:space="preserve">: ANGLAIS </w:t>
            </w:r>
            <w:bookmarkStart w:id="2" w:name="Original"/>
            <w:bookmarkEnd w:id="2"/>
          </w:p>
        </w:tc>
      </w:tr>
      <w:tr w:rsidR="00F67F4C" w:rsidRPr="00DB2449" w:rsidTr="00682151">
        <w:trPr>
          <w:trHeight w:hRule="exact" w:val="198"/>
        </w:trPr>
        <w:tc>
          <w:tcPr>
            <w:tcW w:w="9356" w:type="dxa"/>
            <w:gridSpan w:val="3"/>
            <w:tcMar>
              <w:left w:w="0" w:type="dxa"/>
              <w:right w:w="0" w:type="dxa"/>
            </w:tcMar>
            <w:vAlign w:val="bottom"/>
          </w:tcPr>
          <w:p w:rsidR="00F67F4C" w:rsidRPr="00DB2449" w:rsidRDefault="00F67F4C" w:rsidP="007C3F7D">
            <w:pPr>
              <w:jc w:val="right"/>
              <w:rPr>
                <w:rFonts w:ascii="Arial Black" w:hAnsi="Arial Black"/>
                <w:caps/>
                <w:sz w:val="15"/>
                <w:lang w:val="fr-FR"/>
              </w:rPr>
            </w:pPr>
            <w:r w:rsidRPr="00DB2449">
              <w:rPr>
                <w:rFonts w:ascii="Arial Black" w:hAnsi="Arial Black"/>
                <w:caps/>
                <w:sz w:val="15"/>
                <w:lang w:val="fr-FR"/>
              </w:rPr>
              <w:t>DATE</w:t>
            </w:r>
            <w:r w:rsidR="00036C99" w:rsidRPr="00DB2449">
              <w:rPr>
                <w:rFonts w:ascii="Arial Black" w:hAnsi="Arial Black"/>
                <w:caps/>
                <w:sz w:val="15"/>
                <w:lang w:val="fr-FR"/>
              </w:rPr>
              <w:t> </w:t>
            </w:r>
            <w:r w:rsidRPr="00DB2449">
              <w:rPr>
                <w:rFonts w:ascii="Arial Black" w:hAnsi="Arial Black"/>
                <w:caps/>
                <w:sz w:val="15"/>
                <w:lang w:val="fr-FR"/>
              </w:rPr>
              <w:t xml:space="preserve">: </w:t>
            </w:r>
            <w:r w:rsidR="007C3F7D">
              <w:rPr>
                <w:rFonts w:ascii="Arial Black" w:hAnsi="Arial Black"/>
                <w:caps/>
                <w:sz w:val="15"/>
                <w:lang w:val="fr-FR"/>
              </w:rPr>
              <w:t>5</w:t>
            </w:r>
            <w:r w:rsidR="004972DB" w:rsidRPr="00DB2449">
              <w:rPr>
                <w:rFonts w:ascii="Arial Black" w:hAnsi="Arial Black"/>
                <w:caps/>
                <w:sz w:val="15"/>
                <w:lang w:val="fr-FR"/>
              </w:rPr>
              <w:t xml:space="preserve"> </w:t>
            </w:r>
            <w:r w:rsidR="007C3F7D">
              <w:rPr>
                <w:rFonts w:ascii="Arial Black" w:hAnsi="Arial Black"/>
                <w:caps/>
                <w:sz w:val="15"/>
                <w:lang w:val="fr-FR"/>
              </w:rPr>
              <w:t>fÉvrier</w:t>
            </w:r>
            <w:r w:rsidRPr="00DB2449">
              <w:rPr>
                <w:rFonts w:ascii="Arial Black" w:hAnsi="Arial Black"/>
                <w:caps/>
                <w:sz w:val="15"/>
                <w:lang w:val="fr-FR"/>
              </w:rPr>
              <w:t xml:space="preserve"> 201</w:t>
            </w:r>
            <w:r w:rsidR="007C3F7D">
              <w:rPr>
                <w:rFonts w:ascii="Arial Black" w:hAnsi="Arial Black"/>
                <w:caps/>
                <w:sz w:val="15"/>
                <w:lang w:val="fr-FR"/>
              </w:rPr>
              <w:t>6</w:t>
            </w:r>
            <w:r w:rsidRPr="00DB2449">
              <w:rPr>
                <w:rFonts w:ascii="Arial Black" w:hAnsi="Arial Black"/>
                <w:caps/>
                <w:sz w:val="15"/>
                <w:lang w:val="fr-FR"/>
              </w:rPr>
              <w:t xml:space="preserve"> </w:t>
            </w:r>
            <w:bookmarkStart w:id="3" w:name="Date"/>
            <w:bookmarkEnd w:id="3"/>
          </w:p>
        </w:tc>
      </w:tr>
    </w:tbl>
    <w:p w:rsidR="00320CCD" w:rsidRDefault="00320CCD" w:rsidP="00F67F4C">
      <w:pPr>
        <w:rPr>
          <w:lang w:val="fr-FR"/>
        </w:rPr>
      </w:pPr>
    </w:p>
    <w:p w:rsidR="00320CCD" w:rsidRDefault="00320CCD" w:rsidP="00F67F4C">
      <w:pPr>
        <w:rPr>
          <w:lang w:val="fr-FR"/>
        </w:rPr>
      </w:pPr>
    </w:p>
    <w:p w:rsidR="00320CCD" w:rsidRDefault="00320CCD" w:rsidP="00F67F4C">
      <w:pPr>
        <w:rPr>
          <w:lang w:val="fr-FR"/>
        </w:rPr>
      </w:pPr>
    </w:p>
    <w:p w:rsidR="00320CCD" w:rsidRDefault="00320CCD" w:rsidP="00F67F4C">
      <w:pPr>
        <w:rPr>
          <w:lang w:val="fr-FR"/>
        </w:rPr>
      </w:pPr>
    </w:p>
    <w:p w:rsidR="00320CCD" w:rsidRDefault="00320CCD" w:rsidP="00F67F4C">
      <w:pPr>
        <w:rPr>
          <w:lang w:val="fr-FR"/>
        </w:rPr>
      </w:pPr>
    </w:p>
    <w:p w:rsidR="00320CCD" w:rsidRDefault="00F67F4C" w:rsidP="00F67F4C">
      <w:pPr>
        <w:rPr>
          <w:b/>
          <w:sz w:val="28"/>
          <w:szCs w:val="28"/>
          <w:lang w:val="fr-FR"/>
        </w:rPr>
      </w:pPr>
      <w:r w:rsidRPr="00DB2449">
        <w:rPr>
          <w:b/>
          <w:sz w:val="28"/>
          <w:szCs w:val="28"/>
          <w:lang w:val="fr-FR"/>
        </w:rPr>
        <w:t>Union particulière pour l</w:t>
      </w:r>
      <w:r w:rsidR="00B64E9E">
        <w:rPr>
          <w:b/>
          <w:sz w:val="28"/>
          <w:szCs w:val="28"/>
          <w:lang w:val="fr-FR"/>
        </w:rPr>
        <w:t>’</w:t>
      </w:r>
      <w:r w:rsidRPr="00DB2449">
        <w:rPr>
          <w:b/>
          <w:sz w:val="28"/>
          <w:szCs w:val="28"/>
          <w:lang w:val="fr-FR"/>
        </w:rPr>
        <w:t>enregistrement international des marques (Union de Madrid)</w:t>
      </w:r>
    </w:p>
    <w:p w:rsidR="00320CCD" w:rsidRDefault="00320CCD" w:rsidP="00F67F4C">
      <w:pPr>
        <w:rPr>
          <w:lang w:val="fr-FR"/>
        </w:rPr>
      </w:pPr>
    </w:p>
    <w:p w:rsidR="00320CCD" w:rsidRDefault="00320CCD" w:rsidP="00F67F4C">
      <w:pPr>
        <w:rPr>
          <w:lang w:val="fr-FR"/>
        </w:rPr>
      </w:pPr>
    </w:p>
    <w:p w:rsidR="00320CCD" w:rsidRDefault="00F67F4C" w:rsidP="00F67F4C">
      <w:pPr>
        <w:rPr>
          <w:b/>
          <w:sz w:val="28"/>
          <w:szCs w:val="28"/>
          <w:lang w:val="fr-FR"/>
        </w:rPr>
      </w:pPr>
      <w:r w:rsidRPr="00DB2449">
        <w:rPr>
          <w:b/>
          <w:sz w:val="28"/>
          <w:szCs w:val="28"/>
          <w:lang w:val="fr-FR"/>
        </w:rPr>
        <w:t>Assemblée</w:t>
      </w:r>
    </w:p>
    <w:p w:rsidR="00320CCD" w:rsidRDefault="00320CCD" w:rsidP="00F67F4C">
      <w:pPr>
        <w:rPr>
          <w:lang w:val="fr-FR"/>
        </w:rPr>
      </w:pPr>
    </w:p>
    <w:p w:rsidR="00320CCD" w:rsidRDefault="00320CCD" w:rsidP="00F67F4C">
      <w:pPr>
        <w:rPr>
          <w:lang w:val="fr-FR"/>
        </w:rPr>
      </w:pPr>
    </w:p>
    <w:p w:rsidR="00320CCD" w:rsidRDefault="00F67F4C" w:rsidP="00F67F4C">
      <w:pPr>
        <w:rPr>
          <w:b/>
          <w:sz w:val="24"/>
          <w:szCs w:val="24"/>
          <w:lang w:val="fr-FR"/>
        </w:rPr>
      </w:pPr>
      <w:r w:rsidRPr="00DB2449">
        <w:rPr>
          <w:b/>
          <w:sz w:val="24"/>
          <w:szCs w:val="24"/>
          <w:lang w:val="fr-FR"/>
        </w:rPr>
        <w:t>Quarante</w:t>
      </w:r>
      <w:r w:rsidR="00B673C6">
        <w:rPr>
          <w:b/>
          <w:sz w:val="24"/>
          <w:szCs w:val="24"/>
          <w:lang w:val="fr-FR"/>
        </w:rPr>
        <w:noBreakHyphen/>
      </w:r>
      <w:r w:rsidRPr="00DB2449">
        <w:rPr>
          <w:b/>
          <w:sz w:val="24"/>
          <w:szCs w:val="24"/>
          <w:lang w:val="fr-FR"/>
        </w:rPr>
        <w:t>neuvième</w:t>
      </w:r>
      <w:r w:rsidR="00036C99" w:rsidRPr="00DB2449">
        <w:rPr>
          <w:b/>
          <w:sz w:val="24"/>
          <w:szCs w:val="24"/>
          <w:lang w:val="fr-FR"/>
        </w:rPr>
        <w:t> </w:t>
      </w:r>
      <w:r w:rsidRPr="00DB2449">
        <w:rPr>
          <w:b/>
          <w:sz w:val="24"/>
          <w:szCs w:val="24"/>
          <w:lang w:val="fr-FR"/>
        </w:rPr>
        <w:t>session (21</w:t>
      </w:r>
      <w:r w:rsidRPr="00DB2449">
        <w:rPr>
          <w:b/>
          <w:sz w:val="24"/>
          <w:szCs w:val="24"/>
          <w:vertAlign w:val="superscript"/>
          <w:lang w:val="fr-FR"/>
        </w:rPr>
        <w:t>e</w:t>
      </w:r>
      <w:r w:rsidR="00B01BEE" w:rsidRPr="00DB2449">
        <w:rPr>
          <w:b/>
          <w:sz w:val="24"/>
          <w:szCs w:val="24"/>
          <w:lang w:val="fr-FR"/>
        </w:rPr>
        <w:t> </w:t>
      </w:r>
      <w:r w:rsidRPr="00DB2449">
        <w:rPr>
          <w:b/>
          <w:sz w:val="24"/>
          <w:szCs w:val="24"/>
          <w:lang w:val="fr-FR"/>
        </w:rPr>
        <w:t>session ordinaire)</w:t>
      </w:r>
    </w:p>
    <w:p w:rsidR="00320CCD" w:rsidRDefault="00F67F4C" w:rsidP="00F67F4C">
      <w:pPr>
        <w:rPr>
          <w:b/>
          <w:sz w:val="24"/>
          <w:szCs w:val="24"/>
          <w:lang w:val="fr-FR"/>
        </w:rPr>
      </w:pPr>
      <w:r w:rsidRPr="00DB2449">
        <w:rPr>
          <w:b/>
          <w:sz w:val="24"/>
          <w:szCs w:val="24"/>
          <w:lang w:val="fr-FR"/>
        </w:rPr>
        <w:t>Genève, 5 – 1</w:t>
      </w:r>
      <w:r w:rsidR="005557E6" w:rsidRPr="00DB2449">
        <w:rPr>
          <w:b/>
          <w:sz w:val="24"/>
          <w:szCs w:val="24"/>
          <w:lang w:val="fr-FR"/>
        </w:rPr>
        <w:t>4 octobre 20</w:t>
      </w:r>
      <w:r w:rsidRPr="00DB2449">
        <w:rPr>
          <w:b/>
          <w:sz w:val="24"/>
          <w:szCs w:val="24"/>
          <w:lang w:val="fr-FR"/>
        </w:rPr>
        <w:t>15</w:t>
      </w:r>
    </w:p>
    <w:p w:rsidR="00320CCD" w:rsidRDefault="00320CCD" w:rsidP="008B2CC1">
      <w:pPr>
        <w:rPr>
          <w:lang w:val="fr-FR"/>
        </w:rPr>
      </w:pPr>
    </w:p>
    <w:p w:rsidR="00320CCD" w:rsidRDefault="00320CCD" w:rsidP="008B2CC1">
      <w:pPr>
        <w:rPr>
          <w:lang w:val="fr-FR"/>
        </w:rPr>
      </w:pPr>
    </w:p>
    <w:p w:rsidR="00320CCD" w:rsidRDefault="00320CCD" w:rsidP="008B2CC1">
      <w:pPr>
        <w:rPr>
          <w:lang w:val="fr-FR"/>
        </w:rPr>
      </w:pPr>
    </w:p>
    <w:p w:rsidR="00320CCD" w:rsidRDefault="0010594F" w:rsidP="008B2CC1">
      <w:pPr>
        <w:rPr>
          <w:caps/>
          <w:sz w:val="24"/>
          <w:lang w:val="fr-FR"/>
        </w:rPr>
      </w:pPr>
      <w:bookmarkStart w:id="4" w:name="TitleOfDoc"/>
      <w:bookmarkEnd w:id="4"/>
      <w:r w:rsidRPr="00DB2449">
        <w:rPr>
          <w:caps/>
          <w:sz w:val="24"/>
          <w:lang w:val="fr-FR"/>
        </w:rPr>
        <w:t>rapport</w:t>
      </w:r>
    </w:p>
    <w:p w:rsidR="00320CCD" w:rsidRDefault="00320CCD" w:rsidP="008B2CC1">
      <w:pPr>
        <w:rPr>
          <w:lang w:val="fr-FR"/>
        </w:rPr>
      </w:pPr>
    </w:p>
    <w:p w:rsidR="00320CCD" w:rsidRDefault="007C3F7D">
      <w:pPr>
        <w:rPr>
          <w:lang w:val="fr-FR"/>
        </w:rPr>
      </w:pPr>
      <w:bookmarkStart w:id="5" w:name="Prepared"/>
      <w:bookmarkEnd w:id="5"/>
      <w:proofErr w:type="gramStart"/>
      <w:r>
        <w:rPr>
          <w:i/>
          <w:lang w:val="fr-FR"/>
        </w:rPr>
        <w:t>adopté</w:t>
      </w:r>
      <w:proofErr w:type="gramEnd"/>
      <w:r w:rsidR="00F67F4C" w:rsidRPr="00DB2449">
        <w:rPr>
          <w:i/>
          <w:lang w:val="fr-FR"/>
        </w:rPr>
        <w:t xml:space="preserve"> par l</w:t>
      </w:r>
      <w:r>
        <w:rPr>
          <w:i/>
          <w:lang w:val="fr-FR"/>
        </w:rPr>
        <w:t>’assemblée</w:t>
      </w:r>
    </w:p>
    <w:p w:rsidR="00320CCD" w:rsidRDefault="00320CCD">
      <w:pPr>
        <w:rPr>
          <w:lang w:val="fr-FR"/>
        </w:rPr>
      </w:pPr>
    </w:p>
    <w:p w:rsidR="00320CCD" w:rsidRDefault="00320CCD">
      <w:pPr>
        <w:rPr>
          <w:lang w:val="fr-FR"/>
        </w:rPr>
      </w:pPr>
    </w:p>
    <w:p w:rsidR="00320CCD" w:rsidRDefault="00320CCD" w:rsidP="0053057A">
      <w:pPr>
        <w:rPr>
          <w:lang w:val="fr-FR"/>
        </w:rPr>
      </w:pPr>
    </w:p>
    <w:p w:rsidR="00320CCD" w:rsidRDefault="00F67F4C" w:rsidP="005557E6">
      <w:pPr>
        <w:pStyle w:val="ONUMFS"/>
        <w:rPr>
          <w:lang w:val="fr-FR"/>
        </w:rPr>
      </w:pPr>
      <w:r w:rsidRPr="00DB2449">
        <w:rPr>
          <w:lang w:val="fr-FR"/>
        </w:rPr>
        <w:t>L</w:t>
      </w:r>
      <w:r w:rsidR="00B64E9E">
        <w:rPr>
          <w:lang w:val="fr-FR"/>
        </w:rPr>
        <w:t>’</w:t>
      </w:r>
      <w:r w:rsidRPr="00DB2449">
        <w:rPr>
          <w:lang w:val="fr-FR"/>
        </w:rPr>
        <w:t xml:space="preserve">assemblée avait à examiner les points suivants </w:t>
      </w:r>
      <w:r w:rsidR="007C3F7D">
        <w:rPr>
          <w:lang w:val="fr-FR"/>
        </w:rPr>
        <w:t>de l</w:t>
      </w:r>
      <w:r w:rsidR="00B64E9E">
        <w:rPr>
          <w:lang w:val="fr-FR"/>
        </w:rPr>
        <w:t>’</w:t>
      </w:r>
      <w:r w:rsidRPr="00DB2449">
        <w:rPr>
          <w:lang w:val="fr-FR"/>
        </w:rPr>
        <w:t xml:space="preserve">ordre du jour unifié </w:t>
      </w:r>
      <w:r w:rsidR="00940CB6" w:rsidRPr="00DB2449">
        <w:rPr>
          <w:lang w:val="fr-FR"/>
        </w:rPr>
        <w:t>(document A/</w:t>
      </w:r>
      <w:r w:rsidR="00DC67E4" w:rsidRPr="00DB2449">
        <w:rPr>
          <w:lang w:val="fr-FR"/>
        </w:rPr>
        <w:t>55</w:t>
      </w:r>
      <w:r w:rsidR="00940CB6" w:rsidRPr="00DB2449">
        <w:rPr>
          <w:lang w:val="fr-FR"/>
        </w:rPr>
        <w:t>/1)</w:t>
      </w:r>
      <w:r w:rsidR="00036C99" w:rsidRPr="00DB2449">
        <w:rPr>
          <w:lang w:val="fr-FR"/>
        </w:rPr>
        <w:t> :</w:t>
      </w:r>
      <w:r w:rsidR="00940CB6" w:rsidRPr="00DB2449">
        <w:rPr>
          <w:lang w:val="fr-FR"/>
        </w:rPr>
        <w:t xml:space="preserve"> 1, 2, 3, 4, 5, </w:t>
      </w:r>
      <w:r w:rsidR="006A1913" w:rsidRPr="00DB2449">
        <w:rPr>
          <w:lang w:val="fr-FR"/>
        </w:rPr>
        <w:t xml:space="preserve">6, </w:t>
      </w:r>
      <w:r w:rsidR="00DC67E4" w:rsidRPr="00DB2449">
        <w:rPr>
          <w:lang w:val="fr-FR"/>
        </w:rPr>
        <w:t xml:space="preserve">10, </w:t>
      </w:r>
      <w:r w:rsidR="006A1913" w:rsidRPr="00DB2449">
        <w:rPr>
          <w:lang w:val="fr-FR"/>
        </w:rPr>
        <w:t xml:space="preserve">11, 20, </w:t>
      </w:r>
      <w:r w:rsidR="00E367A8" w:rsidRPr="00DB2449">
        <w:rPr>
          <w:lang w:val="fr-FR"/>
        </w:rPr>
        <w:t>31</w:t>
      </w:r>
      <w:r w:rsidR="00DC67E4" w:rsidRPr="00DB2449">
        <w:rPr>
          <w:lang w:val="fr-FR"/>
        </w:rPr>
        <w:t xml:space="preserve"> </w:t>
      </w:r>
      <w:r w:rsidR="005557E6" w:rsidRPr="00DB2449">
        <w:rPr>
          <w:lang w:val="fr-FR"/>
        </w:rPr>
        <w:t>et</w:t>
      </w:r>
      <w:r w:rsidR="00B01BEE" w:rsidRPr="00DB2449">
        <w:rPr>
          <w:lang w:val="fr-FR"/>
        </w:rPr>
        <w:t> </w:t>
      </w:r>
      <w:r w:rsidR="00DC67E4" w:rsidRPr="00DB2449">
        <w:rPr>
          <w:lang w:val="fr-FR"/>
        </w:rPr>
        <w:t>3</w:t>
      </w:r>
      <w:r w:rsidR="00E367A8" w:rsidRPr="00DB2449">
        <w:rPr>
          <w:lang w:val="fr-FR"/>
        </w:rPr>
        <w:t>2</w:t>
      </w:r>
      <w:r w:rsidR="005557E6" w:rsidRPr="00DB2449">
        <w:rPr>
          <w:lang w:val="fr-FR"/>
        </w:rPr>
        <w:t>.</w:t>
      </w:r>
    </w:p>
    <w:p w:rsidR="00320CCD" w:rsidRDefault="005557E6" w:rsidP="005557E6">
      <w:pPr>
        <w:pStyle w:val="ONUMFS"/>
        <w:rPr>
          <w:lang w:val="fr-FR"/>
        </w:rPr>
      </w:pPr>
      <w:r w:rsidRPr="00DB2449">
        <w:rPr>
          <w:lang w:val="fr-FR"/>
        </w:rPr>
        <w:t>Le rapport sur ces points, à l</w:t>
      </w:r>
      <w:r w:rsidR="00B64E9E">
        <w:rPr>
          <w:lang w:val="fr-FR"/>
        </w:rPr>
        <w:t>’</w:t>
      </w:r>
      <w:r w:rsidRPr="00DB2449">
        <w:rPr>
          <w:lang w:val="fr-FR"/>
        </w:rPr>
        <w:t xml:space="preserve">exception du point 20, figure dans le rapport général </w:t>
      </w:r>
      <w:r w:rsidR="00940CB6" w:rsidRPr="00DB2449">
        <w:rPr>
          <w:lang w:val="fr-FR"/>
        </w:rPr>
        <w:t>(document A/</w:t>
      </w:r>
      <w:r w:rsidR="00AC5895" w:rsidRPr="00DB2449">
        <w:rPr>
          <w:lang w:val="fr-FR"/>
        </w:rPr>
        <w:t>55</w:t>
      </w:r>
      <w:r w:rsidR="00940CB6" w:rsidRPr="00DB2449">
        <w:rPr>
          <w:lang w:val="fr-FR"/>
        </w:rPr>
        <w:t>/</w:t>
      </w:r>
      <w:r w:rsidR="00CB2C0A" w:rsidRPr="00DB2449">
        <w:rPr>
          <w:lang w:val="fr-FR"/>
        </w:rPr>
        <w:t>1</w:t>
      </w:r>
      <w:r w:rsidR="00E367A8" w:rsidRPr="00DB2449">
        <w:rPr>
          <w:lang w:val="fr-FR"/>
        </w:rPr>
        <w:t>3</w:t>
      </w:r>
      <w:r w:rsidR="00940CB6" w:rsidRPr="00DB2449">
        <w:rPr>
          <w:lang w:val="fr-FR"/>
        </w:rPr>
        <w:t>).</w:t>
      </w:r>
    </w:p>
    <w:p w:rsidR="00320CCD" w:rsidRDefault="005557E6" w:rsidP="005557E6">
      <w:pPr>
        <w:pStyle w:val="ONUMFS"/>
        <w:rPr>
          <w:lang w:val="fr-FR"/>
        </w:rPr>
      </w:pPr>
      <w:r w:rsidRPr="00DB2449">
        <w:rPr>
          <w:lang w:val="fr-FR"/>
        </w:rPr>
        <w:t xml:space="preserve">Le rapport sur </w:t>
      </w:r>
      <w:proofErr w:type="gramStart"/>
      <w:r w:rsidRPr="00DB2449">
        <w:rPr>
          <w:lang w:val="fr-FR"/>
        </w:rPr>
        <w:t>le point 20 figure</w:t>
      </w:r>
      <w:proofErr w:type="gramEnd"/>
      <w:r w:rsidRPr="00DB2449">
        <w:rPr>
          <w:lang w:val="fr-FR"/>
        </w:rPr>
        <w:t xml:space="preserve"> dans le présent document</w:t>
      </w:r>
      <w:r w:rsidR="00940CB6" w:rsidRPr="00DB2449">
        <w:rPr>
          <w:lang w:val="fr-FR"/>
        </w:rPr>
        <w:t>.</w:t>
      </w:r>
    </w:p>
    <w:p w:rsidR="00320CCD" w:rsidRDefault="00711267" w:rsidP="005557E6">
      <w:pPr>
        <w:pStyle w:val="ONUMFS"/>
        <w:rPr>
          <w:lang w:val="fr-FR"/>
        </w:rPr>
      </w:pPr>
      <w:r w:rsidRPr="00DB2449">
        <w:rPr>
          <w:szCs w:val="22"/>
          <w:lang w:val="fr-FR"/>
        </w:rPr>
        <w:t>M. Miguel </w:t>
      </w:r>
      <w:proofErr w:type="spellStart"/>
      <w:r w:rsidRPr="00DB2449">
        <w:rPr>
          <w:szCs w:val="22"/>
          <w:lang w:val="fr-FR"/>
        </w:rPr>
        <w:t>Ángel</w:t>
      </w:r>
      <w:proofErr w:type="spellEnd"/>
      <w:r w:rsidRPr="00DB2449">
        <w:rPr>
          <w:szCs w:val="22"/>
          <w:lang w:val="fr-FR"/>
        </w:rPr>
        <w:t> </w:t>
      </w:r>
      <w:proofErr w:type="spellStart"/>
      <w:r w:rsidRPr="00DB2449">
        <w:rPr>
          <w:szCs w:val="22"/>
          <w:lang w:val="fr-FR"/>
        </w:rPr>
        <w:t>Margáin</w:t>
      </w:r>
      <w:proofErr w:type="spellEnd"/>
      <w:r w:rsidRPr="00DB2449">
        <w:rPr>
          <w:szCs w:val="22"/>
          <w:lang w:val="fr-FR"/>
        </w:rPr>
        <w:t xml:space="preserve"> (Mexique)</w:t>
      </w:r>
      <w:r w:rsidR="00961F30" w:rsidRPr="00DB2449">
        <w:rPr>
          <w:lang w:val="fr-FR"/>
        </w:rPr>
        <w:t xml:space="preserve"> </w:t>
      </w:r>
      <w:r w:rsidR="005557E6" w:rsidRPr="00DB2449">
        <w:rPr>
          <w:lang w:val="fr-FR"/>
        </w:rPr>
        <w:t>a été élu président de l</w:t>
      </w:r>
      <w:r w:rsidR="00B64E9E">
        <w:rPr>
          <w:lang w:val="fr-FR"/>
        </w:rPr>
        <w:t>’</w:t>
      </w:r>
      <w:r w:rsidR="005557E6" w:rsidRPr="00DB2449">
        <w:rPr>
          <w:lang w:val="fr-FR"/>
        </w:rPr>
        <w:t xml:space="preserve">assemblée;  </w:t>
      </w:r>
      <w:r w:rsidRPr="00DB2449">
        <w:rPr>
          <w:lang w:val="fr-FR"/>
        </w:rPr>
        <w:t>M. Miklós </w:t>
      </w:r>
      <w:proofErr w:type="spellStart"/>
      <w:r w:rsidRPr="00DB2449">
        <w:rPr>
          <w:lang w:val="fr-FR"/>
        </w:rPr>
        <w:t>Bendzsel</w:t>
      </w:r>
      <w:proofErr w:type="spellEnd"/>
      <w:r w:rsidRPr="00DB2449">
        <w:rPr>
          <w:lang w:val="fr-FR"/>
        </w:rPr>
        <w:t xml:space="preserve"> (Hongrie) et Mme Pamela </w:t>
      </w:r>
      <w:proofErr w:type="spellStart"/>
      <w:r w:rsidRPr="00DB2449">
        <w:rPr>
          <w:lang w:val="fr-FR"/>
        </w:rPr>
        <w:t>Wille</w:t>
      </w:r>
      <w:proofErr w:type="spellEnd"/>
      <w:r w:rsidRPr="00DB2449">
        <w:rPr>
          <w:lang w:val="fr-FR"/>
        </w:rPr>
        <w:t xml:space="preserve"> (Allemagne)</w:t>
      </w:r>
      <w:r w:rsidR="00D42798" w:rsidRPr="00DB2449">
        <w:rPr>
          <w:lang w:val="fr-FR"/>
        </w:rPr>
        <w:t xml:space="preserve"> </w:t>
      </w:r>
      <w:r w:rsidRPr="00DB2449">
        <w:rPr>
          <w:lang w:val="fr-FR"/>
        </w:rPr>
        <w:t>ont</w:t>
      </w:r>
      <w:r w:rsidR="005557E6" w:rsidRPr="00DB2449">
        <w:rPr>
          <w:szCs w:val="22"/>
          <w:lang w:val="fr-FR"/>
        </w:rPr>
        <w:t xml:space="preserve"> été élu vice</w:t>
      </w:r>
      <w:r w:rsidR="00B673C6">
        <w:rPr>
          <w:szCs w:val="22"/>
          <w:lang w:val="fr-FR"/>
        </w:rPr>
        <w:noBreakHyphen/>
      </w:r>
      <w:r w:rsidR="005557E6" w:rsidRPr="00DB2449">
        <w:rPr>
          <w:szCs w:val="22"/>
          <w:lang w:val="fr-FR"/>
        </w:rPr>
        <w:t>président</w:t>
      </w:r>
      <w:r w:rsidRPr="00DB2449">
        <w:rPr>
          <w:szCs w:val="22"/>
          <w:lang w:val="fr-FR"/>
        </w:rPr>
        <w:t>s</w:t>
      </w:r>
      <w:r w:rsidR="00774A9A" w:rsidRPr="00DB2449">
        <w:rPr>
          <w:lang w:val="fr-FR"/>
        </w:rPr>
        <w:t>.</w:t>
      </w:r>
    </w:p>
    <w:p w:rsidR="00320CCD" w:rsidRDefault="009965C3" w:rsidP="0049479A">
      <w:pPr>
        <w:pStyle w:val="Heading2"/>
        <w:rPr>
          <w:lang w:val="fr-FR"/>
        </w:rPr>
      </w:pPr>
      <w:r w:rsidRPr="00DB2449">
        <w:rPr>
          <w:lang w:val="fr-FR"/>
        </w:rPr>
        <w:br w:type="page"/>
      </w:r>
      <w:r w:rsidR="0049479A" w:rsidRPr="00DB2449">
        <w:rPr>
          <w:lang w:val="fr-FR"/>
        </w:rPr>
        <w:lastRenderedPageBreak/>
        <w:t>Point 20 de l</w:t>
      </w:r>
      <w:r w:rsidR="00B64E9E">
        <w:rPr>
          <w:lang w:val="fr-FR"/>
        </w:rPr>
        <w:t>’</w:t>
      </w:r>
      <w:r w:rsidR="0049479A" w:rsidRPr="00DB2449">
        <w:rPr>
          <w:lang w:val="fr-FR"/>
        </w:rPr>
        <w:t>ordre du jour unifié</w:t>
      </w:r>
    </w:p>
    <w:p w:rsidR="00320CCD" w:rsidRDefault="0049479A" w:rsidP="0049479A">
      <w:pPr>
        <w:pStyle w:val="Heading2"/>
        <w:rPr>
          <w:lang w:val="fr-FR"/>
        </w:rPr>
      </w:pPr>
      <w:r w:rsidRPr="00DB2449">
        <w:rPr>
          <w:lang w:val="fr-FR"/>
        </w:rPr>
        <w:t>Système de Madrid</w:t>
      </w:r>
    </w:p>
    <w:p w:rsidR="00320CCD" w:rsidRDefault="00320CCD" w:rsidP="007D7513">
      <w:pPr>
        <w:rPr>
          <w:lang w:val="fr-FR"/>
        </w:rPr>
      </w:pPr>
    </w:p>
    <w:p w:rsidR="00320CCD" w:rsidRDefault="005557E6" w:rsidP="005557E6">
      <w:pPr>
        <w:pStyle w:val="ONUMFS"/>
        <w:rPr>
          <w:lang w:val="fr-FR"/>
        </w:rPr>
      </w:pPr>
      <w:r w:rsidRPr="00DB2449">
        <w:rPr>
          <w:lang w:val="fr-FR"/>
        </w:rPr>
        <w:t xml:space="preserve">Les délibérations ont eu lieu sur la base des documents </w:t>
      </w:r>
      <w:r w:rsidR="007D7513" w:rsidRPr="00DB2449">
        <w:rPr>
          <w:lang w:val="fr-FR"/>
        </w:rPr>
        <w:t>MM/A/49/1,</w:t>
      </w:r>
      <w:r w:rsidR="00CB2C0A" w:rsidRPr="00DB2449">
        <w:rPr>
          <w:lang w:val="fr-FR"/>
        </w:rPr>
        <w:t xml:space="preserve"> MM/A/49/2, </w:t>
      </w:r>
      <w:r w:rsidR="007D7513" w:rsidRPr="00DB2449">
        <w:rPr>
          <w:lang w:val="fr-FR"/>
        </w:rPr>
        <w:t>MM/A/49/3</w:t>
      </w:r>
      <w:r w:rsidR="00CB2C0A" w:rsidRPr="00DB2449">
        <w:rPr>
          <w:lang w:val="fr-FR"/>
        </w:rPr>
        <w:t xml:space="preserve"> </w:t>
      </w:r>
      <w:r w:rsidRPr="00DB2449">
        <w:rPr>
          <w:lang w:val="fr-FR"/>
        </w:rPr>
        <w:t>et</w:t>
      </w:r>
      <w:r w:rsidR="00CB2C0A" w:rsidRPr="00DB2449">
        <w:rPr>
          <w:lang w:val="fr-FR"/>
        </w:rPr>
        <w:t xml:space="preserve"> MM/A/49/4.</w:t>
      </w:r>
    </w:p>
    <w:p w:rsidR="00320CCD" w:rsidRDefault="0049479A" w:rsidP="0049479A">
      <w:pPr>
        <w:pStyle w:val="ONUMFS"/>
        <w:rPr>
          <w:lang w:val="fr-FR"/>
        </w:rPr>
      </w:pPr>
      <w:r w:rsidRPr="00DB2449">
        <w:rPr>
          <w:lang w:val="fr-FR"/>
        </w:rPr>
        <w:t>Le président a ouvert la session, exprimant sa satisfaction à l</w:t>
      </w:r>
      <w:r w:rsidR="00B64E9E">
        <w:rPr>
          <w:lang w:val="fr-FR"/>
        </w:rPr>
        <w:t>’</w:t>
      </w:r>
      <w:r w:rsidRPr="00DB2449">
        <w:rPr>
          <w:lang w:val="fr-FR"/>
        </w:rPr>
        <w:t>égard de l</w:t>
      </w:r>
      <w:r w:rsidR="00B64E9E">
        <w:rPr>
          <w:lang w:val="fr-FR"/>
        </w:rPr>
        <w:t>’</w:t>
      </w:r>
      <w:r w:rsidRPr="00DB2449">
        <w:rPr>
          <w:lang w:val="fr-FR"/>
        </w:rPr>
        <w:t>intérêt accru porté au Protocole relatif à l</w:t>
      </w:r>
      <w:r w:rsidR="00B64E9E">
        <w:rPr>
          <w:lang w:val="fr-FR"/>
        </w:rPr>
        <w:t>’</w:t>
      </w:r>
      <w:r w:rsidRPr="00DB2449">
        <w:rPr>
          <w:lang w:val="fr-FR"/>
        </w:rPr>
        <w:t>Arrangement de Madrid concernant l</w:t>
      </w:r>
      <w:r w:rsidR="00B64E9E">
        <w:rPr>
          <w:lang w:val="fr-FR"/>
        </w:rPr>
        <w:t>’</w:t>
      </w:r>
      <w:r w:rsidRPr="00DB2449">
        <w:rPr>
          <w:lang w:val="fr-FR"/>
        </w:rPr>
        <w:t>enregistrement international des marques (ci</w:t>
      </w:r>
      <w:r w:rsidR="00B673C6">
        <w:rPr>
          <w:lang w:val="fr-FR"/>
        </w:rPr>
        <w:noBreakHyphen/>
      </w:r>
      <w:r w:rsidRPr="00DB2449">
        <w:rPr>
          <w:lang w:val="fr-FR"/>
        </w:rPr>
        <w:t xml:space="preserve">après dénommés respectivement “Protocole de Madrid” et “Arrangement de Madrid”) qui, </w:t>
      </w:r>
      <w:proofErr w:type="spellStart"/>
      <w:r w:rsidRPr="00DB2449">
        <w:rPr>
          <w:lang w:val="fr-FR"/>
        </w:rPr>
        <w:t>a</w:t>
      </w:r>
      <w:r w:rsidR="00B673C6">
        <w:rPr>
          <w:lang w:val="fr-FR"/>
        </w:rPr>
        <w:noBreakHyphen/>
      </w:r>
      <w:r w:rsidRPr="00DB2449">
        <w:rPr>
          <w:lang w:val="fr-FR"/>
        </w:rPr>
        <w:t>t</w:t>
      </w:r>
      <w:r w:rsidR="00B673C6">
        <w:rPr>
          <w:lang w:val="fr-FR"/>
        </w:rPr>
        <w:noBreakHyphen/>
      </w:r>
      <w:r w:rsidRPr="00DB2449">
        <w:rPr>
          <w:lang w:val="fr-FR"/>
        </w:rPr>
        <w:t>il</w:t>
      </w:r>
      <w:proofErr w:type="spellEnd"/>
      <w:r w:rsidRPr="00DB2449">
        <w:rPr>
          <w:lang w:val="fr-FR"/>
        </w:rPr>
        <w:t xml:space="preserve"> indiqué, témoignait des avantages du système de Madrid concernant l</w:t>
      </w:r>
      <w:r w:rsidR="00B64E9E">
        <w:rPr>
          <w:lang w:val="fr-FR"/>
        </w:rPr>
        <w:t>’</w:t>
      </w:r>
      <w:r w:rsidRPr="00DB2449">
        <w:rPr>
          <w:lang w:val="fr-FR"/>
        </w:rPr>
        <w:t>enregistrement international des marques (ci</w:t>
      </w:r>
      <w:r w:rsidR="00B673C6">
        <w:rPr>
          <w:lang w:val="fr-FR"/>
        </w:rPr>
        <w:noBreakHyphen/>
      </w:r>
      <w:r w:rsidRPr="00DB2449">
        <w:rPr>
          <w:lang w:val="fr-FR"/>
        </w:rPr>
        <w:t>après dénommé “système de Madrid”).  Il a félicité l</w:t>
      </w:r>
      <w:r w:rsidR="00B64E9E">
        <w:rPr>
          <w:lang w:val="fr-FR"/>
        </w:rPr>
        <w:t>’</w:t>
      </w:r>
      <w:r w:rsidRPr="00DB2449">
        <w:rPr>
          <w:lang w:val="fr-FR"/>
        </w:rPr>
        <w:t>Algérie, qui était partie à l</w:t>
      </w:r>
      <w:r w:rsidR="00B64E9E">
        <w:rPr>
          <w:lang w:val="fr-FR"/>
        </w:rPr>
        <w:t>’</w:t>
      </w:r>
      <w:r w:rsidRPr="00DB2449">
        <w:rPr>
          <w:lang w:val="fr-FR"/>
        </w:rPr>
        <w:t>Arrangement de Madrid, pour son adhésion au Protocole de Madrid et a souhaité la bienvenue au Cambodge, à la Gambie, à l</w:t>
      </w:r>
      <w:r w:rsidR="00B64E9E">
        <w:rPr>
          <w:lang w:val="fr-FR"/>
        </w:rPr>
        <w:t>’</w:t>
      </w:r>
      <w:r w:rsidRPr="00DB2449">
        <w:rPr>
          <w:lang w:val="fr-FR"/>
        </w:rPr>
        <w:t>Organisation africaine de la propriété intellectuelle (OAPI) et au Zimbabwe, en leur qualité de nouveaux membres de l</w:t>
      </w:r>
      <w:r w:rsidR="00B64E9E">
        <w:rPr>
          <w:lang w:val="fr-FR"/>
        </w:rPr>
        <w:t>’</w:t>
      </w:r>
      <w:r w:rsidRPr="00DB2449">
        <w:rPr>
          <w:lang w:val="fr-FR"/>
        </w:rPr>
        <w:t>Union de Madrid.  Le président a également noté que le succès de l</w:t>
      </w:r>
      <w:r w:rsidR="00B64E9E">
        <w:rPr>
          <w:lang w:val="fr-FR"/>
        </w:rPr>
        <w:t>’</w:t>
      </w:r>
      <w:r w:rsidRPr="00DB2449">
        <w:rPr>
          <w:lang w:val="fr-FR"/>
        </w:rPr>
        <w:t>Union de Madrid démontrait que le travail réalisé par l</w:t>
      </w:r>
      <w:r w:rsidR="00B64E9E">
        <w:rPr>
          <w:lang w:val="fr-FR"/>
        </w:rPr>
        <w:t>’</w:t>
      </w:r>
      <w:r w:rsidRPr="00DB2449">
        <w:rPr>
          <w:lang w:val="fr-FR"/>
        </w:rPr>
        <w:t>Organisation Mondiale de la Propriété Intellectuelle (OMPI) bénéficiait à ses États membres et, dans un esprit d</w:t>
      </w:r>
      <w:r w:rsidR="00B64E9E">
        <w:rPr>
          <w:lang w:val="fr-FR"/>
        </w:rPr>
        <w:t>’</w:t>
      </w:r>
      <w:r w:rsidRPr="00DB2449">
        <w:rPr>
          <w:lang w:val="fr-FR"/>
        </w:rPr>
        <w:t>unité, il a préconisé une approche ouverte et flexible de sorte que l</w:t>
      </w:r>
      <w:r w:rsidR="00B64E9E">
        <w:rPr>
          <w:lang w:val="fr-FR"/>
        </w:rPr>
        <w:t>’</w:t>
      </w:r>
      <w:r w:rsidRPr="00DB2449">
        <w:rPr>
          <w:lang w:val="fr-FR"/>
        </w:rPr>
        <w:t>Union de Madrid puisse démontrer que l</w:t>
      </w:r>
      <w:r w:rsidR="00B64E9E">
        <w:rPr>
          <w:lang w:val="fr-FR"/>
        </w:rPr>
        <w:t>’</w:t>
      </w:r>
      <w:r w:rsidRPr="00DB2449">
        <w:rPr>
          <w:lang w:val="fr-FR"/>
        </w:rPr>
        <w:t>unité au sein de l</w:t>
      </w:r>
      <w:r w:rsidR="00B64E9E">
        <w:rPr>
          <w:lang w:val="fr-FR"/>
        </w:rPr>
        <w:t>’</w:t>
      </w:r>
      <w:r w:rsidRPr="00DB2449">
        <w:rPr>
          <w:lang w:val="fr-FR"/>
        </w:rPr>
        <w:t>OMPI pouvait mener à de grands succès.  Enfin, il a invité le Secrétariat à présenter les documents.</w:t>
      </w:r>
    </w:p>
    <w:p w:rsidR="00320CCD" w:rsidRDefault="0049479A" w:rsidP="0049479A">
      <w:pPr>
        <w:pStyle w:val="Heading3"/>
        <w:rPr>
          <w:lang w:val="fr-FR"/>
        </w:rPr>
      </w:pPr>
      <w:r w:rsidRPr="00DB2449">
        <w:rPr>
          <w:lang w:val="fr-FR"/>
        </w:rPr>
        <w:t>Rapport final sur le programme de modernisation informatique (système d</w:t>
      </w:r>
      <w:r w:rsidR="00B64E9E">
        <w:rPr>
          <w:lang w:val="fr-FR"/>
        </w:rPr>
        <w:t>’</w:t>
      </w:r>
      <w:r w:rsidRPr="00DB2449">
        <w:rPr>
          <w:lang w:val="fr-FR"/>
        </w:rPr>
        <w:t>enregistrement international de Madrid)</w:t>
      </w:r>
    </w:p>
    <w:p w:rsidR="00320CCD" w:rsidRDefault="00320CCD" w:rsidP="0049479A">
      <w:pPr>
        <w:rPr>
          <w:lang w:val="fr-FR"/>
        </w:rPr>
      </w:pPr>
    </w:p>
    <w:p w:rsidR="00320CCD" w:rsidRDefault="0049479A" w:rsidP="0049479A">
      <w:pPr>
        <w:pStyle w:val="ONUMFS"/>
        <w:rPr>
          <w:lang w:val="fr-FR"/>
        </w:rPr>
      </w:pPr>
      <w:r w:rsidRPr="00DB2449">
        <w:rPr>
          <w:lang w:val="fr-FR"/>
        </w:rPr>
        <w:t>Les délibérations ont eu lieu sur la base du document MM/A/49/1.</w:t>
      </w:r>
    </w:p>
    <w:p w:rsidR="00320CCD" w:rsidRDefault="0049479A" w:rsidP="0049479A">
      <w:pPr>
        <w:pStyle w:val="ONUMFS"/>
        <w:rPr>
          <w:lang w:val="fr-FR"/>
        </w:rPr>
      </w:pPr>
      <w:r w:rsidRPr="00DB2449">
        <w:rPr>
          <w:lang w:val="fr-FR"/>
        </w:rPr>
        <w:t>Le Secrétariat a rappelé qu</w:t>
      </w:r>
      <w:r w:rsidR="00B64E9E">
        <w:rPr>
          <w:lang w:val="fr-FR"/>
        </w:rPr>
        <w:t>’</w:t>
      </w:r>
      <w:r w:rsidRPr="00DB2449">
        <w:rPr>
          <w:lang w:val="fr-FR"/>
        </w:rPr>
        <w:t>au cours de la précédente session de l</w:t>
      </w:r>
      <w:r w:rsidR="00B64E9E">
        <w:rPr>
          <w:lang w:val="fr-FR"/>
        </w:rPr>
        <w:t>’</w:t>
      </w:r>
      <w:r w:rsidRPr="00DB2449">
        <w:rPr>
          <w:lang w:val="fr-FR"/>
        </w:rPr>
        <w:t>Assemblée de l</w:t>
      </w:r>
      <w:r w:rsidR="00B64E9E">
        <w:rPr>
          <w:lang w:val="fr-FR"/>
        </w:rPr>
        <w:t>’</w:t>
      </w:r>
      <w:r w:rsidRPr="00DB2449">
        <w:rPr>
          <w:lang w:val="fr-FR"/>
        </w:rPr>
        <w:t>Union de Madrid, il avait indiqué dans le document MM/A/48/1 qu</w:t>
      </w:r>
      <w:r w:rsidR="00B64E9E">
        <w:rPr>
          <w:lang w:val="fr-FR"/>
        </w:rPr>
        <w:t>’</w:t>
      </w:r>
      <w:r w:rsidRPr="00DB2449">
        <w:rPr>
          <w:lang w:val="fr-FR"/>
        </w:rPr>
        <w:t>une opération de validation et de vérification indépendante était en cours et qu</w:t>
      </w:r>
      <w:r w:rsidR="00B64E9E">
        <w:rPr>
          <w:lang w:val="fr-FR"/>
        </w:rPr>
        <w:t>’</w:t>
      </w:r>
      <w:r w:rsidRPr="00DB2449">
        <w:rPr>
          <w:lang w:val="fr-FR"/>
        </w:rPr>
        <w:t>elle s</w:t>
      </w:r>
      <w:r w:rsidR="00B64E9E">
        <w:rPr>
          <w:lang w:val="fr-FR"/>
        </w:rPr>
        <w:t>’</w:t>
      </w:r>
      <w:r w:rsidRPr="00DB2449">
        <w:rPr>
          <w:lang w:val="fr-FR"/>
        </w:rPr>
        <w:t>achèverait au plus tard à la fin de 2015.  Le Secrétariat a indiqué que le Bureau international avait axé son action sur la mise en œuvre des recommandations découlant de cette opération et la réalisation de la deuxième phase du programme de modernisation.  Il a déclaré que cette phase, qui devrait s</w:t>
      </w:r>
      <w:r w:rsidR="00B64E9E">
        <w:rPr>
          <w:lang w:val="fr-FR"/>
        </w:rPr>
        <w:t>’</w:t>
      </w:r>
      <w:r w:rsidRPr="00DB2449">
        <w:rPr>
          <w:lang w:val="fr-FR"/>
        </w:rPr>
        <w:t>achever au plus tard le 23 novembre 2015, était en avance sur le calendrier prévu et que le document examiné constituant le rapport final sur le programme de modernisation, une liste des recommandations découlant de l</w:t>
      </w:r>
      <w:r w:rsidR="00B64E9E">
        <w:rPr>
          <w:lang w:val="fr-FR"/>
        </w:rPr>
        <w:t>’</w:t>
      </w:r>
      <w:r w:rsidRPr="00DB2449">
        <w:rPr>
          <w:lang w:val="fr-FR"/>
        </w:rPr>
        <w:t>opération de vérification et de validation, ainsi qu</w:t>
      </w:r>
      <w:r w:rsidR="00B64E9E">
        <w:rPr>
          <w:lang w:val="fr-FR"/>
        </w:rPr>
        <w:t>’</w:t>
      </w:r>
      <w:r w:rsidRPr="00DB2449">
        <w:rPr>
          <w:lang w:val="fr-FR"/>
        </w:rPr>
        <w:t>une liste des réalisations dans le cadre du programme faisaient l</w:t>
      </w:r>
      <w:r w:rsidR="00B64E9E">
        <w:rPr>
          <w:lang w:val="fr-FR"/>
        </w:rPr>
        <w:t>’</w:t>
      </w:r>
      <w:r w:rsidRPr="00DB2449">
        <w:rPr>
          <w:lang w:val="fr-FR"/>
        </w:rPr>
        <w:t>objet des annexes du document.</w:t>
      </w:r>
    </w:p>
    <w:p w:rsidR="00320CCD" w:rsidRDefault="0049479A" w:rsidP="0049479A">
      <w:pPr>
        <w:pStyle w:val="ONUMFS"/>
        <w:ind w:left="567"/>
        <w:rPr>
          <w:lang w:val="fr-FR"/>
        </w:rPr>
      </w:pPr>
      <w:r w:rsidRPr="00DB2449">
        <w:rPr>
          <w:lang w:val="fr-FR"/>
        </w:rPr>
        <w:t>L</w:t>
      </w:r>
      <w:r w:rsidR="00B64E9E">
        <w:rPr>
          <w:lang w:val="fr-FR"/>
        </w:rPr>
        <w:t>’</w:t>
      </w:r>
      <w:r w:rsidRPr="00DB2449">
        <w:rPr>
          <w:lang w:val="fr-FR"/>
        </w:rPr>
        <w:t>assemblée a pris note du “Rapport final sur le programme de modernisation informatique (système d</w:t>
      </w:r>
      <w:r w:rsidR="00B64E9E">
        <w:rPr>
          <w:lang w:val="fr-FR"/>
        </w:rPr>
        <w:t>’</w:t>
      </w:r>
      <w:r w:rsidRPr="00DB2449">
        <w:rPr>
          <w:lang w:val="fr-FR"/>
        </w:rPr>
        <w:t>enregistrement international de Madrid)” (document MM/A/49/1).</w:t>
      </w:r>
    </w:p>
    <w:p w:rsidR="00320CCD" w:rsidRDefault="0049479A" w:rsidP="0049479A">
      <w:pPr>
        <w:pStyle w:val="Heading3"/>
        <w:rPr>
          <w:lang w:val="fr-FR"/>
        </w:rPr>
      </w:pPr>
      <w:r w:rsidRPr="00DB2449">
        <w:rPr>
          <w:lang w:val="fr-FR"/>
        </w:rPr>
        <w:t>Rapport sur l</w:t>
      </w:r>
      <w:r w:rsidR="00B64E9E">
        <w:rPr>
          <w:lang w:val="fr-FR"/>
        </w:rPr>
        <w:t>’</w:t>
      </w:r>
      <w:r w:rsidRPr="00DB2449">
        <w:rPr>
          <w:lang w:val="fr-FR"/>
        </w:rPr>
        <w:t>état d</w:t>
      </w:r>
      <w:r w:rsidR="00B64E9E">
        <w:rPr>
          <w:lang w:val="fr-FR"/>
        </w:rPr>
        <w:t>’</w:t>
      </w:r>
      <w:r w:rsidRPr="00DB2449">
        <w:rPr>
          <w:lang w:val="fr-FR"/>
        </w:rPr>
        <w:t>avancement de la base de données sur les produits et services du système de Madrid</w:t>
      </w:r>
    </w:p>
    <w:p w:rsidR="00320CCD" w:rsidRDefault="00320CCD" w:rsidP="0049479A">
      <w:pPr>
        <w:rPr>
          <w:lang w:val="fr-FR"/>
        </w:rPr>
      </w:pPr>
    </w:p>
    <w:p w:rsidR="00320CCD" w:rsidRDefault="0049479A" w:rsidP="0049479A">
      <w:pPr>
        <w:pStyle w:val="ONUMFS"/>
        <w:rPr>
          <w:lang w:val="fr-FR"/>
        </w:rPr>
      </w:pPr>
      <w:r w:rsidRPr="00DB2449">
        <w:rPr>
          <w:lang w:val="fr-FR"/>
        </w:rPr>
        <w:t>Les délibérations ont eu lieu sur la base du document MM/A/49/2.</w:t>
      </w:r>
    </w:p>
    <w:p w:rsidR="00320CCD" w:rsidRDefault="0049479A" w:rsidP="0049479A">
      <w:pPr>
        <w:pStyle w:val="ONUMFS"/>
        <w:rPr>
          <w:lang w:val="fr-FR"/>
        </w:rPr>
      </w:pPr>
      <w:r w:rsidRPr="00DB2449">
        <w:rPr>
          <w:lang w:val="fr-FR"/>
        </w:rPr>
        <w:t>Le Secrétariat a présenté le document, qui rend compte de l</w:t>
      </w:r>
      <w:r w:rsidR="00B64E9E">
        <w:rPr>
          <w:lang w:val="fr-FR"/>
        </w:rPr>
        <w:t>’</w:t>
      </w:r>
      <w:r w:rsidRPr="00DB2449">
        <w:rPr>
          <w:lang w:val="fr-FR"/>
        </w:rPr>
        <w:t>état d</w:t>
      </w:r>
      <w:r w:rsidR="00B64E9E">
        <w:rPr>
          <w:lang w:val="fr-FR"/>
        </w:rPr>
        <w:t>’</w:t>
      </w:r>
      <w:r w:rsidRPr="00DB2449">
        <w:rPr>
          <w:lang w:val="fr-FR"/>
        </w:rPr>
        <w:t>avancement de la base de données sur les produits et services du système de Madrid entre juin 2014 et mai 2015, notant que des progrès avaient été accomplis eu égard au nombre de termes et à la représentation linguistique.  En septembre 2015, l</w:t>
      </w:r>
      <w:r w:rsidR="00B64E9E">
        <w:rPr>
          <w:lang w:val="fr-FR"/>
        </w:rPr>
        <w:t>’</w:t>
      </w:r>
      <w:r w:rsidRPr="00DB2449">
        <w:rPr>
          <w:lang w:val="fr-FR"/>
        </w:rPr>
        <w:t>augmentation du nombre de termes s</w:t>
      </w:r>
      <w:r w:rsidR="00B64E9E">
        <w:rPr>
          <w:lang w:val="fr-FR"/>
        </w:rPr>
        <w:t>’</w:t>
      </w:r>
      <w:r w:rsidRPr="00DB2449">
        <w:rPr>
          <w:lang w:val="fr-FR"/>
        </w:rPr>
        <w:t>établissait à 18%, portant désormais le total à 74 000, ce qui correspondait à un demi</w:t>
      </w:r>
      <w:r w:rsidR="00B673C6">
        <w:rPr>
          <w:lang w:val="fr-FR"/>
        </w:rPr>
        <w:noBreakHyphen/>
      </w:r>
      <w:r w:rsidRPr="00DB2449">
        <w:rPr>
          <w:lang w:val="fr-FR"/>
        </w:rPr>
        <w:t>million si toutes les langues étaient prises en considération.  Concernant la représentation linguistique, le Secrétariat a pris note des progrès sensibles réalisés en chinois, coréen et japonais.  Enfin, il a souligné les améliorations apportées à la fonction “Vérifier acceptation” qui avait été enrichie grâce à l</w:t>
      </w:r>
      <w:r w:rsidR="00B64E9E">
        <w:rPr>
          <w:lang w:val="fr-FR"/>
        </w:rPr>
        <w:t>’</w:t>
      </w:r>
      <w:r w:rsidRPr="00DB2449">
        <w:rPr>
          <w:lang w:val="fr-FR"/>
        </w:rPr>
        <w:t>intégration des données de plusieurs membres tels que la Chine, les États</w:t>
      </w:r>
      <w:r w:rsidR="00B673C6">
        <w:rPr>
          <w:lang w:val="fr-FR"/>
        </w:rPr>
        <w:noBreakHyphen/>
      </w:r>
      <w:r w:rsidRPr="00DB2449">
        <w:rPr>
          <w:lang w:val="fr-FR"/>
        </w:rPr>
        <w:t>Unis d</w:t>
      </w:r>
      <w:r w:rsidR="00B64E9E">
        <w:rPr>
          <w:lang w:val="fr-FR"/>
        </w:rPr>
        <w:t>’</w:t>
      </w:r>
      <w:r w:rsidRPr="00DB2449">
        <w:rPr>
          <w:lang w:val="fr-FR"/>
        </w:rPr>
        <w:t>Amérique, la Fédération de Russie, le Japon et la République de Corée.</w:t>
      </w:r>
    </w:p>
    <w:p w:rsidR="00320CCD" w:rsidRDefault="0049479A" w:rsidP="00B01BEE">
      <w:pPr>
        <w:pStyle w:val="ONUMFS"/>
        <w:tabs>
          <w:tab w:val="left" w:pos="567"/>
        </w:tabs>
        <w:rPr>
          <w:lang w:val="fr-FR"/>
        </w:rPr>
      </w:pPr>
      <w:r w:rsidRPr="00DB2449">
        <w:rPr>
          <w:lang w:val="fr-FR"/>
        </w:rPr>
        <w:lastRenderedPageBreak/>
        <w:t>L</w:t>
      </w:r>
      <w:r w:rsidR="00B64E9E">
        <w:rPr>
          <w:lang w:val="fr-FR"/>
        </w:rPr>
        <w:t>’</w:t>
      </w:r>
      <w:r w:rsidRPr="00DB2449">
        <w:rPr>
          <w:lang w:val="fr-FR"/>
        </w:rPr>
        <w:t>assemblée</w:t>
      </w:r>
    </w:p>
    <w:p w:rsidR="00320CCD" w:rsidRDefault="0049479A" w:rsidP="00B01BEE">
      <w:pPr>
        <w:pStyle w:val="ONUMFS"/>
        <w:numPr>
          <w:ilvl w:val="2"/>
          <w:numId w:val="6"/>
        </w:numPr>
        <w:tabs>
          <w:tab w:val="clear" w:pos="1701"/>
          <w:tab w:val="left" w:pos="567"/>
          <w:tab w:val="left" w:pos="1134"/>
        </w:tabs>
        <w:ind w:left="567"/>
        <w:rPr>
          <w:lang w:val="fr-FR"/>
        </w:rPr>
      </w:pPr>
      <w:r w:rsidRPr="00DB2449">
        <w:rPr>
          <w:lang w:val="fr-FR"/>
        </w:rPr>
        <w:t xml:space="preserve">a pris note </w:t>
      </w:r>
      <w:r w:rsidRPr="00DB2449">
        <w:rPr>
          <w:iCs/>
          <w:szCs w:val="22"/>
          <w:lang w:val="fr-FR"/>
        </w:rPr>
        <w:t>du “Rapport sur l</w:t>
      </w:r>
      <w:r w:rsidR="00B64E9E">
        <w:rPr>
          <w:iCs/>
          <w:szCs w:val="22"/>
          <w:lang w:val="fr-FR"/>
        </w:rPr>
        <w:t>’</w:t>
      </w:r>
      <w:r w:rsidRPr="00DB2449">
        <w:rPr>
          <w:iCs/>
          <w:szCs w:val="22"/>
          <w:lang w:val="fr-FR"/>
        </w:rPr>
        <w:t>état d</w:t>
      </w:r>
      <w:r w:rsidR="00B64E9E">
        <w:rPr>
          <w:iCs/>
          <w:szCs w:val="22"/>
          <w:lang w:val="fr-FR"/>
        </w:rPr>
        <w:t>’</w:t>
      </w:r>
      <w:r w:rsidRPr="00DB2449">
        <w:rPr>
          <w:iCs/>
          <w:szCs w:val="22"/>
          <w:lang w:val="fr-FR"/>
        </w:rPr>
        <w:t>avancement de la base de données sur les produits et services du système de Madrid” (document MM/A/49/2), et notamment de son paragraphe 27 sur le solde des crédits affectés au projet</w:t>
      </w:r>
      <w:r w:rsidRPr="00DB2449">
        <w:rPr>
          <w:lang w:val="fr-FR"/>
        </w:rPr>
        <w:t>;  et</w:t>
      </w:r>
    </w:p>
    <w:p w:rsidR="00320CCD" w:rsidRDefault="0049479A" w:rsidP="00B01BEE">
      <w:pPr>
        <w:pStyle w:val="ONUMFS"/>
        <w:numPr>
          <w:ilvl w:val="2"/>
          <w:numId w:val="6"/>
        </w:numPr>
        <w:tabs>
          <w:tab w:val="clear" w:pos="1701"/>
          <w:tab w:val="left" w:pos="567"/>
          <w:tab w:val="left" w:pos="1134"/>
        </w:tabs>
        <w:ind w:left="567"/>
        <w:rPr>
          <w:lang w:val="fr-FR"/>
        </w:rPr>
      </w:pPr>
      <w:r w:rsidRPr="00DB2449">
        <w:rPr>
          <w:lang w:val="fr-FR"/>
        </w:rPr>
        <w:t>a prié le Bureau international de lui présenter en 2016 un nouveau rapport sur l</w:t>
      </w:r>
      <w:r w:rsidR="00B64E9E">
        <w:rPr>
          <w:lang w:val="fr-FR"/>
        </w:rPr>
        <w:t>’</w:t>
      </w:r>
      <w:r w:rsidRPr="00DB2449">
        <w:rPr>
          <w:lang w:val="fr-FR"/>
        </w:rPr>
        <w:t>état d</w:t>
      </w:r>
      <w:r w:rsidR="00B64E9E">
        <w:rPr>
          <w:lang w:val="fr-FR"/>
        </w:rPr>
        <w:t>’</w:t>
      </w:r>
      <w:r w:rsidRPr="00DB2449">
        <w:rPr>
          <w:lang w:val="fr-FR"/>
        </w:rPr>
        <w:t>avancement de la base de données sur les produits et services du système de Madrid, en indiquant en particulier l</w:t>
      </w:r>
      <w:r w:rsidR="00B64E9E">
        <w:rPr>
          <w:lang w:val="fr-FR"/>
        </w:rPr>
        <w:t>’</w:t>
      </w:r>
      <w:r w:rsidRPr="00DB2449">
        <w:rPr>
          <w:lang w:val="fr-FR"/>
        </w:rPr>
        <w:t>utilisation faite du solde des crédits affectés au projet.</w:t>
      </w:r>
    </w:p>
    <w:p w:rsidR="00320CCD" w:rsidRDefault="0049479A" w:rsidP="0049479A">
      <w:pPr>
        <w:pStyle w:val="Heading3"/>
        <w:rPr>
          <w:lang w:val="fr-FR"/>
        </w:rPr>
      </w:pPr>
      <w:r w:rsidRPr="00DB2449">
        <w:rPr>
          <w:lang w:val="fr-FR"/>
        </w:rPr>
        <w:t>Propositions de modification du règlement d</w:t>
      </w:r>
      <w:r w:rsidR="00B64E9E">
        <w:rPr>
          <w:lang w:val="fr-FR"/>
        </w:rPr>
        <w:t>’</w:t>
      </w:r>
      <w:r w:rsidRPr="00DB2449">
        <w:rPr>
          <w:lang w:val="fr-FR"/>
        </w:rPr>
        <w:t>exécution commun à l</w:t>
      </w:r>
      <w:r w:rsidR="00B64E9E">
        <w:rPr>
          <w:lang w:val="fr-FR"/>
        </w:rPr>
        <w:t>’</w:t>
      </w:r>
      <w:r w:rsidRPr="00DB2449">
        <w:rPr>
          <w:lang w:val="fr-FR"/>
        </w:rPr>
        <w:t>Arrangement de Madrid concernant l</w:t>
      </w:r>
      <w:r w:rsidR="00B64E9E">
        <w:rPr>
          <w:lang w:val="fr-FR"/>
        </w:rPr>
        <w:t>’</w:t>
      </w:r>
      <w:r w:rsidRPr="00DB2449">
        <w:rPr>
          <w:lang w:val="fr-FR"/>
        </w:rPr>
        <w:t>enregistrement international des marques et au Protocole relatif à cet Arrangement</w:t>
      </w:r>
    </w:p>
    <w:p w:rsidR="00320CCD" w:rsidRDefault="00320CCD" w:rsidP="0049479A">
      <w:pPr>
        <w:rPr>
          <w:lang w:val="fr-FR"/>
        </w:rPr>
      </w:pPr>
    </w:p>
    <w:p w:rsidR="00320CCD" w:rsidRDefault="0049479A" w:rsidP="0049479A">
      <w:pPr>
        <w:pStyle w:val="ONUMFS"/>
        <w:rPr>
          <w:lang w:val="fr-FR"/>
        </w:rPr>
      </w:pPr>
      <w:r w:rsidRPr="00DB2449">
        <w:rPr>
          <w:lang w:val="fr-FR"/>
        </w:rPr>
        <w:t>Les délibérations ont eu lieu sur la base du document MM/A/49/3.</w:t>
      </w:r>
    </w:p>
    <w:p w:rsidR="00320CCD" w:rsidRDefault="0049479A" w:rsidP="0049479A">
      <w:pPr>
        <w:pStyle w:val="ONUMFS"/>
        <w:rPr>
          <w:lang w:val="fr-FR"/>
        </w:rPr>
      </w:pPr>
      <w:r w:rsidRPr="00DB2449">
        <w:rPr>
          <w:lang w:val="fr-FR"/>
        </w:rPr>
        <w:t>Le Secrétariat a indiqué que le document MM/A/49/3 contenait quatre propositions relatives à des modifications du règlement d</w:t>
      </w:r>
      <w:r w:rsidR="00B64E9E">
        <w:rPr>
          <w:lang w:val="fr-FR"/>
        </w:rPr>
        <w:t>’</w:t>
      </w:r>
      <w:r w:rsidRPr="00DB2449">
        <w:rPr>
          <w:lang w:val="fr-FR"/>
        </w:rPr>
        <w:t>exécution commun à l</w:t>
      </w:r>
      <w:r w:rsidR="00B64E9E">
        <w:rPr>
          <w:lang w:val="fr-FR"/>
        </w:rPr>
        <w:t>’</w:t>
      </w:r>
      <w:r w:rsidRPr="00DB2449">
        <w:rPr>
          <w:lang w:val="fr-FR"/>
        </w:rPr>
        <w:t>Arrangement de Madrid concernant l</w:t>
      </w:r>
      <w:r w:rsidR="00B64E9E">
        <w:rPr>
          <w:lang w:val="fr-FR"/>
        </w:rPr>
        <w:t>’</w:t>
      </w:r>
      <w:r w:rsidRPr="00DB2449">
        <w:rPr>
          <w:lang w:val="fr-FR"/>
        </w:rPr>
        <w:t>enregistrement international des marques et au Protocole relatif à cet Arrangement (ci</w:t>
      </w:r>
      <w:r w:rsidR="00B673C6">
        <w:rPr>
          <w:lang w:val="fr-FR"/>
        </w:rPr>
        <w:noBreakHyphen/>
      </w:r>
      <w:r w:rsidRPr="00DB2449">
        <w:rPr>
          <w:lang w:val="fr-FR"/>
        </w:rPr>
        <w:t>après dénommé “règlement d</w:t>
      </w:r>
      <w:r w:rsidR="00B64E9E">
        <w:rPr>
          <w:lang w:val="fr-FR"/>
        </w:rPr>
        <w:t>’</w:t>
      </w:r>
      <w:r w:rsidRPr="00DB2449">
        <w:rPr>
          <w:lang w:val="fr-FR"/>
        </w:rPr>
        <w:t>exécution commun”) recommandées par le Groupe de travail sur le développement juridique du système de Madrid concernant l</w:t>
      </w:r>
      <w:r w:rsidR="00B64E9E">
        <w:rPr>
          <w:lang w:val="fr-FR"/>
        </w:rPr>
        <w:t>’</w:t>
      </w:r>
      <w:r w:rsidRPr="00DB2449">
        <w:rPr>
          <w:lang w:val="fr-FR"/>
        </w:rPr>
        <w:t>enregistrement international des marques pour adoption par l</w:t>
      </w:r>
      <w:r w:rsidR="00B64E9E">
        <w:rPr>
          <w:lang w:val="fr-FR"/>
        </w:rPr>
        <w:t>’</w:t>
      </w:r>
      <w:r w:rsidRPr="00DB2449">
        <w:rPr>
          <w:lang w:val="fr-FR"/>
        </w:rPr>
        <w:t>assemblée.</w:t>
      </w:r>
    </w:p>
    <w:p w:rsidR="00320CCD" w:rsidRDefault="0049479A" w:rsidP="0049479A">
      <w:pPr>
        <w:pStyle w:val="ONUMFS"/>
        <w:rPr>
          <w:lang w:val="fr-FR"/>
        </w:rPr>
      </w:pPr>
      <w:r w:rsidRPr="00DB2449">
        <w:rPr>
          <w:lang w:val="fr-FR"/>
        </w:rPr>
        <w:t>Le Secrétariat a déclaré que la première proposition concernait des modifications à apporter à la règle 5 du règlement d</w:t>
      </w:r>
      <w:r w:rsidR="00B64E9E">
        <w:rPr>
          <w:lang w:val="fr-FR"/>
        </w:rPr>
        <w:t>’</w:t>
      </w:r>
      <w:r w:rsidRPr="00DB2449">
        <w:rPr>
          <w:lang w:val="fr-FR"/>
        </w:rPr>
        <w:t>exécution commun visant à prévoir des moyens de recours lorsque la réception tardive de communications envoyées au Bureau international résultait d</w:t>
      </w:r>
      <w:r w:rsidR="00B64E9E">
        <w:rPr>
          <w:lang w:val="fr-FR"/>
        </w:rPr>
        <w:t>’</w:t>
      </w:r>
      <w:r w:rsidRPr="00DB2449">
        <w:rPr>
          <w:lang w:val="fr-FR"/>
        </w:rPr>
        <w:t>une défaillance dans les services de communication électronique.  Le Secrétariat a ajouté que la deuxième proposition, une modification de la règle 9.4) du règlement d</w:t>
      </w:r>
      <w:r w:rsidR="00B64E9E">
        <w:rPr>
          <w:lang w:val="fr-FR"/>
        </w:rPr>
        <w:t>’</w:t>
      </w:r>
      <w:r w:rsidRPr="00DB2449">
        <w:rPr>
          <w:lang w:val="fr-FR"/>
        </w:rPr>
        <w:t>exécution commun, visait à permettre aux déposants d</w:t>
      </w:r>
      <w:r w:rsidR="00B64E9E">
        <w:rPr>
          <w:lang w:val="fr-FR"/>
        </w:rPr>
        <w:t>’</w:t>
      </w:r>
      <w:r w:rsidRPr="00DB2449">
        <w:rPr>
          <w:lang w:val="fr-FR"/>
        </w:rPr>
        <w:t>inclure une description de la marque dans la demande internationale.</w:t>
      </w:r>
    </w:p>
    <w:p w:rsidR="00320CCD" w:rsidRDefault="0049479A" w:rsidP="0049479A">
      <w:pPr>
        <w:pStyle w:val="ONUMFS"/>
        <w:rPr>
          <w:lang w:val="fr-FR"/>
        </w:rPr>
      </w:pPr>
      <w:r w:rsidRPr="00DB2449">
        <w:rPr>
          <w:lang w:val="fr-FR"/>
        </w:rPr>
        <w:t>Présentant la troisième proposition figurant dans le document MM/A/49/3, le Secrétariat a indiqué qu</w:t>
      </w:r>
      <w:r w:rsidR="00B64E9E">
        <w:rPr>
          <w:lang w:val="fr-FR"/>
        </w:rPr>
        <w:t>’</w:t>
      </w:r>
      <w:r w:rsidRPr="00DB2449">
        <w:rPr>
          <w:lang w:val="fr-FR"/>
        </w:rPr>
        <w:t>elle portait sur des modifications de la règle 24.5) du règlement d</w:t>
      </w:r>
      <w:r w:rsidR="00B64E9E">
        <w:rPr>
          <w:lang w:val="fr-FR"/>
        </w:rPr>
        <w:t>’</w:t>
      </w:r>
      <w:r w:rsidRPr="00DB2449">
        <w:rPr>
          <w:lang w:val="fr-FR"/>
        </w:rPr>
        <w:t>exécution commun.  La modification des sous</w:t>
      </w:r>
      <w:r w:rsidR="00B673C6">
        <w:rPr>
          <w:lang w:val="fr-FR"/>
        </w:rPr>
        <w:noBreakHyphen/>
      </w:r>
      <w:r w:rsidRPr="00DB2449">
        <w:rPr>
          <w:lang w:val="fr-FR"/>
        </w:rPr>
        <w:t>alinéas a) et d) de la règle 24.5) nécessiterait l</w:t>
      </w:r>
      <w:r w:rsidR="00B64E9E">
        <w:rPr>
          <w:lang w:val="fr-FR"/>
        </w:rPr>
        <w:t>’</w:t>
      </w:r>
      <w:r w:rsidRPr="00DB2449">
        <w:rPr>
          <w:lang w:val="fr-FR"/>
        </w:rPr>
        <w:t xml:space="preserve">application, </w:t>
      </w:r>
      <w:r w:rsidRPr="00DB2449">
        <w:rPr>
          <w:i/>
          <w:lang w:val="fr-FR"/>
        </w:rPr>
        <w:t>mutatis mutandis</w:t>
      </w:r>
      <w:r w:rsidRPr="00DB2449">
        <w:rPr>
          <w:lang w:val="fr-FR"/>
        </w:rPr>
        <w:t>, des règles 12 et 13 du règlement d</w:t>
      </w:r>
      <w:r w:rsidR="00B64E9E">
        <w:rPr>
          <w:lang w:val="fr-FR"/>
        </w:rPr>
        <w:t>’</w:t>
      </w:r>
      <w:r w:rsidRPr="00DB2449">
        <w:rPr>
          <w:lang w:val="fr-FR"/>
        </w:rPr>
        <w:t>exécution commun lorsqu</w:t>
      </w:r>
      <w:r w:rsidR="00B64E9E">
        <w:rPr>
          <w:lang w:val="fr-FR"/>
        </w:rPr>
        <w:t>’</w:t>
      </w:r>
      <w:r w:rsidRPr="00DB2449">
        <w:rPr>
          <w:lang w:val="fr-FR"/>
        </w:rPr>
        <w:t>une désignation postérieure ne concernerait qu</w:t>
      </w:r>
      <w:r w:rsidR="00B64E9E">
        <w:rPr>
          <w:lang w:val="fr-FR"/>
        </w:rPr>
        <w:t>’</w:t>
      </w:r>
      <w:r w:rsidRPr="00DB2449">
        <w:rPr>
          <w:lang w:val="fr-FR"/>
        </w:rPr>
        <w:t>une partie des produits et services énumérés dans l</w:t>
      </w:r>
      <w:r w:rsidR="00B64E9E">
        <w:rPr>
          <w:lang w:val="fr-FR"/>
        </w:rPr>
        <w:t>’</w:t>
      </w:r>
      <w:r w:rsidRPr="00DB2449">
        <w:rPr>
          <w:lang w:val="fr-FR"/>
        </w:rPr>
        <w:t>enregistrement international.  La modification du sous</w:t>
      </w:r>
      <w:r w:rsidR="00B673C6">
        <w:rPr>
          <w:lang w:val="fr-FR"/>
        </w:rPr>
        <w:noBreakHyphen/>
      </w:r>
      <w:r w:rsidRPr="00DB2449">
        <w:rPr>
          <w:lang w:val="fr-FR"/>
        </w:rPr>
        <w:t>alinéa d) de la règle 24.5) limiterait les conséquences de l</w:t>
      </w:r>
      <w:r w:rsidR="00B64E9E">
        <w:rPr>
          <w:lang w:val="fr-FR"/>
        </w:rPr>
        <w:t>’</w:t>
      </w:r>
      <w:r w:rsidRPr="00DB2449">
        <w:rPr>
          <w:lang w:val="fr-FR"/>
        </w:rPr>
        <w:t>absence de correction d</w:t>
      </w:r>
      <w:r w:rsidR="00B64E9E">
        <w:rPr>
          <w:lang w:val="fr-FR"/>
        </w:rPr>
        <w:t>’</w:t>
      </w:r>
      <w:r w:rsidRPr="00DB2449">
        <w:rPr>
          <w:lang w:val="fr-FR"/>
        </w:rPr>
        <w:t>une irrégularité relative à un défaut ou à l</w:t>
      </w:r>
      <w:r w:rsidR="00B64E9E">
        <w:rPr>
          <w:lang w:val="fr-FR"/>
        </w:rPr>
        <w:t>’</w:t>
      </w:r>
      <w:r w:rsidRPr="00DB2449">
        <w:rPr>
          <w:lang w:val="fr-FR"/>
        </w:rPr>
        <w:t>absence de déclaration d</w:t>
      </w:r>
      <w:r w:rsidR="00B64E9E">
        <w:rPr>
          <w:lang w:val="fr-FR"/>
        </w:rPr>
        <w:t>’</w:t>
      </w:r>
      <w:r w:rsidRPr="00DB2449">
        <w:rPr>
          <w:lang w:val="fr-FR"/>
        </w:rPr>
        <w:t>intention d</w:t>
      </w:r>
      <w:r w:rsidR="00B64E9E">
        <w:rPr>
          <w:lang w:val="fr-FR"/>
        </w:rPr>
        <w:t>’</w:t>
      </w:r>
      <w:r w:rsidRPr="00DB2449">
        <w:rPr>
          <w:lang w:val="fr-FR"/>
        </w:rPr>
        <w:t>utiliser la marque.  Enfin, présentant la quatrième proposition, le Secrétariat a déclaré qu</w:t>
      </w:r>
      <w:r w:rsidR="00B64E9E">
        <w:rPr>
          <w:lang w:val="fr-FR"/>
        </w:rPr>
        <w:t>’</w:t>
      </w:r>
      <w:r w:rsidRPr="00DB2449">
        <w:rPr>
          <w:lang w:val="fr-FR"/>
        </w:rPr>
        <w:t>une modification de la règle 36 permettrait de préciser que l</w:t>
      </w:r>
      <w:r w:rsidR="00B64E9E">
        <w:rPr>
          <w:lang w:val="fr-FR"/>
        </w:rPr>
        <w:t>’</w:t>
      </w:r>
      <w:r w:rsidRPr="00DB2449">
        <w:rPr>
          <w:lang w:val="fr-FR"/>
        </w:rPr>
        <w:t>inscription de certaines modifications était exempte de taxes.</w:t>
      </w:r>
    </w:p>
    <w:p w:rsidR="00320CCD" w:rsidRDefault="0049479A" w:rsidP="0049479A">
      <w:pPr>
        <w:pStyle w:val="ONUMFS"/>
        <w:ind w:left="567"/>
        <w:rPr>
          <w:lang w:val="fr-FR"/>
        </w:rPr>
      </w:pPr>
      <w:r w:rsidRPr="00DB2449">
        <w:rPr>
          <w:lang w:val="fr-FR"/>
        </w:rPr>
        <w:t>L</w:t>
      </w:r>
      <w:r w:rsidR="00B64E9E">
        <w:rPr>
          <w:lang w:val="fr-FR"/>
        </w:rPr>
        <w:t>’</w:t>
      </w:r>
      <w:r w:rsidRPr="00DB2449">
        <w:rPr>
          <w:lang w:val="fr-FR"/>
        </w:rPr>
        <w:t>assemblée a adopté les modifications des règles 5 et 36 du règlement d</w:t>
      </w:r>
      <w:r w:rsidR="00B64E9E">
        <w:rPr>
          <w:lang w:val="fr-FR"/>
        </w:rPr>
        <w:t>’</w:t>
      </w:r>
      <w:r w:rsidRPr="00DB2449">
        <w:rPr>
          <w:lang w:val="fr-FR"/>
        </w:rPr>
        <w:t>exécution commun avec une date d</w:t>
      </w:r>
      <w:r w:rsidR="00B64E9E">
        <w:rPr>
          <w:lang w:val="fr-FR"/>
        </w:rPr>
        <w:t>’</w:t>
      </w:r>
      <w:r w:rsidRPr="00DB2449">
        <w:rPr>
          <w:lang w:val="fr-FR"/>
        </w:rPr>
        <w:t>entrée en vigueur fixée au 1</w:t>
      </w:r>
      <w:r w:rsidRPr="00DB2449">
        <w:rPr>
          <w:vertAlign w:val="superscript"/>
          <w:lang w:val="fr-FR"/>
        </w:rPr>
        <w:t>er</w:t>
      </w:r>
      <w:r w:rsidRPr="00DB2449">
        <w:rPr>
          <w:lang w:val="fr-FR"/>
        </w:rPr>
        <w:t> avril 2016 et les modifications des règles 9 et 24 du règlement d</w:t>
      </w:r>
      <w:r w:rsidR="00B64E9E">
        <w:rPr>
          <w:lang w:val="fr-FR"/>
        </w:rPr>
        <w:t>’</w:t>
      </w:r>
      <w:r w:rsidRPr="00DB2449">
        <w:rPr>
          <w:lang w:val="fr-FR"/>
        </w:rPr>
        <w:t>exécution commun avec une date d</w:t>
      </w:r>
      <w:r w:rsidR="00B64E9E">
        <w:rPr>
          <w:lang w:val="fr-FR"/>
        </w:rPr>
        <w:t>’</w:t>
      </w:r>
      <w:r w:rsidRPr="00DB2449">
        <w:rPr>
          <w:lang w:val="fr-FR"/>
        </w:rPr>
        <w:t>entrée en vigueur fixée au 1</w:t>
      </w:r>
      <w:r w:rsidRPr="00DB2449">
        <w:rPr>
          <w:vertAlign w:val="superscript"/>
          <w:lang w:val="fr-FR"/>
        </w:rPr>
        <w:t>er</w:t>
      </w:r>
      <w:r w:rsidRPr="00DB2449">
        <w:rPr>
          <w:lang w:val="fr-FR"/>
        </w:rPr>
        <w:t> novembre 2017, comme indiqué dans les annexes des “Propositions de modification du règlement d</w:t>
      </w:r>
      <w:r w:rsidR="00B64E9E">
        <w:rPr>
          <w:lang w:val="fr-FR"/>
        </w:rPr>
        <w:t>’</w:t>
      </w:r>
      <w:r w:rsidRPr="00DB2449">
        <w:rPr>
          <w:lang w:val="fr-FR"/>
        </w:rPr>
        <w:t>exécution commun à l</w:t>
      </w:r>
      <w:r w:rsidR="00B64E9E">
        <w:rPr>
          <w:lang w:val="fr-FR"/>
        </w:rPr>
        <w:t>’</w:t>
      </w:r>
      <w:r w:rsidRPr="00DB2449">
        <w:rPr>
          <w:lang w:val="fr-FR"/>
        </w:rPr>
        <w:t>Arrangement de Madrid concernant l</w:t>
      </w:r>
      <w:r w:rsidR="00B64E9E">
        <w:rPr>
          <w:lang w:val="fr-FR"/>
        </w:rPr>
        <w:t>’</w:t>
      </w:r>
      <w:r w:rsidRPr="00DB2449">
        <w:rPr>
          <w:lang w:val="fr-FR"/>
        </w:rPr>
        <w:t>enregistrement international des marques et au Protocole relatif à cet Arrangement” (document MM/A/49/3).</w:t>
      </w:r>
    </w:p>
    <w:p w:rsidR="00320CCD" w:rsidRDefault="0049479A" w:rsidP="0049479A">
      <w:pPr>
        <w:pStyle w:val="Heading3"/>
        <w:rPr>
          <w:lang w:val="fr-FR"/>
        </w:rPr>
      </w:pPr>
      <w:r w:rsidRPr="00DB2449">
        <w:rPr>
          <w:lang w:val="fr-FR"/>
        </w:rPr>
        <w:t>Questions concernant les Unions de Madrid et de Lisbonne : proposition des États</w:t>
      </w:r>
      <w:r w:rsidR="00B673C6">
        <w:rPr>
          <w:lang w:val="fr-FR"/>
        </w:rPr>
        <w:noBreakHyphen/>
      </w:r>
      <w:r w:rsidRPr="00DB2449">
        <w:rPr>
          <w:lang w:val="fr-FR"/>
        </w:rPr>
        <w:t>Unis d</w:t>
      </w:r>
      <w:r w:rsidR="00B64E9E">
        <w:rPr>
          <w:lang w:val="fr-FR"/>
        </w:rPr>
        <w:t>’</w:t>
      </w:r>
      <w:r w:rsidRPr="00DB2449">
        <w:rPr>
          <w:lang w:val="fr-FR"/>
        </w:rPr>
        <w:t>Amérique à l</w:t>
      </w:r>
      <w:r w:rsidR="00B64E9E">
        <w:rPr>
          <w:lang w:val="fr-FR"/>
        </w:rPr>
        <w:t>’</w:t>
      </w:r>
      <w:r w:rsidRPr="00DB2449">
        <w:rPr>
          <w:lang w:val="fr-FR"/>
        </w:rPr>
        <w:t>intention de l</w:t>
      </w:r>
      <w:r w:rsidR="00B64E9E">
        <w:rPr>
          <w:lang w:val="fr-FR"/>
        </w:rPr>
        <w:t>’</w:t>
      </w:r>
      <w:r w:rsidRPr="00DB2449">
        <w:rPr>
          <w:lang w:val="fr-FR"/>
        </w:rPr>
        <w:t>Assemblée de l</w:t>
      </w:r>
      <w:r w:rsidR="00B64E9E">
        <w:rPr>
          <w:lang w:val="fr-FR"/>
        </w:rPr>
        <w:t>’</w:t>
      </w:r>
      <w:r w:rsidRPr="00DB2449">
        <w:rPr>
          <w:lang w:val="fr-FR"/>
        </w:rPr>
        <w:t>Union de Madrid</w:t>
      </w:r>
    </w:p>
    <w:p w:rsidR="00320CCD" w:rsidRDefault="00320CCD" w:rsidP="0049479A">
      <w:pPr>
        <w:rPr>
          <w:lang w:val="fr-FR"/>
        </w:rPr>
      </w:pPr>
    </w:p>
    <w:p w:rsidR="00320CCD" w:rsidRDefault="0049479A" w:rsidP="0049479A">
      <w:pPr>
        <w:pStyle w:val="ONUMFS"/>
        <w:rPr>
          <w:lang w:val="fr-FR"/>
        </w:rPr>
      </w:pPr>
      <w:r w:rsidRPr="00DB2449">
        <w:rPr>
          <w:lang w:val="fr-FR"/>
        </w:rPr>
        <w:t>Les délibérations ont eu lieu sur la base du document MM/A/49/4.</w:t>
      </w:r>
    </w:p>
    <w:p w:rsidR="00320CCD" w:rsidRDefault="0049479A" w:rsidP="0049479A">
      <w:pPr>
        <w:pStyle w:val="ONUMFS"/>
        <w:rPr>
          <w:lang w:val="fr-FR"/>
        </w:rPr>
      </w:pPr>
      <w:r w:rsidRPr="00DB2449">
        <w:rPr>
          <w:lang w:val="fr-FR"/>
        </w:rPr>
        <w:t>La délégation des États</w:t>
      </w:r>
      <w:r w:rsidR="00B673C6">
        <w:rPr>
          <w:lang w:val="fr-FR"/>
        </w:rPr>
        <w:noBreakHyphen/>
      </w:r>
      <w:r w:rsidRPr="00DB2449">
        <w:rPr>
          <w:lang w:val="fr-FR"/>
        </w:rPr>
        <w:t>Unis d</w:t>
      </w:r>
      <w:r w:rsidR="00B64E9E">
        <w:rPr>
          <w:lang w:val="fr-FR"/>
        </w:rPr>
        <w:t>’</w:t>
      </w:r>
      <w:r w:rsidRPr="00DB2449">
        <w:rPr>
          <w:lang w:val="fr-FR"/>
        </w:rPr>
        <w:t>Amérique a indiqué qu</w:t>
      </w:r>
      <w:r w:rsidR="00B64E9E">
        <w:rPr>
          <w:lang w:val="fr-FR"/>
        </w:rPr>
        <w:t>’</w:t>
      </w:r>
      <w:r w:rsidRPr="00DB2449">
        <w:rPr>
          <w:lang w:val="fr-FR"/>
        </w:rPr>
        <w:t>elle avait proposé l</w:t>
      </w:r>
      <w:r w:rsidR="00B64E9E">
        <w:rPr>
          <w:lang w:val="fr-FR"/>
        </w:rPr>
        <w:t>’</w:t>
      </w:r>
      <w:r w:rsidRPr="00DB2449">
        <w:rPr>
          <w:lang w:val="fr-FR"/>
        </w:rPr>
        <w:t>inscription de ce point à l</w:t>
      </w:r>
      <w:r w:rsidR="00B64E9E">
        <w:rPr>
          <w:lang w:val="fr-FR"/>
        </w:rPr>
        <w:t>’</w:t>
      </w:r>
      <w:r w:rsidRPr="00DB2449">
        <w:rPr>
          <w:lang w:val="fr-FR"/>
        </w:rPr>
        <w:t>ordre du jour et qu</w:t>
      </w:r>
      <w:r w:rsidR="00B64E9E">
        <w:rPr>
          <w:lang w:val="fr-FR"/>
        </w:rPr>
        <w:t>’</w:t>
      </w:r>
      <w:r w:rsidRPr="00DB2449">
        <w:rPr>
          <w:lang w:val="fr-FR"/>
        </w:rPr>
        <w:t xml:space="preserve">elle avait soumis le document examiné parce que, depuis plusieurs </w:t>
      </w:r>
      <w:r w:rsidRPr="00DB2449">
        <w:rPr>
          <w:lang w:val="fr-FR"/>
        </w:rPr>
        <w:lastRenderedPageBreak/>
        <w:t>années, l</w:t>
      </w:r>
      <w:r w:rsidR="00B64E9E">
        <w:rPr>
          <w:lang w:val="fr-FR"/>
        </w:rPr>
        <w:t>’</w:t>
      </w:r>
      <w:r w:rsidRPr="00DB2449">
        <w:rPr>
          <w:lang w:val="fr-FR"/>
        </w:rPr>
        <w:t>assemblée ne s</w:t>
      </w:r>
      <w:r w:rsidR="00B64E9E">
        <w:rPr>
          <w:lang w:val="fr-FR"/>
        </w:rPr>
        <w:t>’</w:t>
      </w:r>
      <w:r w:rsidRPr="00DB2449">
        <w:rPr>
          <w:lang w:val="fr-FR"/>
        </w:rPr>
        <w:t>était pas penchée sur l</w:t>
      </w:r>
      <w:r w:rsidR="00B64E9E">
        <w:rPr>
          <w:lang w:val="fr-FR"/>
        </w:rPr>
        <w:t>’</w:t>
      </w:r>
      <w:r w:rsidRPr="00DB2449">
        <w:rPr>
          <w:lang w:val="fr-FR"/>
        </w:rPr>
        <w:t>utilisation des excédents de recettes dégagés au titre de l</w:t>
      </w:r>
      <w:r w:rsidR="00B64E9E">
        <w:rPr>
          <w:lang w:val="fr-FR"/>
        </w:rPr>
        <w:t>’</w:t>
      </w:r>
      <w:r w:rsidRPr="00DB2449">
        <w:rPr>
          <w:lang w:val="fr-FR"/>
        </w:rPr>
        <w:t>Arrangement de Madrid et du Protocole y relatif et afin qu</w:t>
      </w:r>
      <w:r w:rsidR="00B64E9E">
        <w:rPr>
          <w:lang w:val="fr-FR"/>
        </w:rPr>
        <w:t>’</w:t>
      </w:r>
      <w:r w:rsidRPr="00DB2449">
        <w:rPr>
          <w:lang w:val="fr-FR"/>
        </w:rPr>
        <w:t>il soit admis que l</w:t>
      </w:r>
      <w:r w:rsidR="00B64E9E">
        <w:rPr>
          <w:lang w:val="fr-FR"/>
        </w:rPr>
        <w:t>’</w:t>
      </w:r>
      <w:r w:rsidRPr="00DB2449">
        <w:rPr>
          <w:lang w:val="fr-FR"/>
        </w:rPr>
        <w:t>assemblée avait le droit de prendre une telle décision.  La délégation a rappelé que l</w:t>
      </w:r>
      <w:r w:rsidR="00B64E9E">
        <w:rPr>
          <w:lang w:val="fr-FR"/>
        </w:rPr>
        <w:t>’</w:t>
      </w:r>
      <w:r w:rsidRPr="00DB2449">
        <w:rPr>
          <w:lang w:val="fr-FR"/>
        </w:rPr>
        <w:t>article 8.4) de l</w:t>
      </w:r>
      <w:r w:rsidR="00B64E9E">
        <w:rPr>
          <w:lang w:val="fr-FR"/>
        </w:rPr>
        <w:t>’</w:t>
      </w:r>
      <w:r w:rsidRPr="00DB2449">
        <w:rPr>
          <w:lang w:val="fr-FR"/>
        </w:rPr>
        <w:t>Arrangement de Madrid et du Protocole y relatif prévoyait une répartition équitable des excédents de recettes entre les membres de l</w:t>
      </w:r>
      <w:r w:rsidR="00B64E9E">
        <w:rPr>
          <w:lang w:val="fr-FR"/>
        </w:rPr>
        <w:t>’</w:t>
      </w:r>
      <w:r w:rsidRPr="00DB2449">
        <w:rPr>
          <w:lang w:val="fr-FR"/>
        </w:rPr>
        <w:t>Union de Madrid.  Elle a noté que, en effectuant des recherches sur le financement des différentes unions, elle avait constaté qu</w:t>
      </w:r>
      <w:r w:rsidR="00B64E9E">
        <w:rPr>
          <w:lang w:val="fr-FR"/>
        </w:rPr>
        <w:t>’</w:t>
      </w:r>
      <w:r w:rsidRPr="00DB2449">
        <w:rPr>
          <w:lang w:val="fr-FR"/>
        </w:rPr>
        <w:t>un excédent cumulé avait été initialement destiné à financer les dépenses relatives à des projets dans le domaine informatique, mais qu</w:t>
      </w:r>
      <w:r w:rsidR="00B64E9E">
        <w:rPr>
          <w:lang w:val="fr-FR"/>
        </w:rPr>
        <w:t>’</w:t>
      </w:r>
      <w:r w:rsidRPr="00DB2449">
        <w:rPr>
          <w:lang w:val="fr-FR"/>
        </w:rPr>
        <w:t>il était apparu que ce financement n</w:t>
      </w:r>
      <w:r w:rsidR="00B64E9E">
        <w:rPr>
          <w:lang w:val="fr-FR"/>
        </w:rPr>
        <w:t>’</w:t>
      </w:r>
      <w:r w:rsidRPr="00DB2449">
        <w:rPr>
          <w:lang w:val="fr-FR"/>
        </w:rPr>
        <w:t>était plus nécessaire.  Par conséquent, la délégation a demandé que le Secrétariat fournisse des renseignements actualisés sur les dépenses relatives aux projets informatiques dans le cadre du système de Madrid depuis 2007, les dépenses futures prévues et les fonds qui seraient nécessaires.  L</w:t>
      </w:r>
      <w:r w:rsidR="00B64E9E">
        <w:rPr>
          <w:lang w:val="fr-FR"/>
        </w:rPr>
        <w:t>’</w:t>
      </w:r>
      <w:r w:rsidRPr="00DB2449">
        <w:rPr>
          <w:lang w:val="fr-FR"/>
        </w:rPr>
        <w:t>assemblée devrait examiner la question de savoir s</w:t>
      </w:r>
      <w:r w:rsidR="00B64E9E">
        <w:rPr>
          <w:lang w:val="fr-FR"/>
        </w:rPr>
        <w:t>’</w:t>
      </w:r>
      <w:r w:rsidRPr="00DB2449">
        <w:rPr>
          <w:lang w:val="fr-FR"/>
        </w:rPr>
        <w:t>il convenait de répartir les excédents ou de les verser dans le fonds de réserve de l</w:t>
      </w:r>
      <w:r w:rsidR="00B64E9E">
        <w:rPr>
          <w:lang w:val="fr-FR"/>
        </w:rPr>
        <w:t>’</w:t>
      </w:r>
      <w:r w:rsidRPr="00DB2449">
        <w:rPr>
          <w:lang w:val="fr-FR"/>
        </w:rPr>
        <w:t>Union de Madrid, dont le niveau serait alors sensiblement supérieur au niveau requis et souhaitable.  Une décision à cet égard avait déjà été prise par l</w:t>
      </w:r>
      <w:r w:rsidR="00B64E9E">
        <w:rPr>
          <w:lang w:val="fr-FR"/>
        </w:rPr>
        <w:t>’</w:t>
      </w:r>
      <w:r w:rsidRPr="00DB2449">
        <w:rPr>
          <w:lang w:val="fr-FR"/>
        </w:rPr>
        <w:t>assemblée en fonction de la nature des projets en cours présentant un intérêt pour l</w:t>
      </w:r>
      <w:r w:rsidR="00B64E9E">
        <w:rPr>
          <w:lang w:val="fr-FR"/>
        </w:rPr>
        <w:t>’</w:t>
      </w:r>
      <w:r w:rsidRPr="00DB2449">
        <w:rPr>
          <w:lang w:val="fr-FR"/>
        </w:rPr>
        <w:t>Union de Madrid.  La délégation a rappelé que, entre 1972 et 1990, l</w:t>
      </w:r>
      <w:r w:rsidR="00B64E9E">
        <w:rPr>
          <w:lang w:val="fr-FR"/>
        </w:rPr>
        <w:t>’</w:t>
      </w:r>
      <w:r w:rsidRPr="00DB2449">
        <w:rPr>
          <w:lang w:val="fr-FR"/>
        </w:rPr>
        <w:t>assemblée avait décidé de répartir les excédents, tandis qu</w:t>
      </w:r>
      <w:r w:rsidR="00B64E9E">
        <w:rPr>
          <w:lang w:val="fr-FR"/>
        </w:rPr>
        <w:t>’</w:t>
      </w:r>
      <w:r w:rsidRPr="00DB2449">
        <w:rPr>
          <w:lang w:val="fr-FR"/>
        </w:rPr>
        <w:t>en 1990, elle avait décidé de les allouer aux programmes de modernisation informatique, décidant de nouveau de les répartir en 2000.  En 2007, l</w:t>
      </w:r>
      <w:r w:rsidR="00B64E9E">
        <w:rPr>
          <w:lang w:val="fr-FR"/>
        </w:rPr>
        <w:t>’</w:t>
      </w:r>
      <w:r w:rsidRPr="00DB2449">
        <w:rPr>
          <w:lang w:val="fr-FR"/>
        </w:rPr>
        <w:t>assemblée avait affecté un excédent prévu au financement d</w:t>
      </w:r>
      <w:r w:rsidR="00B64E9E">
        <w:rPr>
          <w:lang w:val="fr-FR"/>
        </w:rPr>
        <w:t>’</w:t>
      </w:r>
      <w:r w:rsidRPr="00DB2449">
        <w:rPr>
          <w:lang w:val="fr-FR"/>
        </w:rPr>
        <w:t>un nouveau programme de modernisation informatique.  Toutefois, malgré l</w:t>
      </w:r>
      <w:r w:rsidR="00B64E9E">
        <w:rPr>
          <w:lang w:val="fr-FR"/>
        </w:rPr>
        <w:t>’</w:t>
      </w:r>
      <w:r w:rsidRPr="00DB2449">
        <w:rPr>
          <w:lang w:val="fr-FR"/>
        </w:rPr>
        <w:t>achèvement du programme de modernisation, le niveau du fonds de réserve continuait de croître.  La délégation a indiqué qu</w:t>
      </w:r>
      <w:r w:rsidR="00B64E9E">
        <w:rPr>
          <w:lang w:val="fr-FR"/>
        </w:rPr>
        <w:t>’</w:t>
      </w:r>
      <w:r w:rsidRPr="00DB2449">
        <w:rPr>
          <w:lang w:val="fr-FR"/>
        </w:rPr>
        <w:t>en étudiant les documents A/55/6 “Rapport sur l</w:t>
      </w:r>
      <w:r w:rsidR="00B64E9E">
        <w:rPr>
          <w:lang w:val="fr-FR"/>
        </w:rPr>
        <w:t>’</w:t>
      </w:r>
      <w:r w:rsidRPr="00DB2449">
        <w:rPr>
          <w:lang w:val="fr-FR"/>
        </w:rPr>
        <w:t>exécution du programme en 2014” et A/55/5 </w:t>
      </w:r>
      <w:proofErr w:type="spellStart"/>
      <w:r w:rsidRPr="00DB2449">
        <w:rPr>
          <w:lang w:val="fr-FR"/>
        </w:rPr>
        <w:t>Rev</w:t>
      </w:r>
      <w:proofErr w:type="spellEnd"/>
      <w:r w:rsidRPr="00DB2449">
        <w:rPr>
          <w:lang w:val="fr-FR"/>
        </w:rPr>
        <w:t>. “Programme et budget proposé pour l</w:t>
      </w:r>
      <w:r w:rsidR="00B64E9E">
        <w:rPr>
          <w:lang w:val="fr-FR"/>
        </w:rPr>
        <w:t>’</w:t>
      </w:r>
      <w:r w:rsidRPr="00DB2449">
        <w:rPr>
          <w:lang w:val="fr-FR"/>
        </w:rPr>
        <w:t>exercice biennal 2016</w:t>
      </w:r>
      <w:r w:rsidR="00B673C6">
        <w:rPr>
          <w:lang w:val="fr-FR"/>
        </w:rPr>
        <w:noBreakHyphen/>
      </w:r>
      <w:r w:rsidRPr="00DB2449">
        <w:rPr>
          <w:lang w:val="fr-FR"/>
        </w:rPr>
        <w:t>2017”, elle avait relevé que les fonds de réserve et de roulement de l</w:t>
      </w:r>
      <w:r w:rsidR="00B64E9E">
        <w:rPr>
          <w:lang w:val="fr-FR"/>
        </w:rPr>
        <w:t>’</w:t>
      </w:r>
      <w:r w:rsidRPr="00DB2449">
        <w:rPr>
          <w:lang w:val="fr-FR"/>
        </w:rPr>
        <w:t>Union de Madrid dépassaient de 15 millions de francs suisses le niveau recommandé qui s</w:t>
      </w:r>
      <w:r w:rsidR="00B64E9E">
        <w:rPr>
          <w:lang w:val="fr-FR"/>
        </w:rPr>
        <w:t>’</w:t>
      </w:r>
      <w:r w:rsidRPr="00DB2449">
        <w:rPr>
          <w:lang w:val="fr-FR"/>
        </w:rPr>
        <w:t>établissait à 31,5 millions pour l</w:t>
      </w:r>
      <w:r w:rsidR="00B64E9E">
        <w:rPr>
          <w:lang w:val="fr-FR"/>
        </w:rPr>
        <w:t>’</w:t>
      </w:r>
      <w:r w:rsidRPr="00DB2449">
        <w:rPr>
          <w:lang w:val="fr-FR"/>
        </w:rPr>
        <w:t>exercice biennal 2016</w:t>
      </w:r>
      <w:r w:rsidR="00B673C6">
        <w:rPr>
          <w:lang w:val="fr-FR"/>
        </w:rPr>
        <w:noBreakHyphen/>
      </w:r>
      <w:r w:rsidRPr="00DB2449">
        <w:rPr>
          <w:lang w:val="fr-FR"/>
        </w:rPr>
        <w:t>2017 et que le montant susmentionné pourrait donc être réparti entre les membres de l</w:t>
      </w:r>
      <w:r w:rsidR="00B64E9E">
        <w:rPr>
          <w:lang w:val="fr-FR"/>
        </w:rPr>
        <w:t>’</w:t>
      </w:r>
      <w:r w:rsidRPr="00DB2449">
        <w:rPr>
          <w:lang w:val="fr-FR"/>
        </w:rPr>
        <w:t>Union de Madrid en vertu de l</w:t>
      </w:r>
      <w:r w:rsidR="00B64E9E">
        <w:rPr>
          <w:lang w:val="fr-FR"/>
        </w:rPr>
        <w:t>’</w:t>
      </w:r>
      <w:r w:rsidRPr="00DB2449">
        <w:rPr>
          <w:lang w:val="fr-FR"/>
        </w:rPr>
        <w:t>article 8.4) de l</w:t>
      </w:r>
      <w:r w:rsidR="00B64E9E">
        <w:rPr>
          <w:lang w:val="fr-FR"/>
        </w:rPr>
        <w:t>’</w:t>
      </w:r>
      <w:r w:rsidRPr="00DB2449">
        <w:rPr>
          <w:lang w:val="fr-FR"/>
        </w:rPr>
        <w:t>Arrangement de Madrid et du Protocole y relatif.  Elle a demandé au Secrétariat de confirmer que l</w:t>
      </w:r>
      <w:r w:rsidR="00B64E9E">
        <w:rPr>
          <w:lang w:val="fr-FR"/>
        </w:rPr>
        <w:t>’</w:t>
      </w:r>
      <w:r w:rsidRPr="00DB2449">
        <w:rPr>
          <w:lang w:val="fr-FR"/>
        </w:rPr>
        <w:t>assemblée pourrait décider d</w:t>
      </w:r>
      <w:r w:rsidR="00B64E9E">
        <w:rPr>
          <w:lang w:val="fr-FR"/>
        </w:rPr>
        <w:t>’</w:t>
      </w:r>
      <w:r w:rsidRPr="00DB2449">
        <w:rPr>
          <w:lang w:val="fr-FR"/>
        </w:rPr>
        <w:t>une telle répartition et a déclaré que, selon ses estimations, chaque membre de l</w:t>
      </w:r>
      <w:r w:rsidR="00B64E9E">
        <w:rPr>
          <w:lang w:val="fr-FR"/>
        </w:rPr>
        <w:t>’</w:t>
      </w:r>
      <w:r w:rsidRPr="00DB2449">
        <w:rPr>
          <w:lang w:val="fr-FR"/>
        </w:rPr>
        <w:t>Union de Madrid pourrait recevoir environ 150 000 francs suisses, comme il ressortait d</w:t>
      </w:r>
      <w:r w:rsidR="00B64E9E">
        <w:rPr>
          <w:lang w:val="fr-FR"/>
        </w:rPr>
        <w:t>’</w:t>
      </w:r>
      <w:r w:rsidRPr="00DB2449">
        <w:rPr>
          <w:lang w:val="fr-FR"/>
        </w:rPr>
        <w:t>un tableau qu</w:t>
      </w:r>
      <w:r w:rsidR="00B64E9E">
        <w:rPr>
          <w:lang w:val="fr-FR"/>
        </w:rPr>
        <w:t>’</w:t>
      </w:r>
      <w:r w:rsidRPr="00DB2449">
        <w:rPr>
          <w:lang w:val="fr-FR"/>
        </w:rPr>
        <w:t>elle proposait de soumettre au Secrétariat au titre de sa contribution, demandant qu</w:t>
      </w:r>
      <w:r w:rsidR="00B64E9E">
        <w:rPr>
          <w:lang w:val="fr-FR"/>
        </w:rPr>
        <w:t>’</w:t>
      </w:r>
      <w:r w:rsidRPr="00DB2449">
        <w:rPr>
          <w:lang w:val="fr-FR"/>
        </w:rPr>
        <w:t xml:space="preserve">il soit diffusé.  </w:t>
      </w:r>
      <w:r w:rsidR="00711267" w:rsidRPr="00DB2449">
        <w:rPr>
          <w:lang w:val="fr-FR"/>
        </w:rPr>
        <w:t>La délégation a également demandé au Secrétariat des informations sur la question de savoir si cette contribution influerait sur d</w:t>
      </w:r>
      <w:r w:rsidR="00B64E9E">
        <w:rPr>
          <w:lang w:val="fr-FR"/>
        </w:rPr>
        <w:t>’</w:t>
      </w:r>
      <w:r w:rsidR="00711267" w:rsidRPr="00DB2449">
        <w:rPr>
          <w:lang w:val="fr-FR"/>
        </w:rPr>
        <w:t>autres parties de l</w:t>
      </w:r>
      <w:r w:rsidR="00B64E9E">
        <w:rPr>
          <w:lang w:val="fr-FR"/>
        </w:rPr>
        <w:t>’</w:t>
      </w:r>
      <w:r w:rsidR="00711267" w:rsidRPr="00DB2449">
        <w:rPr>
          <w:lang w:val="fr-FR"/>
        </w:rPr>
        <w:t xml:space="preserve">Organisation.  </w:t>
      </w:r>
      <w:r w:rsidRPr="00DB2449">
        <w:rPr>
          <w:lang w:val="fr-FR"/>
        </w:rPr>
        <w:t>La délégation a souligné qu</w:t>
      </w:r>
      <w:r w:rsidR="00B64E9E">
        <w:rPr>
          <w:lang w:val="fr-FR"/>
        </w:rPr>
        <w:t>’</w:t>
      </w:r>
      <w:r w:rsidRPr="00DB2449">
        <w:rPr>
          <w:lang w:val="fr-FR"/>
        </w:rPr>
        <w:t>elle avait formulé sa proposition, premièrement en vue de suggérer qu</w:t>
      </w:r>
      <w:r w:rsidR="00B64E9E">
        <w:rPr>
          <w:lang w:val="fr-FR"/>
        </w:rPr>
        <w:t>’</w:t>
      </w:r>
      <w:r w:rsidRPr="00DB2449">
        <w:rPr>
          <w:lang w:val="fr-FR"/>
        </w:rPr>
        <w:t>il soit mis fin à la pratique consistant à accumuler les excédents, pour revenir à leur répartition;  et, deuxièmement, étant entendu que l</w:t>
      </w:r>
      <w:r w:rsidR="00B64E9E">
        <w:rPr>
          <w:lang w:val="fr-FR"/>
        </w:rPr>
        <w:t>’</w:t>
      </w:r>
      <w:r w:rsidRPr="00DB2449">
        <w:rPr>
          <w:lang w:val="fr-FR"/>
        </w:rPr>
        <w:t>Union de Lisbonne était en déficit et devait créer un fonds de roulement, de se montrer constructifs afin qu</w:t>
      </w:r>
      <w:r w:rsidR="00B64E9E">
        <w:rPr>
          <w:lang w:val="fr-FR"/>
        </w:rPr>
        <w:t>’</w:t>
      </w:r>
      <w:r w:rsidRPr="00DB2449">
        <w:rPr>
          <w:lang w:val="fr-FR"/>
        </w:rPr>
        <w:t>un programme et budget révisé, prévoyant un budget équilibré pour l</w:t>
      </w:r>
      <w:r w:rsidR="00B64E9E">
        <w:rPr>
          <w:lang w:val="fr-FR"/>
        </w:rPr>
        <w:t>’</w:t>
      </w:r>
      <w:r w:rsidRPr="00DB2449">
        <w:rPr>
          <w:lang w:val="fr-FR"/>
        </w:rPr>
        <w:t>Union de Lisbonne, puisse être adopté.  Une répartition des excédents pourrait se révéler utile pour les membres à la fois de l</w:t>
      </w:r>
      <w:r w:rsidR="00B64E9E">
        <w:rPr>
          <w:lang w:val="fr-FR"/>
        </w:rPr>
        <w:t>’</w:t>
      </w:r>
      <w:r w:rsidRPr="00DB2449">
        <w:rPr>
          <w:lang w:val="fr-FR"/>
        </w:rPr>
        <w:t>Union de Madrid et de l</w:t>
      </w:r>
      <w:r w:rsidR="00B64E9E">
        <w:rPr>
          <w:lang w:val="fr-FR"/>
        </w:rPr>
        <w:t>’</w:t>
      </w:r>
      <w:r w:rsidRPr="00DB2449">
        <w:rPr>
          <w:lang w:val="fr-FR"/>
        </w:rPr>
        <w:t>Union de Lisbonne, dans la mesure où ils souhaiteraient peut</w:t>
      </w:r>
      <w:r w:rsidR="00B673C6">
        <w:rPr>
          <w:lang w:val="fr-FR"/>
        </w:rPr>
        <w:noBreakHyphen/>
      </w:r>
      <w:r w:rsidRPr="00DB2449">
        <w:rPr>
          <w:lang w:val="fr-FR"/>
        </w:rPr>
        <w:t>être envisager de reverser la part qui leur revenait après répartition dans leur contribution à l</w:t>
      </w:r>
      <w:r w:rsidR="00B64E9E">
        <w:rPr>
          <w:lang w:val="fr-FR"/>
        </w:rPr>
        <w:t>’</w:t>
      </w:r>
      <w:r w:rsidRPr="00DB2449">
        <w:rPr>
          <w:lang w:val="fr-FR"/>
        </w:rPr>
        <w:t>Union de Lisbonne.  Le déficit de l</w:t>
      </w:r>
      <w:r w:rsidR="00B64E9E">
        <w:rPr>
          <w:lang w:val="fr-FR"/>
        </w:rPr>
        <w:t>’</w:t>
      </w:r>
      <w:r w:rsidRPr="00DB2449">
        <w:rPr>
          <w:lang w:val="fr-FR"/>
        </w:rPr>
        <w:t>Union de Lisbonne était systématiquement couvert par les excédents réalisés dans le cadre de l</w:t>
      </w:r>
      <w:r w:rsidR="00B64E9E">
        <w:rPr>
          <w:lang w:val="fr-FR"/>
        </w:rPr>
        <w:t>’</w:t>
      </w:r>
      <w:r w:rsidRPr="00DB2449">
        <w:rPr>
          <w:lang w:val="fr-FR"/>
        </w:rPr>
        <w:t>Union de Madrid et de l</w:t>
      </w:r>
      <w:r w:rsidR="00B64E9E">
        <w:rPr>
          <w:lang w:val="fr-FR"/>
        </w:rPr>
        <w:t>’</w:t>
      </w:r>
      <w:r w:rsidRPr="00DB2449">
        <w:rPr>
          <w:lang w:val="fr-FR"/>
        </w:rPr>
        <w:t>Union internationale de coopération en matière de brevets (Union du PCT).  La délégation a rappelé que, en ce qui concernait les déficits à long terme, l</w:t>
      </w:r>
      <w:r w:rsidR="00B64E9E">
        <w:rPr>
          <w:lang w:val="fr-FR"/>
        </w:rPr>
        <w:t>’</w:t>
      </w:r>
      <w:r w:rsidRPr="00DB2449">
        <w:rPr>
          <w:lang w:val="fr-FR"/>
        </w:rPr>
        <w:t>article 4.8) du Règlement financier prévoyait que l</w:t>
      </w:r>
      <w:r w:rsidR="00B64E9E">
        <w:rPr>
          <w:lang w:val="fr-FR"/>
        </w:rPr>
        <w:t>’</w:t>
      </w:r>
      <w:r w:rsidRPr="00DB2449">
        <w:rPr>
          <w:lang w:val="fr-FR"/>
        </w:rPr>
        <w:t>Assemblée générale de l</w:t>
      </w:r>
      <w:r w:rsidR="00B64E9E">
        <w:rPr>
          <w:lang w:val="fr-FR"/>
        </w:rPr>
        <w:t>’</w:t>
      </w:r>
      <w:r w:rsidRPr="00DB2449">
        <w:rPr>
          <w:lang w:val="fr-FR"/>
        </w:rPr>
        <w:t>OMPI ou les assemblées des unions intéressées devaient arrêter les mesures nécessaires pour assainir la situation financière, faisant observer que l</w:t>
      </w:r>
      <w:r w:rsidR="00B64E9E">
        <w:rPr>
          <w:lang w:val="fr-FR"/>
        </w:rPr>
        <w:t>’</w:t>
      </w:r>
      <w:r w:rsidRPr="00DB2449">
        <w:rPr>
          <w:lang w:val="fr-FR"/>
        </w:rPr>
        <w:t>Union de Madrid, en sa qualité d</w:t>
      </w:r>
      <w:r w:rsidR="00B64E9E">
        <w:rPr>
          <w:lang w:val="fr-FR"/>
        </w:rPr>
        <w:t>’</w:t>
      </w:r>
      <w:r w:rsidRPr="00DB2449">
        <w:rPr>
          <w:lang w:val="fr-FR"/>
        </w:rPr>
        <w:t>union intéressée, était habilitée à décider que ses excédents de recettes ne devaient pas être utilisés pour éviter à l</w:t>
      </w:r>
      <w:r w:rsidR="00B64E9E">
        <w:rPr>
          <w:lang w:val="fr-FR"/>
        </w:rPr>
        <w:t>’</w:t>
      </w:r>
      <w:r w:rsidRPr="00DB2449">
        <w:rPr>
          <w:lang w:val="fr-FR"/>
        </w:rPr>
        <w:t>Union de Lisbonne de trouver une solution à ses problèmes financiers et qu</w:t>
      </w:r>
      <w:r w:rsidR="00B64E9E">
        <w:rPr>
          <w:lang w:val="fr-FR"/>
        </w:rPr>
        <w:t>’</w:t>
      </w:r>
      <w:r w:rsidRPr="00DB2449">
        <w:rPr>
          <w:lang w:val="fr-FR"/>
        </w:rPr>
        <w:t>ils devaient plutôt être répartis entre ses membres;  l</w:t>
      </w:r>
      <w:r w:rsidR="00B64E9E">
        <w:rPr>
          <w:lang w:val="fr-FR"/>
        </w:rPr>
        <w:t>’</w:t>
      </w:r>
      <w:r w:rsidRPr="00DB2449">
        <w:rPr>
          <w:lang w:val="fr-FR"/>
        </w:rPr>
        <w:t>Assemblée de l</w:t>
      </w:r>
      <w:r w:rsidR="00B64E9E">
        <w:rPr>
          <w:lang w:val="fr-FR"/>
        </w:rPr>
        <w:t>’</w:t>
      </w:r>
      <w:r w:rsidRPr="00DB2449">
        <w:rPr>
          <w:lang w:val="fr-FR"/>
        </w:rPr>
        <w:t>Union de Madrid pourrait également décider qu</w:t>
      </w:r>
      <w:r w:rsidR="00B64E9E">
        <w:rPr>
          <w:lang w:val="fr-FR"/>
        </w:rPr>
        <w:t>’</w:t>
      </w:r>
      <w:r w:rsidRPr="00DB2449">
        <w:rPr>
          <w:lang w:val="fr-FR"/>
        </w:rPr>
        <w:t>il serait procédé à cette répartition sous réserve de la déduction des contributions dues en vertu de l</w:t>
      </w:r>
      <w:r w:rsidR="00B64E9E">
        <w:rPr>
          <w:lang w:val="fr-FR"/>
        </w:rPr>
        <w:t>’</w:t>
      </w:r>
      <w:r w:rsidRPr="00DB2449">
        <w:rPr>
          <w:lang w:val="fr-FR"/>
        </w:rPr>
        <w:t>Arrangement de Lisbonne concernant la protection des appellations d</w:t>
      </w:r>
      <w:r w:rsidR="00B64E9E">
        <w:rPr>
          <w:lang w:val="fr-FR"/>
        </w:rPr>
        <w:t>’</w:t>
      </w:r>
      <w:r w:rsidRPr="00DB2449">
        <w:rPr>
          <w:lang w:val="fr-FR"/>
        </w:rPr>
        <w:t>origine et leur enregistrement international.  La délégation a expliqué que cette décision visait à rappeler que le consentement de l</w:t>
      </w:r>
      <w:r w:rsidR="00B64E9E">
        <w:rPr>
          <w:lang w:val="fr-FR"/>
        </w:rPr>
        <w:t>’</w:t>
      </w:r>
      <w:r w:rsidRPr="00DB2449">
        <w:rPr>
          <w:lang w:val="fr-FR"/>
        </w:rPr>
        <w:t>Assemblée de l</w:t>
      </w:r>
      <w:r w:rsidR="00B64E9E">
        <w:rPr>
          <w:lang w:val="fr-FR"/>
        </w:rPr>
        <w:t>’</w:t>
      </w:r>
      <w:r w:rsidRPr="00DB2449">
        <w:rPr>
          <w:lang w:val="fr-FR"/>
        </w:rPr>
        <w:t>Union de Madrid était requis avant que des recettes produites dans le cadre de l</w:t>
      </w:r>
      <w:r w:rsidR="00B64E9E">
        <w:rPr>
          <w:lang w:val="fr-FR"/>
        </w:rPr>
        <w:t>’</w:t>
      </w:r>
      <w:r w:rsidRPr="00DB2449">
        <w:rPr>
          <w:lang w:val="fr-FR"/>
        </w:rPr>
        <w:t xml:space="preserve">Union de Madrid puissent être utilisées pour couvrir les </w:t>
      </w:r>
      <w:r w:rsidRPr="00DB2449">
        <w:rPr>
          <w:lang w:val="fr-FR"/>
        </w:rPr>
        <w:lastRenderedPageBreak/>
        <w:t>dépenses d</w:t>
      </w:r>
      <w:r w:rsidR="00B64E9E">
        <w:rPr>
          <w:lang w:val="fr-FR"/>
        </w:rPr>
        <w:t>’</w:t>
      </w:r>
      <w:r w:rsidRPr="00DB2449">
        <w:rPr>
          <w:lang w:val="fr-FR"/>
        </w:rPr>
        <w:t>autres unions moins performantes.  En conclusion, elle a proposé que les contributions dues par les membres de l</w:t>
      </w:r>
      <w:r w:rsidR="00B64E9E">
        <w:rPr>
          <w:lang w:val="fr-FR"/>
        </w:rPr>
        <w:t>’</w:t>
      </w:r>
      <w:r w:rsidRPr="00DB2449">
        <w:rPr>
          <w:lang w:val="fr-FR"/>
        </w:rPr>
        <w:t>Union de Madrid soient d</w:t>
      </w:r>
      <w:r w:rsidR="00B64E9E">
        <w:rPr>
          <w:lang w:val="fr-FR"/>
        </w:rPr>
        <w:t>’</w:t>
      </w:r>
      <w:r w:rsidRPr="00DB2449">
        <w:rPr>
          <w:lang w:val="fr-FR"/>
        </w:rPr>
        <w:t>abord prises en considération dans la répartition des excédents, puis que les membres des Unions de Madrid et de Lisbonne versent leur part au titre de cette répartition au fonds de roulement de l</w:t>
      </w:r>
      <w:r w:rsidR="00B64E9E">
        <w:rPr>
          <w:lang w:val="fr-FR"/>
        </w:rPr>
        <w:t>’</w:t>
      </w:r>
      <w:r w:rsidRPr="00DB2449">
        <w:rPr>
          <w:lang w:val="fr-FR"/>
        </w:rPr>
        <w:t>Union de Lisbonne</w:t>
      </w:r>
      <w:r w:rsidR="00711267" w:rsidRPr="00DB2449">
        <w:rPr>
          <w:lang w:val="fr-FR"/>
        </w:rPr>
        <w:t xml:space="preserve"> (voir l</w:t>
      </w:r>
      <w:r w:rsidR="00B64E9E">
        <w:rPr>
          <w:lang w:val="fr-FR"/>
        </w:rPr>
        <w:t>’</w:t>
      </w:r>
      <w:r w:rsidR="00711267" w:rsidRPr="00DB2449">
        <w:rPr>
          <w:lang w:val="fr-FR"/>
        </w:rPr>
        <w:t>annexe, qui fait partie de la déclaration)</w:t>
      </w:r>
      <w:r w:rsidRPr="00DB2449">
        <w:rPr>
          <w:lang w:val="fr-FR"/>
        </w:rPr>
        <w:t>.</w:t>
      </w:r>
    </w:p>
    <w:p w:rsidR="00320CCD" w:rsidRDefault="0049479A" w:rsidP="0049479A">
      <w:pPr>
        <w:pStyle w:val="ONUMFS"/>
        <w:rPr>
          <w:lang w:val="fr-FR"/>
        </w:rPr>
      </w:pPr>
      <w:r w:rsidRPr="00DB2449">
        <w:rPr>
          <w:lang w:val="fr-FR"/>
        </w:rPr>
        <w:t>Le Secrétariat a déclaré qu</w:t>
      </w:r>
      <w:r w:rsidR="00B64E9E">
        <w:rPr>
          <w:lang w:val="fr-FR"/>
        </w:rPr>
        <w:t>’</w:t>
      </w:r>
      <w:r w:rsidRPr="00DB2449">
        <w:rPr>
          <w:lang w:val="fr-FR"/>
        </w:rPr>
        <w:t>il comprenait que la proposition faite par la délégation des États</w:t>
      </w:r>
      <w:r w:rsidR="00B673C6">
        <w:rPr>
          <w:lang w:val="fr-FR"/>
        </w:rPr>
        <w:noBreakHyphen/>
      </w:r>
      <w:r w:rsidRPr="00DB2449">
        <w:rPr>
          <w:lang w:val="fr-FR"/>
        </w:rPr>
        <w:t>Unis d</w:t>
      </w:r>
      <w:r w:rsidR="00B64E9E">
        <w:rPr>
          <w:lang w:val="fr-FR"/>
        </w:rPr>
        <w:t>’</w:t>
      </w:r>
      <w:r w:rsidRPr="00DB2449">
        <w:rPr>
          <w:lang w:val="fr-FR"/>
        </w:rPr>
        <w:t>Amérique comportait deux parties, a indiqué que la première partie de sa proposition avait déjà été examinée durant l</w:t>
      </w:r>
      <w:r w:rsidR="00B64E9E">
        <w:rPr>
          <w:lang w:val="fr-FR"/>
        </w:rPr>
        <w:t>’</w:t>
      </w:r>
      <w:r w:rsidRPr="00DB2449">
        <w:rPr>
          <w:lang w:val="fr-FR"/>
        </w:rPr>
        <w:t>Assemblée de l</w:t>
      </w:r>
      <w:r w:rsidR="00B64E9E">
        <w:rPr>
          <w:lang w:val="fr-FR"/>
        </w:rPr>
        <w:t>’</w:t>
      </w:r>
      <w:r w:rsidRPr="00DB2449">
        <w:rPr>
          <w:lang w:val="fr-FR"/>
        </w:rPr>
        <w:t>Union du PCT et a confirmé qu</w:t>
      </w:r>
      <w:r w:rsidR="00B64E9E">
        <w:rPr>
          <w:lang w:val="fr-FR"/>
        </w:rPr>
        <w:t>’</w:t>
      </w:r>
      <w:r w:rsidRPr="00DB2449">
        <w:rPr>
          <w:lang w:val="fr-FR"/>
        </w:rPr>
        <w:t>il était prêt à fournir les informations supplémentaires qui pourraient être demandées.  Concernant la deuxième partie de la proposition, le Secrétariat a confirmé que l</w:t>
      </w:r>
      <w:r w:rsidR="00B64E9E">
        <w:rPr>
          <w:lang w:val="fr-FR"/>
        </w:rPr>
        <w:t>’</w:t>
      </w:r>
      <w:r w:rsidRPr="00DB2449">
        <w:rPr>
          <w:lang w:val="fr-FR"/>
        </w:rPr>
        <w:t>Assemblée de l</w:t>
      </w:r>
      <w:r w:rsidR="00B64E9E">
        <w:rPr>
          <w:lang w:val="fr-FR"/>
        </w:rPr>
        <w:t>’</w:t>
      </w:r>
      <w:r w:rsidRPr="00DB2449">
        <w:rPr>
          <w:lang w:val="fr-FR"/>
        </w:rPr>
        <w:t>Union de Madrid était souveraine et qu</w:t>
      </w:r>
      <w:r w:rsidR="00B64E9E">
        <w:rPr>
          <w:lang w:val="fr-FR"/>
        </w:rPr>
        <w:t>’</w:t>
      </w:r>
      <w:r w:rsidRPr="00DB2449">
        <w:rPr>
          <w:lang w:val="fr-FR"/>
        </w:rPr>
        <w:t>elle était habilitée à décider</w:t>
      </w:r>
      <w:r w:rsidR="00B73FFC" w:rsidRPr="00DB2449">
        <w:rPr>
          <w:lang w:val="fr-FR"/>
        </w:rPr>
        <w:t xml:space="preserve"> de l</w:t>
      </w:r>
      <w:r w:rsidR="00B64E9E">
        <w:rPr>
          <w:lang w:val="fr-FR"/>
        </w:rPr>
        <w:t>’</w:t>
      </w:r>
      <w:r w:rsidR="00B73FFC" w:rsidRPr="00DB2449">
        <w:rPr>
          <w:lang w:val="fr-FR"/>
        </w:rPr>
        <w:t>affectation des excédents</w:t>
      </w:r>
      <w:r w:rsidRPr="00DB2449">
        <w:rPr>
          <w:lang w:val="fr-FR"/>
        </w:rPr>
        <w:t>.  Le Secrétariat a noté qu</w:t>
      </w:r>
      <w:r w:rsidR="00B64E9E">
        <w:rPr>
          <w:lang w:val="fr-FR"/>
        </w:rPr>
        <w:t>’</w:t>
      </w:r>
      <w:r w:rsidRPr="00DB2449">
        <w:rPr>
          <w:lang w:val="fr-FR"/>
        </w:rPr>
        <w:t>à ce stade, l</w:t>
      </w:r>
      <w:r w:rsidR="00B64E9E">
        <w:rPr>
          <w:lang w:val="fr-FR"/>
        </w:rPr>
        <w:t>’</w:t>
      </w:r>
      <w:r w:rsidRPr="00DB2449">
        <w:rPr>
          <w:lang w:val="fr-FR"/>
        </w:rPr>
        <w:t>Organisation se trouvait à mi</w:t>
      </w:r>
      <w:r w:rsidR="00B673C6">
        <w:rPr>
          <w:lang w:val="fr-FR"/>
        </w:rPr>
        <w:noBreakHyphen/>
      </w:r>
      <w:r w:rsidRPr="00DB2449">
        <w:rPr>
          <w:lang w:val="fr-FR"/>
        </w:rPr>
        <w:t>parcours d</w:t>
      </w:r>
      <w:r w:rsidR="00B64E9E">
        <w:rPr>
          <w:lang w:val="fr-FR"/>
        </w:rPr>
        <w:t>’</w:t>
      </w:r>
      <w:r w:rsidRPr="00DB2449">
        <w:rPr>
          <w:lang w:val="fr-FR"/>
        </w:rPr>
        <w:t>un exercice biennal et il a rappelé que l</w:t>
      </w:r>
      <w:r w:rsidR="00B64E9E">
        <w:rPr>
          <w:lang w:val="fr-FR"/>
        </w:rPr>
        <w:t>’</w:t>
      </w:r>
      <w:r w:rsidRPr="00DB2449">
        <w:rPr>
          <w:lang w:val="fr-FR"/>
        </w:rPr>
        <w:t>Organisation ne disposait pas d</w:t>
      </w:r>
      <w:r w:rsidR="00B64E9E">
        <w:rPr>
          <w:lang w:val="fr-FR"/>
        </w:rPr>
        <w:t>’</w:t>
      </w:r>
      <w:r w:rsidRPr="00DB2449">
        <w:rPr>
          <w:lang w:val="fr-FR"/>
        </w:rPr>
        <w:t>un budget annuel, une proposition qui n</w:t>
      </w:r>
      <w:r w:rsidR="00B64E9E">
        <w:rPr>
          <w:lang w:val="fr-FR"/>
        </w:rPr>
        <w:t>’</w:t>
      </w:r>
      <w:r w:rsidRPr="00DB2449">
        <w:rPr>
          <w:lang w:val="fr-FR"/>
        </w:rPr>
        <w:t>avait pas été adoptée lorsque, à la fin des années 90, la proposition de budget unique avait été examinée.  Le Secrétariat a précisé que, si l</w:t>
      </w:r>
      <w:r w:rsidR="00B64E9E">
        <w:rPr>
          <w:lang w:val="fr-FR"/>
        </w:rPr>
        <w:t>’</w:t>
      </w:r>
      <w:r w:rsidR="00B73FFC" w:rsidRPr="00DB2449">
        <w:rPr>
          <w:lang w:val="fr-FR"/>
        </w:rPr>
        <w:t>Organisation</w:t>
      </w:r>
      <w:r w:rsidRPr="00DB2449">
        <w:rPr>
          <w:lang w:val="fr-FR"/>
        </w:rPr>
        <w:t xml:space="preserve"> avait terminé la première année de l</w:t>
      </w:r>
      <w:r w:rsidR="00B64E9E">
        <w:rPr>
          <w:lang w:val="fr-FR"/>
        </w:rPr>
        <w:t>’</w:t>
      </w:r>
      <w:r w:rsidRPr="00DB2449">
        <w:rPr>
          <w:lang w:val="fr-FR"/>
        </w:rPr>
        <w:t xml:space="preserve">exercice biennal avec un excédent de 37 millions de francs suisses, </w:t>
      </w:r>
      <w:r w:rsidR="00B73FFC" w:rsidRPr="00DB2449">
        <w:rPr>
          <w:lang w:val="fr-FR"/>
        </w:rPr>
        <w:t>le résultat pour l</w:t>
      </w:r>
      <w:r w:rsidR="00B64E9E">
        <w:rPr>
          <w:lang w:val="fr-FR"/>
        </w:rPr>
        <w:t>’</w:t>
      </w:r>
      <w:r w:rsidR="00B73FFC" w:rsidRPr="00DB2449">
        <w:rPr>
          <w:lang w:val="fr-FR"/>
        </w:rPr>
        <w:t>exercice biennal</w:t>
      </w:r>
      <w:r w:rsidR="0045687E" w:rsidRPr="00DB2449">
        <w:rPr>
          <w:lang w:val="fr-FR"/>
        </w:rPr>
        <w:t xml:space="preserve"> ne serait connu qu</w:t>
      </w:r>
      <w:r w:rsidR="00B64E9E">
        <w:rPr>
          <w:lang w:val="fr-FR"/>
        </w:rPr>
        <w:t>’</w:t>
      </w:r>
      <w:r w:rsidR="0045687E" w:rsidRPr="00DB2449">
        <w:rPr>
          <w:lang w:val="fr-FR"/>
        </w:rPr>
        <w:t>à la fin de</w:t>
      </w:r>
      <w:r w:rsidR="0073093E">
        <w:rPr>
          <w:lang w:val="fr-FR"/>
        </w:rPr>
        <w:t> </w:t>
      </w:r>
      <w:r w:rsidR="0045687E" w:rsidRPr="00DB2449">
        <w:rPr>
          <w:lang w:val="fr-FR"/>
        </w:rPr>
        <w:t>2015</w:t>
      </w:r>
      <w:r w:rsidRPr="00DB2449">
        <w:rPr>
          <w:lang w:val="fr-FR"/>
        </w:rPr>
        <w:t>, lorsque les comptes auraient été clôturés et vérifiés.  Le Secrétariat a indiqué que l</w:t>
      </w:r>
      <w:r w:rsidR="00B64E9E">
        <w:rPr>
          <w:lang w:val="fr-FR"/>
        </w:rPr>
        <w:t>’</w:t>
      </w:r>
      <w:r w:rsidRPr="00DB2449">
        <w:rPr>
          <w:lang w:val="fr-FR"/>
        </w:rPr>
        <w:t xml:space="preserve">Organisation publiait des </w:t>
      </w:r>
      <w:r w:rsidR="004A646E" w:rsidRPr="00DB2449">
        <w:rPr>
          <w:lang w:val="fr-FR"/>
        </w:rPr>
        <w:t>rapports</w:t>
      </w:r>
      <w:r w:rsidRPr="00DB2449">
        <w:rPr>
          <w:lang w:val="fr-FR"/>
        </w:rPr>
        <w:t xml:space="preserve"> </w:t>
      </w:r>
      <w:r w:rsidR="004A646E" w:rsidRPr="00DB2449">
        <w:rPr>
          <w:lang w:val="fr-FR"/>
        </w:rPr>
        <w:t xml:space="preserve">financiers </w:t>
      </w:r>
      <w:r w:rsidRPr="00DB2449">
        <w:rPr>
          <w:lang w:val="fr-FR"/>
        </w:rPr>
        <w:t>trimestriels et annuels afin de tenir les membres informés de la situation et des projections pour la fin de l</w:t>
      </w:r>
      <w:r w:rsidR="00B64E9E">
        <w:rPr>
          <w:lang w:val="fr-FR"/>
        </w:rPr>
        <w:t>’</w:t>
      </w:r>
      <w:r w:rsidRPr="00DB2449">
        <w:rPr>
          <w:lang w:val="fr-FR"/>
        </w:rPr>
        <w:t>exercice biennal.  Le Secrétariat a fait observer que, à la fin de l</w:t>
      </w:r>
      <w:r w:rsidR="00B64E9E">
        <w:rPr>
          <w:lang w:val="fr-FR"/>
        </w:rPr>
        <w:t>’</w:t>
      </w:r>
      <w:r w:rsidRPr="00DB2449">
        <w:rPr>
          <w:lang w:val="fr-FR"/>
        </w:rPr>
        <w:t>exercice biennal, lorsque le montant de l</w:t>
      </w:r>
      <w:r w:rsidR="00B64E9E">
        <w:rPr>
          <w:lang w:val="fr-FR"/>
        </w:rPr>
        <w:t>’</w:t>
      </w:r>
      <w:r w:rsidRPr="00DB2449">
        <w:rPr>
          <w:lang w:val="fr-FR"/>
        </w:rPr>
        <w:t>excédent serait connu, l</w:t>
      </w:r>
      <w:r w:rsidR="00B64E9E">
        <w:rPr>
          <w:lang w:val="fr-FR"/>
        </w:rPr>
        <w:t>’</w:t>
      </w:r>
      <w:r w:rsidRPr="00DB2449">
        <w:rPr>
          <w:lang w:val="fr-FR"/>
        </w:rPr>
        <w:t>Assemblée de l</w:t>
      </w:r>
      <w:r w:rsidR="00B64E9E">
        <w:rPr>
          <w:lang w:val="fr-FR"/>
        </w:rPr>
        <w:t>’</w:t>
      </w:r>
      <w:r w:rsidRPr="00DB2449">
        <w:rPr>
          <w:lang w:val="fr-FR"/>
        </w:rPr>
        <w:t xml:space="preserve">Union de Madrid pourrait </w:t>
      </w:r>
      <w:r w:rsidR="004A646E" w:rsidRPr="00DB2449">
        <w:rPr>
          <w:lang w:val="fr-FR"/>
        </w:rPr>
        <w:t>examiner</w:t>
      </w:r>
      <w:r w:rsidRPr="00DB2449">
        <w:rPr>
          <w:lang w:val="fr-FR"/>
        </w:rPr>
        <w:t xml:space="preserve"> la décision qui était proposée par la délégation des États</w:t>
      </w:r>
      <w:r w:rsidR="00B673C6">
        <w:rPr>
          <w:lang w:val="fr-FR"/>
        </w:rPr>
        <w:noBreakHyphen/>
      </w:r>
      <w:r w:rsidRPr="00DB2449">
        <w:rPr>
          <w:lang w:val="fr-FR"/>
        </w:rPr>
        <w:t>Unis d</w:t>
      </w:r>
      <w:r w:rsidR="00B64E9E">
        <w:rPr>
          <w:lang w:val="fr-FR"/>
        </w:rPr>
        <w:t>’</w:t>
      </w:r>
      <w:r w:rsidRPr="00DB2449">
        <w:rPr>
          <w:lang w:val="fr-FR"/>
        </w:rPr>
        <w:t>Amérique.</w:t>
      </w:r>
    </w:p>
    <w:p w:rsidR="00320CCD" w:rsidRDefault="0049479A" w:rsidP="0049479A">
      <w:pPr>
        <w:pStyle w:val="ONUMFS"/>
        <w:rPr>
          <w:lang w:val="fr-FR"/>
        </w:rPr>
      </w:pPr>
      <w:r w:rsidRPr="00DB2449">
        <w:rPr>
          <w:lang w:val="fr-FR"/>
        </w:rPr>
        <w:t>La délégation des États</w:t>
      </w:r>
      <w:r w:rsidR="00B673C6">
        <w:rPr>
          <w:lang w:val="fr-FR"/>
        </w:rPr>
        <w:noBreakHyphen/>
      </w:r>
      <w:r w:rsidRPr="00DB2449">
        <w:rPr>
          <w:lang w:val="fr-FR"/>
        </w:rPr>
        <w:t>Unis d</w:t>
      </w:r>
      <w:r w:rsidR="00B64E9E">
        <w:rPr>
          <w:lang w:val="fr-FR"/>
        </w:rPr>
        <w:t>’</w:t>
      </w:r>
      <w:r w:rsidRPr="00DB2449">
        <w:rPr>
          <w:lang w:val="fr-FR"/>
        </w:rPr>
        <w:t>Amérique a déclaré comprendre que, lorsque l</w:t>
      </w:r>
      <w:r w:rsidR="00B64E9E">
        <w:rPr>
          <w:lang w:val="fr-FR"/>
        </w:rPr>
        <w:t>’</w:t>
      </w:r>
      <w:r w:rsidRPr="00DB2449">
        <w:rPr>
          <w:lang w:val="fr-FR"/>
        </w:rPr>
        <w:t>Assemblée de l</w:t>
      </w:r>
      <w:r w:rsidR="00B64E9E">
        <w:rPr>
          <w:lang w:val="fr-FR"/>
        </w:rPr>
        <w:t>’</w:t>
      </w:r>
      <w:r w:rsidRPr="00DB2449">
        <w:rPr>
          <w:lang w:val="fr-FR"/>
        </w:rPr>
        <w:t>Union de Madrid avait précédemment décidé de répartir un excédent, elle l</w:t>
      </w:r>
      <w:r w:rsidR="00B64E9E">
        <w:rPr>
          <w:lang w:val="fr-FR"/>
        </w:rPr>
        <w:t>’</w:t>
      </w:r>
      <w:r w:rsidRPr="00DB2449">
        <w:rPr>
          <w:lang w:val="fr-FR"/>
        </w:rPr>
        <w:t>avait fait en prévision d</w:t>
      </w:r>
      <w:r w:rsidR="00B64E9E">
        <w:rPr>
          <w:lang w:val="fr-FR"/>
        </w:rPr>
        <w:t>’</w:t>
      </w:r>
      <w:r w:rsidRPr="00DB2449">
        <w:rPr>
          <w:lang w:val="fr-FR"/>
        </w:rPr>
        <w:t>un excédent et que, dans les faits, la dernière fois qu</w:t>
      </w:r>
      <w:r w:rsidR="00B64E9E">
        <w:rPr>
          <w:lang w:val="fr-FR"/>
        </w:rPr>
        <w:t>’</w:t>
      </w:r>
      <w:r w:rsidRPr="00DB2449">
        <w:rPr>
          <w:lang w:val="fr-FR"/>
        </w:rPr>
        <w:t>elle avait procédé de la sorte, il n</w:t>
      </w:r>
      <w:r w:rsidR="00B64E9E">
        <w:rPr>
          <w:lang w:val="fr-FR"/>
        </w:rPr>
        <w:t>’</w:t>
      </w:r>
      <w:r w:rsidRPr="00DB2449">
        <w:rPr>
          <w:lang w:val="fr-FR"/>
        </w:rPr>
        <w:t>y avait eu aucun excédent à répartir.  La délégation a ajouté que l</w:t>
      </w:r>
      <w:r w:rsidR="00B64E9E">
        <w:rPr>
          <w:lang w:val="fr-FR"/>
        </w:rPr>
        <w:t>’</w:t>
      </w:r>
      <w:r w:rsidRPr="00DB2449">
        <w:rPr>
          <w:lang w:val="fr-FR"/>
        </w:rPr>
        <w:t>assemblée pouvait prendre une décision en prévision d</w:t>
      </w:r>
      <w:r w:rsidR="00B64E9E">
        <w:rPr>
          <w:lang w:val="fr-FR"/>
        </w:rPr>
        <w:t>’</w:t>
      </w:r>
      <w:r w:rsidRPr="00DB2449">
        <w:rPr>
          <w:lang w:val="fr-FR"/>
        </w:rPr>
        <w:t>un excédent de 15 millions de francs suisses et que, si cette estimation s</w:t>
      </w:r>
      <w:r w:rsidR="00B64E9E">
        <w:rPr>
          <w:lang w:val="fr-FR"/>
        </w:rPr>
        <w:t>’</w:t>
      </w:r>
      <w:r w:rsidRPr="00DB2449">
        <w:rPr>
          <w:lang w:val="fr-FR"/>
        </w:rPr>
        <w:t>avérait inexacte, le montant indiqué serait réparti à la fin de l</w:t>
      </w:r>
      <w:r w:rsidR="00B64E9E">
        <w:rPr>
          <w:lang w:val="fr-FR"/>
        </w:rPr>
        <w:t>’</w:t>
      </w:r>
      <w:r w:rsidRPr="00DB2449">
        <w:rPr>
          <w:lang w:val="fr-FR"/>
        </w:rPr>
        <w:t>exercice biennal.</w:t>
      </w:r>
    </w:p>
    <w:p w:rsidR="00320CCD" w:rsidRDefault="004A646E" w:rsidP="0049479A">
      <w:pPr>
        <w:pStyle w:val="ONUMFS"/>
        <w:rPr>
          <w:lang w:val="fr-FR"/>
        </w:rPr>
      </w:pPr>
      <w:r w:rsidRPr="00DB2449">
        <w:rPr>
          <w:lang w:val="fr-FR"/>
        </w:rPr>
        <w:t>En réponse à l</w:t>
      </w:r>
      <w:r w:rsidR="00B64E9E">
        <w:rPr>
          <w:lang w:val="fr-FR"/>
        </w:rPr>
        <w:t>’</w:t>
      </w:r>
      <w:r w:rsidRPr="00DB2449">
        <w:rPr>
          <w:lang w:val="fr-FR"/>
        </w:rPr>
        <w:t>intervention de la délégation des États</w:t>
      </w:r>
      <w:r w:rsidR="00B673C6">
        <w:rPr>
          <w:lang w:val="fr-FR"/>
        </w:rPr>
        <w:noBreakHyphen/>
      </w:r>
      <w:r w:rsidRPr="00DB2449">
        <w:rPr>
          <w:lang w:val="fr-FR"/>
        </w:rPr>
        <w:t>Unis d</w:t>
      </w:r>
      <w:r w:rsidR="00B64E9E">
        <w:rPr>
          <w:lang w:val="fr-FR"/>
        </w:rPr>
        <w:t>’</w:t>
      </w:r>
      <w:r w:rsidRPr="00DB2449">
        <w:rPr>
          <w:lang w:val="fr-FR"/>
        </w:rPr>
        <w:t>Amérique, le</w:t>
      </w:r>
      <w:r w:rsidR="0049479A" w:rsidRPr="00DB2449">
        <w:rPr>
          <w:lang w:val="fr-FR"/>
        </w:rPr>
        <w:t xml:space="preserve"> Secrétariat a confirmé que l</w:t>
      </w:r>
      <w:r w:rsidR="00B64E9E">
        <w:rPr>
          <w:lang w:val="fr-FR"/>
        </w:rPr>
        <w:t>’</w:t>
      </w:r>
      <w:r w:rsidR="0049479A" w:rsidRPr="00DB2449">
        <w:rPr>
          <w:lang w:val="fr-FR"/>
        </w:rPr>
        <w:t>Assemblée de l</w:t>
      </w:r>
      <w:r w:rsidR="00B64E9E">
        <w:rPr>
          <w:lang w:val="fr-FR"/>
        </w:rPr>
        <w:t>’</w:t>
      </w:r>
      <w:r w:rsidR="0049479A" w:rsidRPr="00DB2449">
        <w:rPr>
          <w:lang w:val="fr-FR"/>
        </w:rPr>
        <w:t>Union de Madrid était souveraine et qu</w:t>
      </w:r>
      <w:r w:rsidR="00B64E9E">
        <w:rPr>
          <w:lang w:val="fr-FR"/>
        </w:rPr>
        <w:t>’</w:t>
      </w:r>
      <w:r w:rsidR="0049479A" w:rsidRPr="00DB2449">
        <w:rPr>
          <w:lang w:val="fr-FR"/>
        </w:rPr>
        <w:t>elle pouvait décider</w:t>
      </w:r>
      <w:r w:rsidRPr="00DB2449">
        <w:rPr>
          <w:lang w:val="fr-FR"/>
        </w:rPr>
        <w:t xml:space="preserve"> de l</w:t>
      </w:r>
      <w:r w:rsidR="00B64E9E">
        <w:rPr>
          <w:lang w:val="fr-FR"/>
        </w:rPr>
        <w:t>’</w:t>
      </w:r>
      <w:r w:rsidRPr="00DB2449">
        <w:rPr>
          <w:lang w:val="fr-FR"/>
        </w:rPr>
        <w:t>utilisation de l</w:t>
      </w:r>
      <w:r w:rsidR="00B64E9E">
        <w:rPr>
          <w:lang w:val="fr-FR"/>
        </w:rPr>
        <w:t>’</w:t>
      </w:r>
      <w:r w:rsidRPr="00DB2449">
        <w:rPr>
          <w:lang w:val="fr-FR"/>
        </w:rPr>
        <w:t>excédent et il a</w:t>
      </w:r>
      <w:r w:rsidR="0049479A" w:rsidRPr="00DB2449">
        <w:rPr>
          <w:lang w:val="fr-FR"/>
        </w:rPr>
        <w:t xml:space="preserve"> précisé que ce n</w:t>
      </w:r>
      <w:r w:rsidR="00B64E9E">
        <w:rPr>
          <w:lang w:val="fr-FR"/>
        </w:rPr>
        <w:t>’</w:t>
      </w:r>
      <w:r w:rsidR="0049479A" w:rsidRPr="00DB2449">
        <w:rPr>
          <w:lang w:val="fr-FR"/>
        </w:rPr>
        <w:t>était qu</w:t>
      </w:r>
      <w:r w:rsidR="00B64E9E">
        <w:rPr>
          <w:lang w:val="fr-FR"/>
        </w:rPr>
        <w:t>’</w:t>
      </w:r>
      <w:r w:rsidR="0049479A" w:rsidRPr="00DB2449">
        <w:rPr>
          <w:lang w:val="fr-FR"/>
        </w:rPr>
        <w:t>à la fin de l</w:t>
      </w:r>
      <w:r w:rsidR="00B64E9E">
        <w:rPr>
          <w:lang w:val="fr-FR"/>
        </w:rPr>
        <w:t>’</w:t>
      </w:r>
      <w:r w:rsidR="0049479A" w:rsidRPr="00DB2449">
        <w:rPr>
          <w:lang w:val="fr-FR"/>
        </w:rPr>
        <w:t>exercice biennal qu</w:t>
      </w:r>
      <w:r w:rsidR="00B64E9E">
        <w:rPr>
          <w:lang w:val="fr-FR"/>
        </w:rPr>
        <w:t>’</w:t>
      </w:r>
      <w:r w:rsidR="0049479A" w:rsidRPr="00DB2449">
        <w:rPr>
          <w:lang w:val="fr-FR"/>
        </w:rPr>
        <w:t>un éventuel excédent pouvait être réalisé.  Il a avancé, en outre, que le Comité du programme et budget (PBC) avait recommandé de faire passer le niveau des fonds de réserve de 18</w:t>
      </w:r>
      <w:r w:rsidRPr="00DB2449">
        <w:rPr>
          <w:lang w:val="fr-FR"/>
        </w:rPr>
        <w:t>,5</w:t>
      </w:r>
      <w:r w:rsidR="0049479A" w:rsidRPr="00DB2449">
        <w:rPr>
          <w:lang w:val="fr-FR"/>
        </w:rPr>
        <w:t>% à 22%.  Il a rappelé qu</w:t>
      </w:r>
      <w:r w:rsidR="00B64E9E">
        <w:rPr>
          <w:lang w:val="fr-FR"/>
        </w:rPr>
        <w:t>’</w:t>
      </w:r>
      <w:r w:rsidR="0049479A" w:rsidRPr="00DB2449">
        <w:rPr>
          <w:lang w:val="fr-FR"/>
        </w:rPr>
        <w:t>en principe, les fonds de réserve étaient destinés à couvrir les frais sur six mois, dans le cadre d</w:t>
      </w:r>
      <w:r w:rsidR="00B64E9E">
        <w:rPr>
          <w:lang w:val="fr-FR"/>
        </w:rPr>
        <w:t>’</w:t>
      </w:r>
      <w:r w:rsidR="0049479A" w:rsidRPr="00DB2449">
        <w:rPr>
          <w:lang w:val="fr-FR"/>
        </w:rPr>
        <w:t>un budget en augmentation continue, et que le vérificateur externe des comptes avait recommandé que ce niveau soit fixé à 25% mais que les États membres avaient décidé, 10 années auparavant, de fixer le niveau des fonds de réserve à 18</w:t>
      </w:r>
      <w:r w:rsidRPr="00DB2449">
        <w:rPr>
          <w:lang w:val="fr-FR"/>
        </w:rPr>
        <w:t>,5</w:t>
      </w:r>
      <w:r w:rsidR="0049479A" w:rsidRPr="00DB2449">
        <w:rPr>
          <w:lang w:val="fr-FR"/>
        </w:rPr>
        <w:t>%.  Par ailleurs, le Secrétariat a déclaré que l</w:t>
      </w:r>
      <w:r w:rsidR="00B64E9E">
        <w:rPr>
          <w:lang w:val="fr-FR"/>
        </w:rPr>
        <w:t>’</w:t>
      </w:r>
      <w:r w:rsidR="0049479A" w:rsidRPr="00DB2449">
        <w:rPr>
          <w:lang w:val="fr-FR"/>
        </w:rPr>
        <w:t>augmentation du niveau des liquidités dans les fonds de réserve était nécessaire pour couvrir tout événement imprévu qui pourrait nuire à l</w:t>
      </w:r>
      <w:r w:rsidR="00B64E9E">
        <w:rPr>
          <w:lang w:val="fr-FR"/>
        </w:rPr>
        <w:t>’</w:t>
      </w:r>
      <w:r w:rsidR="0049479A" w:rsidRPr="00DB2449">
        <w:rPr>
          <w:lang w:val="fr-FR"/>
        </w:rPr>
        <w:t>économie mondiale, car les réserves comprenaient les actifs nets qui, entre autres, incluaient les bâtiments de l</w:t>
      </w:r>
      <w:r w:rsidR="00B64E9E">
        <w:rPr>
          <w:lang w:val="fr-FR"/>
        </w:rPr>
        <w:t>’</w:t>
      </w:r>
      <w:r w:rsidR="0049479A" w:rsidRPr="00DB2449">
        <w:rPr>
          <w:lang w:val="fr-FR"/>
        </w:rPr>
        <w:t>Organisation.</w:t>
      </w:r>
    </w:p>
    <w:p w:rsidR="00320CCD" w:rsidRDefault="0049479A" w:rsidP="0049479A">
      <w:pPr>
        <w:pStyle w:val="ONUMFS"/>
        <w:rPr>
          <w:lang w:val="fr-FR"/>
        </w:rPr>
      </w:pPr>
      <w:r w:rsidRPr="00DB2449">
        <w:rPr>
          <w:lang w:val="fr-FR"/>
        </w:rPr>
        <w:t>La délégation de l</w:t>
      </w:r>
      <w:r w:rsidR="00B64E9E">
        <w:rPr>
          <w:lang w:val="fr-FR"/>
        </w:rPr>
        <w:t>’</w:t>
      </w:r>
      <w:r w:rsidRPr="00DB2449">
        <w:rPr>
          <w:lang w:val="fr-FR"/>
        </w:rPr>
        <w:t>Australie a demandé des précisions sur l</w:t>
      </w:r>
      <w:r w:rsidR="00B64E9E">
        <w:rPr>
          <w:lang w:val="fr-FR"/>
        </w:rPr>
        <w:t>’</w:t>
      </w:r>
      <w:r w:rsidRPr="00DB2449">
        <w:rPr>
          <w:lang w:val="fr-FR"/>
        </w:rPr>
        <w:t>incidence de la répartition proposée sur les projets informatiques, la modernisation du système de Madrid, l</w:t>
      </w:r>
      <w:r w:rsidR="00B64E9E">
        <w:rPr>
          <w:lang w:val="fr-FR"/>
        </w:rPr>
        <w:t>’</w:t>
      </w:r>
      <w:r w:rsidRPr="00DB2449">
        <w:rPr>
          <w:lang w:val="fr-FR"/>
        </w:rPr>
        <w:t>assistance technique ou d</w:t>
      </w:r>
      <w:r w:rsidR="00B64E9E">
        <w:rPr>
          <w:lang w:val="fr-FR"/>
        </w:rPr>
        <w:t>’</w:t>
      </w:r>
      <w:r w:rsidRPr="00DB2449">
        <w:rPr>
          <w:lang w:val="fr-FR"/>
        </w:rPr>
        <w:t>autres programmes.</w:t>
      </w:r>
    </w:p>
    <w:p w:rsidR="00320CCD" w:rsidRDefault="0049479A" w:rsidP="0049479A">
      <w:pPr>
        <w:pStyle w:val="ONUMFS"/>
        <w:rPr>
          <w:lang w:val="fr-FR"/>
        </w:rPr>
      </w:pPr>
      <w:r w:rsidRPr="00DB2449">
        <w:rPr>
          <w:lang w:val="fr-FR"/>
        </w:rPr>
        <w:t>Le Secrétariat a indiqué que la question soulevée par la délégation de l</w:t>
      </w:r>
      <w:r w:rsidR="00B64E9E">
        <w:rPr>
          <w:lang w:val="fr-FR"/>
        </w:rPr>
        <w:t>’</w:t>
      </w:r>
      <w:r w:rsidRPr="00DB2449">
        <w:rPr>
          <w:lang w:val="fr-FR"/>
        </w:rPr>
        <w:t xml:space="preserve">Australie devait être examinée avec soin car, si le programme de modernisation informatique avait été achevé, de nouveaux investissements dans le domaine informatique étaient requis et semblaient indiquer que le développement du système électronique de Madrid restait à venir.  Il a indiqué que toutes les dépenses à cet égard, pour un avenir immédiat, avaient été incluses dans le projet de programme et budget mais a fait observer que, puisque le secteur informatique </w:t>
      </w:r>
      <w:r w:rsidRPr="00DB2449">
        <w:rPr>
          <w:lang w:val="fr-FR"/>
        </w:rPr>
        <w:lastRenderedPageBreak/>
        <w:t>nécessitait constamment de nouvelles améliorations, la question soulevée par la délégation de l</w:t>
      </w:r>
      <w:r w:rsidR="00B64E9E">
        <w:rPr>
          <w:lang w:val="fr-FR"/>
        </w:rPr>
        <w:t>’</w:t>
      </w:r>
      <w:r w:rsidRPr="00DB2449">
        <w:rPr>
          <w:lang w:val="fr-FR"/>
        </w:rPr>
        <w:t>Australie devait faire l</w:t>
      </w:r>
      <w:r w:rsidR="00B64E9E">
        <w:rPr>
          <w:lang w:val="fr-FR"/>
        </w:rPr>
        <w:t>’</w:t>
      </w:r>
      <w:r w:rsidRPr="00DB2449">
        <w:rPr>
          <w:lang w:val="fr-FR"/>
        </w:rPr>
        <w:t>objet d</w:t>
      </w:r>
      <w:r w:rsidR="00B64E9E">
        <w:rPr>
          <w:lang w:val="fr-FR"/>
        </w:rPr>
        <w:t>’</w:t>
      </w:r>
      <w:r w:rsidRPr="00DB2449">
        <w:rPr>
          <w:lang w:val="fr-FR"/>
        </w:rPr>
        <w:t>un examen minutieux avant qu</w:t>
      </w:r>
      <w:r w:rsidR="00B64E9E">
        <w:rPr>
          <w:lang w:val="fr-FR"/>
        </w:rPr>
        <w:t>’</w:t>
      </w:r>
      <w:r w:rsidRPr="00DB2449">
        <w:rPr>
          <w:lang w:val="fr-FR"/>
        </w:rPr>
        <w:t>une réponse soit donnée.</w:t>
      </w:r>
    </w:p>
    <w:p w:rsidR="00320CCD" w:rsidRDefault="0049479A" w:rsidP="0049479A">
      <w:pPr>
        <w:pStyle w:val="ONUMFS"/>
        <w:rPr>
          <w:lang w:val="fr-FR"/>
        </w:rPr>
      </w:pPr>
      <w:r w:rsidRPr="00DB2449">
        <w:rPr>
          <w:lang w:val="fr-FR"/>
        </w:rPr>
        <w:t>La délégation de la Suisse a demandé à la délégation des États</w:t>
      </w:r>
      <w:r w:rsidR="00B673C6">
        <w:rPr>
          <w:lang w:val="fr-FR"/>
        </w:rPr>
        <w:noBreakHyphen/>
      </w:r>
      <w:r w:rsidRPr="00DB2449">
        <w:rPr>
          <w:lang w:val="fr-FR"/>
        </w:rPr>
        <w:t>Unis d</w:t>
      </w:r>
      <w:r w:rsidR="00B64E9E">
        <w:rPr>
          <w:lang w:val="fr-FR"/>
        </w:rPr>
        <w:t>’</w:t>
      </w:r>
      <w:r w:rsidRPr="00DB2449">
        <w:rPr>
          <w:lang w:val="fr-FR"/>
        </w:rPr>
        <w:t>Amérique de préciser si sa proposition de répartir tous les excédents de recettes concernait les fonds de roulement et les fonds de réserve, puisque le montant de 15 millions de francs suisses mentionné par la délégation des États</w:t>
      </w:r>
      <w:r w:rsidR="00B673C6">
        <w:rPr>
          <w:lang w:val="fr-FR"/>
        </w:rPr>
        <w:noBreakHyphen/>
      </w:r>
      <w:r w:rsidRPr="00DB2449">
        <w:rPr>
          <w:lang w:val="fr-FR"/>
        </w:rPr>
        <w:t>Unis d</w:t>
      </w:r>
      <w:r w:rsidR="00B64E9E">
        <w:rPr>
          <w:lang w:val="fr-FR"/>
        </w:rPr>
        <w:t>’</w:t>
      </w:r>
      <w:r w:rsidRPr="00DB2449">
        <w:rPr>
          <w:lang w:val="fr-FR"/>
        </w:rPr>
        <w:t xml:space="preserve">Amérique renvoyait probablement à ces postes qui, </w:t>
      </w:r>
      <w:proofErr w:type="gramStart"/>
      <w:r w:rsidRPr="00DB2449">
        <w:rPr>
          <w:lang w:val="fr-FR"/>
        </w:rPr>
        <w:t>pris</w:t>
      </w:r>
      <w:proofErr w:type="gramEnd"/>
      <w:r w:rsidRPr="00DB2449">
        <w:rPr>
          <w:lang w:val="fr-FR"/>
        </w:rPr>
        <w:t xml:space="preserve"> ensemble, seraient supérieurs au montant requis.  Elle a noté en outre que ces fonds étaient de nature différente, puisque les fonds de roulement appartenaient à tous les </w:t>
      </w:r>
      <w:r w:rsidR="007C3F7D" w:rsidRPr="00DB2449">
        <w:rPr>
          <w:lang w:val="fr-FR"/>
        </w:rPr>
        <w:t xml:space="preserve">États </w:t>
      </w:r>
      <w:r w:rsidRPr="00DB2449">
        <w:rPr>
          <w:lang w:val="fr-FR"/>
        </w:rPr>
        <w:t>membres</w:t>
      </w:r>
      <w:r w:rsidR="007C3F7D">
        <w:rPr>
          <w:lang w:val="fr-FR"/>
        </w:rPr>
        <w:t xml:space="preserve"> de l’union</w:t>
      </w:r>
      <w:r w:rsidRPr="00DB2449">
        <w:rPr>
          <w:lang w:val="fr-FR"/>
        </w:rPr>
        <w:t xml:space="preserve"> tandis que les fonds de réserve étaient le produit des excédents de recettes</w:t>
      </w:r>
      <w:r w:rsidR="007C3F7D">
        <w:rPr>
          <w:lang w:val="fr-FR"/>
        </w:rPr>
        <w:t xml:space="preserve"> et appartenaient à </w:t>
      </w:r>
      <w:r w:rsidR="007C3F7D" w:rsidRPr="00DB2449">
        <w:rPr>
          <w:lang w:val="fr-FR"/>
        </w:rPr>
        <w:t>l</w:t>
      </w:r>
      <w:r w:rsidR="007C3F7D">
        <w:rPr>
          <w:lang w:val="fr-FR"/>
        </w:rPr>
        <w:t>’</w:t>
      </w:r>
      <w:r w:rsidR="007C3F7D" w:rsidRPr="00DB2449">
        <w:rPr>
          <w:lang w:val="fr-FR"/>
        </w:rPr>
        <w:t>Organisation</w:t>
      </w:r>
      <w:r w:rsidRPr="00DB2449">
        <w:rPr>
          <w:lang w:val="fr-FR"/>
        </w:rPr>
        <w:t xml:space="preserve">.  Par ailleurs, la délégation a demandé </w:t>
      </w:r>
      <w:r w:rsidR="007C3F7D">
        <w:rPr>
          <w:lang w:val="fr-FR"/>
        </w:rPr>
        <w:t xml:space="preserve">au </w:t>
      </w:r>
      <w:r w:rsidR="007C3F7D" w:rsidRPr="00DB2449">
        <w:rPr>
          <w:lang w:val="fr-FR"/>
        </w:rPr>
        <w:t xml:space="preserve">Secrétariat </w:t>
      </w:r>
      <w:r w:rsidRPr="00DB2449">
        <w:rPr>
          <w:lang w:val="fr-FR"/>
        </w:rPr>
        <w:t>d</w:t>
      </w:r>
      <w:r w:rsidR="00B64E9E">
        <w:rPr>
          <w:lang w:val="fr-FR"/>
        </w:rPr>
        <w:t>’</w:t>
      </w:r>
      <w:r w:rsidRPr="00DB2449">
        <w:rPr>
          <w:lang w:val="fr-FR"/>
        </w:rPr>
        <w:t xml:space="preserve">autres précisions sur la situation financière </w:t>
      </w:r>
      <w:r w:rsidR="007C3F7D">
        <w:rPr>
          <w:lang w:val="fr-FR"/>
        </w:rPr>
        <w:t>actuelle de l’union, au sujet des</w:t>
      </w:r>
      <w:r w:rsidRPr="00DB2449">
        <w:rPr>
          <w:lang w:val="fr-FR"/>
        </w:rPr>
        <w:t xml:space="preserve"> futurs projets informatiques et sur l</w:t>
      </w:r>
      <w:r w:rsidR="00B64E9E">
        <w:rPr>
          <w:lang w:val="fr-FR"/>
        </w:rPr>
        <w:t>’</w:t>
      </w:r>
      <w:r w:rsidRPr="00DB2449">
        <w:rPr>
          <w:lang w:val="fr-FR"/>
        </w:rPr>
        <w:t>incidence qu</w:t>
      </w:r>
      <w:r w:rsidR="00B64E9E">
        <w:rPr>
          <w:lang w:val="fr-FR"/>
        </w:rPr>
        <w:t>’</w:t>
      </w:r>
      <w:r w:rsidRPr="00DB2449">
        <w:rPr>
          <w:lang w:val="fr-FR"/>
        </w:rPr>
        <w:t>aurait la proposition sur la politique générale de l</w:t>
      </w:r>
      <w:r w:rsidR="00B64E9E">
        <w:rPr>
          <w:lang w:val="fr-FR"/>
        </w:rPr>
        <w:t>’</w:t>
      </w:r>
      <w:r w:rsidRPr="00DB2449">
        <w:rPr>
          <w:lang w:val="fr-FR"/>
        </w:rPr>
        <w:t>Organisation en matière de réserves.</w:t>
      </w:r>
    </w:p>
    <w:p w:rsidR="00320CCD" w:rsidRDefault="0049479A" w:rsidP="0049479A">
      <w:pPr>
        <w:pStyle w:val="ONUMFS"/>
        <w:rPr>
          <w:lang w:val="fr-FR"/>
        </w:rPr>
      </w:pPr>
      <w:r w:rsidRPr="00DB2449">
        <w:rPr>
          <w:lang w:val="fr-FR"/>
        </w:rPr>
        <w:t>La délégation de la Colombie a déclaré que, sur la base de la proposition faite par la délégation des États</w:t>
      </w:r>
      <w:r w:rsidR="00B673C6">
        <w:rPr>
          <w:lang w:val="fr-FR"/>
        </w:rPr>
        <w:noBreakHyphen/>
      </w:r>
      <w:r w:rsidRPr="00DB2449">
        <w:rPr>
          <w:lang w:val="fr-FR"/>
        </w:rPr>
        <w:t>Unis d</w:t>
      </w:r>
      <w:r w:rsidR="00B64E9E">
        <w:rPr>
          <w:lang w:val="fr-FR"/>
        </w:rPr>
        <w:t>’</w:t>
      </w:r>
      <w:r w:rsidRPr="00DB2449">
        <w:rPr>
          <w:lang w:val="fr-FR"/>
        </w:rPr>
        <w:t>Amérique et des précisions apportées par le Secrétariat, le</w:t>
      </w:r>
      <w:r w:rsidRPr="00DB2449">
        <w:rPr>
          <w:i/>
          <w:lang w:val="fr-FR"/>
        </w:rPr>
        <w:t xml:space="preserve"> </w:t>
      </w:r>
      <w:r w:rsidRPr="00DB2449">
        <w:rPr>
          <w:lang w:val="fr-FR"/>
        </w:rPr>
        <w:t>débat sur ce point pouvait commencer.  Elle a fait observer que, compte tenu de la nature du système de Madrid, la décision de répartir les éventuels excédents dépendrait du besoin d</w:t>
      </w:r>
      <w:r w:rsidR="00B64E9E">
        <w:rPr>
          <w:lang w:val="fr-FR"/>
        </w:rPr>
        <w:t>’</w:t>
      </w:r>
      <w:r w:rsidRPr="00DB2449">
        <w:rPr>
          <w:lang w:val="fr-FR"/>
        </w:rPr>
        <w:t>une infrastructure technique ou d</w:t>
      </w:r>
      <w:r w:rsidR="00B64E9E">
        <w:rPr>
          <w:lang w:val="fr-FR"/>
        </w:rPr>
        <w:t>’</w:t>
      </w:r>
      <w:r w:rsidRPr="00DB2449">
        <w:rPr>
          <w:lang w:val="fr-FR"/>
        </w:rPr>
        <w:t>autres facteurs qui pourraient empêcher cette répartition ou empêcher le financement d</w:t>
      </w:r>
      <w:r w:rsidR="00B64E9E">
        <w:rPr>
          <w:lang w:val="fr-FR"/>
        </w:rPr>
        <w:t>’</w:t>
      </w:r>
      <w:r w:rsidRPr="00DB2449">
        <w:rPr>
          <w:lang w:val="fr-FR"/>
        </w:rPr>
        <w:t>autres unions par ce biais.  Néanmoins, elle a indiqué qu</w:t>
      </w:r>
      <w:r w:rsidR="00B64E9E">
        <w:rPr>
          <w:lang w:val="fr-FR"/>
        </w:rPr>
        <w:t>’</w:t>
      </w:r>
      <w:r w:rsidRPr="00DB2449">
        <w:rPr>
          <w:lang w:val="fr-FR"/>
        </w:rPr>
        <w:t>elle restait ouverte à de plus amples discussions sur la proposition.</w:t>
      </w:r>
    </w:p>
    <w:p w:rsidR="00320CCD" w:rsidRDefault="0049479A" w:rsidP="0049479A">
      <w:pPr>
        <w:pStyle w:val="ONUMFS"/>
        <w:rPr>
          <w:lang w:val="fr-FR"/>
        </w:rPr>
      </w:pPr>
      <w:r w:rsidRPr="00DB2449">
        <w:rPr>
          <w:lang w:val="fr-FR"/>
        </w:rPr>
        <w:t>La délégation de l</w:t>
      </w:r>
      <w:r w:rsidR="00B64E9E">
        <w:rPr>
          <w:lang w:val="fr-FR"/>
        </w:rPr>
        <w:t>’</w:t>
      </w:r>
      <w:r w:rsidRPr="00DB2449">
        <w:rPr>
          <w:lang w:val="fr-FR"/>
        </w:rPr>
        <w:t>Espagne a demandé des précisions supplémentaires sur les conséquences possibles de la répartition d</w:t>
      </w:r>
      <w:r w:rsidR="00B64E9E">
        <w:rPr>
          <w:lang w:val="fr-FR"/>
        </w:rPr>
        <w:t>’</w:t>
      </w:r>
      <w:r w:rsidRPr="00DB2449">
        <w:rPr>
          <w:lang w:val="fr-FR"/>
        </w:rPr>
        <w:t>un hypothétique excédent.  Elle a rappelé qu</w:t>
      </w:r>
      <w:r w:rsidR="00B64E9E">
        <w:rPr>
          <w:lang w:val="fr-FR"/>
        </w:rPr>
        <w:t>’</w:t>
      </w:r>
      <w:r w:rsidRPr="00DB2449">
        <w:rPr>
          <w:lang w:val="fr-FR"/>
        </w:rPr>
        <w:t>une question demeurait en suspens concernant la traduction de certaines inscriptions et que l</w:t>
      </w:r>
      <w:r w:rsidR="00B64E9E">
        <w:rPr>
          <w:lang w:val="fr-FR"/>
        </w:rPr>
        <w:t>’</w:t>
      </w:r>
      <w:r w:rsidRPr="00DB2449">
        <w:rPr>
          <w:lang w:val="fr-FR"/>
        </w:rPr>
        <w:t>assemblée avait donné au Bureau international le temps de procéder aux investissements techniques nécessaires pour mettre en œuvre un processus de traduction efficace de ces inscriptions.  La délégation s</w:t>
      </w:r>
      <w:r w:rsidR="00B64E9E">
        <w:rPr>
          <w:lang w:val="fr-FR"/>
        </w:rPr>
        <w:t>’</w:t>
      </w:r>
      <w:r w:rsidRPr="00DB2449">
        <w:rPr>
          <w:lang w:val="fr-FR"/>
        </w:rPr>
        <w:t>est faite l</w:t>
      </w:r>
      <w:r w:rsidR="00B64E9E">
        <w:rPr>
          <w:lang w:val="fr-FR"/>
        </w:rPr>
        <w:t>’</w:t>
      </w:r>
      <w:r w:rsidRPr="00DB2449">
        <w:rPr>
          <w:lang w:val="fr-FR"/>
        </w:rPr>
        <w:t>écho des préoccupations exprimées par la délégation de la Suisse s</w:t>
      </w:r>
      <w:r w:rsidR="00B64E9E">
        <w:rPr>
          <w:lang w:val="fr-FR"/>
        </w:rPr>
        <w:t>’</w:t>
      </w:r>
      <w:r w:rsidRPr="00DB2449">
        <w:rPr>
          <w:lang w:val="fr-FR"/>
        </w:rPr>
        <w:t>agissant de l</w:t>
      </w:r>
      <w:r w:rsidR="00B64E9E">
        <w:rPr>
          <w:lang w:val="fr-FR"/>
        </w:rPr>
        <w:t>’</w:t>
      </w:r>
      <w:r w:rsidRPr="00DB2449">
        <w:rPr>
          <w:lang w:val="fr-FR"/>
        </w:rPr>
        <w:t>incidence qu</w:t>
      </w:r>
      <w:r w:rsidR="00B64E9E">
        <w:rPr>
          <w:lang w:val="fr-FR"/>
        </w:rPr>
        <w:t>’</w:t>
      </w:r>
      <w:r w:rsidRPr="00DB2449">
        <w:rPr>
          <w:lang w:val="fr-FR"/>
        </w:rPr>
        <w:t>aurait la proposition sur la santé financière de l</w:t>
      </w:r>
      <w:r w:rsidR="00B64E9E">
        <w:rPr>
          <w:lang w:val="fr-FR"/>
        </w:rPr>
        <w:t>’</w:t>
      </w:r>
      <w:r w:rsidRPr="00DB2449">
        <w:rPr>
          <w:lang w:val="fr-FR"/>
        </w:rPr>
        <w:t>Organisation et a rappelé qu</w:t>
      </w:r>
      <w:r w:rsidR="00B64E9E">
        <w:rPr>
          <w:lang w:val="fr-FR"/>
        </w:rPr>
        <w:t>’</w:t>
      </w:r>
      <w:r w:rsidRPr="00DB2449">
        <w:rPr>
          <w:lang w:val="fr-FR"/>
        </w:rPr>
        <w:t>elle avait indiqué dans le passé qu</w:t>
      </w:r>
      <w:r w:rsidR="00B64E9E">
        <w:rPr>
          <w:lang w:val="fr-FR"/>
        </w:rPr>
        <w:t>’</w:t>
      </w:r>
      <w:r w:rsidRPr="00DB2449">
        <w:rPr>
          <w:lang w:val="fr-FR"/>
        </w:rPr>
        <w:t>il existait des défis à moyen et long termes relatifs aux systèmes de retraite et de santé du personnel;  à cet égard, la délégation s</w:t>
      </w:r>
      <w:r w:rsidR="00B64E9E">
        <w:rPr>
          <w:lang w:val="fr-FR"/>
        </w:rPr>
        <w:t>’</w:t>
      </w:r>
      <w:r w:rsidRPr="00DB2449">
        <w:rPr>
          <w:lang w:val="fr-FR"/>
        </w:rPr>
        <w:t>est demandé si les fonds de réserve actuels étaient suffisants pour couvrir ces obligations, en particulier lorsqu</w:t>
      </w:r>
      <w:r w:rsidR="00B64E9E">
        <w:rPr>
          <w:lang w:val="fr-FR"/>
        </w:rPr>
        <w:t>’</w:t>
      </w:r>
      <w:r w:rsidRPr="00DB2449">
        <w:rPr>
          <w:lang w:val="fr-FR"/>
        </w:rPr>
        <w:t>une partie de ces réserves reposait sur l</w:t>
      </w:r>
      <w:r w:rsidR="00B64E9E">
        <w:rPr>
          <w:lang w:val="fr-FR"/>
        </w:rPr>
        <w:t>’</w:t>
      </w:r>
      <w:r w:rsidRPr="00DB2449">
        <w:rPr>
          <w:lang w:val="fr-FR"/>
        </w:rPr>
        <w:t>évaluation des bâtiments de l</w:t>
      </w:r>
      <w:r w:rsidR="00B64E9E">
        <w:rPr>
          <w:lang w:val="fr-FR"/>
        </w:rPr>
        <w:t>’</w:t>
      </w:r>
      <w:r w:rsidRPr="00DB2449">
        <w:rPr>
          <w:lang w:val="fr-FR"/>
        </w:rPr>
        <w:t>Organisation, qui était elle</w:t>
      </w:r>
      <w:r w:rsidR="00B673C6">
        <w:rPr>
          <w:lang w:val="fr-FR"/>
        </w:rPr>
        <w:noBreakHyphen/>
      </w:r>
      <w:r w:rsidRPr="00DB2449">
        <w:rPr>
          <w:lang w:val="fr-FR"/>
        </w:rPr>
        <w:t>même soumise à fluctuations.</w:t>
      </w:r>
    </w:p>
    <w:p w:rsidR="00320CCD" w:rsidRDefault="0049479A" w:rsidP="0049479A">
      <w:pPr>
        <w:pStyle w:val="ONUMFS"/>
        <w:rPr>
          <w:lang w:val="fr-FR"/>
        </w:rPr>
      </w:pPr>
      <w:r w:rsidRPr="00DB2449">
        <w:rPr>
          <w:lang w:val="fr-FR"/>
        </w:rPr>
        <w:t>La délégation des États</w:t>
      </w:r>
      <w:r w:rsidR="00B673C6">
        <w:rPr>
          <w:lang w:val="fr-FR"/>
        </w:rPr>
        <w:noBreakHyphen/>
      </w:r>
      <w:r w:rsidRPr="00DB2449">
        <w:rPr>
          <w:lang w:val="fr-FR"/>
        </w:rPr>
        <w:t>Unis d</w:t>
      </w:r>
      <w:r w:rsidR="00B64E9E">
        <w:rPr>
          <w:lang w:val="fr-FR"/>
        </w:rPr>
        <w:t>’</w:t>
      </w:r>
      <w:r w:rsidRPr="00DB2449">
        <w:rPr>
          <w:lang w:val="fr-FR"/>
        </w:rPr>
        <w:t>Amérique a dit comprendre que le programme et budget proposé tenait déjà compte de tous les investissements anticipés dans le domaine informatique ainsi que de tous les projets relatifs à la traduction et qu</w:t>
      </w:r>
      <w:r w:rsidR="00B64E9E">
        <w:rPr>
          <w:lang w:val="fr-FR"/>
        </w:rPr>
        <w:t>’</w:t>
      </w:r>
      <w:r w:rsidRPr="00DB2449">
        <w:rPr>
          <w:lang w:val="fr-FR"/>
        </w:rPr>
        <w:t>elle pensait néanmoins atteindre le nouvel objectif de 25%, ce qui représenterait 31,5 millions de francs suisses.  Par ailleurs, elle a rappelé que le rapport financier annuel de 2014 affichait déjà un montant de 50 millions de francs suisses dans les fonds de roulement.  S</w:t>
      </w:r>
      <w:r w:rsidR="00B64E9E">
        <w:rPr>
          <w:lang w:val="fr-FR"/>
        </w:rPr>
        <w:t>’</w:t>
      </w:r>
      <w:r w:rsidRPr="00DB2449">
        <w:rPr>
          <w:lang w:val="fr-FR"/>
        </w:rPr>
        <w:t>agissant des observations formulées par la délégation de la Suisse, elle a reconnu que les fonds de roulement et les fonds de réserve étaient différents mais a précisé que, dans les états financiers, ils apparaissaient sous un seul poste.  La délégation a néanmoins déclaré qu</w:t>
      </w:r>
      <w:r w:rsidR="00B64E9E">
        <w:rPr>
          <w:lang w:val="fr-FR"/>
        </w:rPr>
        <w:t>’</w:t>
      </w:r>
      <w:r w:rsidRPr="00DB2449">
        <w:rPr>
          <w:lang w:val="fr-FR"/>
        </w:rPr>
        <w:t>elle estimait que les fonds de roulement et les fonds de réserve dépassaient largement l</w:t>
      </w:r>
      <w:r w:rsidR="00B64E9E">
        <w:rPr>
          <w:lang w:val="fr-FR"/>
        </w:rPr>
        <w:t>’</w:t>
      </w:r>
      <w:r w:rsidRPr="00DB2449">
        <w:rPr>
          <w:lang w:val="fr-FR"/>
        </w:rPr>
        <w:t>objectif fixé et que, dans le programme et budget proposé, toutes les dépenses possibles avaient été prises en considération.  La délégation a demandé que la question soit laissée en suspens, de sorte que le Secrétariat puisse fournir d</w:t>
      </w:r>
      <w:r w:rsidR="00B64E9E">
        <w:rPr>
          <w:lang w:val="fr-FR"/>
        </w:rPr>
        <w:t>’</w:t>
      </w:r>
      <w:r w:rsidRPr="00DB2449">
        <w:rPr>
          <w:lang w:val="fr-FR"/>
        </w:rPr>
        <w:t>autres informations, en particulier sur le coût de la mise en œuvre de la troisième phase du programme de modernisation informatique.</w:t>
      </w:r>
    </w:p>
    <w:p w:rsidR="00320CCD" w:rsidRDefault="0049479A" w:rsidP="0049479A">
      <w:pPr>
        <w:pStyle w:val="ONUMFS"/>
        <w:rPr>
          <w:lang w:val="fr-FR"/>
        </w:rPr>
      </w:pPr>
      <w:r w:rsidRPr="00DB2449">
        <w:rPr>
          <w:lang w:val="fr-FR"/>
        </w:rPr>
        <w:t>Le Secrétariat a proposé de transmettre de nouveaux chiffres à examiner plus attentivement et</w:t>
      </w:r>
      <w:r w:rsidR="004A646E" w:rsidRPr="00DB2449">
        <w:rPr>
          <w:lang w:val="fr-FR"/>
        </w:rPr>
        <w:t xml:space="preserve"> </w:t>
      </w:r>
      <w:r w:rsidRPr="00DB2449">
        <w:rPr>
          <w:lang w:val="fr-FR"/>
        </w:rPr>
        <w:t>a indiqué que, dans l</w:t>
      </w:r>
      <w:r w:rsidR="004A646E" w:rsidRPr="00DB2449">
        <w:rPr>
          <w:lang w:val="fr-FR"/>
        </w:rPr>
        <w:t>a préparation</w:t>
      </w:r>
      <w:r w:rsidRPr="00DB2449">
        <w:rPr>
          <w:lang w:val="fr-FR"/>
        </w:rPr>
        <w:t xml:space="preserve"> du programme et budget, le montant estimatif des recettes reposait sur l</w:t>
      </w:r>
      <w:r w:rsidR="00B64E9E">
        <w:rPr>
          <w:lang w:val="fr-FR"/>
        </w:rPr>
        <w:t>’</w:t>
      </w:r>
      <w:r w:rsidRPr="00DB2449">
        <w:rPr>
          <w:lang w:val="fr-FR"/>
        </w:rPr>
        <w:t xml:space="preserve">hypothèse </w:t>
      </w:r>
      <w:r w:rsidR="004A646E" w:rsidRPr="00DB2449">
        <w:rPr>
          <w:lang w:val="fr-FR"/>
        </w:rPr>
        <w:t>de</w:t>
      </w:r>
      <w:r w:rsidRPr="00DB2449">
        <w:rPr>
          <w:lang w:val="fr-FR"/>
        </w:rPr>
        <w:t xml:space="preserve"> base pour les systèmes de La Haye, de Madrid et du PCT, qui avait été établie par l</w:t>
      </w:r>
      <w:r w:rsidR="00B64E9E">
        <w:rPr>
          <w:lang w:val="fr-FR"/>
        </w:rPr>
        <w:t>’</w:t>
      </w:r>
      <w:r w:rsidRPr="00DB2449">
        <w:rPr>
          <w:lang w:val="fr-FR"/>
        </w:rPr>
        <w:t>économiste en chef, et que l</w:t>
      </w:r>
      <w:r w:rsidR="00B64E9E">
        <w:rPr>
          <w:lang w:val="fr-FR"/>
        </w:rPr>
        <w:t>’</w:t>
      </w:r>
      <w:r w:rsidRPr="00DB2449">
        <w:rPr>
          <w:lang w:val="fr-FR"/>
        </w:rPr>
        <w:t xml:space="preserve">ordre de priorité des </w:t>
      </w:r>
      <w:r w:rsidRPr="00DB2449">
        <w:rPr>
          <w:lang w:val="fr-FR"/>
        </w:rPr>
        <w:lastRenderedPageBreak/>
        <w:t>dépenses reposait sur les recettes anticipées.  Il a également ajouté que toutes les dépenses requises n</w:t>
      </w:r>
      <w:r w:rsidR="00B64E9E">
        <w:rPr>
          <w:lang w:val="fr-FR"/>
        </w:rPr>
        <w:t>’</w:t>
      </w:r>
      <w:r w:rsidRPr="00DB2449">
        <w:rPr>
          <w:lang w:val="fr-FR"/>
        </w:rPr>
        <w:t xml:space="preserve">étaient pas incluses dans le budget et que certaines dépenses étaient différées.  </w:t>
      </w:r>
    </w:p>
    <w:p w:rsidR="00320CCD" w:rsidRDefault="0049479A" w:rsidP="00711267">
      <w:pPr>
        <w:pStyle w:val="ONUMFS"/>
        <w:tabs>
          <w:tab w:val="clear" w:pos="567"/>
        </w:tabs>
        <w:rPr>
          <w:lang w:val="fr-FR"/>
        </w:rPr>
      </w:pPr>
      <w:r w:rsidRPr="00DB2449">
        <w:rPr>
          <w:lang w:val="fr-FR"/>
        </w:rPr>
        <w:t>Le président a déclaré que les travaux de l</w:t>
      </w:r>
      <w:r w:rsidR="00B64E9E">
        <w:rPr>
          <w:lang w:val="fr-FR"/>
        </w:rPr>
        <w:t>’</w:t>
      </w:r>
      <w:r w:rsidRPr="00DB2449">
        <w:rPr>
          <w:lang w:val="fr-FR"/>
        </w:rPr>
        <w:t>Assemblée de l</w:t>
      </w:r>
      <w:r w:rsidR="00B64E9E">
        <w:rPr>
          <w:lang w:val="fr-FR"/>
        </w:rPr>
        <w:t>’</w:t>
      </w:r>
      <w:r w:rsidRPr="00DB2449">
        <w:rPr>
          <w:lang w:val="fr-FR"/>
        </w:rPr>
        <w:t>Union de Madrid avaient pris fin pour le moment et que le point 20 de l</w:t>
      </w:r>
      <w:r w:rsidR="00B64E9E">
        <w:rPr>
          <w:lang w:val="fr-FR"/>
        </w:rPr>
        <w:t>’</w:t>
      </w:r>
      <w:r w:rsidRPr="00DB2449">
        <w:rPr>
          <w:lang w:val="fr-FR"/>
        </w:rPr>
        <w:t>ordre du jour unifié était clôturé, à l</w:t>
      </w:r>
      <w:r w:rsidR="00B64E9E">
        <w:rPr>
          <w:lang w:val="fr-FR"/>
        </w:rPr>
        <w:t>’</w:t>
      </w:r>
      <w:r w:rsidRPr="00DB2449">
        <w:rPr>
          <w:lang w:val="fr-FR"/>
        </w:rPr>
        <w:t>exception du document MM/A/49/4, pour lequel l</w:t>
      </w:r>
      <w:r w:rsidR="00B64E9E">
        <w:rPr>
          <w:lang w:val="fr-FR"/>
        </w:rPr>
        <w:t>’</w:t>
      </w:r>
      <w:r w:rsidRPr="00DB2449">
        <w:rPr>
          <w:lang w:val="fr-FR"/>
        </w:rPr>
        <w:t>assemblée se réunirait à nouveau ultérieurement.</w:t>
      </w:r>
    </w:p>
    <w:p w:rsidR="00320CCD" w:rsidRPr="00EF7E9A" w:rsidRDefault="00711267" w:rsidP="00711267">
      <w:pPr>
        <w:pStyle w:val="ONUMFS"/>
        <w:tabs>
          <w:tab w:val="clear" w:pos="567"/>
        </w:tabs>
        <w:rPr>
          <w:lang w:val="fr-FR"/>
        </w:rPr>
      </w:pPr>
      <w:r w:rsidRPr="00EF7E9A">
        <w:rPr>
          <w:lang w:val="fr-FR"/>
        </w:rPr>
        <w:t>Le président a annoncé que</w:t>
      </w:r>
      <w:r w:rsidR="004972DB" w:rsidRPr="00EF7E9A">
        <w:rPr>
          <w:lang w:val="fr-FR"/>
        </w:rPr>
        <w:t xml:space="preserve"> le point 20 de l</w:t>
      </w:r>
      <w:r w:rsidR="00B64E9E" w:rsidRPr="00EF7E9A">
        <w:rPr>
          <w:lang w:val="fr-FR"/>
        </w:rPr>
        <w:t>’</w:t>
      </w:r>
      <w:r w:rsidR="004972DB" w:rsidRPr="00EF7E9A">
        <w:rPr>
          <w:lang w:val="fr-FR"/>
        </w:rPr>
        <w:t xml:space="preserve">ordre du jour </w:t>
      </w:r>
      <w:r w:rsidR="0017568A" w:rsidRPr="00EF7E9A">
        <w:rPr>
          <w:lang w:val="fr-FR"/>
        </w:rPr>
        <w:t xml:space="preserve">“Système de Madrid” </w:t>
      </w:r>
      <w:r w:rsidRPr="00EF7E9A">
        <w:rPr>
          <w:lang w:val="fr-FR"/>
        </w:rPr>
        <w:t>resterait ouvert en attendant l</w:t>
      </w:r>
      <w:r w:rsidR="00B64E9E" w:rsidRPr="00EF7E9A">
        <w:rPr>
          <w:lang w:val="fr-FR"/>
        </w:rPr>
        <w:t>’</w:t>
      </w:r>
      <w:r w:rsidRPr="00EF7E9A">
        <w:rPr>
          <w:lang w:val="fr-FR"/>
        </w:rPr>
        <w:t>issue des consultations informelles</w:t>
      </w:r>
      <w:r w:rsidR="0017568A" w:rsidRPr="00EF7E9A">
        <w:rPr>
          <w:lang w:val="fr-FR"/>
        </w:rPr>
        <w:t xml:space="preserve"> (</w:t>
      </w:r>
      <w:r w:rsidR="00DB2449" w:rsidRPr="00EF7E9A">
        <w:rPr>
          <w:lang w:val="fr-FR"/>
        </w:rPr>
        <w:t>actuellement menées sur des questions connexes couvertes par d</w:t>
      </w:r>
      <w:r w:rsidR="00B64E9E" w:rsidRPr="00EF7E9A">
        <w:rPr>
          <w:lang w:val="fr-FR"/>
        </w:rPr>
        <w:t>’</w:t>
      </w:r>
      <w:r w:rsidR="00DB2449" w:rsidRPr="00EF7E9A">
        <w:rPr>
          <w:lang w:val="fr-FR"/>
        </w:rPr>
        <w:t>autres points de l</w:t>
      </w:r>
      <w:r w:rsidR="00B64E9E" w:rsidRPr="00EF7E9A">
        <w:rPr>
          <w:lang w:val="fr-FR"/>
        </w:rPr>
        <w:t>’</w:t>
      </w:r>
      <w:r w:rsidR="00DB2449" w:rsidRPr="00EF7E9A">
        <w:rPr>
          <w:lang w:val="fr-FR"/>
        </w:rPr>
        <w:t>ordre du jour</w:t>
      </w:r>
      <w:r w:rsidR="0017568A" w:rsidRPr="00EF7E9A">
        <w:rPr>
          <w:lang w:val="fr-FR"/>
        </w:rPr>
        <w:t>)</w:t>
      </w:r>
      <w:r w:rsidRPr="00EF7E9A">
        <w:rPr>
          <w:lang w:val="fr-FR"/>
        </w:rPr>
        <w:t>.</w:t>
      </w:r>
    </w:p>
    <w:p w:rsidR="00320CCD" w:rsidRPr="00EF7E9A" w:rsidRDefault="00383274" w:rsidP="004F47CE">
      <w:pPr>
        <w:pStyle w:val="ONUMFS"/>
        <w:rPr>
          <w:lang w:val="fr-FR"/>
        </w:rPr>
      </w:pPr>
      <w:r w:rsidRPr="00EF7E9A">
        <w:rPr>
          <w:lang w:val="fr-FR"/>
        </w:rPr>
        <w:t>Durant la session, l</w:t>
      </w:r>
      <w:r w:rsidR="00711267" w:rsidRPr="00EF7E9A">
        <w:rPr>
          <w:lang w:val="fr-FR"/>
        </w:rPr>
        <w:t>e président de l</w:t>
      </w:r>
      <w:r w:rsidR="00B64E9E" w:rsidRPr="00EF7E9A">
        <w:rPr>
          <w:lang w:val="fr-FR"/>
        </w:rPr>
        <w:t>’</w:t>
      </w:r>
      <w:r w:rsidR="00711267" w:rsidRPr="00EF7E9A">
        <w:rPr>
          <w:lang w:val="fr-FR"/>
        </w:rPr>
        <w:t xml:space="preserve">Assemblée générale a </w:t>
      </w:r>
      <w:r w:rsidRPr="00EF7E9A">
        <w:rPr>
          <w:lang w:val="fr-FR"/>
        </w:rPr>
        <w:t>fourni régulièrement</w:t>
      </w:r>
      <w:r w:rsidR="00711267" w:rsidRPr="00EF7E9A">
        <w:rPr>
          <w:lang w:val="fr-FR"/>
        </w:rPr>
        <w:t xml:space="preserve"> </w:t>
      </w:r>
      <w:r w:rsidRPr="00EF7E9A">
        <w:rPr>
          <w:lang w:val="fr-FR"/>
        </w:rPr>
        <w:t>à la plénière des assemblées, y compris à l</w:t>
      </w:r>
      <w:r w:rsidR="00B64E9E" w:rsidRPr="00EF7E9A">
        <w:rPr>
          <w:lang w:val="fr-FR"/>
        </w:rPr>
        <w:t>’</w:t>
      </w:r>
      <w:r w:rsidRPr="00EF7E9A">
        <w:rPr>
          <w:lang w:val="fr-FR"/>
        </w:rPr>
        <w:t>Assemblée de l</w:t>
      </w:r>
      <w:r w:rsidR="00B64E9E" w:rsidRPr="00EF7E9A">
        <w:rPr>
          <w:lang w:val="fr-FR"/>
        </w:rPr>
        <w:t>’</w:t>
      </w:r>
      <w:r w:rsidRPr="00EF7E9A">
        <w:rPr>
          <w:lang w:val="fr-FR"/>
        </w:rPr>
        <w:t xml:space="preserve">Union de Madrid, </w:t>
      </w:r>
      <w:r w:rsidR="00711267" w:rsidRPr="00EF7E9A">
        <w:rPr>
          <w:lang w:val="fr-FR"/>
        </w:rPr>
        <w:t xml:space="preserve">des informations </w:t>
      </w:r>
      <w:r w:rsidRPr="00EF7E9A">
        <w:rPr>
          <w:lang w:val="fr-FR"/>
        </w:rPr>
        <w:t>actualisées sur l</w:t>
      </w:r>
      <w:r w:rsidR="00B64E9E" w:rsidRPr="00EF7E9A">
        <w:rPr>
          <w:lang w:val="fr-FR"/>
        </w:rPr>
        <w:t>’</w:t>
      </w:r>
      <w:r w:rsidRPr="00EF7E9A">
        <w:rPr>
          <w:lang w:val="fr-FR"/>
        </w:rPr>
        <w:t>évolution de ces consultations informelles</w:t>
      </w:r>
      <w:r w:rsidR="00711267" w:rsidRPr="00EF7E9A">
        <w:rPr>
          <w:lang w:val="fr-FR"/>
        </w:rPr>
        <w:t>.  Il en est rendu compte sous le point 11 de l</w:t>
      </w:r>
      <w:r w:rsidR="00B64E9E" w:rsidRPr="00EF7E9A">
        <w:rPr>
          <w:lang w:val="fr-FR"/>
        </w:rPr>
        <w:t>’</w:t>
      </w:r>
      <w:r w:rsidR="00711267" w:rsidRPr="00EF7E9A">
        <w:rPr>
          <w:lang w:val="fr-FR"/>
        </w:rPr>
        <w:t>ordre du jour (“Rapport du Comité du programme et budget”)</w:t>
      </w:r>
      <w:r w:rsidRPr="00EF7E9A">
        <w:rPr>
          <w:lang w:val="fr-FR"/>
        </w:rPr>
        <w:t>.</w:t>
      </w:r>
    </w:p>
    <w:p w:rsidR="00320CCD" w:rsidRPr="00EF7E9A" w:rsidRDefault="00DB2449" w:rsidP="004972DB">
      <w:pPr>
        <w:pStyle w:val="ONUMFS"/>
        <w:ind w:left="567"/>
        <w:rPr>
          <w:rFonts w:eastAsia="Times New Roman"/>
          <w:lang w:val="fr-FR" w:eastAsia="en-US"/>
        </w:rPr>
      </w:pPr>
      <w:r w:rsidRPr="00EF7E9A">
        <w:rPr>
          <w:rFonts w:eastAsia="Times New Roman"/>
          <w:lang w:val="fr-FR" w:eastAsia="en-US"/>
        </w:rPr>
        <w:t>L</w:t>
      </w:r>
      <w:r w:rsidR="00B64E9E" w:rsidRPr="00EF7E9A">
        <w:rPr>
          <w:rFonts w:eastAsia="Times New Roman"/>
          <w:lang w:val="fr-FR" w:eastAsia="en-US"/>
        </w:rPr>
        <w:t>’</w:t>
      </w:r>
      <w:r w:rsidRPr="00EF7E9A">
        <w:rPr>
          <w:rFonts w:eastAsia="Times New Roman"/>
          <w:lang w:val="fr-FR" w:eastAsia="en-US"/>
        </w:rPr>
        <w:t>Assemblée de l</w:t>
      </w:r>
      <w:r w:rsidR="00B64E9E" w:rsidRPr="00EF7E9A">
        <w:rPr>
          <w:rFonts w:eastAsia="Times New Roman"/>
          <w:lang w:val="fr-FR" w:eastAsia="en-US"/>
        </w:rPr>
        <w:t>’</w:t>
      </w:r>
      <w:r w:rsidRPr="00EF7E9A">
        <w:rPr>
          <w:rFonts w:eastAsia="Times New Roman"/>
          <w:lang w:val="fr-FR" w:eastAsia="en-US"/>
        </w:rPr>
        <w:t xml:space="preserve">Union de Madrid a examiné le </w:t>
      </w:r>
      <w:r w:rsidR="004972DB" w:rsidRPr="00EF7E9A">
        <w:rPr>
          <w:rFonts w:eastAsia="Times New Roman"/>
          <w:lang w:val="fr-FR" w:eastAsia="en-US"/>
        </w:rPr>
        <w:t xml:space="preserve">document MM/A/49/4 </w:t>
      </w:r>
      <w:r w:rsidRPr="00EF7E9A">
        <w:rPr>
          <w:rFonts w:eastAsia="Times New Roman"/>
          <w:lang w:val="fr-FR" w:eastAsia="en-US"/>
        </w:rPr>
        <w:t>mais n</w:t>
      </w:r>
      <w:r w:rsidR="00B64E9E" w:rsidRPr="00EF7E9A">
        <w:rPr>
          <w:rFonts w:eastAsia="Times New Roman"/>
          <w:lang w:val="fr-FR" w:eastAsia="en-US"/>
        </w:rPr>
        <w:t>’</w:t>
      </w:r>
      <w:r w:rsidRPr="00EF7E9A">
        <w:rPr>
          <w:rFonts w:eastAsia="Times New Roman"/>
          <w:lang w:val="fr-FR" w:eastAsia="en-US"/>
        </w:rPr>
        <w:t>est pas parvenue à un consensus.</w:t>
      </w:r>
    </w:p>
    <w:p w:rsidR="00320CCD" w:rsidRDefault="00320CCD" w:rsidP="0049479A">
      <w:pPr>
        <w:pStyle w:val="Endofdocument-Annex"/>
        <w:rPr>
          <w:lang w:val="fr-FR"/>
        </w:rPr>
      </w:pPr>
    </w:p>
    <w:p w:rsidR="00320CCD" w:rsidRDefault="00320CCD" w:rsidP="0049479A">
      <w:pPr>
        <w:pStyle w:val="Endofdocument-Annex"/>
        <w:rPr>
          <w:lang w:val="fr-FR"/>
        </w:rPr>
      </w:pPr>
    </w:p>
    <w:p w:rsidR="0017568A" w:rsidRPr="00DB2449" w:rsidRDefault="0049479A" w:rsidP="0049479A">
      <w:pPr>
        <w:pStyle w:val="Endofdocument-Annex"/>
        <w:rPr>
          <w:lang w:val="fr-FR"/>
        </w:rPr>
        <w:sectPr w:rsidR="0017568A" w:rsidRPr="00DB2449" w:rsidSect="00AB6CBC">
          <w:headerReference w:type="default" r:id="rId10"/>
          <w:endnotePr>
            <w:numFmt w:val="decimal"/>
          </w:endnotePr>
          <w:pgSz w:w="11907" w:h="16840" w:code="9"/>
          <w:pgMar w:top="567" w:right="1134" w:bottom="1418" w:left="1418" w:header="510" w:footer="1021" w:gutter="0"/>
          <w:cols w:space="720"/>
          <w:titlePg/>
          <w:docGrid w:linePitch="299"/>
        </w:sectPr>
      </w:pPr>
      <w:r w:rsidRPr="00DB2449">
        <w:rPr>
          <w:lang w:val="fr-FR"/>
        </w:rPr>
        <w:t>[</w:t>
      </w:r>
      <w:r w:rsidR="00205A33" w:rsidRPr="00DB2449">
        <w:rPr>
          <w:lang w:val="fr-FR"/>
        </w:rPr>
        <w:t>L</w:t>
      </w:r>
      <w:r w:rsidR="00B64E9E">
        <w:rPr>
          <w:lang w:val="fr-FR"/>
        </w:rPr>
        <w:t>’</w:t>
      </w:r>
      <w:r w:rsidR="00205A33" w:rsidRPr="00DB2449">
        <w:rPr>
          <w:lang w:val="fr-FR"/>
        </w:rPr>
        <w:t>annexe suit</w:t>
      </w:r>
      <w:r w:rsidRPr="00DB2449">
        <w:rPr>
          <w:lang w:val="fr-FR"/>
        </w:rPr>
        <w:t>]</w:t>
      </w:r>
    </w:p>
    <w:p w:rsidR="00320CCD" w:rsidRPr="00EF7E9A" w:rsidRDefault="00320CCD" w:rsidP="00106795">
      <w:pPr>
        <w:pStyle w:val="Title"/>
        <w:rPr>
          <w:rFonts w:ascii="Arial" w:hAnsi="Arial" w:cs="Arial"/>
          <w:sz w:val="22"/>
          <w:szCs w:val="22"/>
          <w:lang w:val="fr-FR"/>
        </w:rPr>
      </w:pPr>
      <w:r w:rsidRPr="00EF7E9A">
        <w:rPr>
          <w:rFonts w:ascii="Arial" w:hAnsi="Arial" w:cs="Arial"/>
          <w:sz w:val="22"/>
          <w:szCs w:val="22"/>
          <w:lang w:val="fr-FR"/>
        </w:rPr>
        <w:lastRenderedPageBreak/>
        <w:t>Organisation Mondiale de la Propriété Intellectuelle</w:t>
      </w:r>
    </w:p>
    <w:p w:rsidR="00320CCD" w:rsidRPr="00EF7E9A" w:rsidRDefault="00106795" w:rsidP="00106795">
      <w:pPr>
        <w:pStyle w:val="Title"/>
        <w:rPr>
          <w:rFonts w:ascii="Arial" w:hAnsi="Arial" w:cs="Arial"/>
          <w:sz w:val="22"/>
          <w:szCs w:val="22"/>
          <w:lang w:val="fr-FR"/>
        </w:rPr>
      </w:pPr>
      <w:r w:rsidRPr="00EF7E9A">
        <w:rPr>
          <w:rFonts w:ascii="Arial" w:hAnsi="Arial" w:cs="Arial"/>
          <w:sz w:val="22"/>
          <w:szCs w:val="22"/>
          <w:lang w:val="fr-FR"/>
        </w:rPr>
        <w:t>Assembl</w:t>
      </w:r>
      <w:r w:rsidR="00320CCD" w:rsidRPr="00EF7E9A">
        <w:rPr>
          <w:rFonts w:ascii="Arial" w:hAnsi="Arial" w:cs="Arial"/>
          <w:sz w:val="22"/>
          <w:szCs w:val="22"/>
          <w:lang w:val="fr-FR"/>
        </w:rPr>
        <w:t>ées des États membres</w:t>
      </w:r>
    </w:p>
    <w:p w:rsidR="00320CCD" w:rsidRPr="00EF7E9A" w:rsidRDefault="00320CCD" w:rsidP="00106795">
      <w:pPr>
        <w:jc w:val="center"/>
        <w:rPr>
          <w:b/>
          <w:bCs/>
          <w:szCs w:val="22"/>
          <w:lang w:val="fr-FR"/>
        </w:rPr>
      </w:pPr>
      <w:r w:rsidRPr="00EF7E9A">
        <w:rPr>
          <w:b/>
          <w:bCs/>
          <w:szCs w:val="22"/>
          <w:lang w:val="fr-FR"/>
        </w:rPr>
        <w:t>Union particulière pour l</w:t>
      </w:r>
      <w:r w:rsidR="00B64E9E" w:rsidRPr="00EF7E9A">
        <w:rPr>
          <w:b/>
          <w:bCs/>
          <w:szCs w:val="22"/>
          <w:lang w:val="fr-FR"/>
        </w:rPr>
        <w:t>’</w:t>
      </w:r>
      <w:r w:rsidRPr="00EF7E9A">
        <w:rPr>
          <w:b/>
          <w:bCs/>
          <w:szCs w:val="22"/>
          <w:lang w:val="fr-FR"/>
        </w:rPr>
        <w:t>enregistrement international des marques</w:t>
      </w:r>
    </w:p>
    <w:p w:rsidR="00320CCD" w:rsidRPr="00EF7E9A" w:rsidRDefault="00106795" w:rsidP="00106795">
      <w:pPr>
        <w:jc w:val="center"/>
        <w:rPr>
          <w:b/>
          <w:bCs/>
          <w:szCs w:val="22"/>
          <w:lang w:val="fr-FR"/>
        </w:rPr>
      </w:pPr>
      <w:r w:rsidRPr="00EF7E9A">
        <w:rPr>
          <w:b/>
          <w:bCs/>
          <w:szCs w:val="22"/>
          <w:lang w:val="fr-FR"/>
        </w:rPr>
        <w:t>(</w:t>
      </w:r>
      <w:r w:rsidR="00320CCD" w:rsidRPr="00EF7E9A">
        <w:rPr>
          <w:b/>
          <w:bCs/>
          <w:szCs w:val="22"/>
          <w:lang w:val="fr-FR"/>
        </w:rPr>
        <w:t>Union de M</w:t>
      </w:r>
      <w:r w:rsidRPr="00EF7E9A">
        <w:rPr>
          <w:b/>
          <w:bCs/>
          <w:szCs w:val="22"/>
          <w:lang w:val="fr-FR"/>
        </w:rPr>
        <w:t>adrid)</w:t>
      </w:r>
    </w:p>
    <w:p w:rsidR="00320CCD" w:rsidRPr="00EF7E9A" w:rsidRDefault="00320CCD" w:rsidP="00106795">
      <w:pPr>
        <w:jc w:val="center"/>
        <w:rPr>
          <w:b/>
          <w:bCs/>
          <w:szCs w:val="22"/>
          <w:lang w:val="fr-FR"/>
        </w:rPr>
      </w:pPr>
      <w:r w:rsidRPr="00EF7E9A">
        <w:rPr>
          <w:b/>
          <w:bCs/>
          <w:szCs w:val="22"/>
          <w:lang w:val="fr-FR"/>
        </w:rPr>
        <w:t>5 – 1</w:t>
      </w:r>
      <w:r w:rsidR="00B64E9E" w:rsidRPr="00EF7E9A">
        <w:rPr>
          <w:b/>
          <w:bCs/>
          <w:szCs w:val="22"/>
          <w:lang w:val="fr-FR"/>
        </w:rPr>
        <w:t>4 octobre 20</w:t>
      </w:r>
      <w:r w:rsidRPr="00EF7E9A">
        <w:rPr>
          <w:b/>
          <w:bCs/>
          <w:szCs w:val="22"/>
          <w:lang w:val="fr-FR"/>
        </w:rPr>
        <w:t>15</w:t>
      </w:r>
    </w:p>
    <w:p w:rsidR="00320CCD" w:rsidRPr="00EF7E9A" w:rsidRDefault="00320CCD" w:rsidP="00106795">
      <w:pPr>
        <w:jc w:val="center"/>
        <w:rPr>
          <w:b/>
          <w:bCs/>
          <w:szCs w:val="22"/>
          <w:lang w:val="fr-FR"/>
        </w:rPr>
      </w:pPr>
    </w:p>
    <w:p w:rsidR="00320CCD" w:rsidRPr="00EF7E9A" w:rsidRDefault="00320CCD" w:rsidP="004F47CE">
      <w:pPr>
        <w:jc w:val="center"/>
        <w:rPr>
          <w:b/>
          <w:bCs/>
          <w:szCs w:val="22"/>
          <w:lang w:val="fr-FR"/>
        </w:rPr>
      </w:pPr>
    </w:p>
    <w:p w:rsidR="00B64E9E" w:rsidRPr="00EF7E9A" w:rsidRDefault="00320CCD" w:rsidP="004F47CE">
      <w:pPr>
        <w:rPr>
          <w:szCs w:val="22"/>
          <w:lang w:val="fr-FR"/>
        </w:rPr>
      </w:pPr>
      <w:r w:rsidRPr="00EF7E9A">
        <w:rPr>
          <w:b/>
          <w:bCs/>
          <w:szCs w:val="22"/>
          <w:u w:val="single"/>
          <w:lang w:val="fr-FR"/>
        </w:rPr>
        <w:t>POINT 20</w:t>
      </w:r>
      <w:r w:rsidR="00B673C6" w:rsidRPr="00EF7E9A">
        <w:rPr>
          <w:b/>
          <w:bCs/>
          <w:szCs w:val="22"/>
          <w:u w:val="single"/>
          <w:lang w:val="fr-FR"/>
        </w:rPr>
        <w:noBreakHyphen/>
      </w:r>
      <w:r w:rsidRPr="00EF7E9A">
        <w:rPr>
          <w:b/>
          <w:bCs/>
          <w:szCs w:val="22"/>
          <w:u w:val="single"/>
          <w:lang w:val="fr-FR"/>
        </w:rPr>
        <w:t>4 DE L</w:t>
      </w:r>
      <w:r w:rsidR="00B64E9E" w:rsidRPr="00EF7E9A">
        <w:rPr>
          <w:b/>
          <w:bCs/>
          <w:szCs w:val="22"/>
          <w:u w:val="single"/>
          <w:lang w:val="fr-FR"/>
        </w:rPr>
        <w:t>’</w:t>
      </w:r>
      <w:r w:rsidRPr="00EF7E9A">
        <w:rPr>
          <w:b/>
          <w:bCs/>
          <w:szCs w:val="22"/>
          <w:u w:val="single"/>
          <w:lang w:val="fr-FR"/>
        </w:rPr>
        <w:t>ORDRE DU JOUR</w:t>
      </w:r>
      <w:r w:rsidRPr="00EF7E9A">
        <w:rPr>
          <w:b/>
          <w:bCs/>
          <w:szCs w:val="22"/>
          <w:lang w:val="fr-FR"/>
        </w:rPr>
        <w:t> :</w:t>
      </w:r>
      <w:r w:rsidR="00106795" w:rsidRPr="00EF7E9A">
        <w:rPr>
          <w:szCs w:val="22"/>
          <w:lang w:val="fr-FR"/>
        </w:rPr>
        <w:t xml:space="preserve"> </w:t>
      </w:r>
      <w:r w:rsidRPr="00EF7E9A">
        <w:rPr>
          <w:szCs w:val="22"/>
          <w:lang w:val="fr-FR"/>
        </w:rPr>
        <w:t>Proposition des États</w:t>
      </w:r>
      <w:r w:rsidR="00B673C6" w:rsidRPr="00EF7E9A">
        <w:rPr>
          <w:szCs w:val="22"/>
          <w:lang w:val="fr-FR"/>
        </w:rPr>
        <w:noBreakHyphen/>
      </w:r>
      <w:r w:rsidRPr="00EF7E9A">
        <w:rPr>
          <w:szCs w:val="22"/>
          <w:lang w:val="fr-FR"/>
        </w:rPr>
        <w:t>Unis d</w:t>
      </w:r>
      <w:r w:rsidR="00B64E9E" w:rsidRPr="00EF7E9A">
        <w:rPr>
          <w:szCs w:val="22"/>
          <w:lang w:val="fr-FR"/>
        </w:rPr>
        <w:t>’</w:t>
      </w:r>
      <w:r w:rsidRPr="00EF7E9A">
        <w:rPr>
          <w:szCs w:val="22"/>
          <w:lang w:val="fr-FR"/>
        </w:rPr>
        <w:t>Amérique tendant à inviter l</w:t>
      </w:r>
      <w:r w:rsidR="00B64E9E" w:rsidRPr="00EF7E9A">
        <w:rPr>
          <w:szCs w:val="22"/>
          <w:lang w:val="fr-FR"/>
        </w:rPr>
        <w:t>’</w:t>
      </w:r>
      <w:r w:rsidRPr="00EF7E9A">
        <w:rPr>
          <w:szCs w:val="22"/>
          <w:lang w:val="fr-FR"/>
        </w:rPr>
        <w:t>Assemblée de l</w:t>
      </w:r>
      <w:r w:rsidR="00B64E9E" w:rsidRPr="00EF7E9A">
        <w:rPr>
          <w:szCs w:val="22"/>
          <w:lang w:val="fr-FR"/>
        </w:rPr>
        <w:t>’</w:t>
      </w:r>
      <w:r w:rsidRPr="00EF7E9A">
        <w:rPr>
          <w:szCs w:val="22"/>
          <w:lang w:val="fr-FR"/>
        </w:rPr>
        <w:t>Union de Madrid à prendre une décision au sujet du financement de l</w:t>
      </w:r>
      <w:r w:rsidR="00B64E9E" w:rsidRPr="00EF7E9A">
        <w:rPr>
          <w:szCs w:val="22"/>
          <w:lang w:val="fr-FR"/>
        </w:rPr>
        <w:t>’</w:t>
      </w:r>
      <w:r w:rsidRPr="00EF7E9A">
        <w:rPr>
          <w:szCs w:val="22"/>
          <w:lang w:val="fr-FR"/>
        </w:rPr>
        <w:t>Union de Lisbonne.</w:t>
      </w:r>
    </w:p>
    <w:p w:rsidR="00320CCD" w:rsidRPr="00EF7E9A" w:rsidRDefault="00320CCD" w:rsidP="004F47CE">
      <w:pPr>
        <w:ind w:left="2160" w:hanging="2160"/>
        <w:jc w:val="both"/>
        <w:rPr>
          <w:szCs w:val="22"/>
          <w:lang w:val="fr-FR"/>
        </w:rPr>
      </w:pPr>
    </w:p>
    <w:p w:rsidR="00320CCD" w:rsidRPr="00EF7E9A" w:rsidRDefault="00106795" w:rsidP="004F47CE">
      <w:pPr>
        <w:jc w:val="both"/>
        <w:rPr>
          <w:color w:val="000000"/>
          <w:szCs w:val="22"/>
          <w:lang w:val="fr-FR"/>
        </w:rPr>
      </w:pPr>
      <w:r w:rsidRPr="00EF7E9A">
        <w:rPr>
          <w:b/>
          <w:bCs/>
          <w:szCs w:val="22"/>
          <w:u w:val="single"/>
          <w:lang w:val="fr-FR"/>
        </w:rPr>
        <w:t>DOCUMENT</w:t>
      </w:r>
      <w:r w:rsidR="00320CCD" w:rsidRPr="00EF7E9A">
        <w:rPr>
          <w:b/>
          <w:bCs/>
          <w:szCs w:val="22"/>
          <w:lang w:val="fr-FR"/>
        </w:rPr>
        <w:t> :</w:t>
      </w:r>
      <w:r w:rsidRPr="00EF7E9A">
        <w:rPr>
          <w:szCs w:val="22"/>
          <w:lang w:val="fr-FR"/>
        </w:rPr>
        <w:t xml:space="preserve"> </w:t>
      </w:r>
      <w:r w:rsidRPr="00EF7E9A">
        <w:rPr>
          <w:szCs w:val="22"/>
          <w:lang w:val="fr-FR"/>
        </w:rPr>
        <w:tab/>
        <w:t>MM/A/49/4</w:t>
      </w:r>
      <w:r w:rsidR="00320CCD" w:rsidRPr="00EF7E9A">
        <w:rPr>
          <w:szCs w:val="22"/>
          <w:lang w:val="fr-FR"/>
        </w:rPr>
        <w:t xml:space="preserve">, déclaration </w:t>
      </w:r>
      <w:r w:rsidR="006B2A45" w:rsidRPr="00EF7E9A">
        <w:rPr>
          <w:szCs w:val="22"/>
          <w:lang w:val="fr-FR"/>
        </w:rPr>
        <w:t>de</w:t>
      </w:r>
      <w:r w:rsidR="00320CCD" w:rsidRPr="00EF7E9A">
        <w:rPr>
          <w:szCs w:val="22"/>
          <w:lang w:val="fr-FR"/>
        </w:rPr>
        <w:t xml:space="preserve"> la délégation des États</w:t>
      </w:r>
      <w:r w:rsidR="00B673C6" w:rsidRPr="00EF7E9A">
        <w:rPr>
          <w:szCs w:val="22"/>
          <w:lang w:val="fr-FR"/>
        </w:rPr>
        <w:noBreakHyphen/>
      </w:r>
      <w:r w:rsidR="00320CCD" w:rsidRPr="00EF7E9A">
        <w:rPr>
          <w:szCs w:val="22"/>
          <w:lang w:val="fr-FR"/>
        </w:rPr>
        <w:t>Unis d</w:t>
      </w:r>
      <w:r w:rsidR="00B64E9E" w:rsidRPr="00EF7E9A">
        <w:rPr>
          <w:szCs w:val="22"/>
          <w:lang w:val="fr-FR"/>
        </w:rPr>
        <w:t>’</w:t>
      </w:r>
      <w:r w:rsidR="00320CCD" w:rsidRPr="00EF7E9A">
        <w:rPr>
          <w:szCs w:val="22"/>
          <w:lang w:val="fr-FR"/>
        </w:rPr>
        <w:t>Amérique</w:t>
      </w:r>
    </w:p>
    <w:p w:rsidR="00320CCD" w:rsidRPr="00EF7E9A" w:rsidRDefault="00320CCD" w:rsidP="004F47CE">
      <w:pPr>
        <w:rPr>
          <w:szCs w:val="22"/>
          <w:lang w:val="fr-FR"/>
        </w:rPr>
      </w:pPr>
    </w:p>
    <w:p w:rsidR="00320CCD" w:rsidRPr="00EF7E9A" w:rsidRDefault="006B2A45" w:rsidP="004F47CE">
      <w:pPr>
        <w:numPr>
          <w:ilvl w:val="0"/>
          <w:numId w:val="18"/>
        </w:numPr>
        <w:rPr>
          <w:szCs w:val="22"/>
          <w:lang w:val="fr-FR"/>
        </w:rPr>
      </w:pPr>
      <w:r w:rsidRPr="00EF7E9A">
        <w:rPr>
          <w:szCs w:val="22"/>
          <w:lang w:val="fr-FR"/>
        </w:rPr>
        <w:t>Merci</w:t>
      </w:r>
      <w:r w:rsidR="00320CCD" w:rsidRPr="00EF7E9A">
        <w:rPr>
          <w:szCs w:val="22"/>
          <w:lang w:val="fr-FR"/>
        </w:rPr>
        <w:t xml:space="preserve"> M.</w:t>
      </w:r>
      <w:r w:rsidR="0073093E" w:rsidRPr="00EF7E9A">
        <w:rPr>
          <w:szCs w:val="22"/>
          <w:lang w:val="fr-FR"/>
        </w:rPr>
        <w:t> </w:t>
      </w:r>
      <w:r w:rsidR="00320CCD" w:rsidRPr="00EF7E9A">
        <w:rPr>
          <w:szCs w:val="22"/>
          <w:lang w:val="fr-FR"/>
        </w:rPr>
        <w:t>le président</w:t>
      </w:r>
      <w:r w:rsidR="00106795" w:rsidRPr="00EF7E9A">
        <w:rPr>
          <w:szCs w:val="22"/>
          <w:lang w:val="fr-FR"/>
        </w:rPr>
        <w:t xml:space="preserve">.  </w:t>
      </w:r>
      <w:r w:rsidR="00A62A30" w:rsidRPr="00EF7E9A">
        <w:rPr>
          <w:szCs w:val="22"/>
          <w:lang w:val="fr-FR"/>
        </w:rPr>
        <w:t>C</w:t>
      </w:r>
      <w:r w:rsidR="00B64E9E" w:rsidRPr="00EF7E9A">
        <w:rPr>
          <w:szCs w:val="22"/>
          <w:lang w:val="fr-FR"/>
        </w:rPr>
        <w:t>’</w:t>
      </w:r>
      <w:r w:rsidR="00A62A30" w:rsidRPr="00EF7E9A">
        <w:rPr>
          <w:szCs w:val="22"/>
          <w:lang w:val="fr-FR"/>
        </w:rPr>
        <w:t>est la première fois que nous prenons la parole dans le cadre de l</w:t>
      </w:r>
      <w:r w:rsidR="00B64E9E" w:rsidRPr="00EF7E9A">
        <w:rPr>
          <w:szCs w:val="22"/>
          <w:lang w:val="fr-FR"/>
        </w:rPr>
        <w:t>’</w:t>
      </w:r>
      <w:r w:rsidR="00A62A30" w:rsidRPr="00EF7E9A">
        <w:rPr>
          <w:szCs w:val="22"/>
          <w:lang w:val="fr-FR"/>
        </w:rPr>
        <w:t>examen de ce point de l</w:t>
      </w:r>
      <w:r w:rsidR="00B64E9E" w:rsidRPr="00EF7E9A">
        <w:rPr>
          <w:szCs w:val="22"/>
          <w:lang w:val="fr-FR"/>
        </w:rPr>
        <w:t>’</w:t>
      </w:r>
      <w:r w:rsidR="00A62A30" w:rsidRPr="00EF7E9A">
        <w:rPr>
          <w:szCs w:val="22"/>
          <w:lang w:val="fr-FR"/>
        </w:rPr>
        <w:t>ordre du jour</w:t>
      </w:r>
      <w:r w:rsidR="00106795" w:rsidRPr="00EF7E9A">
        <w:rPr>
          <w:szCs w:val="22"/>
          <w:lang w:val="fr-FR"/>
        </w:rPr>
        <w:t xml:space="preserve">, </w:t>
      </w:r>
      <w:r w:rsidR="00A62A30" w:rsidRPr="00EF7E9A">
        <w:rPr>
          <w:szCs w:val="22"/>
          <w:lang w:val="fr-FR"/>
        </w:rPr>
        <w:t>c</w:t>
      </w:r>
      <w:r w:rsidR="00B64E9E" w:rsidRPr="00EF7E9A">
        <w:rPr>
          <w:szCs w:val="22"/>
          <w:lang w:val="fr-FR"/>
        </w:rPr>
        <w:t>’</w:t>
      </w:r>
      <w:r w:rsidR="00A62A30" w:rsidRPr="00EF7E9A">
        <w:rPr>
          <w:szCs w:val="22"/>
          <w:lang w:val="fr-FR"/>
        </w:rPr>
        <w:t>est pourquoi nous tenons tout d</w:t>
      </w:r>
      <w:r w:rsidR="00B64E9E" w:rsidRPr="00EF7E9A">
        <w:rPr>
          <w:szCs w:val="22"/>
          <w:lang w:val="fr-FR"/>
        </w:rPr>
        <w:t>’</w:t>
      </w:r>
      <w:r w:rsidR="00A62A30" w:rsidRPr="00EF7E9A">
        <w:rPr>
          <w:szCs w:val="22"/>
          <w:lang w:val="fr-FR"/>
        </w:rPr>
        <w:t>abord à vous féliciter, ainsi que vos vice</w:t>
      </w:r>
      <w:r w:rsidR="00B673C6" w:rsidRPr="00EF7E9A">
        <w:rPr>
          <w:szCs w:val="22"/>
          <w:lang w:val="fr-FR"/>
        </w:rPr>
        <w:noBreakHyphen/>
      </w:r>
      <w:r w:rsidR="00A62A30" w:rsidRPr="00EF7E9A">
        <w:rPr>
          <w:szCs w:val="22"/>
          <w:lang w:val="fr-FR"/>
        </w:rPr>
        <w:t>présidents, pour votre élection</w:t>
      </w:r>
      <w:r w:rsidR="00106795" w:rsidRPr="00EF7E9A">
        <w:rPr>
          <w:szCs w:val="22"/>
          <w:lang w:val="fr-FR"/>
        </w:rPr>
        <w:t>.</w:t>
      </w:r>
    </w:p>
    <w:p w:rsidR="00B64E9E" w:rsidRPr="00EF7E9A" w:rsidRDefault="005E2952" w:rsidP="004F47CE">
      <w:pPr>
        <w:numPr>
          <w:ilvl w:val="0"/>
          <w:numId w:val="18"/>
        </w:numPr>
        <w:rPr>
          <w:szCs w:val="22"/>
          <w:lang w:val="fr-FR"/>
        </w:rPr>
      </w:pPr>
      <w:r w:rsidRPr="00EF7E9A">
        <w:rPr>
          <w:szCs w:val="22"/>
          <w:lang w:val="fr-FR"/>
        </w:rPr>
        <w:t>Les États</w:t>
      </w:r>
      <w:r w:rsidR="00B673C6" w:rsidRPr="00EF7E9A">
        <w:rPr>
          <w:szCs w:val="22"/>
          <w:lang w:val="fr-FR"/>
        </w:rPr>
        <w:noBreakHyphen/>
      </w:r>
      <w:r w:rsidRPr="00EF7E9A">
        <w:rPr>
          <w:szCs w:val="22"/>
          <w:lang w:val="fr-FR"/>
        </w:rPr>
        <w:t>Unis d</w:t>
      </w:r>
      <w:r w:rsidR="00B64E9E" w:rsidRPr="00EF7E9A">
        <w:rPr>
          <w:szCs w:val="22"/>
          <w:lang w:val="fr-FR"/>
        </w:rPr>
        <w:t>’</w:t>
      </w:r>
      <w:r w:rsidRPr="00EF7E9A">
        <w:rPr>
          <w:szCs w:val="22"/>
          <w:lang w:val="fr-FR"/>
        </w:rPr>
        <w:t>Amérique ont proposé que cette question soit examinée au titre du point</w:t>
      </w:r>
      <w:r w:rsidR="0073093E" w:rsidRPr="00EF7E9A">
        <w:rPr>
          <w:szCs w:val="22"/>
          <w:lang w:val="fr-FR"/>
        </w:rPr>
        <w:t> </w:t>
      </w:r>
      <w:r w:rsidRPr="00EF7E9A">
        <w:rPr>
          <w:szCs w:val="22"/>
          <w:lang w:val="fr-FR"/>
        </w:rPr>
        <w:t>20 de l</w:t>
      </w:r>
      <w:r w:rsidR="00B64E9E" w:rsidRPr="00EF7E9A">
        <w:rPr>
          <w:szCs w:val="22"/>
          <w:lang w:val="fr-FR"/>
        </w:rPr>
        <w:t>’</w:t>
      </w:r>
      <w:r w:rsidRPr="00EF7E9A">
        <w:rPr>
          <w:szCs w:val="22"/>
          <w:lang w:val="fr-FR"/>
        </w:rPr>
        <w:t xml:space="preserve">ordre du jour et ont soumis le document </w:t>
      </w:r>
      <w:r w:rsidR="00106795" w:rsidRPr="00EF7E9A">
        <w:rPr>
          <w:szCs w:val="22"/>
          <w:lang w:val="fr-FR"/>
        </w:rPr>
        <w:t xml:space="preserve">MM/A/49/4 </w:t>
      </w:r>
      <w:r w:rsidR="00E566E9">
        <w:rPr>
          <w:szCs w:val="22"/>
          <w:lang w:val="fr-FR"/>
        </w:rPr>
        <w:t>à l’</w:t>
      </w:r>
      <w:r w:rsidRPr="00EF7E9A">
        <w:rPr>
          <w:szCs w:val="22"/>
          <w:lang w:val="fr-FR"/>
        </w:rPr>
        <w:t xml:space="preserve">examen </w:t>
      </w:r>
      <w:r w:rsidR="00E566E9">
        <w:rPr>
          <w:szCs w:val="22"/>
          <w:lang w:val="fr-FR"/>
        </w:rPr>
        <w:t>de</w:t>
      </w:r>
      <w:r w:rsidRPr="00EF7E9A">
        <w:rPr>
          <w:szCs w:val="22"/>
          <w:lang w:val="fr-FR"/>
        </w:rPr>
        <w:t xml:space="preserve"> l</w:t>
      </w:r>
      <w:r w:rsidR="00B64E9E" w:rsidRPr="00EF7E9A">
        <w:rPr>
          <w:szCs w:val="22"/>
          <w:lang w:val="fr-FR"/>
        </w:rPr>
        <w:t>’</w:t>
      </w:r>
      <w:r w:rsidRPr="00EF7E9A">
        <w:rPr>
          <w:szCs w:val="22"/>
          <w:lang w:val="fr-FR"/>
        </w:rPr>
        <w:t>Assemblée de l</w:t>
      </w:r>
      <w:r w:rsidR="00B64E9E" w:rsidRPr="00EF7E9A">
        <w:rPr>
          <w:szCs w:val="22"/>
          <w:lang w:val="fr-FR"/>
        </w:rPr>
        <w:t>’</w:t>
      </w:r>
      <w:r w:rsidRPr="00EF7E9A">
        <w:rPr>
          <w:szCs w:val="22"/>
          <w:lang w:val="fr-FR"/>
        </w:rPr>
        <w:t>Union de Madrid</w:t>
      </w:r>
      <w:r w:rsidR="00E566E9">
        <w:rPr>
          <w:szCs w:val="22"/>
          <w:lang w:val="fr-FR"/>
        </w:rPr>
        <w:t>, car</w:t>
      </w:r>
      <w:r w:rsidRPr="00EF7E9A">
        <w:rPr>
          <w:szCs w:val="22"/>
          <w:lang w:val="fr-FR"/>
        </w:rPr>
        <w:t xml:space="preserve"> cela fait de nombreuses années que nous ne nous sommes pas penchés sur la question de l</w:t>
      </w:r>
      <w:r w:rsidR="00B64E9E" w:rsidRPr="00EF7E9A">
        <w:rPr>
          <w:szCs w:val="22"/>
          <w:lang w:val="fr-FR"/>
        </w:rPr>
        <w:t>’</w:t>
      </w:r>
      <w:r w:rsidRPr="00EF7E9A">
        <w:rPr>
          <w:szCs w:val="22"/>
          <w:lang w:val="fr-FR"/>
        </w:rPr>
        <w:t>utilisation des excédents de recettes dégagés au titre de l</w:t>
      </w:r>
      <w:r w:rsidR="00B64E9E" w:rsidRPr="00EF7E9A">
        <w:rPr>
          <w:szCs w:val="22"/>
          <w:lang w:val="fr-FR"/>
        </w:rPr>
        <w:t>’</w:t>
      </w:r>
      <w:r w:rsidRPr="00EF7E9A">
        <w:rPr>
          <w:szCs w:val="22"/>
          <w:lang w:val="fr-FR"/>
        </w:rPr>
        <w:t>Arrangement de Madrid et du Protocole y relatif</w:t>
      </w:r>
      <w:r w:rsidR="00106795" w:rsidRPr="00EF7E9A">
        <w:rPr>
          <w:szCs w:val="22"/>
          <w:lang w:val="fr-FR"/>
        </w:rPr>
        <w:t xml:space="preserve"> </w:t>
      </w:r>
      <w:r w:rsidRPr="00EF7E9A">
        <w:rPr>
          <w:szCs w:val="22"/>
          <w:lang w:val="fr-FR"/>
        </w:rPr>
        <w:t>et pour qu</w:t>
      </w:r>
      <w:r w:rsidR="00B64E9E" w:rsidRPr="00EF7E9A">
        <w:rPr>
          <w:szCs w:val="22"/>
          <w:lang w:val="fr-FR"/>
        </w:rPr>
        <w:t>’</w:t>
      </w:r>
      <w:r w:rsidRPr="00EF7E9A">
        <w:rPr>
          <w:szCs w:val="22"/>
          <w:lang w:val="fr-FR"/>
        </w:rPr>
        <w:t>il soit admis que l</w:t>
      </w:r>
      <w:r w:rsidR="00B64E9E" w:rsidRPr="00EF7E9A">
        <w:rPr>
          <w:szCs w:val="22"/>
          <w:lang w:val="fr-FR"/>
        </w:rPr>
        <w:t>’</w:t>
      </w:r>
      <w:r w:rsidRPr="00EF7E9A">
        <w:rPr>
          <w:szCs w:val="22"/>
          <w:lang w:val="fr-FR"/>
        </w:rPr>
        <w:t xml:space="preserve">Union de Madrid a le droit de </w:t>
      </w:r>
      <w:r w:rsidR="00754CD1" w:rsidRPr="00EF7E9A">
        <w:rPr>
          <w:szCs w:val="22"/>
          <w:lang w:val="fr-FR"/>
        </w:rPr>
        <w:t>décider ce qu</w:t>
      </w:r>
      <w:r w:rsidR="006B2A45" w:rsidRPr="00EF7E9A">
        <w:rPr>
          <w:szCs w:val="22"/>
          <w:lang w:val="fr-FR"/>
        </w:rPr>
        <w:t>’elle souhaite en faire</w:t>
      </w:r>
      <w:r w:rsidR="00106795" w:rsidRPr="00EF7E9A">
        <w:rPr>
          <w:szCs w:val="22"/>
          <w:lang w:val="fr-FR"/>
        </w:rPr>
        <w:t>.</w:t>
      </w:r>
    </w:p>
    <w:p w:rsidR="00320CCD" w:rsidRPr="00EF7E9A" w:rsidRDefault="00754CD1" w:rsidP="004F47CE">
      <w:pPr>
        <w:numPr>
          <w:ilvl w:val="0"/>
          <w:numId w:val="18"/>
        </w:numPr>
        <w:rPr>
          <w:szCs w:val="22"/>
          <w:lang w:val="fr-FR"/>
        </w:rPr>
      </w:pPr>
      <w:r w:rsidRPr="00EF7E9A">
        <w:rPr>
          <w:szCs w:val="22"/>
          <w:lang w:val="fr-FR"/>
        </w:rPr>
        <w:t>L</w:t>
      </w:r>
      <w:r w:rsidR="00B64E9E" w:rsidRPr="00EF7E9A">
        <w:rPr>
          <w:szCs w:val="22"/>
          <w:lang w:val="fr-FR"/>
        </w:rPr>
        <w:t>’</w:t>
      </w:r>
      <w:r w:rsidRPr="00EF7E9A">
        <w:rPr>
          <w:szCs w:val="22"/>
          <w:lang w:val="fr-FR"/>
        </w:rPr>
        <w:t>article</w:t>
      </w:r>
      <w:r w:rsidR="0073093E" w:rsidRPr="00EF7E9A">
        <w:rPr>
          <w:szCs w:val="22"/>
          <w:lang w:val="fr-FR"/>
        </w:rPr>
        <w:t> </w:t>
      </w:r>
      <w:r w:rsidR="00106795" w:rsidRPr="00EF7E9A">
        <w:rPr>
          <w:szCs w:val="22"/>
          <w:lang w:val="fr-FR"/>
        </w:rPr>
        <w:t>8</w:t>
      </w:r>
      <w:r w:rsidRPr="00EF7E9A">
        <w:rPr>
          <w:szCs w:val="22"/>
          <w:lang w:val="fr-FR"/>
        </w:rPr>
        <w:t>.</w:t>
      </w:r>
      <w:r w:rsidR="00106795" w:rsidRPr="00EF7E9A">
        <w:rPr>
          <w:szCs w:val="22"/>
          <w:lang w:val="fr-FR"/>
        </w:rPr>
        <w:t xml:space="preserve">4) </w:t>
      </w:r>
      <w:r w:rsidRPr="00EF7E9A">
        <w:rPr>
          <w:szCs w:val="22"/>
          <w:lang w:val="fr-FR"/>
        </w:rPr>
        <w:t>de l</w:t>
      </w:r>
      <w:r w:rsidR="00B64E9E" w:rsidRPr="00EF7E9A">
        <w:rPr>
          <w:szCs w:val="22"/>
          <w:lang w:val="fr-FR"/>
        </w:rPr>
        <w:t>’</w:t>
      </w:r>
      <w:r w:rsidRPr="00EF7E9A">
        <w:rPr>
          <w:szCs w:val="22"/>
          <w:lang w:val="fr-FR"/>
        </w:rPr>
        <w:t>Arrangement de Madrid et du Protocole y relatif prévoit qu</w:t>
      </w:r>
      <w:r w:rsidR="006B2A45" w:rsidRPr="00EF7E9A">
        <w:rPr>
          <w:szCs w:val="22"/>
          <w:lang w:val="fr-FR"/>
        </w:rPr>
        <w:t>e tout excédent de recettes do</w:t>
      </w:r>
      <w:r w:rsidRPr="00EF7E9A">
        <w:rPr>
          <w:szCs w:val="22"/>
          <w:lang w:val="fr-FR"/>
        </w:rPr>
        <w:t>it être reversé par parts égales aux parties contractantes</w:t>
      </w:r>
      <w:r w:rsidR="00106795" w:rsidRPr="00EF7E9A">
        <w:rPr>
          <w:szCs w:val="22"/>
          <w:lang w:val="fr-FR"/>
        </w:rPr>
        <w:t>.</w:t>
      </w:r>
    </w:p>
    <w:p w:rsidR="00B64E9E" w:rsidRPr="00EF7E9A" w:rsidRDefault="00754CD1" w:rsidP="004F47CE">
      <w:pPr>
        <w:numPr>
          <w:ilvl w:val="0"/>
          <w:numId w:val="18"/>
        </w:numPr>
        <w:rPr>
          <w:szCs w:val="22"/>
          <w:lang w:val="fr-FR"/>
        </w:rPr>
      </w:pPr>
      <w:r w:rsidRPr="00EF7E9A">
        <w:rPr>
          <w:szCs w:val="22"/>
          <w:lang w:val="fr-FR"/>
        </w:rPr>
        <w:t>L</w:t>
      </w:r>
      <w:r w:rsidR="00B64E9E" w:rsidRPr="00EF7E9A">
        <w:rPr>
          <w:szCs w:val="22"/>
          <w:lang w:val="fr-FR"/>
        </w:rPr>
        <w:t>’</w:t>
      </w:r>
      <w:r w:rsidRPr="00EF7E9A">
        <w:rPr>
          <w:szCs w:val="22"/>
          <w:lang w:val="fr-FR"/>
        </w:rPr>
        <w:t xml:space="preserve">historique du financement des différentes unions nous apprend que le système de Madrid </w:t>
      </w:r>
      <w:r w:rsidR="0071270A" w:rsidRPr="00EF7E9A">
        <w:rPr>
          <w:szCs w:val="22"/>
          <w:lang w:val="fr-FR"/>
        </w:rPr>
        <w:t xml:space="preserve">a accumulé un excédent </w:t>
      </w:r>
      <w:r w:rsidR="006B2A45" w:rsidRPr="00EF7E9A">
        <w:rPr>
          <w:szCs w:val="22"/>
          <w:lang w:val="fr-FR"/>
        </w:rPr>
        <w:t>qui était</w:t>
      </w:r>
      <w:r w:rsidR="0071270A" w:rsidRPr="00EF7E9A">
        <w:rPr>
          <w:szCs w:val="22"/>
          <w:lang w:val="fr-FR"/>
        </w:rPr>
        <w:t xml:space="preserve"> initialement </w:t>
      </w:r>
      <w:r w:rsidR="006B2A45" w:rsidRPr="00EF7E9A">
        <w:rPr>
          <w:szCs w:val="22"/>
          <w:lang w:val="fr-FR"/>
        </w:rPr>
        <w:t xml:space="preserve">prévu </w:t>
      </w:r>
      <w:r w:rsidR="0071270A" w:rsidRPr="00EF7E9A">
        <w:rPr>
          <w:szCs w:val="22"/>
          <w:lang w:val="fr-FR"/>
        </w:rPr>
        <w:t>pour financer le projet de modernisation du système informatique mais qui ne semble plus nécessaire</w:t>
      </w:r>
      <w:r w:rsidR="00106795" w:rsidRPr="00EF7E9A">
        <w:rPr>
          <w:szCs w:val="22"/>
          <w:lang w:val="fr-FR"/>
        </w:rPr>
        <w:t>.</w:t>
      </w:r>
    </w:p>
    <w:p w:rsidR="00320CCD" w:rsidRPr="00EF7E9A" w:rsidRDefault="0071270A" w:rsidP="004F47CE">
      <w:pPr>
        <w:numPr>
          <w:ilvl w:val="0"/>
          <w:numId w:val="18"/>
        </w:numPr>
        <w:rPr>
          <w:szCs w:val="22"/>
          <w:lang w:val="fr-FR"/>
        </w:rPr>
      </w:pPr>
      <w:r w:rsidRPr="00EF7E9A">
        <w:rPr>
          <w:szCs w:val="22"/>
          <w:lang w:val="fr-FR"/>
        </w:rPr>
        <w:t>Nous saurions gré au Secrétariat de bien vouloir fournir des renseignements actualisés sur les dépenses relatives aux projets informatiques dans le cadre du système de Madrid depuis</w:t>
      </w:r>
      <w:r w:rsidR="0073093E" w:rsidRPr="00EF7E9A">
        <w:rPr>
          <w:szCs w:val="22"/>
          <w:lang w:val="fr-FR"/>
        </w:rPr>
        <w:t> </w:t>
      </w:r>
      <w:r w:rsidRPr="00EF7E9A">
        <w:rPr>
          <w:szCs w:val="22"/>
          <w:lang w:val="fr-FR"/>
        </w:rPr>
        <w:t>2007</w:t>
      </w:r>
      <w:r w:rsidR="00106795" w:rsidRPr="00EF7E9A">
        <w:rPr>
          <w:szCs w:val="22"/>
          <w:lang w:val="fr-FR"/>
        </w:rPr>
        <w:t xml:space="preserve">, </w:t>
      </w:r>
      <w:r w:rsidRPr="00EF7E9A">
        <w:rPr>
          <w:szCs w:val="22"/>
          <w:lang w:val="fr-FR"/>
        </w:rPr>
        <w:t>les dépenses futures prévues</w:t>
      </w:r>
      <w:r w:rsidR="006B2A45" w:rsidRPr="00EF7E9A">
        <w:rPr>
          <w:szCs w:val="22"/>
          <w:lang w:val="fr-FR"/>
        </w:rPr>
        <w:t xml:space="preserve"> pour ces projets</w:t>
      </w:r>
      <w:r w:rsidRPr="00EF7E9A">
        <w:rPr>
          <w:szCs w:val="22"/>
          <w:lang w:val="fr-FR"/>
        </w:rPr>
        <w:t xml:space="preserve"> et les fonds de réserve </w:t>
      </w:r>
      <w:r w:rsidR="006B2A45" w:rsidRPr="00EF7E9A">
        <w:rPr>
          <w:szCs w:val="22"/>
          <w:lang w:val="fr-FR"/>
        </w:rPr>
        <w:t>éventuellement</w:t>
      </w:r>
      <w:r w:rsidRPr="00EF7E9A">
        <w:rPr>
          <w:szCs w:val="22"/>
          <w:lang w:val="fr-FR"/>
        </w:rPr>
        <w:t xml:space="preserve"> nécessaires</w:t>
      </w:r>
      <w:r w:rsidR="00106795" w:rsidRPr="00EF7E9A">
        <w:rPr>
          <w:szCs w:val="22"/>
          <w:lang w:val="fr-FR"/>
        </w:rPr>
        <w:t>.</w:t>
      </w:r>
    </w:p>
    <w:p w:rsidR="00320CCD" w:rsidRPr="00EF7E9A" w:rsidRDefault="0071270A" w:rsidP="004F47CE">
      <w:pPr>
        <w:numPr>
          <w:ilvl w:val="0"/>
          <w:numId w:val="18"/>
        </w:numPr>
        <w:rPr>
          <w:szCs w:val="22"/>
          <w:lang w:val="fr-FR"/>
        </w:rPr>
      </w:pPr>
      <w:r w:rsidRPr="00EF7E9A">
        <w:rPr>
          <w:szCs w:val="22"/>
          <w:lang w:val="fr-FR"/>
        </w:rPr>
        <w:t xml:space="preserve">Nous pensons </w:t>
      </w:r>
      <w:r w:rsidR="009A312D" w:rsidRPr="00EF7E9A">
        <w:rPr>
          <w:szCs w:val="22"/>
          <w:lang w:val="fr-FR"/>
        </w:rPr>
        <w:t>qu</w:t>
      </w:r>
      <w:r w:rsidR="00B64E9E" w:rsidRPr="00EF7E9A">
        <w:rPr>
          <w:szCs w:val="22"/>
          <w:lang w:val="fr-FR"/>
        </w:rPr>
        <w:t>’</w:t>
      </w:r>
      <w:r w:rsidR="009A312D" w:rsidRPr="00EF7E9A">
        <w:rPr>
          <w:szCs w:val="22"/>
          <w:lang w:val="fr-FR"/>
        </w:rPr>
        <w:t>il faut réexaminer</w:t>
      </w:r>
      <w:r w:rsidRPr="00EF7E9A">
        <w:rPr>
          <w:szCs w:val="22"/>
          <w:lang w:val="fr-FR"/>
        </w:rPr>
        <w:t xml:space="preserve"> la question de</w:t>
      </w:r>
      <w:r w:rsidR="006B2A45" w:rsidRPr="00EF7E9A">
        <w:rPr>
          <w:szCs w:val="22"/>
          <w:lang w:val="fr-FR"/>
        </w:rPr>
        <w:t>s</w:t>
      </w:r>
      <w:r w:rsidRPr="00EF7E9A">
        <w:rPr>
          <w:szCs w:val="22"/>
          <w:lang w:val="fr-FR"/>
        </w:rPr>
        <w:t xml:space="preserve"> excédent</w:t>
      </w:r>
      <w:r w:rsidR="006B2A45" w:rsidRPr="00EF7E9A">
        <w:rPr>
          <w:szCs w:val="22"/>
          <w:lang w:val="fr-FR"/>
        </w:rPr>
        <w:t>s</w:t>
      </w:r>
      <w:r w:rsidRPr="00EF7E9A">
        <w:rPr>
          <w:szCs w:val="22"/>
          <w:lang w:val="fr-FR"/>
        </w:rPr>
        <w:t xml:space="preserve"> de recettes afin de déterminer </w:t>
      </w:r>
      <w:r w:rsidR="009A312D" w:rsidRPr="00EF7E9A">
        <w:rPr>
          <w:szCs w:val="22"/>
          <w:lang w:val="fr-FR"/>
        </w:rPr>
        <w:t>s</w:t>
      </w:r>
      <w:r w:rsidR="00B64E9E" w:rsidRPr="00EF7E9A">
        <w:rPr>
          <w:szCs w:val="22"/>
          <w:lang w:val="fr-FR"/>
        </w:rPr>
        <w:t>’</w:t>
      </w:r>
      <w:r w:rsidR="009A312D" w:rsidRPr="00EF7E9A">
        <w:rPr>
          <w:szCs w:val="22"/>
          <w:lang w:val="fr-FR"/>
        </w:rPr>
        <w:t>il convient de répartir les excédents entre les</w:t>
      </w:r>
      <w:r w:rsidRPr="00EF7E9A">
        <w:rPr>
          <w:szCs w:val="22"/>
          <w:lang w:val="fr-FR"/>
        </w:rPr>
        <w:t xml:space="preserve"> parties </w:t>
      </w:r>
      <w:r w:rsidR="006B2A45" w:rsidRPr="00EF7E9A">
        <w:rPr>
          <w:szCs w:val="22"/>
          <w:lang w:val="fr-FR"/>
        </w:rPr>
        <w:t>à l’Arrangement</w:t>
      </w:r>
      <w:r w:rsidRPr="00EF7E9A">
        <w:rPr>
          <w:szCs w:val="22"/>
          <w:lang w:val="fr-FR"/>
        </w:rPr>
        <w:t xml:space="preserve"> de Madrid conformément à l</w:t>
      </w:r>
      <w:r w:rsidR="00B64E9E" w:rsidRPr="00EF7E9A">
        <w:rPr>
          <w:szCs w:val="22"/>
          <w:lang w:val="fr-FR"/>
        </w:rPr>
        <w:t>’</w:t>
      </w:r>
      <w:r w:rsidRPr="00EF7E9A">
        <w:rPr>
          <w:szCs w:val="22"/>
          <w:lang w:val="fr-FR"/>
        </w:rPr>
        <w:t>article</w:t>
      </w:r>
      <w:r w:rsidR="0073093E" w:rsidRPr="00EF7E9A">
        <w:rPr>
          <w:szCs w:val="22"/>
          <w:lang w:val="fr-FR"/>
        </w:rPr>
        <w:t> </w:t>
      </w:r>
      <w:r w:rsidRPr="00EF7E9A">
        <w:rPr>
          <w:szCs w:val="22"/>
          <w:lang w:val="fr-FR"/>
        </w:rPr>
        <w:t xml:space="preserve">8.4) ou </w:t>
      </w:r>
      <w:r w:rsidR="009A312D" w:rsidRPr="00EF7E9A">
        <w:rPr>
          <w:szCs w:val="22"/>
          <w:lang w:val="fr-FR"/>
        </w:rPr>
        <w:t>de les verser dans le fonds de réserve de l</w:t>
      </w:r>
      <w:r w:rsidR="00B64E9E" w:rsidRPr="00EF7E9A">
        <w:rPr>
          <w:szCs w:val="22"/>
          <w:lang w:val="fr-FR"/>
        </w:rPr>
        <w:t>’</w:t>
      </w:r>
      <w:r w:rsidR="009A312D" w:rsidRPr="00EF7E9A">
        <w:rPr>
          <w:szCs w:val="22"/>
          <w:lang w:val="fr-FR"/>
        </w:rPr>
        <w:t>Union de Madrid, dont le niveau serait alors sensiblement supérieur au niveau requis et souhaitable</w:t>
      </w:r>
      <w:r w:rsidR="00106795" w:rsidRPr="00EF7E9A">
        <w:rPr>
          <w:szCs w:val="22"/>
          <w:lang w:val="fr-FR"/>
        </w:rPr>
        <w:t>.</w:t>
      </w:r>
    </w:p>
    <w:p w:rsidR="00B64E9E" w:rsidRPr="00EF7E9A" w:rsidRDefault="009A312D" w:rsidP="004F47CE">
      <w:pPr>
        <w:numPr>
          <w:ilvl w:val="0"/>
          <w:numId w:val="18"/>
        </w:numPr>
        <w:rPr>
          <w:szCs w:val="22"/>
          <w:lang w:val="fr-FR"/>
        </w:rPr>
      </w:pPr>
      <w:r w:rsidRPr="00EF7E9A">
        <w:rPr>
          <w:szCs w:val="22"/>
          <w:lang w:val="fr-FR"/>
        </w:rPr>
        <w:t>L</w:t>
      </w:r>
      <w:r w:rsidR="00B64E9E" w:rsidRPr="00EF7E9A">
        <w:rPr>
          <w:szCs w:val="22"/>
          <w:lang w:val="fr-FR"/>
        </w:rPr>
        <w:t>’</w:t>
      </w:r>
      <w:r w:rsidRPr="00EF7E9A">
        <w:rPr>
          <w:szCs w:val="22"/>
          <w:lang w:val="fr-FR"/>
        </w:rPr>
        <w:t>Assemblée de l</w:t>
      </w:r>
      <w:r w:rsidR="00B64E9E" w:rsidRPr="00EF7E9A">
        <w:rPr>
          <w:szCs w:val="22"/>
          <w:lang w:val="fr-FR"/>
        </w:rPr>
        <w:t>’</w:t>
      </w:r>
      <w:r w:rsidRPr="00EF7E9A">
        <w:rPr>
          <w:szCs w:val="22"/>
          <w:lang w:val="fr-FR"/>
        </w:rPr>
        <w:t xml:space="preserve">Union de Madrid a </w:t>
      </w:r>
      <w:r w:rsidR="006B2A45" w:rsidRPr="00EF7E9A">
        <w:rPr>
          <w:szCs w:val="22"/>
          <w:lang w:val="fr-FR"/>
        </w:rPr>
        <w:t xml:space="preserve">plusieurs fois </w:t>
      </w:r>
      <w:r w:rsidRPr="00EF7E9A">
        <w:rPr>
          <w:szCs w:val="22"/>
          <w:lang w:val="fr-FR"/>
        </w:rPr>
        <w:t xml:space="preserve">pris la décision auparavant de répartir les excédents ou de les </w:t>
      </w:r>
      <w:r w:rsidR="006B2A45" w:rsidRPr="00EF7E9A">
        <w:rPr>
          <w:szCs w:val="22"/>
          <w:lang w:val="fr-FR"/>
        </w:rPr>
        <w:t>allouer au</w:t>
      </w:r>
      <w:r w:rsidRPr="00EF7E9A">
        <w:rPr>
          <w:szCs w:val="22"/>
          <w:lang w:val="fr-FR"/>
        </w:rPr>
        <w:t xml:space="preserve"> fonds de réserve, selon la nature des projets en cours présentant un intérêt pour l</w:t>
      </w:r>
      <w:r w:rsidR="00B64E9E" w:rsidRPr="00EF7E9A">
        <w:rPr>
          <w:szCs w:val="22"/>
          <w:lang w:val="fr-FR"/>
        </w:rPr>
        <w:t>’</w:t>
      </w:r>
      <w:r w:rsidRPr="00EF7E9A">
        <w:rPr>
          <w:szCs w:val="22"/>
          <w:lang w:val="fr-FR"/>
        </w:rPr>
        <w:t>union</w:t>
      </w:r>
      <w:r w:rsidR="00106795" w:rsidRPr="00EF7E9A">
        <w:rPr>
          <w:rStyle w:val="FootnoteReference"/>
          <w:szCs w:val="22"/>
          <w:lang w:val="fr-FR"/>
        </w:rPr>
        <w:footnoteReference w:id="2"/>
      </w:r>
      <w:r w:rsidRPr="00EF7E9A">
        <w:rPr>
          <w:szCs w:val="22"/>
          <w:lang w:val="fr-FR"/>
        </w:rPr>
        <w:t>.</w:t>
      </w:r>
    </w:p>
    <w:p w:rsidR="00B64E9E" w:rsidRPr="00EF7E9A" w:rsidRDefault="009A312D" w:rsidP="004F47CE">
      <w:pPr>
        <w:numPr>
          <w:ilvl w:val="0"/>
          <w:numId w:val="19"/>
        </w:numPr>
        <w:rPr>
          <w:szCs w:val="22"/>
          <w:lang w:val="fr-FR"/>
        </w:rPr>
      </w:pPr>
      <w:r w:rsidRPr="00EF7E9A">
        <w:rPr>
          <w:szCs w:val="22"/>
          <w:lang w:val="fr-FR"/>
        </w:rPr>
        <w:t>De 1</w:t>
      </w:r>
      <w:r w:rsidR="00106795" w:rsidRPr="00EF7E9A">
        <w:rPr>
          <w:szCs w:val="22"/>
          <w:lang w:val="fr-FR"/>
        </w:rPr>
        <w:t xml:space="preserve">972 </w:t>
      </w:r>
      <w:r w:rsidRPr="00EF7E9A">
        <w:rPr>
          <w:szCs w:val="22"/>
          <w:lang w:val="fr-FR"/>
        </w:rPr>
        <w:t>à</w:t>
      </w:r>
      <w:r w:rsidR="00106795" w:rsidRPr="00EF7E9A">
        <w:rPr>
          <w:szCs w:val="22"/>
          <w:lang w:val="fr-FR"/>
        </w:rPr>
        <w:t xml:space="preserve"> 1990, </w:t>
      </w:r>
      <w:r w:rsidRPr="00EF7E9A">
        <w:rPr>
          <w:szCs w:val="22"/>
          <w:lang w:val="fr-FR"/>
        </w:rPr>
        <w:t>l</w:t>
      </w:r>
      <w:r w:rsidR="00B64E9E" w:rsidRPr="00EF7E9A">
        <w:rPr>
          <w:szCs w:val="22"/>
          <w:lang w:val="fr-FR"/>
        </w:rPr>
        <w:t>’</w:t>
      </w:r>
      <w:r w:rsidR="006B2A45" w:rsidRPr="00EF7E9A">
        <w:rPr>
          <w:szCs w:val="22"/>
          <w:lang w:val="fr-FR"/>
        </w:rPr>
        <w:t>assemblée a</w:t>
      </w:r>
      <w:r w:rsidRPr="00EF7E9A">
        <w:rPr>
          <w:szCs w:val="22"/>
          <w:lang w:val="fr-FR"/>
        </w:rPr>
        <w:t xml:space="preserve"> décidé de répartir les excédents entre les parties contractantes</w:t>
      </w:r>
      <w:r w:rsidR="00106795" w:rsidRPr="00EF7E9A">
        <w:rPr>
          <w:szCs w:val="22"/>
          <w:lang w:val="fr-FR"/>
        </w:rPr>
        <w:t>.</w:t>
      </w:r>
    </w:p>
    <w:p w:rsidR="00320CCD" w:rsidRPr="00EF7E9A" w:rsidRDefault="009A312D" w:rsidP="004F47CE">
      <w:pPr>
        <w:numPr>
          <w:ilvl w:val="0"/>
          <w:numId w:val="19"/>
        </w:numPr>
        <w:rPr>
          <w:szCs w:val="22"/>
          <w:lang w:val="fr-FR"/>
        </w:rPr>
      </w:pPr>
      <w:r w:rsidRPr="00EF7E9A">
        <w:rPr>
          <w:szCs w:val="22"/>
          <w:lang w:val="fr-FR"/>
        </w:rPr>
        <w:t>En</w:t>
      </w:r>
      <w:r w:rsidR="0073093E" w:rsidRPr="00EF7E9A">
        <w:rPr>
          <w:szCs w:val="22"/>
          <w:lang w:val="fr-FR"/>
        </w:rPr>
        <w:t> </w:t>
      </w:r>
      <w:r w:rsidR="00106795" w:rsidRPr="00EF7E9A">
        <w:rPr>
          <w:szCs w:val="22"/>
          <w:lang w:val="fr-FR"/>
        </w:rPr>
        <w:t xml:space="preserve">1990, </w:t>
      </w:r>
      <w:r w:rsidRPr="00EF7E9A">
        <w:rPr>
          <w:szCs w:val="22"/>
          <w:lang w:val="fr-FR"/>
        </w:rPr>
        <w:t>l</w:t>
      </w:r>
      <w:r w:rsidR="00B64E9E" w:rsidRPr="00EF7E9A">
        <w:rPr>
          <w:szCs w:val="22"/>
          <w:lang w:val="fr-FR"/>
        </w:rPr>
        <w:t>’</w:t>
      </w:r>
      <w:r w:rsidRPr="00EF7E9A">
        <w:rPr>
          <w:szCs w:val="22"/>
          <w:lang w:val="fr-FR"/>
        </w:rPr>
        <w:t xml:space="preserve">assemblée a décidé de les allouer aux programmes de modernisation </w:t>
      </w:r>
      <w:r w:rsidR="00CF678D" w:rsidRPr="00EF7E9A">
        <w:rPr>
          <w:szCs w:val="22"/>
          <w:lang w:val="fr-FR"/>
        </w:rPr>
        <w:t xml:space="preserve">du système </w:t>
      </w:r>
      <w:r w:rsidRPr="00EF7E9A">
        <w:rPr>
          <w:szCs w:val="22"/>
          <w:lang w:val="fr-FR"/>
        </w:rPr>
        <w:t>informatique</w:t>
      </w:r>
      <w:r w:rsidR="00106795" w:rsidRPr="00EF7E9A">
        <w:rPr>
          <w:szCs w:val="22"/>
          <w:lang w:val="fr-FR"/>
        </w:rPr>
        <w:t>.</w:t>
      </w:r>
    </w:p>
    <w:p w:rsidR="00320CCD" w:rsidRPr="00EF7E9A" w:rsidRDefault="009A312D" w:rsidP="004F47CE">
      <w:pPr>
        <w:numPr>
          <w:ilvl w:val="0"/>
          <w:numId w:val="19"/>
        </w:numPr>
        <w:rPr>
          <w:szCs w:val="22"/>
          <w:lang w:val="fr-FR"/>
        </w:rPr>
      </w:pPr>
      <w:r w:rsidRPr="00EF7E9A">
        <w:rPr>
          <w:szCs w:val="22"/>
          <w:lang w:val="fr-FR"/>
        </w:rPr>
        <w:t>E</w:t>
      </w:r>
      <w:r w:rsidR="00106795" w:rsidRPr="00EF7E9A">
        <w:rPr>
          <w:szCs w:val="22"/>
          <w:lang w:val="fr-FR"/>
        </w:rPr>
        <w:t>n</w:t>
      </w:r>
      <w:r w:rsidR="0073093E" w:rsidRPr="00EF7E9A">
        <w:rPr>
          <w:szCs w:val="22"/>
          <w:lang w:val="fr-FR"/>
        </w:rPr>
        <w:t> </w:t>
      </w:r>
      <w:r w:rsidR="00106795" w:rsidRPr="00EF7E9A">
        <w:rPr>
          <w:szCs w:val="22"/>
          <w:lang w:val="fr-FR"/>
        </w:rPr>
        <w:t xml:space="preserve">2000, </w:t>
      </w:r>
      <w:r w:rsidRPr="00EF7E9A">
        <w:rPr>
          <w:szCs w:val="22"/>
          <w:lang w:val="fr-FR"/>
        </w:rPr>
        <w:t>l</w:t>
      </w:r>
      <w:r w:rsidR="00B64E9E" w:rsidRPr="00EF7E9A">
        <w:rPr>
          <w:szCs w:val="22"/>
          <w:lang w:val="fr-FR"/>
        </w:rPr>
        <w:t>’</w:t>
      </w:r>
      <w:r w:rsidRPr="00EF7E9A">
        <w:rPr>
          <w:szCs w:val="22"/>
          <w:lang w:val="fr-FR"/>
        </w:rPr>
        <w:t>assemblée a décidé à nouveau de les répartir</w:t>
      </w:r>
      <w:r w:rsidR="00106795" w:rsidRPr="00EF7E9A">
        <w:rPr>
          <w:szCs w:val="22"/>
          <w:lang w:val="fr-FR"/>
        </w:rPr>
        <w:t>.</w:t>
      </w:r>
    </w:p>
    <w:p w:rsidR="00320CCD" w:rsidRPr="00EF7E9A" w:rsidRDefault="009A312D" w:rsidP="004F47CE">
      <w:pPr>
        <w:numPr>
          <w:ilvl w:val="0"/>
          <w:numId w:val="19"/>
        </w:numPr>
        <w:rPr>
          <w:szCs w:val="22"/>
          <w:lang w:val="fr-FR"/>
        </w:rPr>
      </w:pPr>
      <w:r w:rsidRPr="00EF7E9A">
        <w:rPr>
          <w:szCs w:val="22"/>
          <w:lang w:val="fr-FR"/>
        </w:rPr>
        <w:lastRenderedPageBreak/>
        <w:t>En</w:t>
      </w:r>
      <w:r w:rsidR="0073093E" w:rsidRPr="00EF7E9A">
        <w:rPr>
          <w:szCs w:val="22"/>
          <w:lang w:val="fr-FR"/>
        </w:rPr>
        <w:t> </w:t>
      </w:r>
      <w:r w:rsidR="00106795" w:rsidRPr="00EF7E9A">
        <w:rPr>
          <w:szCs w:val="22"/>
          <w:lang w:val="fr-FR"/>
        </w:rPr>
        <w:t xml:space="preserve">2007, </w:t>
      </w:r>
      <w:r w:rsidRPr="00EF7E9A">
        <w:rPr>
          <w:szCs w:val="22"/>
          <w:lang w:val="fr-FR"/>
        </w:rPr>
        <w:t>en prévision d</w:t>
      </w:r>
      <w:r w:rsidR="00B64E9E" w:rsidRPr="00EF7E9A">
        <w:rPr>
          <w:szCs w:val="22"/>
          <w:lang w:val="fr-FR"/>
        </w:rPr>
        <w:t>’</w:t>
      </w:r>
      <w:r w:rsidRPr="00EF7E9A">
        <w:rPr>
          <w:szCs w:val="22"/>
          <w:lang w:val="fr-FR"/>
        </w:rPr>
        <w:t>un excédent substantiel, les membres de l</w:t>
      </w:r>
      <w:r w:rsidR="00B64E9E" w:rsidRPr="00EF7E9A">
        <w:rPr>
          <w:szCs w:val="22"/>
          <w:lang w:val="fr-FR"/>
        </w:rPr>
        <w:t>’</w:t>
      </w:r>
      <w:r w:rsidR="006B2A45" w:rsidRPr="00EF7E9A">
        <w:rPr>
          <w:szCs w:val="22"/>
          <w:lang w:val="fr-FR"/>
        </w:rPr>
        <w:t>Union de Madrid o</w:t>
      </w:r>
      <w:r w:rsidRPr="00EF7E9A">
        <w:rPr>
          <w:szCs w:val="22"/>
          <w:lang w:val="fr-FR"/>
        </w:rPr>
        <w:t>nt décidé de conserver l</w:t>
      </w:r>
      <w:r w:rsidR="00B64E9E" w:rsidRPr="00EF7E9A">
        <w:rPr>
          <w:szCs w:val="22"/>
          <w:lang w:val="fr-FR"/>
        </w:rPr>
        <w:t>’</w:t>
      </w:r>
      <w:r w:rsidRPr="00EF7E9A">
        <w:rPr>
          <w:szCs w:val="22"/>
          <w:lang w:val="fr-FR"/>
        </w:rPr>
        <w:t xml:space="preserve">excédent pour financer </w:t>
      </w:r>
      <w:r w:rsidR="006B2A45" w:rsidRPr="00EF7E9A">
        <w:rPr>
          <w:szCs w:val="22"/>
          <w:lang w:val="fr-FR"/>
        </w:rPr>
        <w:t xml:space="preserve">à nouveau </w:t>
      </w:r>
      <w:r w:rsidRPr="00EF7E9A">
        <w:rPr>
          <w:szCs w:val="22"/>
          <w:lang w:val="fr-FR"/>
        </w:rPr>
        <w:t>la mise en œuvre des programmes</w:t>
      </w:r>
      <w:r w:rsidR="00CF678D" w:rsidRPr="00EF7E9A">
        <w:rPr>
          <w:szCs w:val="22"/>
          <w:lang w:val="fr-FR"/>
        </w:rPr>
        <w:t xml:space="preserve"> de modernisation du système informatique</w:t>
      </w:r>
      <w:r w:rsidR="00106795" w:rsidRPr="00EF7E9A">
        <w:rPr>
          <w:szCs w:val="22"/>
          <w:lang w:val="fr-FR"/>
        </w:rPr>
        <w:t>.</w:t>
      </w:r>
    </w:p>
    <w:p w:rsidR="00320CCD" w:rsidRPr="00EF7E9A" w:rsidRDefault="00706B1B" w:rsidP="004F47CE">
      <w:pPr>
        <w:numPr>
          <w:ilvl w:val="0"/>
          <w:numId w:val="18"/>
        </w:numPr>
        <w:rPr>
          <w:szCs w:val="22"/>
          <w:lang w:val="fr-FR"/>
        </w:rPr>
      </w:pPr>
      <w:r w:rsidRPr="00EF7E9A">
        <w:rPr>
          <w:szCs w:val="22"/>
          <w:lang w:val="fr-FR"/>
        </w:rPr>
        <w:t>Depuis, les travaux de modernisation du système informatique ont</w:t>
      </w:r>
      <w:r w:rsidR="00EF7E9A" w:rsidRPr="00EF7E9A">
        <w:rPr>
          <w:szCs w:val="22"/>
          <w:lang w:val="fr-FR"/>
        </w:rPr>
        <w:t xml:space="preserve"> été</w:t>
      </w:r>
      <w:r w:rsidRPr="00EF7E9A">
        <w:rPr>
          <w:szCs w:val="22"/>
          <w:lang w:val="fr-FR"/>
        </w:rPr>
        <w:t xml:space="preserve"> terminés et l</w:t>
      </w:r>
      <w:r w:rsidR="00B64E9E" w:rsidRPr="00EF7E9A">
        <w:rPr>
          <w:szCs w:val="22"/>
          <w:lang w:val="fr-FR"/>
        </w:rPr>
        <w:t>’</w:t>
      </w:r>
      <w:r w:rsidRPr="00EF7E9A">
        <w:rPr>
          <w:szCs w:val="22"/>
          <w:lang w:val="fr-FR"/>
        </w:rPr>
        <w:t xml:space="preserve">excédent </w:t>
      </w:r>
      <w:r w:rsidR="00EF7E9A" w:rsidRPr="00EF7E9A">
        <w:rPr>
          <w:szCs w:val="22"/>
          <w:lang w:val="fr-FR"/>
        </w:rPr>
        <w:t xml:space="preserve">a </w:t>
      </w:r>
      <w:r w:rsidRPr="00EF7E9A">
        <w:rPr>
          <w:szCs w:val="22"/>
          <w:lang w:val="fr-FR"/>
        </w:rPr>
        <w:t>continu</w:t>
      </w:r>
      <w:r w:rsidR="00EF7E9A" w:rsidRPr="00EF7E9A">
        <w:rPr>
          <w:szCs w:val="22"/>
          <w:lang w:val="fr-FR"/>
        </w:rPr>
        <w:t>é</w:t>
      </w:r>
      <w:r w:rsidRPr="00EF7E9A">
        <w:rPr>
          <w:szCs w:val="22"/>
          <w:lang w:val="fr-FR"/>
        </w:rPr>
        <w:t xml:space="preserve"> de croître</w:t>
      </w:r>
      <w:r w:rsidR="00106795" w:rsidRPr="00EF7E9A">
        <w:rPr>
          <w:szCs w:val="22"/>
          <w:lang w:val="fr-FR"/>
        </w:rPr>
        <w:t>.</w:t>
      </w:r>
    </w:p>
    <w:p w:rsidR="00320CCD" w:rsidRPr="00EF7E9A" w:rsidRDefault="00706B1B" w:rsidP="004F47CE">
      <w:pPr>
        <w:numPr>
          <w:ilvl w:val="0"/>
          <w:numId w:val="18"/>
        </w:numPr>
        <w:rPr>
          <w:szCs w:val="22"/>
          <w:lang w:val="fr-FR"/>
        </w:rPr>
      </w:pPr>
      <w:r w:rsidRPr="00EF7E9A">
        <w:rPr>
          <w:szCs w:val="22"/>
          <w:lang w:val="fr-FR"/>
        </w:rPr>
        <w:t>Aujourd</w:t>
      </w:r>
      <w:r w:rsidR="00B64E9E" w:rsidRPr="00EF7E9A">
        <w:rPr>
          <w:szCs w:val="22"/>
          <w:lang w:val="fr-FR"/>
        </w:rPr>
        <w:t>’</w:t>
      </w:r>
      <w:r w:rsidRPr="00EF7E9A">
        <w:rPr>
          <w:szCs w:val="22"/>
          <w:lang w:val="fr-FR"/>
        </w:rPr>
        <w:t>hui, il ressort des documents</w:t>
      </w:r>
      <w:r w:rsidR="00106795" w:rsidRPr="00EF7E9A">
        <w:rPr>
          <w:szCs w:val="22"/>
          <w:lang w:val="fr-FR"/>
        </w:rPr>
        <w:t xml:space="preserve"> A/55/6</w:t>
      </w:r>
      <w:r w:rsidRPr="00EF7E9A">
        <w:rPr>
          <w:szCs w:val="22"/>
          <w:lang w:val="fr-FR"/>
        </w:rPr>
        <w:t xml:space="preserve"> (Rapport sur l</w:t>
      </w:r>
      <w:r w:rsidR="00B64E9E" w:rsidRPr="00EF7E9A">
        <w:rPr>
          <w:szCs w:val="22"/>
          <w:lang w:val="fr-FR"/>
        </w:rPr>
        <w:t>’</w:t>
      </w:r>
      <w:r w:rsidRPr="00EF7E9A">
        <w:rPr>
          <w:szCs w:val="22"/>
          <w:lang w:val="fr-FR"/>
        </w:rPr>
        <w:t>exécution du programme en</w:t>
      </w:r>
      <w:r w:rsidR="0073093E" w:rsidRPr="00EF7E9A">
        <w:rPr>
          <w:szCs w:val="22"/>
          <w:lang w:val="fr-FR"/>
        </w:rPr>
        <w:t> </w:t>
      </w:r>
      <w:r w:rsidRPr="00EF7E9A">
        <w:rPr>
          <w:szCs w:val="22"/>
          <w:lang w:val="fr-FR"/>
        </w:rPr>
        <w:t xml:space="preserve">2014) et </w:t>
      </w:r>
      <w:r w:rsidR="00106795" w:rsidRPr="00EF7E9A">
        <w:rPr>
          <w:szCs w:val="22"/>
          <w:lang w:val="fr-FR"/>
        </w:rPr>
        <w:t xml:space="preserve">A/55/5 </w:t>
      </w:r>
      <w:proofErr w:type="spellStart"/>
      <w:r w:rsidR="00106795" w:rsidRPr="00EF7E9A">
        <w:rPr>
          <w:szCs w:val="22"/>
          <w:lang w:val="fr-FR"/>
        </w:rPr>
        <w:t>R</w:t>
      </w:r>
      <w:r w:rsidR="006B2A45" w:rsidRPr="00EF7E9A">
        <w:rPr>
          <w:szCs w:val="22"/>
          <w:lang w:val="fr-FR"/>
        </w:rPr>
        <w:t>ev</w:t>
      </w:r>
      <w:proofErr w:type="spellEnd"/>
      <w:r w:rsidR="006B2A45" w:rsidRPr="00EF7E9A">
        <w:rPr>
          <w:szCs w:val="22"/>
          <w:lang w:val="fr-FR"/>
        </w:rPr>
        <w:t>.</w:t>
      </w:r>
      <w:r w:rsidRPr="00EF7E9A">
        <w:rPr>
          <w:szCs w:val="22"/>
          <w:lang w:val="fr-FR"/>
        </w:rPr>
        <w:t xml:space="preserve"> (Programme et budget proposé pour l</w:t>
      </w:r>
      <w:r w:rsidR="00B64E9E" w:rsidRPr="00EF7E9A">
        <w:rPr>
          <w:szCs w:val="22"/>
          <w:lang w:val="fr-FR"/>
        </w:rPr>
        <w:t>’</w:t>
      </w:r>
      <w:r w:rsidRPr="00EF7E9A">
        <w:rPr>
          <w:szCs w:val="22"/>
          <w:lang w:val="fr-FR"/>
        </w:rPr>
        <w:t>exercice biennal</w:t>
      </w:r>
      <w:r w:rsidR="0073093E" w:rsidRPr="00EF7E9A">
        <w:rPr>
          <w:szCs w:val="22"/>
          <w:lang w:val="fr-FR"/>
        </w:rPr>
        <w:t> </w:t>
      </w:r>
      <w:r w:rsidRPr="00EF7E9A">
        <w:rPr>
          <w:szCs w:val="22"/>
          <w:lang w:val="fr-FR"/>
        </w:rPr>
        <w:t>2016</w:t>
      </w:r>
      <w:r w:rsidR="00B673C6" w:rsidRPr="00EF7E9A">
        <w:rPr>
          <w:szCs w:val="22"/>
          <w:lang w:val="fr-FR"/>
        </w:rPr>
        <w:noBreakHyphen/>
      </w:r>
      <w:r w:rsidRPr="00EF7E9A">
        <w:rPr>
          <w:szCs w:val="22"/>
          <w:lang w:val="fr-FR"/>
        </w:rPr>
        <w:t>2017) que les fonds de réserve et de roulement de l</w:t>
      </w:r>
      <w:r w:rsidR="00B64E9E" w:rsidRPr="00EF7E9A">
        <w:rPr>
          <w:szCs w:val="22"/>
          <w:lang w:val="fr-FR"/>
        </w:rPr>
        <w:t>’</w:t>
      </w:r>
      <w:r w:rsidRPr="00EF7E9A">
        <w:rPr>
          <w:szCs w:val="22"/>
          <w:lang w:val="fr-FR"/>
        </w:rPr>
        <w:t>Union de Madrid dépassent de 15</w:t>
      </w:r>
      <w:r w:rsidR="0073093E" w:rsidRPr="00EF7E9A">
        <w:rPr>
          <w:szCs w:val="22"/>
          <w:lang w:val="fr-FR"/>
        </w:rPr>
        <w:t> </w:t>
      </w:r>
      <w:r w:rsidRPr="00EF7E9A">
        <w:rPr>
          <w:szCs w:val="22"/>
          <w:lang w:val="fr-FR"/>
        </w:rPr>
        <w:t xml:space="preserve">millions de francs suisses le </w:t>
      </w:r>
      <w:r w:rsidR="006B2A45" w:rsidRPr="00EF7E9A">
        <w:rPr>
          <w:szCs w:val="22"/>
          <w:lang w:val="fr-FR"/>
        </w:rPr>
        <w:t>montant prévu de</w:t>
      </w:r>
      <w:r w:rsidRPr="00EF7E9A">
        <w:rPr>
          <w:szCs w:val="22"/>
          <w:lang w:val="fr-FR"/>
        </w:rPr>
        <w:t xml:space="preserve"> 31,5</w:t>
      </w:r>
      <w:r w:rsidR="0073093E" w:rsidRPr="00EF7E9A">
        <w:rPr>
          <w:szCs w:val="22"/>
          <w:lang w:val="fr-FR"/>
        </w:rPr>
        <w:t> </w:t>
      </w:r>
      <w:r w:rsidRPr="00EF7E9A">
        <w:rPr>
          <w:szCs w:val="22"/>
          <w:lang w:val="fr-FR"/>
        </w:rPr>
        <w:t>millions pour l</w:t>
      </w:r>
      <w:r w:rsidR="00B64E9E" w:rsidRPr="00EF7E9A">
        <w:rPr>
          <w:szCs w:val="22"/>
          <w:lang w:val="fr-FR"/>
        </w:rPr>
        <w:t>’</w:t>
      </w:r>
      <w:r w:rsidRPr="00EF7E9A">
        <w:rPr>
          <w:szCs w:val="22"/>
          <w:lang w:val="fr-FR"/>
        </w:rPr>
        <w:t>exercice biennal</w:t>
      </w:r>
      <w:r w:rsidR="0073093E" w:rsidRPr="00EF7E9A">
        <w:rPr>
          <w:szCs w:val="22"/>
          <w:lang w:val="fr-FR"/>
        </w:rPr>
        <w:t> </w:t>
      </w:r>
      <w:r w:rsidRPr="00EF7E9A">
        <w:rPr>
          <w:szCs w:val="22"/>
          <w:lang w:val="fr-FR"/>
        </w:rPr>
        <w:t>2016</w:t>
      </w:r>
      <w:r w:rsidR="00B673C6" w:rsidRPr="00EF7E9A">
        <w:rPr>
          <w:szCs w:val="22"/>
          <w:lang w:val="fr-FR"/>
        </w:rPr>
        <w:noBreakHyphen/>
      </w:r>
      <w:r w:rsidRPr="00EF7E9A">
        <w:rPr>
          <w:szCs w:val="22"/>
          <w:lang w:val="fr-FR"/>
        </w:rPr>
        <w:t>2017</w:t>
      </w:r>
      <w:r w:rsidR="00106795" w:rsidRPr="00EF7E9A">
        <w:rPr>
          <w:szCs w:val="22"/>
          <w:lang w:val="fr-FR"/>
        </w:rPr>
        <w:t>.</w:t>
      </w:r>
    </w:p>
    <w:p w:rsidR="00320CCD" w:rsidRPr="00EF7E9A" w:rsidRDefault="00AC01C0" w:rsidP="004F47CE">
      <w:pPr>
        <w:numPr>
          <w:ilvl w:val="0"/>
          <w:numId w:val="18"/>
        </w:numPr>
        <w:rPr>
          <w:szCs w:val="22"/>
          <w:lang w:val="fr-FR"/>
        </w:rPr>
      </w:pPr>
      <w:r w:rsidRPr="00EF7E9A">
        <w:rPr>
          <w:szCs w:val="22"/>
          <w:lang w:val="fr-FR"/>
        </w:rPr>
        <w:t>Selon l</w:t>
      </w:r>
      <w:r w:rsidR="00B64E9E" w:rsidRPr="00EF7E9A">
        <w:rPr>
          <w:szCs w:val="22"/>
          <w:lang w:val="fr-FR"/>
        </w:rPr>
        <w:t>’</w:t>
      </w:r>
      <w:r w:rsidRPr="00EF7E9A">
        <w:rPr>
          <w:szCs w:val="22"/>
          <w:lang w:val="fr-FR"/>
        </w:rPr>
        <w:t>Arrangement de Madrid, cela signifie qu</w:t>
      </w:r>
      <w:r w:rsidR="006B2A45" w:rsidRPr="00EF7E9A">
        <w:rPr>
          <w:szCs w:val="22"/>
          <w:lang w:val="fr-FR"/>
        </w:rPr>
        <w:t>’</w:t>
      </w:r>
      <w:r w:rsidRPr="00EF7E9A">
        <w:rPr>
          <w:szCs w:val="22"/>
          <w:lang w:val="fr-FR"/>
        </w:rPr>
        <w:t>environ 15</w:t>
      </w:r>
      <w:r w:rsidR="0073093E" w:rsidRPr="00EF7E9A">
        <w:rPr>
          <w:szCs w:val="22"/>
          <w:lang w:val="fr-FR"/>
        </w:rPr>
        <w:t> </w:t>
      </w:r>
      <w:r w:rsidRPr="00EF7E9A">
        <w:rPr>
          <w:szCs w:val="22"/>
          <w:lang w:val="fr-FR"/>
        </w:rPr>
        <w:t>millions de francs suisses pourraient être répartis par parts égales entre les parties contractantes</w:t>
      </w:r>
      <w:r w:rsidR="00106795" w:rsidRPr="00EF7E9A">
        <w:rPr>
          <w:szCs w:val="22"/>
          <w:lang w:val="fr-FR"/>
        </w:rPr>
        <w:t>.</w:t>
      </w:r>
    </w:p>
    <w:p w:rsidR="00320CCD" w:rsidRPr="00EF7E9A" w:rsidRDefault="00AC01C0" w:rsidP="004F47CE">
      <w:pPr>
        <w:numPr>
          <w:ilvl w:val="0"/>
          <w:numId w:val="18"/>
        </w:numPr>
        <w:rPr>
          <w:szCs w:val="22"/>
          <w:lang w:val="fr-FR"/>
        </w:rPr>
      </w:pPr>
      <w:r w:rsidRPr="00EF7E9A">
        <w:rPr>
          <w:szCs w:val="22"/>
          <w:lang w:val="fr-FR"/>
        </w:rPr>
        <w:t>Nous saurions gré au Secrétariat de confirmer que l</w:t>
      </w:r>
      <w:r w:rsidR="00B64E9E" w:rsidRPr="00EF7E9A">
        <w:rPr>
          <w:szCs w:val="22"/>
          <w:lang w:val="fr-FR"/>
        </w:rPr>
        <w:t>’</w:t>
      </w:r>
      <w:r w:rsidRPr="00EF7E9A">
        <w:rPr>
          <w:szCs w:val="22"/>
          <w:lang w:val="fr-FR"/>
        </w:rPr>
        <w:t>Union de Madrid pourrait décider de répartir cette somme entre ses membres, en application de l</w:t>
      </w:r>
      <w:r w:rsidR="00B64E9E" w:rsidRPr="00EF7E9A">
        <w:rPr>
          <w:szCs w:val="22"/>
          <w:lang w:val="fr-FR"/>
        </w:rPr>
        <w:t>’</w:t>
      </w:r>
      <w:r w:rsidRPr="00EF7E9A">
        <w:rPr>
          <w:szCs w:val="22"/>
          <w:lang w:val="fr-FR"/>
        </w:rPr>
        <w:t>article</w:t>
      </w:r>
      <w:r w:rsidR="0073093E" w:rsidRPr="00EF7E9A">
        <w:rPr>
          <w:szCs w:val="22"/>
          <w:lang w:val="fr-FR"/>
        </w:rPr>
        <w:t> </w:t>
      </w:r>
      <w:r w:rsidRPr="00EF7E9A">
        <w:rPr>
          <w:szCs w:val="22"/>
          <w:lang w:val="fr-FR"/>
        </w:rPr>
        <w:t>8.4).</w:t>
      </w:r>
    </w:p>
    <w:p w:rsidR="00320CCD" w:rsidRPr="00EF7E9A" w:rsidRDefault="00AC01C0" w:rsidP="004F47CE">
      <w:pPr>
        <w:numPr>
          <w:ilvl w:val="0"/>
          <w:numId w:val="18"/>
        </w:numPr>
        <w:rPr>
          <w:szCs w:val="22"/>
          <w:lang w:val="fr-FR"/>
        </w:rPr>
      </w:pPr>
      <w:r w:rsidRPr="00EF7E9A">
        <w:rPr>
          <w:szCs w:val="22"/>
          <w:lang w:val="fr-FR"/>
        </w:rPr>
        <w:t xml:space="preserve">En outre, </w:t>
      </w:r>
      <w:r w:rsidR="00054359" w:rsidRPr="00EF7E9A">
        <w:rPr>
          <w:szCs w:val="22"/>
          <w:lang w:val="fr-FR"/>
        </w:rPr>
        <w:t>nous souhaiterions savoir si cette répartition des excédents de l</w:t>
      </w:r>
      <w:r w:rsidR="00B64E9E" w:rsidRPr="00EF7E9A">
        <w:rPr>
          <w:szCs w:val="22"/>
          <w:lang w:val="fr-FR"/>
        </w:rPr>
        <w:t>’</w:t>
      </w:r>
      <w:r w:rsidR="00054359" w:rsidRPr="00EF7E9A">
        <w:rPr>
          <w:szCs w:val="22"/>
          <w:lang w:val="fr-FR"/>
        </w:rPr>
        <w:t>Union de Madrid aurait une incidence sur le financement d</w:t>
      </w:r>
      <w:r w:rsidR="00B64E9E" w:rsidRPr="00EF7E9A">
        <w:rPr>
          <w:szCs w:val="22"/>
          <w:lang w:val="fr-FR"/>
        </w:rPr>
        <w:t>’</w:t>
      </w:r>
      <w:r w:rsidR="00054359" w:rsidRPr="00EF7E9A">
        <w:rPr>
          <w:szCs w:val="22"/>
          <w:lang w:val="fr-FR"/>
        </w:rPr>
        <w:t>autres parties de l</w:t>
      </w:r>
      <w:r w:rsidR="00B64E9E" w:rsidRPr="00EF7E9A">
        <w:rPr>
          <w:szCs w:val="22"/>
          <w:lang w:val="fr-FR"/>
        </w:rPr>
        <w:t>’</w:t>
      </w:r>
      <w:r w:rsidR="00054359" w:rsidRPr="00EF7E9A">
        <w:rPr>
          <w:szCs w:val="22"/>
          <w:lang w:val="fr-FR"/>
        </w:rPr>
        <w:t>Organisation</w:t>
      </w:r>
      <w:r w:rsidR="00106795" w:rsidRPr="00EF7E9A">
        <w:rPr>
          <w:szCs w:val="22"/>
          <w:lang w:val="fr-FR"/>
        </w:rPr>
        <w:t>.</w:t>
      </w:r>
    </w:p>
    <w:p w:rsidR="00320CCD" w:rsidRPr="00EF7E9A" w:rsidRDefault="00054359" w:rsidP="004F47CE">
      <w:pPr>
        <w:numPr>
          <w:ilvl w:val="0"/>
          <w:numId w:val="18"/>
        </w:numPr>
        <w:rPr>
          <w:szCs w:val="22"/>
          <w:lang w:val="fr-FR"/>
        </w:rPr>
      </w:pPr>
      <w:r w:rsidRPr="00EF7E9A">
        <w:rPr>
          <w:szCs w:val="22"/>
          <w:lang w:val="fr-FR"/>
        </w:rPr>
        <w:t>Pour information, nous avons élaboré un tableau dans lequel figure le montant auquel aurait droit chaque membre de l</w:t>
      </w:r>
      <w:r w:rsidR="00B64E9E" w:rsidRPr="00EF7E9A">
        <w:rPr>
          <w:szCs w:val="22"/>
          <w:lang w:val="fr-FR"/>
        </w:rPr>
        <w:t>’</w:t>
      </w:r>
      <w:r w:rsidRPr="00EF7E9A">
        <w:rPr>
          <w:szCs w:val="22"/>
          <w:lang w:val="fr-FR"/>
        </w:rPr>
        <w:t xml:space="preserve">Union de Madrid, le montant du fonds de roulement </w:t>
      </w:r>
      <w:r w:rsidR="006B2A45" w:rsidRPr="00EF7E9A">
        <w:rPr>
          <w:szCs w:val="22"/>
          <w:lang w:val="fr-FR"/>
        </w:rPr>
        <w:t>proposé par</w:t>
      </w:r>
      <w:r w:rsidRPr="00EF7E9A">
        <w:rPr>
          <w:szCs w:val="22"/>
          <w:lang w:val="fr-FR"/>
        </w:rPr>
        <w:t xml:space="preserve"> le Secrétariat pour examen par l</w:t>
      </w:r>
      <w:r w:rsidR="00B64E9E" w:rsidRPr="00EF7E9A">
        <w:rPr>
          <w:szCs w:val="22"/>
          <w:lang w:val="fr-FR"/>
        </w:rPr>
        <w:t>’</w:t>
      </w:r>
      <w:r w:rsidRPr="00EF7E9A">
        <w:rPr>
          <w:szCs w:val="22"/>
          <w:lang w:val="fr-FR"/>
        </w:rPr>
        <w:t xml:space="preserve">Union de Lisbonne </w:t>
      </w:r>
      <w:r w:rsidR="00106795" w:rsidRPr="00EF7E9A">
        <w:rPr>
          <w:szCs w:val="22"/>
          <w:lang w:val="fr-FR"/>
        </w:rPr>
        <w:t>(</w:t>
      </w:r>
      <w:r w:rsidRPr="00EF7E9A">
        <w:rPr>
          <w:szCs w:val="22"/>
          <w:lang w:val="fr-FR"/>
        </w:rPr>
        <w:t>dans le document</w:t>
      </w:r>
      <w:r w:rsidR="00106795" w:rsidRPr="00EF7E9A">
        <w:rPr>
          <w:szCs w:val="22"/>
          <w:lang w:val="fr-FR"/>
        </w:rPr>
        <w:t xml:space="preserve"> LI/A/32/4), </w:t>
      </w:r>
      <w:r w:rsidRPr="00EF7E9A">
        <w:rPr>
          <w:szCs w:val="22"/>
          <w:lang w:val="fr-FR"/>
        </w:rPr>
        <w:t>et déterminé si chaque membre de l</w:t>
      </w:r>
      <w:r w:rsidR="00B64E9E" w:rsidRPr="00EF7E9A">
        <w:rPr>
          <w:szCs w:val="22"/>
          <w:lang w:val="fr-FR"/>
        </w:rPr>
        <w:t>’</w:t>
      </w:r>
      <w:r w:rsidRPr="00EF7E9A">
        <w:rPr>
          <w:szCs w:val="22"/>
          <w:lang w:val="fr-FR"/>
        </w:rPr>
        <w:t xml:space="preserve">Union de Madrid aurait droit </w:t>
      </w:r>
      <w:r w:rsidR="008A6870" w:rsidRPr="00EF7E9A">
        <w:rPr>
          <w:szCs w:val="22"/>
          <w:lang w:val="fr-FR"/>
        </w:rPr>
        <w:t>à l</w:t>
      </w:r>
      <w:r w:rsidR="00B64E9E" w:rsidRPr="00EF7E9A">
        <w:rPr>
          <w:szCs w:val="22"/>
          <w:lang w:val="fr-FR"/>
        </w:rPr>
        <w:t>’</w:t>
      </w:r>
      <w:r w:rsidR="008A6870" w:rsidRPr="00EF7E9A">
        <w:rPr>
          <w:szCs w:val="22"/>
          <w:lang w:val="fr-FR"/>
        </w:rPr>
        <w:t>excédent ainsi réparti</w:t>
      </w:r>
      <w:r w:rsidR="006B2A45" w:rsidRPr="00EF7E9A">
        <w:rPr>
          <w:szCs w:val="22"/>
          <w:lang w:val="fr-FR"/>
        </w:rPr>
        <w:t>,</w:t>
      </w:r>
      <w:r w:rsidR="008A6870" w:rsidRPr="00EF7E9A">
        <w:rPr>
          <w:szCs w:val="22"/>
          <w:lang w:val="fr-FR"/>
        </w:rPr>
        <w:t xml:space="preserve"> et le calcul approprié pour chaque membre de </w:t>
      </w:r>
      <w:r w:rsidR="0087627F" w:rsidRPr="00EF7E9A">
        <w:rPr>
          <w:szCs w:val="22"/>
          <w:lang w:val="fr-FR"/>
        </w:rPr>
        <w:t xml:space="preserve">l’Union de </w:t>
      </w:r>
      <w:r w:rsidR="008A6870" w:rsidRPr="00EF7E9A">
        <w:rPr>
          <w:szCs w:val="22"/>
          <w:lang w:val="fr-FR"/>
        </w:rPr>
        <w:t>Lisbonne</w:t>
      </w:r>
      <w:r w:rsidR="00106795" w:rsidRPr="00EF7E9A">
        <w:rPr>
          <w:szCs w:val="22"/>
          <w:lang w:val="fr-FR"/>
        </w:rPr>
        <w:t xml:space="preserve">, </w:t>
      </w:r>
      <w:r w:rsidR="008A6870" w:rsidRPr="00EF7E9A">
        <w:rPr>
          <w:szCs w:val="22"/>
          <w:lang w:val="fr-FR"/>
        </w:rPr>
        <w:t>et demandons que ce tableau figure dans le rapport de cette session</w:t>
      </w:r>
      <w:r w:rsidR="00106795" w:rsidRPr="00EF7E9A">
        <w:rPr>
          <w:szCs w:val="22"/>
          <w:lang w:val="fr-FR"/>
        </w:rPr>
        <w:t>.</w:t>
      </w:r>
    </w:p>
    <w:p w:rsidR="00320CCD" w:rsidRPr="00EF7E9A" w:rsidRDefault="008A6870" w:rsidP="004F47CE">
      <w:pPr>
        <w:numPr>
          <w:ilvl w:val="0"/>
          <w:numId w:val="18"/>
        </w:numPr>
        <w:rPr>
          <w:szCs w:val="22"/>
          <w:lang w:val="fr-FR"/>
        </w:rPr>
      </w:pPr>
      <w:r w:rsidRPr="00EF7E9A">
        <w:rPr>
          <w:szCs w:val="22"/>
          <w:lang w:val="fr-FR"/>
        </w:rPr>
        <w:t xml:space="preserve">Pour résumer, </w:t>
      </w:r>
      <w:r w:rsidR="00772E33" w:rsidRPr="00EF7E9A">
        <w:rPr>
          <w:szCs w:val="22"/>
          <w:lang w:val="fr-FR"/>
        </w:rPr>
        <w:t xml:space="preserve">si </w:t>
      </w:r>
      <w:r w:rsidRPr="00EF7E9A">
        <w:rPr>
          <w:szCs w:val="22"/>
          <w:lang w:val="fr-FR"/>
        </w:rPr>
        <w:t>nous avons soumis le document</w:t>
      </w:r>
      <w:r w:rsidR="00106795" w:rsidRPr="00EF7E9A">
        <w:rPr>
          <w:szCs w:val="22"/>
          <w:lang w:val="fr-FR"/>
        </w:rPr>
        <w:t xml:space="preserve"> MM/A/49/4</w:t>
      </w:r>
      <w:r w:rsidR="00772E33" w:rsidRPr="00EF7E9A">
        <w:rPr>
          <w:szCs w:val="22"/>
          <w:lang w:val="fr-FR"/>
        </w:rPr>
        <w:t>, c</w:t>
      </w:r>
      <w:r w:rsidR="00B64E9E" w:rsidRPr="00EF7E9A">
        <w:rPr>
          <w:szCs w:val="22"/>
          <w:lang w:val="fr-FR"/>
        </w:rPr>
        <w:t>’</w:t>
      </w:r>
      <w:r w:rsidR="00772E33" w:rsidRPr="00EF7E9A">
        <w:rPr>
          <w:szCs w:val="22"/>
          <w:lang w:val="fr-FR"/>
        </w:rPr>
        <w:t>était tout d</w:t>
      </w:r>
      <w:r w:rsidR="00B64E9E" w:rsidRPr="00EF7E9A">
        <w:rPr>
          <w:szCs w:val="22"/>
          <w:lang w:val="fr-FR"/>
        </w:rPr>
        <w:t>’</w:t>
      </w:r>
      <w:r w:rsidR="00772E33" w:rsidRPr="00EF7E9A">
        <w:rPr>
          <w:szCs w:val="22"/>
          <w:lang w:val="fr-FR"/>
        </w:rPr>
        <w:t xml:space="preserve">abord pour </w:t>
      </w:r>
      <w:r w:rsidR="0087627F" w:rsidRPr="00EF7E9A">
        <w:rPr>
          <w:szCs w:val="22"/>
          <w:lang w:val="fr-FR"/>
        </w:rPr>
        <w:t>proposer</w:t>
      </w:r>
      <w:r w:rsidRPr="00EF7E9A">
        <w:rPr>
          <w:szCs w:val="22"/>
          <w:lang w:val="fr-FR"/>
        </w:rPr>
        <w:t xml:space="preserve"> que le Secrétariat mette fin à la pratique consistant à accumuler les excédents, pour revenir à leur répartition</w:t>
      </w:r>
      <w:r w:rsidR="00106795" w:rsidRPr="00EF7E9A">
        <w:rPr>
          <w:szCs w:val="22"/>
          <w:lang w:val="fr-FR"/>
        </w:rPr>
        <w:t xml:space="preserve">, </w:t>
      </w:r>
      <w:r w:rsidRPr="00EF7E9A">
        <w:rPr>
          <w:szCs w:val="22"/>
          <w:lang w:val="fr-FR"/>
        </w:rPr>
        <w:t>comme le prévoit l</w:t>
      </w:r>
      <w:r w:rsidR="00B64E9E" w:rsidRPr="00EF7E9A">
        <w:rPr>
          <w:szCs w:val="22"/>
          <w:lang w:val="fr-FR"/>
        </w:rPr>
        <w:t>’</w:t>
      </w:r>
      <w:r w:rsidRPr="00EF7E9A">
        <w:rPr>
          <w:szCs w:val="22"/>
          <w:lang w:val="fr-FR"/>
        </w:rPr>
        <w:t>Arrangement de Madrid et le Protocole y relatif.</w:t>
      </w:r>
    </w:p>
    <w:p w:rsidR="00320CCD" w:rsidRPr="00EF7E9A" w:rsidRDefault="00772E33" w:rsidP="004F47CE">
      <w:pPr>
        <w:numPr>
          <w:ilvl w:val="0"/>
          <w:numId w:val="18"/>
        </w:numPr>
        <w:rPr>
          <w:szCs w:val="22"/>
          <w:lang w:val="fr-FR"/>
        </w:rPr>
      </w:pPr>
      <w:r w:rsidRPr="00EF7E9A">
        <w:rPr>
          <w:szCs w:val="22"/>
          <w:lang w:val="fr-FR"/>
        </w:rPr>
        <w:t>Ensuite,</w:t>
      </w:r>
      <w:r w:rsidR="008A6870" w:rsidRPr="00EF7E9A">
        <w:rPr>
          <w:szCs w:val="22"/>
          <w:lang w:val="fr-FR"/>
        </w:rPr>
        <w:t xml:space="preserve"> nous avons fait cette proposition, compte tenu du déficit de l</w:t>
      </w:r>
      <w:r w:rsidR="00B64E9E" w:rsidRPr="00EF7E9A">
        <w:rPr>
          <w:szCs w:val="22"/>
          <w:lang w:val="fr-FR"/>
        </w:rPr>
        <w:t>’</w:t>
      </w:r>
      <w:r w:rsidR="008A6870" w:rsidRPr="00EF7E9A">
        <w:rPr>
          <w:szCs w:val="22"/>
          <w:lang w:val="fr-FR"/>
        </w:rPr>
        <w:t xml:space="preserve">Union de Lisbonne et de la nécessité de créer un fonds de roulement, </w:t>
      </w:r>
      <w:r w:rsidRPr="00EF7E9A">
        <w:rPr>
          <w:szCs w:val="22"/>
          <w:lang w:val="fr-FR"/>
        </w:rPr>
        <w:t>afin de travailler</w:t>
      </w:r>
      <w:r w:rsidR="008A6870" w:rsidRPr="00EF7E9A">
        <w:rPr>
          <w:szCs w:val="22"/>
          <w:lang w:val="fr-FR"/>
        </w:rPr>
        <w:t xml:space="preserve"> de manière constructive, de sorte qu</w:t>
      </w:r>
      <w:r w:rsidR="00B64E9E" w:rsidRPr="00EF7E9A">
        <w:rPr>
          <w:szCs w:val="22"/>
          <w:lang w:val="fr-FR"/>
        </w:rPr>
        <w:t>’</w:t>
      </w:r>
      <w:r w:rsidR="008A6870" w:rsidRPr="00EF7E9A">
        <w:rPr>
          <w:szCs w:val="22"/>
          <w:lang w:val="fr-FR"/>
        </w:rPr>
        <w:t>un programme et budget révisé, prévoyant un budget équilibré pour l</w:t>
      </w:r>
      <w:r w:rsidR="00B64E9E" w:rsidRPr="00EF7E9A">
        <w:rPr>
          <w:szCs w:val="22"/>
          <w:lang w:val="fr-FR"/>
        </w:rPr>
        <w:t>’</w:t>
      </w:r>
      <w:r w:rsidR="008A6870" w:rsidRPr="00EF7E9A">
        <w:rPr>
          <w:szCs w:val="22"/>
          <w:lang w:val="fr-FR"/>
        </w:rPr>
        <w:t>Union de Lisbonne, puisse être approuvé</w:t>
      </w:r>
      <w:r w:rsidR="00106795" w:rsidRPr="00EF7E9A">
        <w:rPr>
          <w:szCs w:val="22"/>
          <w:lang w:val="fr-FR"/>
        </w:rPr>
        <w:t>.</w:t>
      </w:r>
    </w:p>
    <w:p w:rsidR="00320CCD" w:rsidRPr="00EF7E9A" w:rsidRDefault="00320CCD" w:rsidP="004F47CE">
      <w:pPr>
        <w:rPr>
          <w:szCs w:val="22"/>
          <w:lang w:val="fr-FR"/>
        </w:rPr>
      </w:pPr>
    </w:p>
    <w:p w:rsidR="00320CCD" w:rsidRPr="00EF7E9A" w:rsidRDefault="00D71552" w:rsidP="004F47CE">
      <w:pPr>
        <w:numPr>
          <w:ilvl w:val="0"/>
          <w:numId w:val="18"/>
        </w:numPr>
        <w:rPr>
          <w:szCs w:val="22"/>
          <w:lang w:val="fr-FR"/>
        </w:rPr>
      </w:pPr>
      <w:r w:rsidRPr="00EF7E9A">
        <w:rPr>
          <w:szCs w:val="22"/>
          <w:lang w:val="fr-FR"/>
        </w:rPr>
        <w:t>Une répartition des excédents de recettes au titre du système de Madrid entre les parties contractantes pourrait se révéler utile pour les membres de l</w:t>
      </w:r>
      <w:r w:rsidR="00B64E9E" w:rsidRPr="00EF7E9A">
        <w:rPr>
          <w:szCs w:val="22"/>
          <w:lang w:val="fr-FR"/>
        </w:rPr>
        <w:t>’</w:t>
      </w:r>
      <w:r w:rsidRPr="00EF7E9A">
        <w:rPr>
          <w:szCs w:val="22"/>
          <w:lang w:val="fr-FR"/>
        </w:rPr>
        <w:t xml:space="preserve">Union de Lisbonne qui sont parties à la fois </w:t>
      </w:r>
      <w:r w:rsidR="0087627F" w:rsidRPr="00EF7E9A">
        <w:rPr>
          <w:szCs w:val="22"/>
          <w:lang w:val="fr-FR"/>
        </w:rPr>
        <w:t>à</w:t>
      </w:r>
      <w:r w:rsidRPr="00EF7E9A">
        <w:rPr>
          <w:szCs w:val="22"/>
          <w:lang w:val="fr-FR"/>
        </w:rPr>
        <w:t xml:space="preserve"> l</w:t>
      </w:r>
      <w:r w:rsidR="00B64E9E" w:rsidRPr="00EF7E9A">
        <w:rPr>
          <w:szCs w:val="22"/>
          <w:lang w:val="fr-FR"/>
        </w:rPr>
        <w:t>’</w:t>
      </w:r>
      <w:r w:rsidRPr="00EF7E9A">
        <w:rPr>
          <w:szCs w:val="22"/>
          <w:lang w:val="fr-FR"/>
        </w:rPr>
        <w:t xml:space="preserve">Arrangement de Madrid et </w:t>
      </w:r>
      <w:r w:rsidR="0087627F" w:rsidRPr="00EF7E9A">
        <w:rPr>
          <w:szCs w:val="22"/>
          <w:lang w:val="fr-FR"/>
        </w:rPr>
        <w:t>à</w:t>
      </w:r>
      <w:r w:rsidRPr="00EF7E9A">
        <w:rPr>
          <w:szCs w:val="22"/>
          <w:lang w:val="fr-FR"/>
        </w:rPr>
        <w:t xml:space="preserve"> l</w:t>
      </w:r>
      <w:r w:rsidR="00B64E9E" w:rsidRPr="00EF7E9A">
        <w:rPr>
          <w:szCs w:val="22"/>
          <w:lang w:val="fr-FR"/>
        </w:rPr>
        <w:t>’</w:t>
      </w:r>
      <w:r w:rsidRPr="00EF7E9A">
        <w:rPr>
          <w:szCs w:val="22"/>
          <w:lang w:val="fr-FR"/>
        </w:rPr>
        <w:t>Arrangement de Lisbonne</w:t>
      </w:r>
      <w:r w:rsidR="00106795" w:rsidRPr="00EF7E9A">
        <w:rPr>
          <w:szCs w:val="22"/>
          <w:lang w:val="fr-FR"/>
        </w:rPr>
        <w:t>.</w:t>
      </w:r>
    </w:p>
    <w:p w:rsidR="00B64E9E" w:rsidRPr="00EF7E9A" w:rsidRDefault="00D71552" w:rsidP="004F47CE">
      <w:pPr>
        <w:numPr>
          <w:ilvl w:val="0"/>
          <w:numId w:val="18"/>
        </w:numPr>
        <w:rPr>
          <w:szCs w:val="22"/>
          <w:lang w:val="fr-FR"/>
        </w:rPr>
      </w:pPr>
      <w:r w:rsidRPr="00EF7E9A">
        <w:rPr>
          <w:szCs w:val="22"/>
          <w:lang w:val="fr-FR"/>
        </w:rPr>
        <w:t>Les membres de l</w:t>
      </w:r>
      <w:r w:rsidR="00B64E9E" w:rsidRPr="00EF7E9A">
        <w:rPr>
          <w:szCs w:val="22"/>
          <w:lang w:val="fr-FR"/>
        </w:rPr>
        <w:t>’</w:t>
      </w:r>
      <w:r w:rsidRPr="00EF7E9A">
        <w:rPr>
          <w:szCs w:val="22"/>
          <w:lang w:val="fr-FR"/>
        </w:rPr>
        <w:t>Union de Lisbonne cherchant une solution pour le fonds de roulement proposé souhaiteront peut</w:t>
      </w:r>
      <w:r w:rsidR="00B673C6" w:rsidRPr="00EF7E9A">
        <w:rPr>
          <w:szCs w:val="22"/>
          <w:lang w:val="fr-FR"/>
        </w:rPr>
        <w:noBreakHyphen/>
      </w:r>
      <w:r w:rsidRPr="00EF7E9A">
        <w:rPr>
          <w:szCs w:val="22"/>
          <w:lang w:val="fr-FR"/>
        </w:rPr>
        <w:t xml:space="preserve">être examiner la question de savoir si une répartition des excédents </w:t>
      </w:r>
      <w:r w:rsidR="0087627F" w:rsidRPr="00EF7E9A">
        <w:rPr>
          <w:szCs w:val="22"/>
          <w:lang w:val="fr-FR"/>
        </w:rPr>
        <w:t>pourrait se révéler utile pour les membres à la fois de l’Union de Madrid et de l’Union de Lisbonne, dans la mesure</w:t>
      </w:r>
      <w:r w:rsidRPr="00EF7E9A">
        <w:rPr>
          <w:szCs w:val="22"/>
          <w:lang w:val="fr-FR"/>
        </w:rPr>
        <w:t xml:space="preserve"> où</w:t>
      </w:r>
      <w:r w:rsidR="0087627F" w:rsidRPr="00EF7E9A">
        <w:rPr>
          <w:szCs w:val="22"/>
          <w:lang w:val="fr-FR"/>
        </w:rPr>
        <w:t xml:space="preserve"> ils souhaiteraient peut</w:t>
      </w:r>
      <w:r w:rsidR="0087627F" w:rsidRPr="00EF7E9A">
        <w:rPr>
          <w:szCs w:val="22"/>
          <w:lang w:val="fr-FR"/>
        </w:rPr>
        <w:noBreakHyphen/>
      </w:r>
      <w:r w:rsidR="008705D1" w:rsidRPr="00EF7E9A">
        <w:rPr>
          <w:szCs w:val="22"/>
          <w:lang w:val="fr-FR"/>
        </w:rPr>
        <w:t>être envisager de rev</w:t>
      </w:r>
      <w:r w:rsidR="0087627F" w:rsidRPr="00EF7E9A">
        <w:rPr>
          <w:szCs w:val="22"/>
          <w:lang w:val="fr-FR"/>
        </w:rPr>
        <w:t>er</w:t>
      </w:r>
      <w:r w:rsidR="008705D1" w:rsidRPr="00EF7E9A">
        <w:rPr>
          <w:szCs w:val="22"/>
          <w:lang w:val="fr-FR"/>
        </w:rPr>
        <w:t>s</w:t>
      </w:r>
      <w:r w:rsidR="0087627F" w:rsidRPr="00EF7E9A">
        <w:rPr>
          <w:szCs w:val="22"/>
          <w:lang w:val="fr-FR"/>
        </w:rPr>
        <w:t xml:space="preserve">er la part qui leur revient après répartition dans leur contribution à l’Union de Lisbonne.  </w:t>
      </w:r>
    </w:p>
    <w:p w:rsidR="00320CCD" w:rsidRPr="00EF7E9A" w:rsidRDefault="00A4590E" w:rsidP="004F47CE">
      <w:pPr>
        <w:numPr>
          <w:ilvl w:val="0"/>
          <w:numId w:val="18"/>
        </w:numPr>
        <w:rPr>
          <w:szCs w:val="22"/>
          <w:lang w:val="fr-FR"/>
        </w:rPr>
      </w:pPr>
      <w:r w:rsidRPr="00EF7E9A">
        <w:rPr>
          <w:szCs w:val="22"/>
          <w:lang w:val="fr-FR"/>
        </w:rPr>
        <w:t>L</w:t>
      </w:r>
      <w:r w:rsidR="00B64E9E" w:rsidRPr="00EF7E9A">
        <w:rPr>
          <w:szCs w:val="22"/>
          <w:lang w:val="fr-FR"/>
        </w:rPr>
        <w:t>’</w:t>
      </w:r>
      <w:r w:rsidRPr="00EF7E9A">
        <w:rPr>
          <w:szCs w:val="22"/>
          <w:lang w:val="fr-FR"/>
        </w:rPr>
        <w:t>Union de Lisbonne présente un déficit mais elle n</w:t>
      </w:r>
      <w:r w:rsidR="00B64E9E" w:rsidRPr="00EF7E9A">
        <w:rPr>
          <w:szCs w:val="22"/>
          <w:lang w:val="fr-FR"/>
        </w:rPr>
        <w:t>’</w:t>
      </w:r>
      <w:r w:rsidRPr="00EF7E9A">
        <w:rPr>
          <w:szCs w:val="22"/>
          <w:lang w:val="fr-FR"/>
        </w:rPr>
        <w:t>a pas de fonds de réserve</w:t>
      </w:r>
      <w:r w:rsidR="00106795" w:rsidRPr="00EF7E9A">
        <w:rPr>
          <w:szCs w:val="22"/>
          <w:lang w:val="fr-FR"/>
        </w:rPr>
        <w:t xml:space="preserve">.  </w:t>
      </w:r>
      <w:r w:rsidRPr="00EF7E9A">
        <w:rPr>
          <w:szCs w:val="22"/>
          <w:lang w:val="fr-FR"/>
        </w:rPr>
        <w:t>Ce que nous constatons, c</w:t>
      </w:r>
      <w:r w:rsidR="00B64E9E" w:rsidRPr="00EF7E9A">
        <w:rPr>
          <w:szCs w:val="22"/>
          <w:lang w:val="fr-FR"/>
        </w:rPr>
        <w:t>’</w:t>
      </w:r>
      <w:r w:rsidRPr="00EF7E9A">
        <w:rPr>
          <w:szCs w:val="22"/>
          <w:lang w:val="fr-FR"/>
        </w:rPr>
        <w:t>est que ce déficit a été systématiquement couvert par les excédents réalisés dans le cadre d</w:t>
      </w:r>
      <w:r w:rsidR="00B64E9E" w:rsidRPr="00EF7E9A">
        <w:rPr>
          <w:szCs w:val="22"/>
          <w:lang w:val="fr-FR"/>
        </w:rPr>
        <w:t>’</w:t>
      </w:r>
      <w:r w:rsidRPr="00EF7E9A">
        <w:rPr>
          <w:szCs w:val="22"/>
          <w:lang w:val="fr-FR"/>
        </w:rPr>
        <w:t xml:space="preserve">autres unions, </w:t>
      </w:r>
      <w:r w:rsidR="00B64E9E" w:rsidRPr="00EF7E9A">
        <w:rPr>
          <w:szCs w:val="22"/>
          <w:lang w:val="fr-FR"/>
        </w:rPr>
        <w:t>à savoir</w:t>
      </w:r>
      <w:r w:rsidRPr="00EF7E9A">
        <w:rPr>
          <w:szCs w:val="22"/>
          <w:lang w:val="fr-FR"/>
        </w:rPr>
        <w:t xml:space="preserve"> l</w:t>
      </w:r>
      <w:r w:rsidR="00B64E9E" w:rsidRPr="00EF7E9A">
        <w:rPr>
          <w:szCs w:val="22"/>
          <w:lang w:val="fr-FR"/>
        </w:rPr>
        <w:t>’</w:t>
      </w:r>
      <w:r w:rsidRPr="00EF7E9A">
        <w:rPr>
          <w:szCs w:val="22"/>
          <w:lang w:val="fr-FR"/>
        </w:rPr>
        <w:t>Union de Madrid et l</w:t>
      </w:r>
      <w:r w:rsidR="00B64E9E" w:rsidRPr="00EF7E9A">
        <w:rPr>
          <w:szCs w:val="22"/>
          <w:lang w:val="fr-FR"/>
        </w:rPr>
        <w:t>’</w:t>
      </w:r>
      <w:r w:rsidRPr="00EF7E9A">
        <w:rPr>
          <w:szCs w:val="22"/>
          <w:lang w:val="fr-FR"/>
        </w:rPr>
        <w:t>Union</w:t>
      </w:r>
      <w:r w:rsidR="00B64E9E" w:rsidRPr="00EF7E9A">
        <w:rPr>
          <w:szCs w:val="22"/>
          <w:lang w:val="fr-FR"/>
        </w:rPr>
        <w:t xml:space="preserve"> du PCT</w:t>
      </w:r>
      <w:r w:rsidR="00106795" w:rsidRPr="00EF7E9A">
        <w:rPr>
          <w:szCs w:val="22"/>
          <w:lang w:val="fr-FR"/>
        </w:rPr>
        <w:t>.</w:t>
      </w:r>
    </w:p>
    <w:p w:rsidR="00320CCD" w:rsidRPr="00EF7E9A" w:rsidRDefault="00A4590E" w:rsidP="004F47CE">
      <w:pPr>
        <w:numPr>
          <w:ilvl w:val="0"/>
          <w:numId w:val="18"/>
        </w:numPr>
        <w:rPr>
          <w:szCs w:val="22"/>
          <w:lang w:val="fr-FR"/>
        </w:rPr>
      </w:pPr>
      <w:r w:rsidRPr="00EF7E9A">
        <w:rPr>
          <w:szCs w:val="22"/>
          <w:lang w:val="fr-FR"/>
        </w:rPr>
        <w:t>Toutefois, si ce déficit devait durer, l</w:t>
      </w:r>
      <w:r w:rsidR="00B64E9E" w:rsidRPr="00EF7E9A">
        <w:rPr>
          <w:szCs w:val="22"/>
          <w:lang w:val="fr-FR"/>
        </w:rPr>
        <w:t>’</w:t>
      </w:r>
      <w:r w:rsidRPr="00EF7E9A">
        <w:rPr>
          <w:szCs w:val="22"/>
          <w:lang w:val="fr-FR"/>
        </w:rPr>
        <w:t>article</w:t>
      </w:r>
      <w:r w:rsidR="0073093E" w:rsidRPr="00EF7E9A">
        <w:rPr>
          <w:szCs w:val="22"/>
          <w:lang w:val="fr-FR"/>
        </w:rPr>
        <w:t> </w:t>
      </w:r>
      <w:r w:rsidRPr="00EF7E9A">
        <w:rPr>
          <w:szCs w:val="22"/>
          <w:lang w:val="fr-FR"/>
        </w:rPr>
        <w:t>4.8 du Règlement financier prévoit qu</w:t>
      </w:r>
      <w:r w:rsidR="00B64E9E" w:rsidRPr="00EF7E9A">
        <w:rPr>
          <w:szCs w:val="22"/>
          <w:lang w:val="fr-FR"/>
        </w:rPr>
        <w:t>’</w:t>
      </w:r>
      <w:r w:rsidR="0073093E" w:rsidRPr="00EF7E9A">
        <w:rPr>
          <w:szCs w:val="22"/>
          <w:lang w:val="fr-FR"/>
        </w:rPr>
        <w:t>”</w:t>
      </w:r>
      <w:r w:rsidRPr="00EF7E9A">
        <w:rPr>
          <w:szCs w:val="22"/>
          <w:lang w:val="fr-FR"/>
        </w:rPr>
        <w:t>il appartient à l</w:t>
      </w:r>
      <w:r w:rsidR="00B64E9E" w:rsidRPr="00EF7E9A">
        <w:rPr>
          <w:szCs w:val="22"/>
          <w:lang w:val="fr-FR"/>
        </w:rPr>
        <w:t>’</w:t>
      </w:r>
      <w:r w:rsidRPr="00EF7E9A">
        <w:rPr>
          <w:szCs w:val="22"/>
          <w:lang w:val="fr-FR"/>
        </w:rPr>
        <w:t>Assemblée générale de l</w:t>
      </w:r>
      <w:r w:rsidR="00B64E9E" w:rsidRPr="00EF7E9A">
        <w:rPr>
          <w:szCs w:val="22"/>
          <w:lang w:val="fr-FR"/>
        </w:rPr>
        <w:t>’</w:t>
      </w:r>
      <w:r w:rsidRPr="00EF7E9A">
        <w:rPr>
          <w:szCs w:val="22"/>
          <w:lang w:val="fr-FR"/>
        </w:rPr>
        <w:t>OMPI ou aux assemblées des unions intéressées, selon le cas, d</w:t>
      </w:r>
      <w:r w:rsidR="00B64E9E" w:rsidRPr="00EF7E9A">
        <w:rPr>
          <w:szCs w:val="22"/>
          <w:lang w:val="fr-FR"/>
        </w:rPr>
        <w:t>’</w:t>
      </w:r>
      <w:r w:rsidRPr="00EF7E9A">
        <w:rPr>
          <w:szCs w:val="22"/>
          <w:lang w:val="fr-FR"/>
        </w:rPr>
        <w:t>arrêter les mesures nécessaires pour assainir la situation financière.</w:t>
      </w:r>
      <w:r w:rsidR="00106795" w:rsidRPr="00EF7E9A">
        <w:rPr>
          <w:szCs w:val="22"/>
          <w:lang w:val="fr-FR"/>
        </w:rPr>
        <w:t>”</w:t>
      </w:r>
    </w:p>
    <w:p w:rsidR="00320CCD" w:rsidRPr="00EF7E9A" w:rsidRDefault="005E6F34" w:rsidP="004F47CE">
      <w:pPr>
        <w:numPr>
          <w:ilvl w:val="0"/>
          <w:numId w:val="18"/>
        </w:numPr>
        <w:rPr>
          <w:szCs w:val="22"/>
          <w:lang w:val="fr-FR"/>
        </w:rPr>
      </w:pPr>
      <w:r w:rsidRPr="00EF7E9A">
        <w:rPr>
          <w:szCs w:val="22"/>
          <w:lang w:val="fr-FR"/>
        </w:rPr>
        <w:t>L</w:t>
      </w:r>
      <w:r w:rsidR="00B64E9E" w:rsidRPr="00EF7E9A">
        <w:rPr>
          <w:szCs w:val="22"/>
          <w:lang w:val="fr-FR"/>
        </w:rPr>
        <w:t>’</w:t>
      </w:r>
      <w:r w:rsidRPr="00EF7E9A">
        <w:rPr>
          <w:szCs w:val="22"/>
          <w:lang w:val="fr-FR"/>
        </w:rPr>
        <w:t>Union de Madrid, en sa qualité d</w:t>
      </w:r>
      <w:r w:rsidR="00B64E9E" w:rsidRPr="00EF7E9A">
        <w:rPr>
          <w:szCs w:val="22"/>
          <w:lang w:val="fr-FR"/>
        </w:rPr>
        <w:t>’</w:t>
      </w:r>
      <w:r w:rsidRPr="00EF7E9A">
        <w:rPr>
          <w:szCs w:val="22"/>
          <w:lang w:val="fr-FR"/>
        </w:rPr>
        <w:t xml:space="preserve">union intéressée, </w:t>
      </w:r>
      <w:r w:rsidR="0087627F" w:rsidRPr="00EF7E9A">
        <w:rPr>
          <w:szCs w:val="22"/>
          <w:lang w:val="fr-FR"/>
        </w:rPr>
        <w:t>est habilitée à</w:t>
      </w:r>
      <w:r w:rsidR="00514470" w:rsidRPr="00EF7E9A">
        <w:rPr>
          <w:szCs w:val="22"/>
          <w:lang w:val="fr-FR"/>
        </w:rPr>
        <w:t xml:space="preserve"> dire</w:t>
      </w:r>
      <w:r w:rsidRPr="00EF7E9A">
        <w:rPr>
          <w:szCs w:val="22"/>
          <w:lang w:val="fr-FR"/>
        </w:rPr>
        <w:t xml:space="preserve"> que ses excédents de recettes ne </w:t>
      </w:r>
      <w:r w:rsidR="00514470" w:rsidRPr="00EF7E9A">
        <w:rPr>
          <w:szCs w:val="22"/>
          <w:lang w:val="fr-FR"/>
        </w:rPr>
        <w:t xml:space="preserve">doivent </w:t>
      </w:r>
      <w:r w:rsidRPr="00EF7E9A">
        <w:rPr>
          <w:szCs w:val="22"/>
          <w:lang w:val="fr-FR"/>
        </w:rPr>
        <w:t xml:space="preserve">plus </w:t>
      </w:r>
      <w:r w:rsidR="00514470" w:rsidRPr="00EF7E9A">
        <w:rPr>
          <w:szCs w:val="22"/>
          <w:lang w:val="fr-FR"/>
        </w:rPr>
        <w:t xml:space="preserve">être </w:t>
      </w:r>
      <w:r w:rsidRPr="00EF7E9A">
        <w:rPr>
          <w:szCs w:val="22"/>
          <w:lang w:val="fr-FR"/>
        </w:rPr>
        <w:t>utilisés pour éviter à l</w:t>
      </w:r>
      <w:r w:rsidR="00B64E9E" w:rsidRPr="00EF7E9A">
        <w:rPr>
          <w:szCs w:val="22"/>
          <w:lang w:val="fr-FR"/>
        </w:rPr>
        <w:t>’</w:t>
      </w:r>
      <w:r w:rsidRPr="00EF7E9A">
        <w:rPr>
          <w:szCs w:val="22"/>
          <w:lang w:val="fr-FR"/>
        </w:rPr>
        <w:t>Union de Lisbonne de trouver une solution à ses problèmes fi</w:t>
      </w:r>
      <w:r w:rsidR="00514470" w:rsidRPr="00EF7E9A">
        <w:rPr>
          <w:szCs w:val="22"/>
          <w:lang w:val="fr-FR"/>
        </w:rPr>
        <w:t>nanciers et qu</w:t>
      </w:r>
      <w:r w:rsidR="00B64E9E" w:rsidRPr="00EF7E9A">
        <w:rPr>
          <w:szCs w:val="22"/>
          <w:lang w:val="fr-FR"/>
        </w:rPr>
        <w:t>’</w:t>
      </w:r>
      <w:r w:rsidR="00514470" w:rsidRPr="00EF7E9A">
        <w:rPr>
          <w:szCs w:val="22"/>
          <w:lang w:val="fr-FR"/>
        </w:rPr>
        <w:t>ils doivent être répartis, comme le prévoit l</w:t>
      </w:r>
      <w:r w:rsidR="00B64E9E" w:rsidRPr="00EF7E9A">
        <w:rPr>
          <w:szCs w:val="22"/>
          <w:lang w:val="fr-FR"/>
        </w:rPr>
        <w:t>’</w:t>
      </w:r>
      <w:r w:rsidR="00514470" w:rsidRPr="00EF7E9A">
        <w:rPr>
          <w:szCs w:val="22"/>
          <w:lang w:val="fr-FR"/>
        </w:rPr>
        <w:t>arrangement, entre les parties contractantes</w:t>
      </w:r>
      <w:r w:rsidR="00106795" w:rsidRPr="00EF7E9A">
        <w:rPr>
          <w:szCs w:val="22"/>
          <w:lang w:val="fr-FR"/>
        </w:rPr>
        <w:t>.</w:t>
      </w:r>
    </w:p>
    <w:p w:rsidR="00320CCD" w:rsidRPr="00EF7E9A" w:rsidRDefault="00514470" w:rsidP="004F47CE">
      <w:pPr>
        <w:numPr>
          <w:ilvl w:val="0"/>
          <w:numId w:val="18"/>
        </w:numPr>
        <w:rPr>
          <w:szCs w:val="22"/>
          <w:lang w:val="fr-FR"/>
        </w:rPr>
      </w:pPr>
      <w:r w:rsidRPr="00EF7E9A">
        <w:rPr>
          <w:szCs w:val="22"/>
          <w:lang w:val="fr-FR"/>
        </w:rPr>
        <w:t xml:space="preserve">Elle </w:t>
      </w:r>
      <w:r w:rsidR="0087627F" w:rsidRPr="00EF7E9A">
        <w:rPr>
          <w:szCs w:val="22"/>
          <w:lang w:val="fr-FR"/>
        </w:rPr>
        <w:t>est</w:t>
      </w:r>
      <w:r w:rsidRPr="00EF7E9A">
        <w:rPr>
          <w:szCs w:val="22"/>
          <w:lang w:val="fr-FR"/>
        </w:rPr>
        <w:t xml:space="preserve"> également </w:t>
      </w:r>
      <w:r w:rsidR="0087627F" w:rsidRPr="00EF7E9A">
        <w:rPr>
          <w:szCs w:val="22"/>
          <w:lang w:val="fr-FR"/>
        </w:rPr>
        <w:t xml:space="preserve">habilitée à </w:t>
      </w:r>
      <w:r w:rsidR="00E566E9">
        <w:rPr>
          <w:szCs w:val="22"/>
          <w:lang w:val="fr-FR"/>
        </w:rPr>
        <w:t>arrêter</w:t>
      </w:r>
      <w:r w:rsidRPr="00EF7E9A">
        <w:rPr>
          <w:szCs w:val="22"/>
          <w:lang w:val="fr-FR"/>
        </w:rPr>
        <w:t xml:space="preserve"> des mesures </w:t>
      </w:r>
      <w:r w:rsidR="0087627F" w:rsidRPr="00EF7E9A">
        <w:rPr>
          <w:szCs w:val="22"/>
          <w:lang w:val="fr-FR"/>
        </w:rPr>
        <w:t>qui contribuent à assainir</w:t>
      </w:r>
      <w:r w:rsidRPr="00EF7E9A">
        <w:rPr>
          <w:szCs w:val="22"/>
          <w:lang w:val="fr-FR"/>
        </w:rPr>
        <w:t xml:space="preserve"> la situation financière </w:t>
      </w:r>
      <w:r w:rsidR="00E566E9">
        <w:rPr>
          <w:szCs w:val="22"/>
          <w:lang w:val="fr-FR"/>
        </w:rPr>
        <w:t>en acceptant</w:t>
      </w:r>
      <w:r w:rsidRPr="00EF7E9A">
        <w:rPr>
          <w:szCs w:val="22"/>
          <w:lang w:val="fr-FR"/>
        </w:rPr>
        <w:t xml:space="preserve"> que les excédents soient répartis entre les </w:t>
      </w:r>
      <w:r w:rsidR="0087627F" w:rsidRPr="00EF7E9A">
        <w:rPr>
          <w:szCs w:val="22"/>
          <w:lang w:val="fr-FR"/>
        </w:rPr>
        <w:t>parties à</w:t>
      </w:r>
      <w:r w:rsidRPr="00EF7E9A">
        <w:rPr>
          <w:szCs w:val="22"/>
          <w:lang w:val="fr-FR"/>
        </w:rPr>
        <w:t xml:space="preserve"> l</w:t>
      </w:r>
      <w:r w:rsidR="00B64E9E" w:rsidRPr="00EF7E9A">
        <w:rPr>
          <w:szCs w:val="22"/>
          <w:lang w:val="fr-FR"/>
        </w:rPr>
        <w:t>’</w:t>
      </w:r>
      <w:r w:rsidR="0087627F" w:rsidRPr="00EF7E9A">
        <w:rPr>
          <w:szCs w:val="22"/>
          <w:lang w:val="fr-FR"/>
        </w:rPr>
        <w:t>Arrangement et a</w:t>
      </w:r>
      <w:r w:rsidRPr="00EF7E9A">
        <w:rPr>
          <w:szCs w:val="22"/>
          <w:lang w:val="fr-FR"/>
        </w:rPr>
        <w:t xml:space="preserve">u Protocole </w:t>
      </w:r>
      <w:r w:rsidR="0087627F" w:rsidRPr="00EF7E9A">
        <w:rPr>
          <w:szCs w:val="22"/>
          <w:lang w:val="fr-FR"/>
        </w:rPr>
        <w:t>de Madrid</w:t>
      </w:r>
      <w:r w:rsidRPr="00EF7E9A">
        <w:rPr>
          <w:szCs w:val="22"/>
          <w:lang w:val="fr-FR"/>
        </w:rPr>
        <w:t xml:space="preserve"> et que toute contribution due en vertu de l</w:t>
      </w:r>
      <w:r w:rsidR="00B64E9E" w:rsidRPr="00EF7E9A">
        <w:rPr>
          <w:szCs w:val="22"/>
          <w:lang w:val="fr-FR"/>
        </w:rPr>
        <w:t>’</w:t>
      </w:r>
      <w:r w:rsidRPr="00EF7E9A">
        <w:rPr>
          <w:szCs w:val="22"/>
          <w:lang w:val="fr-FR"/>
        </w:rPr>
        <w:t xml:space="preserve">Arrangement de Lisbonne puisse être déduite de la part </w:t>
      </w:r>
      <w:r w:rsidR="0087627F" w:rsidRPr="00EF7E9A">
        <w:rPr>
          <w:szCs w:val="22"/>
          <w:lang w:val="fr-FR"/>
        </w:rPr>
        <w:t>du</w:t>
      </w:r>
      <w:r w:rsidRPr="00EF7E9A">
        <w:rPr>
          <w:szCs w:val="22"/>
          <w:lang w:val="fr-FR"/>
        </w:rPr>
        <w:t xml:space="preserve"> membre</w:t>
      </w:r>
      <w:r w:rsidR="0087627F" w:rsidRPr="00EF7E9A">
        <w:rPr>
          <w:szCs w:val="22"/>
          <w:lang w:val="fr-FR"/>
        </w:rPr>
        <w:t xml:space="preserve"> concerné</w:t>
      </w:r>
      <w:r w:rsidRPr="00EF7E9A">
        <w:rPr>
          <w:szCs w:val="22"/>
          <w:lang w:val="fr-FR"/>
        </w:rPr>
        <w:t>.</w:t>
      </w:r>
    </w:p>
    <w:p w:rsidR="00B64E9E" w:rsidRPr="00EF7E9A" w:rsidRDefault="00514470" w:rsidP="004F47CE">
      <w:pPr>
        <w:pStyle w:val="ListParagraph"/>
        <w:numPr>
          <w:ilvl w:val="0"/>
          <w:numId w:val="18"/>
        </w:numPr>
        <w:spacing w:after="200"/>
        <w:rPr>
          <w:szCs w:val="22"/>
          <w:lang w:val="fr-FR"/>
        </w:rPr>
      </w:pPr>
      <w:r w:rsidRPr="00EF7E9A">
        <w:rPr>
          <w:szCs w:val="22"/>
          <w:lang w:val="fr-FR"/>
        </w:rPr>
        <w:t xml:space="preserve">Nous demandons </w:t>
      </w:r>
      <w:r w:rsidR="000B2CDE" w:rsidRPr="00EF7E9A">
        <w:rPr>
          <w:szCs w:val="22"/>
          <w:lang w:val="fr-FR"/>
        </w:rPr>
        <w:t>à</w:t>
      </w:r>
      <w:r w:rsidRPr="00EF7E9A">
        <w:rPr>
          <w:szCs w:val="22"/>
          <w:lang w:val="fr-FR"/>
        </w:rPr>
        <w:t xml:space="preserve"> l</w:t>
      </w:r>
      <w:r w:rsidR="00B64E9E" w:rsidRPr="00EF7E9A">
        <w:rPr>
          <w:szCs w:val="22"/>
          <w:lang w:val="fr-FR"/>
        </w:rPr>
        <w:t>’</w:t>
      </w:r>
      <w:r w:rsidRPr="00EF7E9A">
        <w:rPr>
          <w:szCs w:val="22"/>
          <w:lang w:val="fr-FR"/>
        </w:rPr>
        <w:t>Assemblée de l</w:t>
      </w:r>
      <w:r w:rsidR="00B64E9E" w:rsidRPr="00EF7E9A">
        <w:rPr>
          <w:szCs w:val="22"/>
          <w:lang w:val="fr-FR"/>
        </w:rPr>
        <w:t>’</w:t>
      </w:r>
      <w:r w:rsidRPr="00EF7E9A">
        <w:rPr>
          <w:szCs w:val="22"/>
          <w:lang w:val="fr-FR"/>
        </w:rPr>
        <w:t xml:space="preserve">Union de Madrid </w:t>
      </w:r>
      <w:r w:rsidR="0005027E" w:rsidRPr="00EF7E9A">
        <w:rPr>
          <w:szCs w:val="22"/>
          <w:lang w:val="fr-FR"/>
        </w:rPr>
        <w:t>de prendre la décision</w:t>
      </w:r>
    </w:p>
    <w:p w:rsidR="00320CCD" w:rsidRPr="00EF7E9A" w:rsidRDefault="000B2CDE" w:rsidP="004F47CE">
      <w:pPr>
        <w:pStyle w:val="ListParagraph"/>
        <w:numPr>
          <w:ilvl w:val="1"/>
          <w:numId w:val="18"/>
        </w:numPr>
        <w:spacing w:after="200"/>
        <w:rPr>
          <w:szCs w:val="22"/>
          <w:lang w:val="fr-FR"/>
        </w:rPr>
      </w:pPr>
      <w:r w:rsidRPr="00EF7E9A">
        <w:rPr>
          <w:szCs w:val="22"/>
          <w:lang w:val="fr-FR"/>
        </w:rPr>
        <w:lastRenderedPageBreak/>
        <w:t>d</w:t>
      </w:r>
      <w:r w:rsidR="0005027E" w:rsidRPr="00EF7E9A">
        <w:rPr>
          <w:szCs w:val="22"/>
          <w:lang w:val="fr-FR"/>
        </w:rPr>
        <w:t xml:space="preserve">e </w:t>
      </w:r>
      <w:r w:rsidR="00AF5008" w:rsidRPr="00EF7E9A">
        <w:rPr>
          <w:szCs w:val="22"/>
          <w:lang w:val="fr-FR"/>
        </w:rPr>
        <w:t>r</w:t>
      </w:r>
      <w:r w:rsidR="00514470" w:rsidRPr="00EF7E9A">
        <w:rPr>
          <w:szCs w:val="22"/>
          <w:lang w:val="fr-FR"/>
        </w:rPr>
        <w:t>appele</w:t>
      </w:r>
      <w:r w:rsidR="0005027E" w:rsidRPr="00EF7E9A">
        <w:rPr>
          <w:szCs w:val="22"/>
          <w:lang w:val="fr-FR"/>
        </w:rPr>
        <w:t>r</w:t>
      </w:r>
      <w:r w:rsidR="00514470" w:rsidRPr="00EF7E9A">
        <w:rPr>
          <w:szCs w:val="22"/>
          <w:lang w:val="fr-FR"/>
        </w:rPr>
        <w:t xml:space="preserve"> aux autres unions que le consentement de l</w:t>
      </w:r>
      <w:r w:rsidR="00B64E9E" w:rsidRPr="00EF7E9A">
        <w:rPr>
          <w:szCs w:val="22"/>
          <w:lang w:val="fr-FR"/>
        </w:rPr>
        <w:t>’</w:t>
      </w:r>
      <w:r w:rsidR="00514470" w:rsidRPr="00EF7E9A">
        <w:rPr>
          <w:szCs w:val="22"/>
          <w:lang w:val="fr-FR"/>
        </w:rPr>
        <w:t>Assemblée de l</w:t>
      </w:r>
      <w:r w:rsidR="00B64E9E" w:rsidRPr="00EF7E9A">
        <w:rPr>
          <w:szCs w:val="22"/>
          <w:lang w:val="fr-FR"/>
        </w:rPr>
        <w:t>’</w:t>
      </w:r>
      <w:r w:rsidR="00514470" w:rsidRPr="00EF7E9A">
        <w:rPr>
          <w:szCs w:val="22"/>
          <w:lang w:val="fr-FR"/>
        </w:rPr>
        <w:t xml:space="preserve">Union de Madrid est requis avant que des recettes </w:t>
      </w:r>
      <w:r w:rsidR="0087627F" w:rsidRPr="00EF7E9A">
        <w:rPr>
          <w:szCs w:val="22"/>
          <w:lang w:val="fr-FR"/>
        </w:rPr>
        <w:t>réalisées</w:t>
      </w:r>
      <w:r w:rsidR="00514470" w:rsidRPr="00EF7E9A">
        <w:rPr>
          <w:szCs w:val="22"/>
          <w:lang w:val="fr-FR"/>
        </w:rPr>
        <w:t xml:space="preserve"> dans le cadre de l</w:t>
      </w:r>
      <w:r w:rsidR="00B64E9E" w:rsidRPr="00EF7E9A">
        <w:rPr>
          <w:szCs w:val="22"/>
          <w:lang w:val="fr-FR"/>
        </w:rPr>
        <w:t>’</w:t>
      </w:r>
      <w:r w:rsidR="00514470" w:rsidRPr="00EF7E9A">
        <w:rPr>
          <w:szCs w:val="22"/>
          <w:lang w:val="fr-FR"/>
        </w:rPr>
        <w:t xml:space="preserve">Union de Madrid puissent être utilisées </w:t>
      </w:r>
      <w:r w:rsidR="00AF5008" w:rsidRPr="00EF7E9A">
        <w:rPr>
          <w:szCs w:val="22"/>
          <w:lang w:val="fr-FR"/>
        </w:rPr>
        <w:t>pour couvrir les dépenses d</w:t>
      </w:r>
      <w:r w:rsidR="00B64E9E" w:rsidRPr="00EF7E9A">
        <w:rPr>
          <w:szCs w:val="22"/>
          <w:lang w:val="fr-FR"/>
        </w:rPr>
        <w:t>’</w:t>
      </w:r>
      <w:r w:rsidR="00AF5008" w:rsidRPr="00EF7E9A">
        <w:rPr>
          <w:szCs w:val="22"/>
          <w:lang w:val="fr-FR"/>
        </w:rPr>
        <w:t>autres unions moins performantes</w:t>
      </w:r>
      <w:r w:rsidR="00106795" w:rsidRPr="00EF7E9A">
        <w:rPr>
          <w:szCs w:val="22"/>
          <w:lang w:val="fr-FR"/>
        </w:rPr>
        <w:t xml:space="preserve">; </w:t>
      </w:r>
      <w:r w:rsidR="00AF5008" w:rsidRPr="00EF7E9A">
        <w:rPr>
          <w:szCs w:val="22"/>
          <w:lang w:val="fr-FR"/>
        </w:rPr>
        <w:t xml:space="preserve"> et</w:t>
      </w:r>
    </w:p>
    <w:p w:rsidR="00B64E9E" w:rsidRPr="00EF7E9A" w:rsidRDefault="0005027E" w:rsidP="004F47CE">
      <w:pPr>
        <w:pStyle w:val="ListParagraph"/>
        <w:numPr>
          <w:ilvl w:val="1"/>
          <w:numId w:val="18"/>
        </w:numPr>
        <w:spacing w:after="200"/>
        <w:rPr>
          <w:szCs w:val="22"/>
          <w:lang w:val="fr-FR"/>
        </w:rPr>
      </w:pPr>
      <w:r w:rsidRPr="00EF7E9A">
        <w:rPr>
          <w:szCs w:val="22"/>
          <w:lang w:val="fr-FR"/>
        </w:rPr>
        <w:t>d</w:t>
      </w:r>
      <w:r w:rsidR="00B64E9E" w:rsidRPr="00EF7E9A">
        <w:rPr>
          <w:szCs w:val="22"/>
          <w:lang w:val="fr-FR"/>
        </w:rPr>
        <w:t>’</w:t>
      </w:r>
      <w:r w:rsidR="00AF5008" w:rsidRPr="00EF7E9A">
        <w:rPr>
          <w:szCs w:val="22"/>
          <w:lang w:val="fr-FR"/>
        </w:rPr>
        <w:t>exige</w:t>
      </w:r>
      <w:r w:rsidRPr="00EF7E9A">
        <w:rPr>
          <w:szCs w:val="22"/>
          <w:lang w:val="fr-FR"/>
        </w:rPr>
        <w:t>r</w:t>
      </w:r>
      <w:r w:rsidR="00AF5008" w:rsidRPr="00EF7E9A">
        <w:rPr>
          <w:szCs w:val="22"/>
          <w:lang w:val="fr-FR"/>
        </w:rPr>
        <w:t xml:space="preserve"> que les excédents dépassant le montant </w:t>
      </w:r>
      <w:r w:rsidR="0087627F" w:rsidRPr="00EF7E9A">
        <w:rPr>
          <w:szCs w:val="22"/>
          <w:lang w:val="fr-FR"/>
        </w:rPr>
        <w:t xml:space="preserve">prévu des </w:t>
      </w:r>
      <w:r w:rsidR="00AF5008" w:rsidRPr="00EF7E9A">
        <w:rPr>
          <w:szCs w:val="22"/>
          <w:lang w:val="fr-FR"/>
        </w:rPr>
        <w:t xml:space="preserve">fonds de réserve et de roulement soient répartis entre les parties </w:t>
      </w:r>
      <w:r w:rsidR="0087627F" w:rsidRPr="00EF7E9A">
        <w:rPr>
          <w:szCs w:val="22"/>
          <w:lang w:val="fr-FR"/>
        </w:rPr>
        <w:t>à</w:t>
      </w:r>
      <w:r w:rsidR="00AF5008" w:rsidRPr="00EF7E9A">
        <w:rPr>
          <w:szCs w:val="22"/>
          <w:lang w:val="fr-FR"/>
        </w:rPr>
        <w:t xml:space="preserve"> l</w:t>
      </w:r>
      <w:r w:rsidR="00B64E9E" w:rsidRPr="00EF7E9A">
        <w:rPr>
          <w:szCs w:val="22"/>
          <w:lang w:val="fr-FR"/>
        </w:rPr>
        <w:t>’</w:t>
      </w:r>
      <w:r w:rsidR="00AF5008" w:rsidRPr="00EF7E9A">
        <w:rPr>
          <w:szCs w:val="22"/>
          <w:lang w:val="fr-FR"/>
        </w:rPr>
        <w:t xml:space="preserve">Arrangement </w:t>
      </w:r>
      <w:r w:rsidR="0087627F" w:rsidRPr="00EF7E9A">
        <w:rPr>
          <w:szCs w:val="22"/>
          <w:lang w:val="fr-FR"/>
        </w:rPr>
        <w:t>et au</w:t>
      </w:r>
      <w:r w:rsidR="00AF5008" w:rsidRPr="00EF7E9A">
        <w:rPr>
          <w:szCs w:val="22"/>
          <w:lang w:val="fr-FR"/>
        </w:rPr>
        <w:t xml:space="preserve"> Protocole </w:t>
      </w:r>
      <w:r w:rsidR="0087627F" w:rsidRPr="00EF7E9A">
        <w:rPr>
          <w:szCs w:val="22"/>
          <w:lang w:val="fr-FR"/>
        </w:rPr>
        <w:t>de Madrid</w:t>
      </w:r>
      <w:r w:rsidR="00AF5008" w:rsidRPr="00EF7E9A">
        <w:rPr>
          <w:szCs w:val="22"/>
          <w:lang w:val="fr-FR"/>
        </w:rPr>
        <w:t xml:space="preserve">, comme le prévoit </w:t>
      </w:r>
      <w:r w:rsidR="000E2009" w:rsidRPr="00EF7E9A">
        <w:rPr>
          <w:szCs w:val="22"/>
          <w:lang w:val="fr-FR"/>
        </w:rPr>
        <w:t>le traité</w:t>
      </w:r>
      <w:r w:rsidR="00106795" w:rsidRPr="00EF7E9A">
        <w:rPr>
          <w:szCs w:val="22"/>
          <w:lang w:val="fr-FR"/>
        </w:rPr>
        <w:t>.</w:t>
      </w:r>
    </w:p>
    <w:p w:rsidR="00B64E9E" w:rsidRPr="00EF7E9A" w:rsidRDefault="0005027E" w:rsidP="004F47CE">
      <w:pPr>
        <w:pStyle w:val="ListParagraph"/>
        <w:numPr>
          <w:ilvl w:val="1"/>
          <w:numId w:val="18"/>
        </w:numPr>
        <w:spacing w:after="200"/>
        <w:rPr>
          <w:szCs w:val="22"/>
          <w:lang w:val="fr-FR"/>
        </w:rPr>
      </w:pPr>
      <w:r w:rsidRPr="00EF7E9A">
        <w:rPr>
          <w:szCs w:val="22"/>
          <w:lang w:val="fr-FR"/>
        </w:rPr>
        <w:t xml:space="preserve">À cet égard, nous </w:t>
      </w:r>
      <w:r w:rsidR="000E2009" w:rsidRPr="00EF7E9A">
        <w:rPr>
          <w:szCs w:val="22"/>
          <w:lang w:val="fr-FR"/>
        </w:rPr>
        <w:t>remarquons que certain</w:t>
      </w:r>
      <w:r w:rsidRPr="00EF7E9A">
        <w:rPr>
          <w:szCs w:val="22"/>
          <w:lang w:val="fr-FR"/>
        </w:rPr>
        <w:t xml:space="preserve">s </w:t>
      </w:r>
      <w:r w:rsidR="000E2009" w:rsidRPr="00EF7E9A">
        <w:rPr>
          <w:szCs w:val="22"/>
          <w:lang w:val="fr-FR"/>
        </w:rPr>
        <w:t>membres</w:t>
      </w:r>
      <w:r w:rsidRPr="00EF7E9A">
        <w:rPr>
          <w:szCs w:val="22"/>
          <w:lang w:val="fr-FR"/>
        </w:rPr>
        <w:t xml:space="preserve"> de l</w:t>
      </w:r>
      <w:r w:rsidR="00B64E9E" w:rsidRPr="00EF7E9A">
        <w:rPr>
          <w:szCs w:val="22"/>
          <w:lang w:val="fr-FR"/>
        </w:rPr>
        <w:t>’</w:t>
      </w:r>
      <w:r w:rsidRPr="00EF7E9A">
        <w:rPr>
          <w:szCs w:val="22"/>
          <w:lang w:val="fr-FR"/>
        </w:rPr>
        <w:t>Union de Madrid sont légèrement en retard dans le</w:t>
      </w:r>
      <w:r w:rsidR="000E2009" w:rsidRPr="00EF7E9A">
        <w:rPr>
          <w:szCs w:val="22"/>
          <w:lang w:val="fr-FR"/>
        </w:rPr>
        <w:t xml:space="preserve"> versement de leur</w:t>
      </w:r>
      <w:r w:rsidRPr="00EF7E9A">
        <w:rPr>
          <w:szCs w:val="22"/>
          <w:lang w:val="fr-FR"/>
        </w:rPr>
        <w:t xml:space="preserve"> contribution et demandons que la répartition s</w:t>
      </w:r>
      <w:r w:rsidR="00B64E9E" w:rsidRPr="00EF7E9A">
        <w:rPr>
          <w:szCs w:val="22"/>
          <w:lang w:val="fr-FR"/>
        </w:rPr>
        <w:t>’</w:t>
      </w:r>
      <w:r w:rsidRPr="00EF7E9A">
        <w:rPr>
          <w:szCs w:val="22"/>
          <w:lang w:val="fr-FR"/>
        </w:rPr>
        <w:t xml:space="preserve">applique en premier lieu </w:t>
      </w:r>
      <w:r w:rsidR="000E2009" w:rsidRPr="00EF7E9A">
        <w:rPr>
          <w:szCs w:val="22"/>
          <w:lang w:val="fr-FR"/>
        </w:rPr>
        <w:t>à toute</w:t>
      </w:r>
      <w:r w:rsidRPr="00EF7E9A">
        <w:rPr>
          <w:szCs w:val="22"/>
          <w:lang w:val="fr-FR"/>
        </w:rPr>
        <w:t xml:space="preserve"> contribution</w:t>
      </w:r>
      <w:r w:rsidR="000E2009" w:rsidRPr="00EF7E9A">
        <w:rPr>
          <w:szCs w:val="22"/>
          <w:lang w:val="fr-FR"/>
        </w:rPr>
        <w:t xml:space="preserve"> due</w:t>
      </w:r>
      <w:r w:rsidRPr="00EF7E9A">
        <w:rPr>
          <w:szCs w:val="22"/>
          <w:lang w:val="fr-FR"/>
        </w:rPr>
        <w:t xml:space="preserve"> par les membres de l</w:t>
      </w:r>
      <w:r w:rsidR="00B64E9E" w:rsidRPr="00EF7E9A">
        <w:rPr>
          <w:szCs w:val="22"/>
          <w:lang w:val="fr-FR"/>
        </w:rPr>
        <w:t>’</w:t>
      </w:r>
      <w:r w:rsidRPr="00EF7E9A">
        <w:rPr>
          <w:szCs w:val="22"/>
          <w:lang w:val="fr-FR"/>
        </w:rPr>
        <w:t>Union de Madrid</w:t>
      </w:r>
      <w:r w:rsidR="00106795" w:rsidRPr="00EF7E9A">
        <w:rPr>
          <w:szCs w:val="22"/>
          <w:lang w:val="fr-FR"/>
        </w:rPr>
        <w:t>.</w:t>
      </w:r>
    </w:p>
    <w:p w:rsidR="00320CCD" w:rsidRPr="00EF7E9A" w:rsidRDefault="0005027E" w:rsidP="004F47CE">
      <w:pPr>
        <w:pStyle w:val="ListParagraph"/>
        <w:numPr>
          <w:ilvl w:val="1"/>
          <w:numId w:val="18"/>
        </w:numPr>
        <w:spacing w:after="200"/>
        <w:rPr>
          <w:szCs w:val="22"/>
          <w:lang w:val="fr-FR"/>
        </w:rPr>
      </w:pPr>
      <w:r w:rsidRPr="00EF7E9A">
        <w:rPr>
          <w:szCs w:val="22"/>
          <w:lang w:val="fr-FR"/>
        </w:rPr>
        <w:t xml:space="preserve">Ensuite, </w:t>
      </w:r>
      <w:r w:rsidR="000E2009" w:rsidRPr="00EF7E9A">
        <w:rPr>
          <w:szCs w:val="22"/>
          <w:lang w:val="fr-FR"/>
        </w:rPr>
        <w:t xml:space="preserve">nous </w:t>
      </w:r>
      <w:r w:rsidRPr="00EF7E9A">
        <w:rPr>
          <w:szCs w:val="22"/>
          <w:lang w:val="fr-FR"/>
        </w:rPr>
        <w:t>prenons note du fait les membres de l</w:t>
      </w:r>
      <w:r w:rsidR="00B64E9E" w:rsidRPr="00EF7E9A">
        <w:rPr>
          <w:szCs w:val="22"/>
          <w:lang w:val="fr-FR"/>
        </w:rPr>
        <w:t>’</w:t>
      </w:r>
      <w:r w:rsidRPr="00EF7E9A">
        <w:rPr>
          <w:szCs w:val="22"/>
          <w:lang w:val="fr-FR"/>
        </w:rPr>
        <w:t xml:space="preserve">Union de Lisbonne </w:t>
      </w:r>
      <w:r w:rsidR="000E2009" w:rsidRPr="00EF7E9A">
        <w:rPr>
          <w:szCs w:val="22"/>
          <w:lang w:val="fr-FR"/>
        </w:rPr>
        <w:t>envisagent</w:t>
      </w:r>
      <w:r w:rsidRPr="00EF7E9A">
        <w:rPr>
          <w:szCs w:val="22"/>
          <w:lang w:val="fr-FR"/>
        </w:rPr>
        <w:t xml:space="preserve"> de créer un fonds de roulement</w:t>
      </w:r>
      <w:r w:rsidR="00106795" w:rsidRPr="00EF7E9A">
        <w:rPr>
          <w:szCs w:val="22"/>
          <w:lang w:val="fr-FR"/>
        </w:rPr>
        <w:t xml:space="preserve">.  </w:t>
      </w:r>
      <w:r w:rsidRPr="00EF7E9A">
        <w:rPr>
          <w:szCs w:val="22"/>
          <w:lang w:val="fr-FR"/>
        </w:rPr>
        <w:t>Nous suggérons que pour tout membre de l</w:t>
      </w:r>
      <w:r w:rsidR="00B64E9E" w:rsidRPr="00EF7E9A">
        <w:rPr>
          <w:szCs w:val="22"/>
          <w:lang w:val="fr-FR"/>
        </w:rPr>
        <w:t>’</w:t>
      </w:r>
      <w:r w:rsidRPr="00EF7E9A">
        <w:rPr>
          <w:szCs w:val="22"/>
          <w:lang w:val="fr-FR"/>
        </w:rPr>
        <w:t>Union de Madrid également membre de l</w:t>
      </w:r>
      <w:r w:rsidR="00B64E9E" w:rsidRPr="00EF7E9A">
        <w:rPr>
          <w:szCs w:val="22"/>
          <w:lang w:val="fr-FR"/>
        </w:rPr>
        <w:t>’</w:t>
      </w:r>
      <w:r w:rsidRPr="00EF7E9A">
        <w:rPr>
          <w:szCs w:val="22"/>
          <w:lang w:val="fr-FR"/>
        </w:rPr>
        <w:t>Union de Lisbonne, la part du montant réparti s</w:t>
      </w:r>
      <w:r w:rsidR="00B64E9E" w:rsidRPr="00EF7E9A">
        <w:rPr>
          <w:szCs w:val="22"/>
          <w:lang w:val="fr-FR"/>
        </w:rPr>
        <w:t>’</w:t>
      </w:r>
      <w:r w:rsidRPr="00EF7E9A">
        <w:rPr>
          <w:szCs w:val="22"/>
          <w:lang w:val="fr-FR"/>
        </w:rPr>
        <w:t>applique au fonds de roulement de l</w:t>
      </w:r>
      <w:r w:rsidR="00B64E9E" w:rsidRPr="00EF7E9A">
        <w:rPr>
          <w:szCs w:val="22"/>
          <w:lang w:val="fr-FR"/>
        </w:rPr>
        <w:t>’</w:t>
      </w:r>
      <w:r w:rsidRPr="00EF7E9A">
        <w:rPr>
          <w:szCs w:val="22"/>
          <w:lang w:val="fr-FR"/>
        </w:rPr>
        <w:t>Union de Lisbonne</w:t>
      </w:r>
      <w:r w:rsidR="00106795" w:rsidRPr="00EF7E9A">
        <w:rPr>
          <w:szCs w:val="22"/>
          <w:lang w:val="fr-FR"/>
        </w:rPr>
        <w:t xml:space="preserve">.  </w:t>
      </w:r>
      <w:r w:rsidRPr="00EF7E9A">
        <w:rPr>
          <w:szCs w:val="22"/>
          <w:lang w:val="fr-FR"/>
        </w:rPr>
        <w:t xml:space="preserve">Selon notre interprétation, ces virements permettront </w:t>
      </w:r>
      <w:r w:rsidR="00EF7E9A" w:rsidRPr="00EF7E9A">
        <w:rPr>
          <w:szCs w:val="22"/>
          <w:lang w:val="fr-FR"/>
        </w:rPr>
        <w:t>au</w:t>
      </w:r>
      <w:r w:rsidRPr="00EF7E9A">
        <w:rPr>
          <w:szCs w:val="22"/>
          <w:lang w:val="fr-FR"/>
        </w:rPr>
        <w:t xml:space="preserve"> fonds de roulement de partir sur de bonnes bases et à l</w:t>
      </w:r>
      <w:r w:rsidR="00B64E9E" w:rsidRPr="00EF7E9A">
        <w:rPr>
          <w:szCs w:val="22"/>
          <w:lang w:val="fr-FR"/>
        </w:rPr>
        <w:t>’</w:t>
      </w:r>
      <w:r w:rsidRPr="00EF7E9A">
        <w:rPr>
          <w:szCs w:val="22"/>
          <w:lang w:val="fr-FR"/>
        </w:rPr>
        <w:t>Union de Lisbonne de couvrir son déficit</w:t>
      </w:r>
      <w:r w:rsidR="00106795" w:rsidRPr="00EF7E9A">
        <w:rPr>
          <w:szCs w:val="22"/>
          <w:lang w:val="fr-FR"/>
        </w:rPr>
        <w:t>.</w:t>
      </w:r>
    </w:p>
    <w:p w:rsidR="00320CCD" w:rsidRPr="00EF7E9A" w:rsidRDefault="0005027E" w:rsidP="004F47CE">
      <w:pPr>
        <w:pStyle w:val="ListParagraph"/>
        <w:numPr>
          <w:ilvl w:val="0"/>
          <w:numId w:val="18"/>
        </w:numPr>
        <w:spacing w:after="200"/>
        <w:rPr>
          <w:szCs w:val="22"/>
          <w:lang w:val="fr-FR"/>
        </w:rPr>
      </w:pPr>
      <w:r w:rsidRPr="00EF7E9A">
        <w:rPr>
          <w:szCs w:val="22"/>
          <w:lang w:val="fr-FR"/>
        </w:rPr>
        <w:t>Merci M.</w:t>
      </w:r>
      <w:r w:rsidR="0073093E" w:rsidRPr="00EF7E9A">
        <w:rPr>
          <w:szCs w:val="22"/>
          <w:lang w:val="fr-FR"/>
        </w:rPr>
        <w:t> </w:t>
      </w:r>
      <w:r w:rsidRPr="00EF7E9A">
        <w:rPr>
          <w:szCs w:val="22"/>
          <w:lang w:val="fr-FR"/>
        </w:rPr>
        <w:t>le président</w:t>
      </w:r>
      <w:r w:rsidR="00106795" w:rsidRPr="00EF7E9A">
        <w:rPr>
          <w:szCs w:val="22"/>
          <w:lang w:val="fr-FR"/>
        </w:rPr>
        <w:t>.</w:t>
      </w:r>
    </w:p>
    <w:p w:rsidR="00320CCD" w:rsidRDefault="00320CCD" w:rsidP="004F47CE">
      <w:pPr>
        <w:rPr>
          <w:lang w:val="fr-FR"/>
        </w:rPr>
      </w:pPr>
    </w:p>
    <w:p w:rsidR="00205A33" w:rsidRPr="00DB2449" w:rsidRDefault="00205A33" w:rsidP="0049479A">
      <w:pPr>
        <w:pStyle w:val="Endofdocument-Annex"/>
        <w:rPr>
          <w:lang w:val="fr-FR"/>
        </w:rPr>
        <w:sectPr w:rsidR="00205A33" w:rsidRPr="00DB2449" w:rsidSect="00AB6CB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D001CA" w:rsidRPr="00DB2449" w:rsidRDefault="00D001CA" w:rsidP="00205A33">
      <w:pPr>
        <w:rPr>
          <w:lang w:val="fr-FR"/>
        </w:rPr>
      </w:pPr>
    </w:p>
    <w:tbl>
      <w:tblPr>
        <w:tblW w:w="14742" w:type="dxa"/>
        <w:tblInd w:w="-214" w:type="dxa"/>
        <w:tblCellMar>
          <w:left w:w="70" w:type="dxa"/>
          <w:right w:w="70" w:type="dxa"/>
        </w:tblCellMar>
        <w:tblLook w:val="04A0" w:firstRow="1" w:lastRow="0" w:firstColumn="1" w:lastColumn="0" w:noHBand="0" w:noVBand="1"/>
      </w:tblPr>
      <w:tblGrid>
        <w:gridCol w:w="2500"/>
        <w:gridCol w:w="1560"/>
        <w:gridCol w:w="1753"/>
        <w:gridCol w:w="1559"/>
        <w:gridCol w:w="1842"/>
        <w:gridCol w:w="1701"/>
        <w:gridCol w:w="1984"/>
        <w:gridCol w:w="1843"/>
      </w:tblGrid>
      <w:tr w:rsidR="00205A33" w:rsidRPr="007C3F7D" w:rsidTr="0010594F">
        <w:trPr>
          <w:cantSplit/>
          <w:trHeight w:val="2295"/>
          <w:tblHeader/>
        </w:trPr>
        <w:tc>
          <w:tcPr>
            <w:tcW w:w="2500" w:type="dxa"/>
            <w:tcBorders>
              <w:top w:val="nil"/>
              <w:left w:val="nil"/>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bookmarkStart w:id="7" w:name="RANGE!A2:H106"/>
            <w:r w:rsidRPr="00DB2449">
              <w:rPr>
                <w:color w:val="000000"/>
                <w:szCs w:val="22"/>
                <w:lang w:val="fr-FR" w:eastAsia="fr-FR"/>
              </w:rPr>
              <w:t>Pays ou organisation intergouvernementale</w:t>
            </w:r>
            <w:bookmarkEnd w:id="7"/>
          </w:p>
        </w:tc>
        <w:tc>
          <w:tcPr>
            <w:tcW w:w="1560"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Membre de l</w:t>
            </w:r>
            <w:r w:rsidR="00B64E9E">
              <w:rPr>
                <w:color w:val="000000"/>
                <w:szCs w:val="22"/>
                <w:lang w:val="fr-FR" w:eastAsia="fr-FR"/>
              </w:rPr>
              <w:t>’</w:t>
            </w:r>
            <w:r w:rsidRPr="00DB2449">
              <w:rPr>
                <w:color w:val="000000"/>
                <w:szCs w:val="22"/>
                <w:lang w:val="fr-FR" w:eastAsia="fr-FR"/>
              </w:rPr>
              <w:t>Union de Madrid?</w:t>
            </w:r>
          </w:p>
        </w:tc>
        <w:tc>
          <w:tcPr>
            <w:tcW w:w="1753"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Part de l</w:t>
            </w:r>
            <w:r w:rsidR="00B64E9E">
              <w:rPr>
                <w:color w:val="000000"/>
                <w:szCs w:val="22"/>
                <w:lang w:val="fr-FR" w:eastAsia="fr-FR"/>
              </w:rPr>
              <w:t>’</w:t>
            </w:r>
            <w:r w:rsidRPr="00DB2449">
              <w:rPr>
                <w:color w:val="000000"/>
                <w:szCs w:val="22"/>
                <w:lang w:val="fr-FR" w:eastAsia="fr-FR"/>
              </w:rPr>
              <w:t>excédent perçue au titre de l</w:t>
            </w:r>
            <w:r w:rsidR="00B64E9E">
              <w:rPr>
                <w:color w:val="000000"/>
                <w:szCs w:val="22"/>
                <w:lang w:val="fr-FR" w:eastAsia="fr-FR"/>
              </w:rPr>
              <w:t>’</w:t>
            </w:r>
            <w:r w:rsidRPr="00DB2449">
              <w:rPr>
                <w:color w:val="000000"/>
                <w:szCs w:val="22"/>
                <w:lang w:val="fr-FR" w:eastAsia="fr-FR"/>
              </w:rPr>
              <w:t>article 8.4) de l</w:t>
            </w:r>
            <w:r w:rsidR="00B64E9E">
              <w:rPr>
                <w:color w:val="000000"/>
                <w:szCs w:val="22"/>
                <w:lang w:val="fr-FR" w:eastAsia="fr-FR"/>
              </w:rPr>
              <w:t>’</w:t>
            </w:r>
            <w:r w:rsidRPr="00DB2449">
              <w:rPr>
                <w:color w:val="000000"/>
                <w:szCs w:val="22"/>
                <w:lang w:val="fr-FR" w:eastAsia="fr-FR"/>
              </w:rPr>
              <w:t>Arrangement de Madrid (estimation)</w:t>
            </w:r>
          </w:p>
        </w:tc>
        <w:tc>
          <w:tcPr>
            <w:tcW w:w="1559"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Membre de l</w:t>
            </w:r>
            <w:r w:rsidR="00B64E9E">
              <w:rPr>
                <w:color w:val="000000"/>
                <w:szCs w:val="22"/>
                <w:lang w:val="fr-FR" w:eastAsia="fr-FR"/>
              </w:rPr>
              <w:t>’</w:t>
            </w:r>
            <w:r w:rsidRPr="00DB2449">
              <w:rPr>
                <w:color w:val="000000"/>
                <w:szCs w:val="22"/>
                <w:lang w:val="fr-FR" w:eastAsia="fr-FR"/>
              </w:rPr>
              <w:t>Union de Lisbonne?</w:t>
            </w:r>
          </w:p>
        </w:tc>
        <w:tc>
          <w:tcPr>
            <w:tcW w:w="1842"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Si membre de l</w:t>
            </w:r>
            <w:r w:rsidR="00B64E9E">
              <w:rPr>
                <w:color w:val="000000"/>
                <w:szCs w:val="22"/>
                <w:lang w:val="fr-FR" w:eastAsia="fr-FR"/>
              </w:rPr>
              <w:t>’</w:t>
            </w:r>
            <w:r w:rsidRPr="00DB2449">
              <w:rPr>
                <w:color w:val="000000"/>
                <w:szCs w:val="22"/>
                <w:lang w:val="fr-FR" w:eastAsia="fr-FR"/>
              </w:rPr>
              <w:t>Union de Lisbonne, classe de contribution au titre de la Convention de Paris</w:t>
            </w:r>
          </w:p>
        </w:tc>
        <w:tc>
          <w:tcPr>
            <w:tcW w:w="1701"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Si membre de l</w:t>
            </w:r>
            <w:r w:rsidR="00B64E9E">
              <w:rPr>
                <w:color w:val="000000"/>
                <w:szCs w:val="22"/>
                <w:lang w:val="fr-FR" w:eastAsia="fr-FR"/>
              </w:rPr>
              <w:t>’</w:t>
            </w:r>
            <w:r w:rsidRPr="00DB2449">
              <w:rPr>
                <w:color w:val="000000"/>
                <w:szCs w:val="22"/>
                <w:lang w:val="fr-FR" w:eastAsia="fr-FR"/>
              </w:rPr>
              <w:t>Union de Lisbonne, unité de contribution au titre de la Convention de Paris</w:t>
            </w:r>
          </w:p>
        </w:tc>
        <w:tc>
          <w:tcPr>
            <w:tcW w:w="1984"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b/>
                <w:bCs/>
                <w:i/>
                <w:iCs/>
                <w:color w:val="000000"/>
                <w:sz w:val="20"/>
                <w:lang w:val="fr-FR" w:eastAsia="fr-FR"/>
              </w:rPr>
            </w:pPr>
            <w:r w:rsidRPr="00DB2449">
              <w:rPr>
                <w:b/>
                <w:bCs/>
                <w:i/>
                <w:iCs/>
                <w:color w:val="000000"/>
                <w:sz w:val="20"/>
                <w:lang w:val="fr-FR" w:eastAsia="fr-FR"/>
              </w:rPr>
              <w:t>Contribution à un fonds de roulement de l</w:t>
            </w:r>
            <w:r w:rsidR="00B64E9E">
              <w:rPr>
                <w:b/>
                <w:bCs/>
                <w:i/>
                <w:iCs/>
                <w:color w:val="000000"/>
                <w:sz w:val="20"/>
                <w:lang w:val="fr-FR" w:eastAsia="fr-FR"/>
              </w:rPr>
              <w:t>’</w:t>
            </w:r>
            <w:r w:rsidRPr="00DB2449">
              <w:rPr>
                <w:b/>
                <w:bCs/>
                <w:i/>
                <w:iCs/>
                <w:color w:val="000000"/>
                <w:sz w:val="20"/>
                <w:lang w:val="fr-FR" w:eastAsia="fr-FR"/>
              </w:rPr>
              <w:t>Union de Lisbonne en vertu de l</w:t>
            </w:r>
            <w:r w:rsidR="00B64E9E">
              <w:rPr>
                <w:b/>
                <w:bCs/>
                <w:i/>
                <w:iCs/>
                <w:color w:val="000000"/>
                <w:sz w:val="20"/>
                <w:lang w:val="fr-FR" w:eastAsia="fr-FR"/>
              </w:rPr>
              <w:t>’</w:t>
            </w:r>
            <w:r w:rsidRPr="00DB2449">
              <w:rPr>
                <w:b/>
                <w:bCs/>
                <w:i/>
                <w:iCs/>
                <w:color w:val="000000"/>
                <w:sz w:val="20"/>
                <w:lang w:val="fr-FR" w:eastAsia="fr-FR"/>
              </w:rPr>
              <w:t>article 11.3)v) de l</w:t>
            </w:r>
            <w:r w:rsidR="00B64E9E">
              <w:rPr>
                <w:b/>
                <w:bCs/>
                <w:i/>
                <w:iCs/>
                <w:color w:val="000000"/>
                <w:sz w:val="20"/>
                <w:lang w:val="fr-FR" w:eastAsia="fr-FR"/>
              </w:rPr>
              <w:t>’</w:t>
            </w:r>
            <w:r w:rsidRPr="00DB2449">
              <w:rPr>
                <w:b/>
                <w:bCs/>
                <w:i/>
                <w:iCs/>
                <w:color w:val="000000"/>
                <w:sz w:val="20"/>
                <w:lang w:val="fr-FR" w:eastAsia="fr-FR"/>
              </w:rPr>
              <w:t>Arrangement de Lisbonne (extrait du document LI/A/32/4)</w:t>
            </w:r>
          </w:p>
        </w:tc>
        <w:tc>
          <w:tcPr>
            <w:tcW w:w="1843" w:type="dxa"/>
            <w:tcBorders>
              <w:top w:val="single" w:sz="4" w:space="0" w:color="auto"/>
              <w:left w:val="nil"/>
              <w:bottom w:val="single" w:sz="4" w:space="0" w:color="auto"/>
              <w:right w:val="single" w:sz="4" w:space="0" w:color="auto"/>
            </w:tcBorders>
            <w:shd w:val="clear" w:color="000000" w:fill="B1A0C7"/>
            <w:vAlign w:val="center"/>
            <w:hideMark/>
          </w:tcPr>
          <w:p w:rsidR="00205A33" w:rsidRPr="00DB2449" w:rsidRDefault="00205A33" w:rsidP="0010594F">
            <w:pPr>
              <w:jc w:val="center"/>
              <w:rPr>
                <w:b/>
                <w:bCs/>
                <w:i/>
                <w:iCs/>
                <w:color w:val="000000"/>
                <w:sz w:val="20"/>
                <w:lang w:val="fr-FR" w:eastAsia="fr-FR"/>
              </w:rPr>
            </w:pPr>
            <w:r w:rsidRPr="00DB2449">
              <w:rPr>
                <w:b/>
                <w:bCs/>
                <w:i/>
                <w:iCs/>
                <w:color w:val="000000"/>
                <w:sz w:val="20"/>
                <w:lang w:val="fr-FR" w:eastAsia="fr-FR"/>
              </w:rPr>
              <w:t>Part de la répartition au titre de l</w:t>
            </w:r>
            <w:r w:rsidR="00B64E9E">
              <w:rPr>
                <w:b/>
                <w:bCs/>
                <w:i/>
                <w:iCs/>
                <w:color w:val="000000"/>
                <w:sz w:val="20"/>
                <w:lang w:val="fr-FR" w:eastAsia="fr-FR"/>
              </w:rPr>
              <w:t>’</w:t>
            </w:r>
            <w:r w:rsidRPr="00DB2449">
              <w:rPr>
                <w:b/>
                <w:bCs/>
                <w:i/>
                <w:iCs/>
                <w:color w:val="000000"/>
                <w:sz w:val="20"/>
                <w:lang w:val="fr-FR" w:eastAsia="fr-FR"/>
              </w:rPr>
              <w:t>Arrangement de Madrid moins les fonds de réserve et de roulement de l</w:t>
            </w:r>
            <w:r w:rsidR="00B64E9E">
              <w:rPr>
                <w:b/>
                <w:bCs/>
                <w:i/>
                <w:iCs/>
                <w:color w:val="000000"/>
                <w:sz w:val="20"/>
                <w:lang w:val="fr-FR" w:eastAsia="fr-FR"/>
              </w:rPr>
              <w:t>’</w:t>
            </w:r>
            <w:r w:rsidRPr="00DB2449">
              <w:rPr>
                <w:b/>
                <w:bCs/>
                <w:i/>
                <w:iCs/>
                <w:color w:val="000000"/>
                <w:sz w:val="20"/>
                <w:lang w:val="fr-FR" w:eastAsia="fr-FR"/>
              </w:rPr>
              <w:t>Union de Lisbonne</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Albanie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Algérie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Yes</w:t>
            </w:r>
            <w:proofErr w:type="spellEnd"/>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IX</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143065</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Allemagne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Antigua</w:t>
            </w:r>
            <w:r w:rsidR="00B673C6">
              <w:rPr>
                <w:color w:val="3B3B3B"/>
                <w:szCs w:val="22"/>
                <w:lang w:val="fr-FR" w:eastAsia="fr-FR"/>
              </w:rPr>
              <w:noBreakHyphen/>
            </w:r>
            <w:r w:rsidRPr="00DB2449">
              <w:rPr>
                <w:color w:val="3B3B3B"/>
                <w:szCs w:val="22"/>
                <w:lang w:val="fr-FR" w:eastAsia="fr-FR"/>
              </w:rPr>
              <w:t>et</w:t>
            </w:r>
            <w:r w:rsidR="00B673C6">
              <w:rPr>
                <w:color w:val="3B3B3B"/>
                <w:szCs w:val="22"/>
                <w:lang w:val="fr-FR" w:eastAsia="fr-FR"/>
              </w:rPr>
              <w:noBreakHyphen/>
            </w:r>
            <w:r w:rsidRPr="00DB2449">
              <w:rPr>
                <w:color w:val="3B3B3B"/>
                <w:szCs w:val="22"/>
                <w:lang w:val="fr-FR" w:eastAsia="fr-FR"/>
              </w:rPr>
              <w:t>Barbuda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Arménie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Australie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Autriche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Azerbaïdjan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Bahreïn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Bélarus</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ind w:left="72" w:hanging="72"/>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Belgique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Bhoutan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Bosnie</w:t>
            </w:r>
            <w:r w:rsidR="00B673C6">
              <w:rPr>
                <w:color w:val="3B3B3B"/>
                <w:szCs w:val="22"/>
                <w:lang w:val="fr-FR" w:eastAsia="fr-FR"/>
              </w:rPr>
              <w:noBreakHyphen/>
            </w:r>
            <w:r w:rsidRPr="00DB2449">
              <w:rPr>
                <w:color w:val="3B3B3B"/>
                <w:szCs w:val="22"/>
                <w:lang w:val="fr-FR" w:eastAsia="fr-FR"/>
              </w:rPr>
              <w:t>Herzégovine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0,0625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1734</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148266</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Botswana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Bulgarie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VI</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2</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55483</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94517</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Burkina Faso</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ter</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0,03125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867</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867</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Cambodge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Chine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Chypre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lastRenderedPageBreak/>
              <w:t>Colombie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 xml:space="preserve">Congo </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0,0625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1734</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1734</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Costa Rica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S</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3468</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3468</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Croatie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Cuba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S</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3468</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146532</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Danemark</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Égypte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Espagne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Estonie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États</w:t>
            </w:r>
            <w:r w:rsidR="00B673C6">
              <w:rPr>
                <w:color w:val="3B3B3B"/>
                <w:szCs w:val="22"/>
                <w:lang w:val="fr-FR" w:eastAsia="fr-FR"/>
              </w:rPr>
              <w:noBreakHyphen/>
            </w:r>
            <w:r w:rsidRPr="00DB2449">
              <w:rPr>
                <w:color w:val="3B3B3B"/>
                <w:szCs w:val="22"/>
                <w:lang w:val="fr-FR" w:eastAsia="fr-FR"/>
              </w:rPr>
              <w:t>Unis d</w:t>
            </w:r>
            <w:r w:rsidR="00B64E9E">
              <w:rPr>
                <w:color w:val="3B3B3B"/>
                <w:szCs w:val="22"/>
                <w:lang w:val="fr-FR" w:eastAsia="fr-FR"/>
              </w:rPr>
              <w:t>’</w:t>
            </w:r>
            <w:r w:rsidRPr="00DB2449">
              <w:rPr>
                <w:color w:val="3B3B3B"/>
                <w:szCs w:val="22"/>
                <w:lang w:val="fr-FR" w:eastAsia="fr-FR"/>
              </w:rPr>
              <w:t>Amérique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825"/>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Ex</w:t>
            </w:r>
            <w:r w:rsidR="00B673C6">
              <w:rPr>
                <w:color w:val="3B3B3B"/>
                <w:szCs w:val="22"/>
                <w:lang w:val="fr-FR" w:eastAsia="fr-FR"/>
              </w:rPr>
              <w:noBreakHyphen/>
            </w:r>
            <w:r w:rsidRPr="00DB2449">
              <w:rPr>
                <w:color w:val="3B3B3B"/>
                <w:szCs w:val="22"/>
                <w:lang w:val="fr-FR" w:eastAsia="fr-FR"/>
              </w:rPr>
              <w:t>République yougoslave de Macédoine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VIII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13871</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136129</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Fédération de Russie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Finlande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France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693541</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543541</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Gabon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S</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3468</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3468</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Géorgie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IX</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0,25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143065</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Ghana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Grèce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lastRenderedPageBreak/>
              <w:t>Haïti</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ter</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0,03125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867</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867</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Hongrie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3</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83225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66775</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Inde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555"/>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Iran (République islamique d</w:t>
            </w:r>
            <w:r w:rsidR="00B64E9E">
              <w:rPr>
                <w:color w:val="3B3B3B"/>
                <w:szCs w:val="22"/>
                <w:lang w:val="fr-FR" w:eastAsia="fr-FR"/>
              </w:rPr>
              <w:t>’</w:t>
            </w:r>
            <w:r w:rsidRPr="00DB2449">
              <w:rPr>
                <w:color w:val="3B3B3B"/>
                <w:szCs w:val="22"/>
                <w:lang w:val="fr-FR" w:eastAsia="fr-FR"/>
              </w:rPr>
              <w:t>)</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1</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27742</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122258</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Islande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Israël</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VI</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2</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55483</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94517</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Italie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III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15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416125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266125</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Japon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Kazakhstan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Kenya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Kirghizistan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Lesotho</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Lettonie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Libéria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Liechtenstein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Lituanie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Luxembourg</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Madagascar</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Maroc</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lastRenderedPageBreak/>
              <w:t>Mexique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IV</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7,5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208062</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58062</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Monaco</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Mongolie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Monténégro</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IX</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143065</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Mozambique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Namibie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Nicaragua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0,0625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1734</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1734</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Norvège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Nouvelle</w:t>
            </w:r>
            <w:r w:rsidR="00B673C6">
              <w:rPr>
                <w:color w:val="3B3B3B"/>
                <w:szCs w:val="22"/>
                <w:lang w:val="fr-FR" w:eastAsia="fr-FR"/>
              </w:rPr>
              <w:noBreakHyphen/>
            </w:r>
            <w:r w:rsidRPr="00DB2449">
              <w:rPr>
                <w:color w:val="3B3B3B"/>
                <w:szCs w:val="22"/>
                <w:lang w:val="fr-FR" w:eastAsia="fr-FR"/>
              </w:rPr>
              <w:t>Zélande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Oman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nil"/>
              <w:right w:val="nil"/>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87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Organisation africaine de la propriété intellectuelle (OAPI)</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Ouzbékistan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Pays</w:t>
            </w:r>
            <w:r w:rsidR="00B673C6">
              <w:rPr>
                <w:color w:val="3B3B3B"/>
                <w:szCs w:val="22"/>
                <w:lang w:val="fr-FR" w:eastAsia="fr-FR"/>
              </w:rPr>
              <w:noBreakHyphen/>
            </w:r>
            <w:r w:rsidRPr="00DB2449">
              <w:rPr>
                <w:color w:val="3B3B3B"/>
                <w:szCs w:val="22"/>
                <w:lang w:val="fr-FR" w:eastAsia="fr-FR"/>
              </w:rPr>
              <w:t>Bas</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Pérou</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IX</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6935</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Philippines</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Pologne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Portugal</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IV</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7,5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208062</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58062</w:t>
            </w:r>
          </w:p>
        </w:tc>
      </w:tr>
      <w:tr w:rsidR="00205A33" w:rsidRPr="00DB2449" w:rsidTr="0010594F">
        <w:trPr>
          <w:trHeight w:val="585"/>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lastRenderedPageBreak/>
              <w:t>République arabe syrienne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République de Corée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République de Moldova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IX</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6935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143065</w:t>
            </w:r>
          </w:p>
        </w:tc>
      </w:tr>
      <w:tr w:rsidR="00205A33" w:rsidRPr="00DB2449" w:rsidTr="0010594F">
        <w:trPr>
          <w:trHeight w:val="57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République populaire démocratique de Corée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bis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0,0625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1734</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148266</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République tchèque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3</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83225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66775</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Roumanie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Royaume</w:t>
            </w:r>
            <w:r w:rsidR="00B673C6">
              <w:rPr>
                <w:color w:val="3B3B3B"/>
                <w:szCs w:val="22"/>
                <w:lang w:val="fr-FR" w:eastAsia="fr-FR"/>
              </w:rPr>
              <w:noBreakHyphen/>
            </w:r>
            <w:r w:rsidRPr="00DB2449">
              <w:rPr>
                <w:color w:val="3B3B3B"/>
                <w:szCs w:val="22"/>
                <w:lang w:val="fr-FR" w:eastAsia="fr-FR"/>
              </w:rPr>
              <w:t>Uni</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Rwanda</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Saint</w:t>
            </w:r>
            <w:r w:rsidR="00B673C6">
              <w:rPr>
                <w:color w:val="3B3B3B"/>
                <w:szCs w:val="22"/>
                <w:lang w:val="fr-FR" w:eastAsia="fr-FR"/>
              </w:rPr>
              <w:noBreakHyphen/>
            </w:r>
            <w:r w:rsidRPr="00DB2449">
              <w:rPr>
                <w:color w:val="3B3B3B"/>
                <w:szCs w:val="22"/>
                <w:lang w:val="fr-FR" w:eastAsia="fr-FR"/>
              </w:rPr>
              <w:t>Marin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Sao Tomé</w:t>
            </w:r>
            <w:r w:rsidR="00B673C6">
              <w:rPr>
                <w:color w:val="3B3B3B"/>
                <w:szCs w:val="22"/>
                <w:lang w:val="fr-FR" w:eastAsia="fr-FR"/>
              </w:rPr>
              <w:noBreakHyphen/>
            </w:r>
            <w:r w:rsidRPr="00DB2449">
              <w:rPr>
                <w:color w:val="3B3B3B"/>
                <w:szCs w:val="22"/>
                <w:lang w:val="fr-FR" w:eastAsia="fr-FR"/>
              </w:rPr>
              <w:t>et</w:t>
            </w:r>
            <w:r w:rsidR="00B673C6">
              <w:rPr>
                <w:color w:val="3B3B3B"/>
                <w:szCs w:val="22"/>
                <w:lang w:val="fr-FR" w:eastAsia="fr-FR"/>
              </w:rPr>
              <w:noBreakHyphen/>
            </w:r>
            <w:r w:rsidRPr="00DB2449">
              <w:rPr>
                <w:color w:val="3B3B3B"/>
                <w:szCs w:val="22"/>
                <w:lang w:val="fr-FR" w:eastAsia="fr-FR"/>
              </w:rPr>
              <w:t>Principe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Sénégal</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Serbie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VIII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13871</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136129</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Sierra Leone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Singapour</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Slovaquie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VI</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3</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83225</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66775</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Slovénie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Soudan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Suède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282"/>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lastRenderedPageBreak/>
              <w:t>Suisse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Swaziland</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Tadjikistan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000000"/>
                <w:szCs w:val="22"/>
                <w:lang w:val="fr-FR" w:eastAsia="fr-FR"/>
              </w:rPr>
            </w:pPr>
            <w:r w:rsidRPr="00DB2449">
              <w:rPr>
                <w:color w:val="000000"/>
                <w:szCs w:val="22"/>
                <w:lang w:val="fr-FR" w:eastAsia="fr-FR"/>
              </w:rPr>
              <w:t>Togo</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 </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sans objet</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proofErr w:type="spellStart"/>
            <w:r w:rsidRPr="00DB2449">
              <w:rPr>
                <w:color w:val="000000"/>
                <w:sz w:val="18"/>
                <w:szCs w:val="18"/>
                <w:lang w:val="fr-FR" w:eastAsia="fr-FR"/>
              </w:rPr>
              <w:t>S</w:t>
            </w:r>
            <w:r w:rsidRPr="00DB2449">
              <w:rPr>
                <w:i/>
                <w:iCs/>
                <w:color w:val="000000"/>
                <w:sz w:val="18"/>
                <w:szCs w:val="18"/>
                <w:lang w:val="fr-FR" w:eastAsia="fr-FR"/>
              </w:rPr>
              <w:t>ter</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0,03125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867</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B673C6" w:rsidP="0010594F">
            <w:pPr>
              <w:jc w:val="center"/>
              <w:rPr>
                <w:rFonts w:ascii="Calibri" w:hAnsi="Calibri" w:cs="Times New Roman"/>
                <w:color w:val="000000"/>
                <w:szCs w:val="22"/>
                <w:lang w:val="fr-FR" w:eastAsia="fr-FR"/>
              </w:rPr>
            </w:pPr>
            <w:r>
              <w:rPr>
                <w:rFonts w:ascii="Calibri" w:hAnsi="Calibri" w:cs="Times New Roman"/>
                <w:color w:val="000000"/>
                <w:szCs w:val="22"/>
                <w:lang w:val="fr-FR" w:eastAsia="fr-FR"/>
              </w:rPr>
              <w:noBreakHyphen/>
            </w:r>
            <w:r w:rsidR="00205A33" w:rsidRPr="00DB2449">
              <w:rPr>
                <w:rFonts w:ascii="Calibri" w:hAnsi="Calibri" w:cs="Times New Roman"/>
                <w:color w:val="000000"/>
                <w:szCs w:val="22"/>
                <w:lang w:val="fr-FR" w:eastAsia="fr-FR"/>
              </w:rPr>
              <w:t>867</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Tunisie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X</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S</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0,125</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3468</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146532</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Turkménistan</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Turquie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Ukraine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Union européenne (EU)</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18"/>
                <w:szCs w:val="18"/>
                <w:lang w:val="fr-FR" w:eastAsia="fr-FR"/>
              </w:rPr>
            </w:pPr>
            <w:r w:rsidRPr="00DB2449">
              <w:rPr>
                <w:color w:val="000000"/>
                <w:sz w:val="18"/>
                <w:szCs w:val="18"/>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000000"/>
                <w:sz w:val="20"/>
                <w:lang w:val="fr-FR" w:eastAsia="fr-FR"/>
              </w:rPr>
            </w:pPr>
            <w:r w:rsidRPr="00DB2449">
              <w:rPr>
                <w:color w:val="000000"/>
                <w:sz w:val="20"/>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Viet Nam</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10594F">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Zambie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3F45A7">
        <w:trPr>
          <w:trHeight w:val="300"/>
        </w:trPr>
        <w:tc>
          <w:tcPr>
            <w:tcW w:w="2500" w:type="dxa"/>
            <w:tcBorders>
              <w:top w:val="nil"/>
              <w:left w:val="single" w:sz="4" w:space="0" w:color="auto"/>
              <w:bottom w:val="single" w:sz="4" w:space="0" w:color="auto"/>
              <w:right w:val="single" w:sz="4" w:space="0" w:color="auto"/>
            </w:tcBorders>
            <w:shd w:val="clear" w:color="000000" w:fill="99FF66"/>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Zimbabwe</w:t>
            </w:r>
          </w:p>
        </w:tc>
        <w:tc>
          <w:tcPr>
            <w:tcW w:w="1560"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color w:val="3B3B3B"/>
                <w:szCs w:val="22"/>
                <w:lang w:val="fr-FR" w:eastAsia="fr-FR"/>
              </w:rPr>
            </w:pPr>
            <w:r w:rsidRPr="00DB2449">
              <w:rPr>
                <w:color w:val="3B3B3B"/>
                <w:szCs w:val="22"/>
                <w:lang w:val="fr-FR" w:eastAsia="fr-FR"/>
              </w:rPr>
              <w:t>X</w:t>
            </w:r>
          </w:p>
        </w:tc>
        <w:tc>
          <w:tcPr>
            <w:tcW w:w="175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c>
          <w:tcPr>
            <w:tcW w:w="1559"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2"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701"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984"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 </w:t>
            </w:r>
          </w:p>
        </w:tc>
        <w:tc>
          <w:tcPr>
            <w:tcW w:w="1843" w:type="dxa"/>
            <w:tcBorders>
              <w:top w:val="nil"/>
              <w:left w:val="nil"/>
              <w:bottom w:val="single" w:sz="4" w:space="0" w:color="auto"/>
              <w:right w:val="single" w:sz="4" w:space="0" w:color="auto"/>
            </w:tcBorders>
            <w:shd w:val="clear" w:color="auto" w:fill="auto"/>
            <w:vAlign w:val="center"/>
            <w:hideMark/>
          </w:tcPr>
          <w:p w:rsidR="00205A33" w:rsidRPr="00DB2449" w:rsidRDefault="00205A33" w:rsidP="0010594F">
            <w:pPr>
              <w:jc w:val="center"/>
              <w:rPr>
                <w:rFonts w:ascii="Calibri" w:hAnsi="Calibri" w:cs="Times New Roman"/>
                <w:color w:val="000000"/>
                <w:szCs w:val="22"/>
                <w:lang w:val="fr-FR" w:eastAsia="fr-FR"/>
              </w:rPr>
            </w:pPr>
            <w:r w:rsidRPr="00DB2449">
              <w:rPr>
                <w:rFonts w:ascii="Calibri" w:hAnsi="Calibri" w:cs="Times New Roman"/>
                <w:color w:val="000000"/>
                <w:szCs w:val="22"/>
                <w:lang w:val="fr-FR" w:eastAsia="fr-FR"/>
              </w:rPr>
              <w:t>150000</w:t>
            </w:r>
          </w:p>
        </w:tc>
      </w:tr>
      <w:tr w:rsidR="00205A33" w:rsidRPr="00DB2449" w:rsidTr="003F45A7">
        <w:trPr>
          <w:trHeight w:val="300"/>
        </w:trPr>
        <w:tc>
          <w:tcPr>
            <w:tcW w:w="2500" w:type="dxa"/>
            <w:tcBorders>
              <w:top w:val="single" w:sz="4" w:space="0" w:color="auto"/>
              <w:left w:val="single" w:sz="4" w:space="0" w:color="auto"/>
              <w:bottom w:val="single" w:sz="4" w:space="0" w:color="auto"/>
              <w:right w:val="nil"/>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p>
        </w:tc>
        <w:tc>
          <w:tcPr>
            <w:tcW w:w="1560"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p>
        </w:tc>
        <w:tc>
          <w:tcPr>
            <w:tcW w:w="1753"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jc w:val="right"/>
              <w:rPr>
                <w:rFonts w:ascii="Calibri" w:hAnsi="Calibri" w:cs="Times New Roman"/>
                <w:color w:val="000000"/>
                <w:szCs w:val="22"/>
                <w:lang w:val="fr-FR" w:eastAsia="fr-FR"/>
              </w:rPr>
            </w:pPr>
            <w:r w:rsidRPr="00DB2449">
              <w:rPr>
                <w:rFonts w:ascii="Calibri" w:hAnsi="Calibri" w:cs="Times New Roman"/>
                <w:color w:val="000000"/>
                <w:szCs w:val="22"/>
                <w:lang w:val="fr-FR" w:eastAsia="fr-FR"/>
              </w:rPr>
              <w:t>14250000</w:t>
            </w:r>
          </w:p>
        </w:tc>
        <w:tc>
          <w:tcPr>
            <w:tcW w:w="1559"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p>
        </w:tc>
        <w:tc>
          <w:tcPr>
            <w:tcW w:w="1842"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p>
        </w:tc>
        <w:tc>
          <w:tcPr>
            <w:tcW w:w="1701"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rPr>
                <w:rFonts w:ascii="Calibri" w:hAnsi="Calibri" w:cs="Times New Roman"/>
                <w:color w:val="000000"/>
                <w:szCs w:val="22"/>
                <w:lang w:val="fr-FR" w:eastAsia="fr-FR"/>
              </w:rPr>
            </w:pPr>
          </w:p>
        </w:tc>
        <w:tc>
          <w:tcPr>
            <w:tcW w:w="1984" w:type="dxa"/>
            <w:tcBorders>
              <w:top w:val="single" w:sz="4" w:space="0" w:color="auto"/>
              <w:left w:val="nil"/>
              <w:bottom w:val="single" w:sz="4" w:space="0" w:color="auto"/>
              <w:right w:val="nil"/>
            </w:tcBorders>
            <w:shd w:val="clear" w:color="auto" w:fill="auto"/>
            <w:noWrap/>
            <w:vAlign w:val="bottom"/>
            <w:hideMark/>
          </w:tcPr>
          <w:p w:rsidR="00205A33" w:rsidRPr="00DB2449" w:rsidRDefault="00205A33" w:rsidP="0010594F">
            <w:pPr>
              <w:jc w:val="right"/>
              <w:rPr>
                <w:rFonts w:ascii="Calibri" w:hAnsi="Calibri" w:cs="Times New Roman"/>
                <w:color w:val="000000"/>
                <w:szCs w:val="22"/>
                <w:lang w:val="fr-FR" w:eastAsia="fr-FR"/>
              </w:rPr>
            </w:pPr>
            <w:r w:rsidRPr="00DB2449">
              <w:rPr>
                <w:rFonts w:ascii="Calibri" w:hAnsi="Calibri" w:cs="Times New Roman"/>
                <w:color w:val="000000"/>
                <w:szCs w:val="22"/>
                <w:lang w:val="fr-FR" w:eastAsia="fr-FR"/>
              </w:rPr>
              <w:t>1999999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05A33" w:rsidRPr="00DB2449" w:rsidRDefault="00205A33" w:rsidP="0010594F">
            <w:pPr>
              <w:jc w:val="right"/>
              <w:rPr>
                <w:rFonts w:ascii="Calibri" w:hAnsi="Calibri" w:cs="Times New Roman"/>
                <w:color w:val="000000"/>
                <w:szCs w:val="22"/>
                <w:lang w:val="fr-FR" w:eastAsia="fr-FR"/>
              </w:rPr>
            </w:pPr>
            <w:r w:rsidRPr="00DB2449">
              <w:rPr>
                <w:rFonts w:ascii="Calibri" w:hAnsi="Calibri" w:cs="Times New Roman"/>
                <w:color w:val="000000"/>
                <w:szCs w:val="22"/>
                <w:lang w:val="fr-FR" w:eastAsia="fr-FR"/>
              </w:rPr>
              <w:t>12250001</w:t>
            </w:r>
          </w:p>
        </w:tc>
      </w:tr>
    </w:tbl>
    <w:p w:rsidR="00320CCD" w:rsidRDefault="00320CCD" w:rsidP="00205A33">
      <w:pPr>
        <w:pStyle w:val="Endofdocument-Annex"/>
        <w:ind w:left="10632"/>
        <w:rPr>
          <w:lang w:val="fr-FR"/>
        </w:rPr>
      </w:pPr>
    </w:p>
    <w:p w:rsidR="00320CCD" w:rsidRDefault="00320CCD" w:rsidP="00205A33">
      <w:pPr>
        <w:pStyle w:val="Endofdocument-Annex"/>
        <w:ind w:left="10632"/>
        <w:rPr>
          <w:lang w:val="fr-FR"/>
        </w:rPr>
      </w:pPr>
    </w:p>
    <w:p w:rsidR="00320CCD" w:rsidRDefault="00320CCD" w:rsidP="00205A33">
      <w:pPr>
        <w:pStyle w:val="Endofdocument-Annex"/>
        <w:ind w:left="10632"/>
        <w:rPr>
          <w:lang w:val="fr-FR"/>
        </w:rPr>
      </w:pPr>
    </w:p>
    <w:p w:rsidR="00320CCD" w:rsidRDefault="00205A33" w:rsidP="00205A33">
      <w:pPr>
        <w:pStyle w:val="Endofdocument-Annex"/>
        <w:ind w:left="10632"/>
        <w:rPr>
          <w:lang w:val="fr-FR"/>
        </w:rPr>
      </w:pPr>
      <w:r w:rsidRPr="00DB2449">
        <w:rPr>
          <w:lang w:val="fr-FR"/>
        </w:rPr>
        <w:t>[Fin de l</w:t>
      </w:r>
      <w:r w:rsidR="00B64E9E">
        <w:rPr>
          <w:lang w:val="fr-FR"/>
        </w:rPr>
        <w:t>’</w:t>
      </w:r>
      <w:r w:rsidRPr="00DB2449">
        <w:rPr>
          <w:lang w:val="fr-FR"/>
        </w:rPr>
        <w:t>annexe et du document]</w:t>
      </w:r>
    </w:p>
    <w:p w:rsidR="00205A33" w:rsidRPr="00DB2449" w:rsidRDefault="00205A33" w:rsidP="00205A33">
      <w:pPr>
        <w:pStyle w:val="Endofdocument-Annex"/>
        <w:ind w:left="10632"/>
        <w:rPr>
          <w:lang w:val="fr-FR"/>
        </w:rPr>
      </w:pPr>
    </w:p>
    <w:sectPr w:rsidR="00205A33" w:rsidRPr="00DB2449" w:rsidSect="00AB6CBC">
      <w:headerReference w:type="default" r:id="rId14"/>
      <w:footerReference w:type="default" r:id="rId15"/>
      <w:headerReference w:type="first" r:id="rId16"/>
      <w:footerReference w:type="first" r:id="rId17"/>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45" w:rsidRDefault="006B2A45">
      <w:r>
        <w:separator/>
      </w:r>
    </w:p>
  </w:endnote>
  <w:endnote w:type="continuationSeparator" w:id="0">
    <w:p w:rsidR="006B2A45" w:rsidRDefault="006B2A45" w:rsidP="003B38C1">
      <w:r>
        <w:separator/>
      </w:r>
    </w:p>
    <w:p w:rsidR="006B2A45" w:rsidRPr="003B38C1" w:rsidRDefault="006B2A45" w:rsidP="003B38C1">
      <w:pPr>
        <w:spacing w:after="60"/>
        <w:rPr>
          <w:sz w:val="17"/>
        </w:rPr>
      </w:pPr>
      <w:r>
        <w:rPr>
          <w:sz w:val="17"/>
        </w:rPr>
        <w:t>[Endnote continued from previous page]</w:t>
      </w:r>
    </w:p>
  </w:endnote>
  <w:endnote w:type="continuationNotice" w:id="1">
    <w:p w:rsidR="006B2A45" w:rsidRPr="003B38C1" w:rsidRDefault="006B2A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BC" w:rsidRPr="00AB6CBC" w:rsidRDefault="00AB6CBC" w:rsidP="00AB6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Pr="0005027E" w:rsidRDefault="006B2A45" w:rsidP="004F47CE">
    <w:pPr>
      <w:jc w:val="center"/>
      <w:rPr>
        <w:lang w:val="fr-FR"/>
      </w:rPr>
    </w:pPr>
    <w:r w:rsidRPr="00EF7E9A">
      <w:rPr>
        <w:lang w:val="fr-FR"/>
      </w:rPr>
      <w:t>Partie de la déclaration des États-Unis d’Amérique au titre du point 20 de l’ordre du jour</w:t>
    </w:r>
    <w:r>
      <w:rPr>
        <w:lang w:val="fr-F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Pr="0005027E" w:rsidRDefault="006B2A45" w:rsidP="003D43EE">
    <w:pPr>
      <w:jc w:val="center"/>
      <w:rPr>
        <w:lang w:val="fr-FR"/>
      </w:rPr>
    </w:pPr>
    <w:r w:rsidRPr="00EF7E9A">
      <w:rPr>
        <w:lang w:val="fr-FR"/>
      </w:rPr>
      <w:t>Partie de la déclaration des États-Unis d’Amérique au titre du point 20 de l’ordre du jour</w:t>
    </w:r>
    <w:r>
      <w:rPr>
        <w:lang w:val="fr-FR"/>
      </w:rPr>
      <w:t xml:space="preserve"> </w:t>
    </w:r>
  </w:p>
  <w:p w:rsidR="006B2A45" w:rsidRPr="007C3F7D" w:rsidRDefault="006B2A45" w:rsidP="004F47CE">
    <w:pPr>
      <w:jc w:val="cen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45" w:rsidRDefault="006B2A45">
      <w:r>
        <w:separator/>
      </w:r>
    </w:p>
  </w:footnote>
  <w:footnote w:type="continuationSeparator" w:id="0">
    <w:p w:rsidR="006B2A45" w:rsidRDefault="006B2A45" w:rsidP="008B60B2">
      <w:r>
        <w:separator/>
      </w:r>
    </w:p>
    <w:p w:rsidR="006B2A45" w:rsidRPr="00ED77FB" w:rsidRDefault="006B2A45" w:rsidP="008B60B2">
      <w:pPr>
        <w:spacing w:after="60"/>
        <w:rPr>
          <w:sz w:val="17"/>
          <w:szCs w:val="17"/>
        </w:rPr>
      </w:pPr>
      <w:r w:rsidRPr="00ED77FB">
        <w:rPr>
          <w:sz w:val="17"/>
          <w:szCs w:val="17"/>
        </w:rPr>
        <w:t>[Footnote continued from previous page]</w:t>
      </w:r>
    </w:p>
  </w:footnote>
  <w:footnote w:type="continuationNotice" w:id="1">
    <w:p w:rsidR="006B2A45" w:rsidRPr="00ED77FB" w:rsidRDefault="006B2A45" w:rsidP="008B60B2">
      <w:pPr>
        <w:spacing w:before="60"/>
        <w:jc w:val="right"/>
        <w:rPr>
          <w:sz w:val="17"/>
          <w:szCs w:val="17"/>
        </w:rPr>
      </w:pPr>
      <w:r w:rsidRPr="00ED77FB">
        <w:rPr>
          <w:sz w:val="17"/>
          <w:szCs w:val="17"/>
        </w:rPr>
        <w:t>[Footnote continued on next page]</w:t>
      </w:r>
    </w:p>
  </w:footnote>
  <w:footnote w:id="2">
    <w:p w:rsidR="006B2A45" w:rsidRPr="00CF678D" w:rsidRDefault="006B2A45" w:rsidP="00106795">
      <w:pPr>
        <w:rPr>
          <w:sz w:val="20"/>
          <w:lang w:val="fr-FR"/>
        </w:rPr>
      </w:pPr>
      <w:r w:rsidRPr="00EF7E9A">
        <w:rPr>
          <w:rStyle w:val="FootnoteReference"/>
          <w:lang w:val="fr-FR"/>
        </w:rPr>
        <w:footnoteRef/>
      </w:r>
      <w:r w:rsidRPr="00EF7E9A">
        <w:rPr>
          <w:lang w:val="fr-FR"/>
        </w:rPr>
        <w:t xml:space="preserve"> </w:t>
      </w:r>
      <w:r w:rsidRPr="00EF7E9A">
        <w:rPr>
          <w:lang w:val="fr-FR"/>
        </w:rPr>
        <w:tab/>
      </w:r>
      <w:r w:rsidRPr="00EF7E9A">
        <w:rPr>
          <w:sz w:val="20"/>
          <w:lang w:val="fr-FR"/>
        </w:rPr>
        <w:t>Voir l’annexe du document MM/A/38/4 (2007).  De 1972 à 1989, une partie des excédents a été répartie entre les membres de l’Union de Madrid et le reste alloué au fonds de réserve.  Entre 1990 et 2000, l’Union de Madrid a décidé que tout excédent devrait être versé au fonds de réserve spécial pour les locaux supplémentaires et l’informatisation, même si dans les faits l’Union de Madrid n’a généré aucun excédent entre 1995 et 2000.  Au cours de l’exercice biennal 2000-2001, l’Union de Madrid a autorisé à nouveau la répartition des excédents, mais elle a enregistré un déficit et, par conséquent, aucun excédent n’a été réparti.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Default="006B2A45" w:rsidP="00477D6B">
    <w:pPr>
      <w:jc w:val="right"/>
    </w:pPr>
    <w:bookmarkStart w:id="6" w:name="Code2"/>
    <w:bookmarkEnd w:id="6"/>
    <w:r>
      <w:t>M</w:t>
    </w:r>
    <w:r w:rsidR="007C3F7D">
      <w:t>M/A/49/5</w:t>
    </w:r>
  </w:p>
  <w:p w:rsidR="006B2A45" w:rsidRDefault="006B2A45" w:rsidP="00477D6B">
    <w:pPr>
      <w:jc w:val="right"/>
    </w:pPr>
    <w:proofErr w:type="gramStart"/>
    <w:r>
      <w:t>page</w:t>
    </w:r>
    <w:proofErr w:type="gramEnd"/>
    <w:r>
      <w:t> </w:t>
    </w:r>
    <w:r>
      <w:fldChar w:fldCharType="begin"/>
    </w:r>
    <w:r>
      <w:instrText xml:space="preserve"> PAGE  \* MERGEFORMAT </w:instrText>
    </w:r>
    <w:r>
      <w:fldChar w:fldCharType="separate"/>
    </w:r>
    <w:r w:rsidR="005C540B">
      <w:rPr>
        <w:noProof/>
      </w:rPr>
      <w:t>7</w:t>
    </w:r>
    <w:r>
      <w:fldChar w:fldCharType="end"/>
    </w:r>
  </w:p>
  <w:p w:rsidR="006B2A45" w:rsidRDefault="006B2A4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A6" w:rsidRDefault="002A09A6" w:rsidP="00477D6B">
    <w:pPr>
      <w:jc w:val="right"/>
    </w:pPr>
    <w:r>
      <w:t>MM/A/49/5</w:t>
    </w:r>
  </w:p>
  <w:p w:rsidR="002A09A6" w:rsidRDefault="002A09A6" w:rsidP="00477D6B">
    <w:pPr>
      <w:jc w:val="right"/>
    </w:pPr>
    <w:proofErr w:type="spellStart"/>
    <w:r>
      <w:t>Annexe</w:t>
    </w:r>
    <w:proofErr w:type="spellEnd"/>
    <w:r>
      <w:t>, page </w:t>
    </w:r>
    <w:r>
      <w:fldChar w:fldCharType="begin"/>
    </w:r>
    <w:r>
      <w:instrText xml:space="preserve"> PAGE  \* MERGEFORMAT </w:instrText>
    </w:r>
    <w:r>
      <w:fldChar w:fldCharType="separate"/>
    </w:r>
    <w:r w:rsidR="005C540B">
      <w:rPr>
        <w:noProof/>
      </w:rPr>
      <w:t>3</w:t>
    </w:r>
    <w:r>
      <w:fldChar w:fldCharType="end"/>
    </w:r>
  </w:p>
  <w:p w:rsidR="002A09A6" w:rsidRDefault="002A09A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Default="002A09A6" w:rsidP="00106795">
    <w:pPr>
      <w:jc w:val="right"/>
    </w:pPr>
    <w:r>
      <w:t>MM/A/49/5</w:t>
    </w:r>
  </w:p>
  <w:p w:rsidR="006B2A45" w:rsidRDefault="006B2A45" w:rsidP="00106795">
    <w:pPr>
      <w:jc w:val="right"/>
    </w:pPr>
    <w:r>
      <w:t>ANNEXE</w:t>
    </w:r>
  </w:p>
  <w:p w:rsidR="006B2A45" w:rsidRDefault="006B2A45" w:rsidP="00106795">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Pr="007C3F7D" w:rsidRDefault="006B2A45" w:rsidP="00477D6B">
    <w:pPr>
      <w:jc w:val="right"/>
      <w:rPr>
        <w:lang w:val="fr-CH"/>
      </w:rPr>
    </w:pPr>
    <w:r w:rsidRPr="007C3F7D">
      <w:rPr>
        <w:lang w:val="fr-CH"/>
      </w:rPr>
      <w:t>MM/A/49/5</w:t>
    </w:r>
  </w:p>
  <w:p w:rsidR="006B2A45" w:rsidRPr="007C3F7D" w:rsidRDefault="006B2A45" w:rsidP="00477D6B">
    <w:pPr>
      <w:jc w:val="right"/>
      <w:rPr>
        <w:lang w:val="fr-CH"/>
      </w:rPr>
    </w:pPr>
    <w:r w:rsidRPr="007C3F7D">
      <w:rPr>
        <w:lang w:val="fr-CH"/>
      </w:rPr>
      <w:t>Annexe, page </w:t>
    </w:r>
    <w:r w:rsidRPr="00B01BEE">
      <w:fldChar w:fldCharType="begin"/>
    </w:r>
    <w:r w:rsidRPr="007C3F7D">
      <w:rPr>
        <w:lang w:val="fr-CH"/>
      </w:rPr>
      <w:instrText xml:space="preserve"> PAGE  \* MERGEFORMAT </w:instrText>
    </w:r>
    <w:r w:rsidRPr="00B01BEE">
      <w:fldChar w:fldCharType="separate"/>
    </w:r>
    <w:r w:rsidR="005C540B">
      <w:rPr>
        <w:noProof/>
        <w:lang w:val="fr-CH"/>
      </w:rPr>
      <w:t>9</w:t>
    </w:r>
    <w:r w:rsidRPr="00B01BEE">
      <w:fldChar w:fldCharType="end"/>
    </w:r>
  </w:p>
  <w:p w:rsidR="006B2A45" w:rsidRPr="007C3F7D" w:rsidRDefault="006B2A45" w:rsidP="00477D6B">
    <w:pPr>
      <w:jc w:val="right"/>
      <w:rPr>
        <w:lang w:val="fr-CH"/>
      </w:rPr>
    </w:pPr>
  </w:p>
  <w:p w:rsidR="006B2A45" w:rsidRPr="007C3F7D" w:rsidRDefault="006B2A45" w:rsidP="00205A33">
    <w:pPr>
      <w:pStyle w:val="Header"/>
      <w:jc w:val="center"/>
      <w:rPr>
        <w:lang w:val="fr-CH"/>
      </w:rPr>
    </w:pPr>
    <w:r w:rsidRPr="00B01BEE">
      <w:rPr>
        <w:color w:val="000000"/>
        <w:szCs w:val="22"/>
        <w:lang w:val="fr-FR" w:eastAsia="fr-FR"/>
      </w:rPr>
      <w:t>Tableau indiquant la répartition estimative des excédents entre les membres de l’Union de Madrid et les contributions dues en vertu de l’Arrangement de Lisbonne (si les taxes perçues au titre de l’Arrangement de Lisbonne ne recouvrent pas les dépenses engagées dans le cadre de cet Arrangement)</w:t>
    </w:r>
  </w:p>
  <w:p w:rsidR="006B2A45" w:rsidRPr="007C3F7D" w:rsidRDefault="006B2A45" w:rsidP="00205A33">
    <w:pPr>
      <w:jc w:val="cente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5" w:rsidRPr="007C3F7D" w:rsidRDefault="002A09A6" w:rsidP="004F47CE">
    <w:pPr>
      <w:jc w:val="right"/>
      <w:rPr>
        <w:lang w:val="fr-CH"/>
      </w:rPr>
    </w:pPr>
    <w:r>
      <w:rPr>
        <w:lang w:val="fr-CH"/>
      </w:rPr>
      <w:t>MM/A/49/5</w:t>
    </w:r>
  </w:p>
  <w:p w:rsidR="006B2A45" w:rsidRPr="007C3F7D" w:rsidRDefault="006B2A45" w:rsidP="004F47CE">
    <w:pPr>
      <w:jc w:val="right"/>
      <w:rPr>
        <w:lang w:val="fr-CH"/>
      </w:rPr>
    </w:pPr>
    <w:r w:rsidRPr="007C3F7D">
      <w:rPr>
        <w:lang w:val="fr-CH"/>
      </w:rPr>
      <w:t>Annexe, page </w:t>
    </w:r>
    <w:r w:rsidRPr="00B01BEE">
      <w:fldChar w:fldCharType="begin"/>
    </w:r>
    <w:r w:rsidRPr="007C3F7D">
      <w:rPr>
        <w:lang w:val="fr-CH"/>
      </w:rPr>
      <w:instrText xml:space="preserve"> PAGE  \* MERGEFORMAT </w:instrText>
    </w:r>
    <w:r w:rsidRPr="00B01BEE">
      <w:fldChar w:fldCharType="separate"/>
    </w:r>
    <w:r w:rsidR="005C540B">
      <w:rPr>
        <w:noProof/>
        <w:lang w:val="fr-CH"/>
      </w:rPr>
      <w:t>4</w:t>
    </w:r>
    <w:r w:rsidRPr="00B01BEE">
      <w:fldChar w:fldCharType="end"/>
    </w:r>
  </w:p>
  <w:p w:rsidR="006B2A45" w:rsidRPr="007C3F7D" w:rsidRDefault="006B2A45" w:rsidP="004F47CE">
    <w:pPr>
      <w:jc w:val="right"/>
      <w:rPr>
        <w:lang w:val="fr-CH"/>
      </w:rPr>
    </w:pPr>
  </w:p>
  <w:p w:rsidR="006B2A45" w:rsidRPr="007C3F7D" w:rsidRDefault="006B2A45" w:rsidP="00205A33">
    <w:pPr>
      <w:pStyle w:val="Header"/>
      <w:jc w:val="center"/>
      <w:rPr>
        <w:lang w:val="fr-CH"/>
      </w:rPr>
    </w:pPr>
    <w:r w:rsidRPr="00B01BEE">
      <w:rPr>
        <w:color w:val="000000"/>
        <w:szCs w:val="22"/>
        <w:lang w:val="fr-FR" w:eastAsia="fr-FR"/>
      </w:rPr>
      <w:t>Tableau indiquant la répartition estimative des excédents entre les membres de l’Union de Madrid et les contributions dues en vertu de l’Arrangement de Lisbonne (si les taxes perçues au titre de l’Arrangement de Lisbonne ne recouvrent pas les dépenses engagées dans le cadre de cet Arrangement)</w:t>
    </w:r>
  </w:p>
  <w:p w:rsidR="006B2A45" w:rsidRPr="007C3F7D" w:rsidRDefault="006B2A45" w:rsidP="00205A33">
    <w:pPr>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bullet"/>
      <w:lvlText w:val=""/>
      <w:lvlJc w:val="left"/>
      <w:pPr>
        <w:tabs>
          <w:tab w:val="num" w:pos="4425"/>
        </w:tabs>
        <w:ind w:left="3859" w:firstLine="0"/>
      </w:pPr>
      <w:rPr>
        <w:rFonts w:hint="default"/>
      </w:rPr>
    </w:lvl>
    <w:lvl w:ilvl="8">
      <w:start w:val="1"/>
      <w:numFmt w:val="bullet"/>
      <w:lvlText w:val=""/>
      <w:lvlJc w:val="left"/>
      <w:pPr>
        <w:tabs>
          <w:tab w:val="num" w:pos="4992"/>
        </w:tabs>
        <w:ind w:left="4425" w:firstLine="0"/>
      </w:pPr>
      <w:rPr>
        <w:rFonts w:hint="default"/>
      </w:rPr>
    </w:lvl>
  </w:abstractNum>
  <w:abstractNum w:abstractNumId="2">
    <w:nsid w:val="1448453B"/>
    <w:multiLevelType w:val="hybridMultilevel"/>
    <w:tmpl w:val="BD3C342E"/>
    <w:lvl w:ilvl="0" w:tplc="E5521FC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5E2167"/>
    <w:multiLevelType w:val="hybridMultilevel"/>
    <w:tmpl w:val="53987A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0A2EAA"/>
    <w:multiLevelType w:val="hybridMultilevel"/>
    <w:tmpl w:val="3C32DC34"/>
    <w:lvl w:ilvl="0" w:tplc="5948718A">
      <w:start w:val="1"/>
      <w:numFmt w:val="bullet"/>
      <w:lvlText w:val=""/>
      <w:lvlJc w:val="left"/>
      <w:pPr>
        <w:ind w:left="1134"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597FD3"/>
    <w:multiLevelType w:val="hybridMultilevel"/>
    <w:tmpl w:val="FE909AF0"/>
    <w:lvl w:ilvl="0" w:tplc="0F58282C">
      <w:start w:val="1"/>
      <w:numFmt w:val="bullet"/>
      <w:lvlText w:val=""/>
      <w:lvlJc w:val="left"/>
      <w:pPr>
        <w:ind w:left="567" w:hanging="567"/>
      </w:pPr>
      <w:rPr>
        <w:rFonts w:ascii="Symbol" w:hAnsi="Symbol" w:hint="default"/>
      </w:rPr>
    </w:lvl>
    <w:lvl w:ilvl="1" w:tplc="42E224AA">
      <w:start w:val="1"/>
      <w:numFmt w:val="bullet"/>
      <w:lvlText w:val="o"/>
      <w:lvlJc w:val="left"/>
      <w:pPr>
        <w:ind w:left="1134" w:hanging="567"/>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44F7059"/>
    <w:multiLevelType w:val="multilevel"/>
    <w:tmpl w:val="7D882750"/>
    <w:lvl w:ilvl="0">
      <w:start w:val="1"/>
      <w:numFmt w:val="none"/>
      <w:lvlText w:val="(i)"/>
      <w:lvlJc w:val="left"/>
      <w:pPr>
        <w:tabs>
          <w:tab w:val="num" w:pos="530"/>
        </w:tabs>
        <w:ind w:left="530" w:hanging="360"/>
      </w:pPr>
      <w:rPr>
        <w:rFonts w:hint="default"/>
      </w:rPr>
    </w:lvl>
    <w:lvl w:ilvl="1">
      <w:start w:val="1"/>
      <w:numFmt w:val="lowerLetter"/>
      <w:lvlText w:val="(%2)"/>
      <w:lvlJc w:val="left"/>
      <w:pPr>
        <w:tabs>
          <w:tab w:val="num" w:pos="1304"/>
        </w:tabs>
        <w:ind w:left="737" w:firstLine="0"/>
      </w:pPr>
    </w:lvl>
    <w:lvl w:ilvl="2">
      <w:start w:val="1"/>
      <w:numFmt w:val="lowerRoman"/>
      <w:lvlText w:val="(%3)"/>
      <w:lvlJc w:val="left"/>
      <w:pPr>
        <w:tabs>
          <w:tab w:val="num" w:pos="1871"/>
        </w:tabs>
        <w:ind w:left="1304" w:firstLine="0"/>
      </w:pPr>
    </w:lvl>
    <w:lvl w:ilvl="3">
      <w:start w:val="1"/>
      <w:numFmt w:val="bullet"/>
      <w:lvlText w:val=""/>
      <w:lvlJc w:val="left"/>
      <w:pPr>
        <w:tabs>
          <w:tab w:val="num" w:pos="2438"/>
        </w:tabs>
        <w:ind w:left="1871" w:firstLine="0"/>
      </w:pPr>
    </w:lvl>
    <w:lvl w:ilvl="4">
      <w:start w:val="1"/>
      <w:numFmt w:val="bullet"/>
      <w:lvlText w:val=""/>
      <w:lvlJc w:val="left"/>
      <w:pPr>
        <w:tabs>
          <w:tab w:val="num" w:pos="3005"/>
        </w:tabs>
        <w:ind w:left="2438" w:firstLine="0"/>
      </w:pPr>
    </w:lvl>
    <w:lvl w:ilvl="5">
      <w:start w:val="1"/>
      <w:numFmt w:val="bullet"/>
      <w:lvlText w:val=""/>
      <w:lvlJc w:val="left"/>
      <w:pPr>
        <w:tabs>
          <w:tab w:val="num" w:pos="3572"/>
        </w:tabs>
        <w:ind w:left="3005" w:firstLine="0"/>
      </w:pPr>
    </w:lvl>
    <w:lvl w:ilvl="6">
      <w:start w:val="1"/>
      <w:numFmt w:val="bullet"/>
      <w:lvlText w:val=""/>
      <w:lvlJc w:val="left"/>
      <w:pPr>
        <w:tabs>
          <w:tab w:val="num" w:pos="4139"/>
        </w:tabs>
        <w:ind w:left="3572" w:firstLine="0"/>
      </w:pPr>
    </w:lvl>
    <w:lvl w:ilvl="7">
      <w:start w:val="1"/>
      <w:numFmt w:val="bullet"/>
      <w:lvlText w:val=""/>
      <w:lvlJc w:val="left"/>
      <w:pPr>
        <w:tabs>
          <w:tab w:val="num" w:pos="4705"/>
        </w:tabs>
        <w:ind w:left="4139" w:firstLine="0"/>
      </w:pPr>
    </w:lvl>
    <w:lvl w:ilvl="8">
      <w:start w:val="1"/>
      <w:numFmt w:val="bullet"/>
      <w:lvlText w:val=""/>
      <w:lvlJc w:val="left"/>
      <w:pPr>
        <w:tabs>
          <w:tab w:val="num" w:pos="5272"/>
        </w:tabs>
        <w:ind w:left="4705" w:firstLine="0"/>
      </w:pPr>
    </w:lvl>
  </w:abstractNum>
  <w:abstractNum w:abstractNumId="9">
    <w:nsid w:val="3A0E7050"/>
    <w:multiLevelType w:val="hybridMultilevel"/>
    <w:tmpl w:val="FA3A3846"/>
    <w:lvl w:ilvl="0" w:tplc="A87645AE">
      <w:start w:val="1"/>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631ED1"/>
    <w:multiLevelType w:val="hybridMultilevel"/>
    <w:tmpl w:val="B700F1F6"/>
    <w:lvl w:ilvl="0" w:tplc="A332205C">
      <w:start w:val="2"/>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6580"/>
        </w:tabs>
        <w:ind w:left="6580" w:hanging="360"/>
      </w:pPr>
    </w:lvl>
    <w:lvl w:ilvl="2" w:tplc="0409001B" w:tentative="1">
      <w:start w:val="1"/>
      <w:numFmt w:val="lowerRoman"/>
      <w:lvlText w:val="%3."/>
      <w:lvlJc w:val="right"/>
      <w:pPr>
        <w:tabs>
          <w:tab w:val="num" w:pos="7300"/>
        </w:tabs>
        <w:ind w:left="7300" w:hanging="180"/>
      </w:pPr>
    </w:lvl>
    <w:lvl w:ilvl="3" w:tplc="0409000F" w:tentative="1">
      <w:start w:val="1"/>
      <w:numFmt w:val="decimal"/>
      <w:lvlText w:val="%4."/>
      <w:lvlJc w:val="left"/>
      <w:pPr>
        <w:tabs>
          <w:tab w:val="num" w:pos="8020"/>
        </w:tabs>
        <w:ind w:left="8020" w:hanging="360"/>
      </w:pPr>
    </w:lvl>
    <w:lvl w:ilvl="4" w:tplc="04090019" w:tentative="1">
      <w:start w:val="1"/>
      <w:numFmt w:val="lowerLetter"/>
      <w:lvlText w:val="%5."/>
      <w:lvlJc w:val="left"/>
      <w:pPr>
        <w:tabs>
          <w:tab w:val="num" w:pos="8740"/>
        </w:tabs>
        <w:ind w:left="8740" w:hanging="360"/>
      </w:pPr>
    </w:lvl>
    <w:lvl w:ilvl="5" w:tplc="0409001B" w:tentative="1">
      <w:start w:val="1"/>
      <w:numFmt w:val="lowerRoman"/>
      <w:lvlText w:val="%6."/>
      <w:lvlJc w:val="right"/>
      <w:pPr>
        <w:tabs>
          <w:tab w:val="num" w:pos="9460"/>
        </w:tabs>
        <w:ind w:left="9460" w:hanging="180"/>
      </w:pPr>
    </w:lvl>
    <w:lvl w:ilvl="6" w:tplc="0409000F" w:tentative="1">
      <w:start w:val="1"/>
      <w:numFmt w:val="decimal"/>
      <w:lvlText w:val="%7."/>
      <w:lvlJc w:val="left"/>
      <w:pPr>
        <w:tabs>
          <w:tab w:val="num" w:pos="10180"/>
        </w:tabs>
        <w:ind w:left="10180" w:hanging="360"/>
      </w:pPr>
    </w:lvl>
    <w:lvl w:ilvl="7" w:tplc="04090019" w:tentative="1">
      <w:start w:val="1"/>
      <w:numFmt w:val="lowerLetter"/>
      <w:lvlText w:val="%8."/>
      <w:lvlJc w:val="left"/>
      <w:pPr>
        <w:tabs>
          <w:tab w:val="num" w:pos="10900"/>
        </w:tabs>
        <w:ind w:left="10900" w:hanging="360"/>
      </w:pPr>
    </w:lvl>
    <w:lvl w:ilvl="8" w:tplc="0409001B" w:tentative="1">
      <w:start w:val="1"/>
      <w:numFmt w:val="lowerRoman"/>
      <w:lvlText w:val="%9."/>
      <w:lvlJc w:val="right"/>
      <w:pPr>
        <w:tabs>
          <w:tab w:val="num" w:pos="11620"/>
        </w:tabs>
        <w:ind w:left="1162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5B00602E"/>
    <w:multiLevelType w:val="hybridMultilevel"/>
    <w:tmpl w:val="DDE40298"/>
    <w:lvl w:ilvl="0" w:tplc="FB34A5B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D8F5FE4"/>
    <w:multiLevelType w:val="hybridMultilevel"/>
    <w:tmpl w:val="04FA3BE2"/>
    <w:lvl w:ilvl="0" w:tplc="3F38DD16">
      <w:start w:val="1"/>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11"/>
  </w:num>
  <w:num w:numId="3">
    <w:abstractNumId w:val="0"/>
  </w:num>
  <w:num w:numId="4">
    <w:abstractNumId w:val="12"/>
  </w:num>
  <w:num w:numId="5">
    <w:abstractNumId w:val="1"/>
  </w:num>
  <w:num w:numId="6">
    <w:abstractNumId w:val="4"/>
  </w:num>
  <w:num w:numId="7">
    <w:abstractNumId w:val="8"/>
  </w:num>
  <w:num w:numId="8">
    <w:abstractNumId w:val="10"/>
  </w:num>
  <w:num w:numId="9">
    <w:abstractNumId w:val="9"/>
  </w:num>
  <w:num w:numId="10">
    <w:abstractNumId w:val="17"/>
  </w:num>
  <w:num w:numId="11">
    <w:abstractNumId w:val="5"/>
  </w:num>
  <w:num w:numId="12">
    <w:abstractNumId w:val="2"/>
  </w:num>
  <w:num w:numId="13">
    <w:abstractNumId w:val="14"/>
  </w:num>
  <w:num w:numId="14">
    <w:abstractNumId w:val="13"/>
  </w:num>
  <w:num w:numId="15">
    <w:abstractNumId w:val="18"/>
  </w:num>
  <w:num w:numId="16">
    <w:abstractNumId w:val="16"/>
  </w:num>
  <w:num w:numId="17">
    <w:abstractNumId w:val="15"/>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PreTradBeta|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
    <w:docVar w:name="TextBaseURL" w:val="empty"/>
    <w:docVar w:name="UILng" w:val="en"/>
  </w:docVars>
  <w:rsids>
    <w:rsidRoot w:val="00104B4F"/>
    <w:rsid w:val="0001679D"/>
    <w:rsid w:val="0002128E"/>
    <w:rsid w:val="000265F0"/>
    <w:rsid w:val="00026604"/>
    <w:rsid w:val="00036C99"/>
    <w:rsid w:val="00040E07"/>
    <w:rsid w:val="0004148C"/>
    <w:rsid w:val="00043CAA"/>
    <w:rsid w:val="0005027E"/>
    <w:rsid w:val="00054359"/>
    <w:rsid w:val="0006332C"/>
    <w:rsid w:val="00075432"/>
    <w:rsid w:val="0008405D"/>
    <w:rsid w:val="000936BD"/>
    <w:rsid w:val="000968ED"/>
    <w:rsid w:val="000B2CDE"/>
    <w:rsid w:val="000C0DD4"/>
    <w:rsid w:val="000D7C0F"/>
    <w:rsid w:val="000E0CE6"/>
    <w:rsid w:val="000E2009"/>
    <w:rsid w:val="000F5E56"/>
    <w:rsid w:val="00104B4F"/>
    <w:rsid w:val="0010594F"/>
    <w:rsid w:val="00106795"/>
    <w:rsid w:val="001362EE"/>
    <w:rsid w:val="00136522"/>
    <w:rsid w:val="00164133"/>
    <w:rsid w:val="0017568A"/>
    <w:rsid w:val="001832A6"/>
    <w:rsid w:val="0018377E"/>
    <w:rsid w:val="0019369E"/>
    <w:rsid w:val="001C339C"/>
    <w:rsid w:val="001C6AF2"/>
    <w:rsid w:val="001E48CB"/>
    <w:rsid w:val="001E5368"/>
    <w:rsid w:val="001F301F"/>
    <w:rsid w:val="001F5BA2"/>
    <w:rsid w:val="00205A33"/>
    <w:rsid w:val="0023328D"/>
    <w:rsid w:val="00236FA7"/>
    <w:rsid w:val="002406E1"/>
    <w:rsid w:val="002634C4"/>
    <w:rsid w:val="00263D3D"/>
    <w:rsid w:val="002775D2"/>
    <w:rsid w:val="002928D3"/>
    <w:rsid w:val="0029299D"/>
    <w:rsid w:val="002A09A6"/>
    <w:rsid w:val="002A1D3C"/>
    <w:rsid w:val="002A447E"/>
    <w:rsid w:val="002C5B99"/>
    <w:rsid w:val="002F015F"/>
    <w:rsid w:val="002F1FE6"/>
    <w:rsid w:val="002F4E68"/>
    <w:rsid w:val="003104B8"/>
    <w:rsid w:val="00312F7F"/>
    <w:rsid w:val="00320CCD"/>
    <w:rsid w:val="003228B7"/>
    <w:rsid w:val="00331C0B"/>
    <w:rsid w:val="0034017E"/>
    <w:rsid w:val="00357768"/>
    <w:rsid w:val="003673CF"/>
    <w:rsid w:val="00371BB3"/>
    <w:rsid w:val="00372803"/>
    <w:rsid w:val="003764ED"/>
    <w:rsid w:val="00383274"/>
    <w:rsid w:val="00383BBA"/>
    <w:rsid w:val="003845C1"/>
    <w:rsid w:val="00387966"/>
    <w:rsid w:val="00391DB3"/>
    <w:rsid w:val="003A6F89"/>
    <w:rsid w:val="003B1111"/>
    <w:rsid w:val="003B38C1"/>
    <w:rsid w:val="003D43EE"/>
    <w:rsid w:val="003F45A7"/>
    <w:rsid w:val="003F5B61"/>
    <w:rsid w:val="00423E3E"/>
    <w:rsid w:val="00427AF4"/>
    <w:rsid w:val="0045687E"/>
    <w:rsid w:val="00456A82"/>
    <w:rsid w:val="004606E9"/>
    <w:rsid w:val="004647DA"/>
    <w:rsid w:val="00471ACC"/>
    <w:rsid w:val="00471F51"/>
    <w:rsid w:val="00474062"/>
    <w:rsid w:val="00477D6B"/>
    <w:rsid w:val="0049479A"/>
    <w:rsid w:val="004970AD"/>
    <w:rsid w:val="004972DB"/>
    <w:rsid w:val="004A1E53"/>
    <w:rsid w:val="004A646E"/>
    <w:rsid w:val="004C381C"/>
    <w:rsid w:val="004D12AC"/>
    <w:rsid w:val="004D7060"/>
    <w:rsid w:val="004F310C"/>
    <w:rsid w:val="004F47CE"/>
    <w:rsid w:val="00502191"/>
    <w:rsid w:val="00502B8C"/>
    <w:rsid w:val="00512683"/>
    <w:rsid w:val="00514470"/>
    <w:rsid w:val="0053057A"/>
    <w:rsid w:val="005557E6"/>
    <w:rsid w:val="00560A29"/>
    <w:rsid w:val="00571030"/>
    <w:rsid w:val="005B2DBF"/>
    <w:rsid w:val="005B5821"/>
    <w:rsid w:val="005C540B"/>
    <w:rsid w:val="005E2952"/>
    <w:rsid w:val="005E6F34"/>
    <w:rsid w:val="00605827"/>
    <w:rsid w:val="0062148A"/>
    <w:rsid w:val="00625071"/>
    <w:rsid w:val="006419AB"/>
    <w:rsid w:val="00646050"/>
    <w:rsid w:val="006463E2"/>
    <w:rsid w:val="0066542F"/>
    <w:rsid w:val="006713CA"/>
    <w:rsid w:val="00676C5C"/>
    <w:rsid w:val="00682151"/>
    <w:rsid w:val="006A1913"/>
    <w:rsid w:val="006A49BE"/>
    <w:rsid w:val="006B2A45"/>
    <w:rsid w:val="006D402B"/>
    <w:rsid w:val="006F0C11"/>
    <w:rsid w:val="007038C9"/>
    <w:rsid w:val="007043FC"/>
    <w:rsid w:val="00706B1B"/>
    <w:rsid w:val="00711267"/>
    <w:rsid w:val="00711B78"/>
    <w:rsid w:val="0071270A"/>
    <w:rsid w:val="00714336"/>
    <w:rsid w:val="00722445"/>
    <w:rsid w:val="0073093E"/>
    <w:rsid w:val="00735923"/>
    <w:rsid w:val="00754CD1"/>
    <w:rsid w:val="00760C82"/>
    <w:rsid w:val="00772E33"/>
    <w:rsid w:val="00774A9A"/>
    <w:rsid w:val="00786ECA"/>
    <w:rsid w:val="0079234E"/>
    <w:rsid w:val="00792518"/>
    <w:rsid w:val="007C3F7D"/>
    <w:rsid w:val="007D1613"/>
    <w:rsid w:val="007D7513"/>
    <w:rsid w:val="007E5DFE"/>
    <w:rsid w:val="008663AE"/>
    <w:rsid w:val="008705D1"/>
    <w:rsid w:val="0087627F"/>
    <w:rsid w:val="00880AAF"/>
    <w:rsid w:val="008A194A"/>
    <w:rsid w:val="008A6870"/>
    <w:rsid w:val="008B2CC1"/>
    <w:rsid w:val="008B60B2"/>
    <w:rsid w:val="008E1670"/>
    <w:rsid w:val="008F068B"/>
    <w:rsid w:val="0090731E"/>
    <w:rsid w:val="009076E0"/>
    <w:rsid w:val="00916EE2"/>
    <w:rsid w:val="0093182E"/>
    <w:rsid w:val="009377BE"/>
    <w:rsid w:val="00940CB6"/>
    <w:rsid w:val="00961F30"/>
    <w:rsid w:val="009620A2"/>
    <w:rsid w:val="00966A22"/>
    <w:rsid w:val="00966CE0"/>
    <w:rsid w:val="0096722F"/>
    <w:rsid w:val="00980843"/>
    <w:rsid w:val="009965C3"/>
    <w:rsid w:val="009A074C"/>
    <w:rsid w:val="009A312D"/>
    <w:rsid w:val="009C335C"/>
    <w:rsid w:val="009C3419"/>
    <w:rsid w:val="009E2791"/>
    <w:rsid w:val="009E3A2C"/>
    <w:rsid w:val="009E3F6F"/>
    <w:rsid w:val="009F03F7"/>
    <w:rsid w:val="009F499F"/>
    <w:rsid w:val="00A06B28"/>
    <w:rsid w:val="00A225D7"/>
    <w:rsid w:val="00A259D4"/>
    <w:rsid w:val="00A32101"/>
    <w:rsid w:val="00A34350"/>
    <w:rsid w:val="00A42DAF"/>
    <w:rsid w:val="00A45171"/>
    <w:rsid w:val="00A4590E"/>
    <w:rsid w:val="00A45BD8"/>
    <w:rsid w:val="00A62A30"/>
    <w:rsid w:val="00A85B8E"/>
    <w:rsid w:val="00A869DC"/>
    <w:rsid w:val="00A87D7D"/>
    <w:rsid w:val="00A93FA7"/>
    <w:rsid w:val="00AA79AD"/>
    <w:rsid w:val="00AB6CBC"/>
    <w:rsid w:val="00AC01C0"/>
    <w:rsid w:val="00AC205C"/>
    <w:rsid w:val="00AC5895"/>
    <w:rsid w:val="00AE053B"/>
    <w:rsid w:val="00AF4ADB"/>
    <w:rsid w:val="00AF5008"/>
    <w:rsid w:val="00B01BEE"/>
    <w:rsid w:val="00B05A69"/>
    <w:rsid w:val="00B16B1B"/>
    <w:rsid w:val="00B21060"/>
    <w:rsid w:val="00B23A08"/>
    <w:rsid w:val="00B27CD9"/>
    <w:rsid w:val="00B30152"/>
    <w:rsid w:val="00B3762D"/>
    <w:rsid w:val="00B46F37"/>
    <w:rsid w:val="00B64E9E"/>
    <w:rsid w:val="00B673C6"/>
    <w:rsid w:val="00B73FFC"/>
    <w:rsid w:val="00B94A8E"/>
    <w:rsid w:val="00B9734B"/>
    <w:rsid w:val="00BA1762"/>
    <w:rsid w:val="00BA6A90"/>
    <w:rsid w:val="00BA7FBB"/>
    <w:rsid w:val="00BB4733"/>
    <w:rsid w:val="00BC015A"/>
    <w:rsid w:val="00BD3C90"/>
    <w:rsid w:val="00BD6418"/>
    <w:rsid w:val="00C11BFE"/>
    <w:rsid w:val="00C27E92"/>
    <w:rsid w:val="00C36288"/>
    <w:rsid w:val="00C72367"/>
    <w:rsid w:val="00C85D9A"/>
    <w:rsid w:val="00C93F30"/>
    <w:rsid w:val="00CB273F"/>
    <w:rsid w:val="00CB2C0A"/>
    <w:rsid w:val="00CC3032"/>
    <w:rsid w:val="00CD1981"/>
    <w:rsid w:val="00CE5F02"/>
    <w:rsid w:val="00CF2612"/>
    <w:rsid w:val="00CF2A32"/>
    <w:rsid w:val="00CF678D"/>
    <w:rsid w:val="00D001CA"/>
    <w:rsid w:val="00D309A2"/>
    <w:rsid w:val="00D34DF2"/>
    <w:rsid w:val="00D42798"/>
    <w:rsid w:val="00D45252"/>
    <w:rsid w:val="00D4559C"/>
    <w:rsid w:val="00D46F75"/>
    <w:rsid w:val="00D71552"/>
    <w:rsid w:val="00D71B4D"/>
    <w:rsid w:val="00D93D55"/>
    <w:rsid w:val="00D955D5"/>
    <w:rsid w:val="00DA1C75"/>
    <w:rsid w:val="00DA3CF8"/>
    <w:rsid w:val="00DA6C18"/>
    <w:rsid w:val="00DB2449"/>
    <w:rsid w:val="00DC36A2"/>
    <w:rsid w:val="00DC67E4"/>
    <w:rsid w:val="00E006DF"/>
    <w:rsid w:val="00E01817"/>
    <w:rsid w:val="00E22B84"/>
    <w:rsid w:val="00E335FE"/>
    <w:rsid w:val="00E367A8"/>
    <w:rsid w:val="00E566E9"/>
    <w:rsid w:val="00E6295E"/>
    <w:rsid w:val="00E717C4"/>
    <w:rsid w:val="00E76976"/>
    <w:rsid w:val="00E904E6"/>
    <w:rsid w:val="00E949EB"/>
    <w:rsid w:val="00EB2068"/>
    <w:rsid w:val="00EC408F"/>
    <w:rsid w:val="00EC4E49"/>
    <w:rsid w:val="00ED77FB"/>
    <w:rsid w:val="00EF1450"/>
    <w:rsid w:val="00EF5316"/>
    <w:rsid w:val="00EF7E9A"/>
    <w:rsid w:val="00F04FC4"/>
    <w:rsid w:val="00F20BA7"/>
    <w:rsid w:val="00F5767D"/>
    <w:rsid w:val="00F633C7"/>
    <w:rsid w:val="00F66152"/>
    <w:rsid w:val="00F67F4C"/>
    <w:rsid w:val="00F73A4E"/>
    <w:rsid w:val="00F85610"/>
    <w:rsid w:val="00FA02E1"/>
    <w:rsid w:val="00FA6037"/>
    <w:rsid w:val="00FC4F6C"/>
    <w:rsid w:val="00FC5B4E"/>
    <w:rsid w:val="00FC5D7C"/>
    <w:rsid w:val="00FE3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B94A8E"/>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link w:val="BodyText"/>
    <w:rsid w:val="00AE053B"/>
    <w:rPr>
      <w:rFonts w:ascii="Arial" w:eastAsia="SimSun" w:hAnsi="Arial" w:cs="Arial"/>
      <w:sz w:val="22"/>
      <w:lang w:val="en-US" w:eastAsia="zh-CN" w:bidi="ar-SA"/>
    </w:rPr>
  </w:style>
  <w:style w:type="character" w:customStyle="1" w:styleId="ONUMEChar">
    <w:name w:val="ONUM E Char"/>
    <w:basedOn w:val="BodyTextChar"/>
    <w:link w:val="ONUME"/>
    <w:rsid w:val="00AE053B"/>
    <w:rPr>
      <w:rFonts w:ascii="Arial" w:eastAsia="SimSun" w:hAnsi="Arial" w:cs="Arial"/>
      <w:sz w:val="22"/>
      <w:lang w:val="en-US" w:eastAsia="zh-CN" w:bidi="ar-SA"/>
    </w:rPr>
  </w:style>
  <w:style w:type="paragraph" w:styleId="BalloonText">
    <w:name w:val="Balloon Text"/>
    <w:basedOn w:val="Normal"/>
    <w:link w:val="BalloonTextChar"/>
    <w:rsid w:val="008A194A"/>
    <w:rPr>
      <w:rFonts w:ascii="Tahoma" w:hAnsi="Tahoma" w:cs="Tahoma"/>
      <w:sz w:val="16"/>
      <w:szCs w:val="16"/>
    </w:rPr>
  </w:style>
  <w:style w:type="character" w:customStyle="1" w:styleId="BalloonTextChar">
    <w:name w:val="Balloon Text Char"/>
    <w:link w:val="BalloonText"/>
    <w:rsid w:val="008A194A"/>
    <w:rPr>
      <w:rFonts w:ascii="Tahoma" w:eastAsia="SimSun" w:hAnsi="Tahoma" w:cs="Tahoma"/>
      <w:sz w:val="16"/>
      <w:szCs w:val="16"/>
      <w:lang w:eastAsia="zh-CN"/>
    </w:rPr>
  </w:style>
  <w:style w:type="paragraph" w:customStyle="1" w:styleId="DecisionInvitingPara">
    <w:name w:val="Decision Inviting Para."/>
    <w:basedOn w:val="Normal"/>
    <w:rsid w:val="00D001CA"/>
    <w:pPr>
      <w:spacing w:after="120" w:line="260" w:lineRule="atLeast"/>
      <w:ind w:left="5534"/>
      <w:contextualSpacing/>
    </w:pPr>
    <w:rPr>
      <w:rFonts w:eastAsia="Times New Roman" w:cs="Times New Roman"/>
      <w:i/>
      <w:sz w:val="20"/>
      <w:lang w:eastAsia="en-US"/>
    </w:rPr>
  </w:style>
  <w:style w:type="paragraph" w:styleId="ListParagraph">
    <w:name w:val="List Paragraph"/>
    <w:basedOn w:val="Normal"/>
    <w:uiPriority w:val="34"/>
    <w:qFormat/>
    <w:rsid w:val="00D001CA"/>
    <w:pPr>
      <w:ind w:left="720"/>
      <w:contextualSpacing/>
    </w:pPr>
  </w:style>
  <w:style w:type="character" w:styleId="Hyperlink">
    <w:name w:val="Hyperlink"/>
    <w:uiPriority w:val="99"/>
    <w:rsid w:val="00D42798"/>
    <w:rPr>
      <w:color w:val="0000FF"/>
      <w:u w:val="single"/>
    </w:rPr>
  </w:style>
  <w:style w:type="character" w:styleId="FollowedHyperlink">
    <w:name w:val="FollowedHyperlink"/>
    <w:basedOn w:val="DefaultParagraphFont"/>
    <w:uiPriority w:val="99"/>
    <w:unhideWhenUsed/>
    <w:rsid w:val="00205A33"/>
    <w:rPr>
      <w:color w:val="800080"/>
      <w:u w:val="single"/>
    </w:rPr>
  </w:style>
  <w:style w:type="paragraph" w:customStyle="1" w:styleId="font5">
    <w:name w:val="font5"/>
    <w:basedOn w:val="Normal"/>
    <w:rsid w:val="00205A33"/>
    <w:pPr>
      <w:spacing w:before="100" w:beforeAutospacing="1" w:after="100" w:afterAutospacing="1"/>
    </w:pPr>
    <w:rPr>
      <w:rFonts w:eastAsia="Times New Roman"/>
      <w:i/>
      <w:iCs/>
      <w:color w:val="000000"/>
      <w:sz w:val="18"/>
      <w:szCs w:val="18"/>
      <w:lang w:val="fr-FR" w:eastAsia="fr-FR"/>
    </w:rPr>
  </w:style>
  <w:style w:type="paragraph" w:customStyle="1" w:styleId="xl65">
    <w:name w:val="xl65"/>
    <w:basedOn w:val="Normal"/>
    <w:rsid w:val="00205A33"/>
    <w:pPr>
      <w:spacing w:before="100" w:beforeAutospacing="1" w:after="100" w:afterAutospacing="1"/>
      <w:jc w:val="center"/>
    </w:pPr>
    <w:rPr>
      <w:rFonts w:ascii="Times New Roman" w:eastAsia="Times New Roman" w:hAnsi="Times New Roman" w:cs="Times New Roman"/>
      <w:sz w:val="24"/>
      <w:szCs w:val="24"/>
      <w:lang w:val="fr-FR" w:eastAsia="fr-FR"/>
    </w:rPr>
  </w:style>
  <w:style w:type="paragraph" w:customStyle="1" w:styleId="xl67">
    <w:name w:val="xl67"/>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val="fr-FR" w:eastAsia="fr-FR"/>
    </w:rPr>
  </w:style>
  <w:style w:type="paragraph" w:customStyle="1" w:styleId="xl68">
    <w:name w:val="xl68"/>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69">
    <w:name w:val="xl69"/>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3B3B3B"/>
      <w:sz w:val="24"/>
      <w:szCs w:val="24"/>
      <w:lang w:val="fr-FR" w:eastAsia="fr-FR"/>
    </w:rPr>
  </w:style>
  <w:style w:type="paragraph" w:customStyle="1" w:styleId="xl70">
    <w:name w:val="xl70"/>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lang w:val="fr-FR" w:eastAsia="fr-FR"/>
    </w:rPr>
  </w:style>
  <w:style w:type="paragraph" w:customStyle="1" w:styleId="xl71">
    <w:name w:val="xl71"/>
    <w:basedOn w:val="Normal"/>
    <w:rsid w:val="00205A3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color w:val="3B3B3B"/>
      <w:sz w:val="24"/>
      <w:szCs w:val="24"/>
      <w:lang w:val="fr-FR" w:eastAsia="fr-FR"/>
    </w:rPr>
  </w:style>
  <w:style w:type="paragraph" w:customStyle="1" w:styleId="xl72">
    <w:name w:val="xl72"/>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b/>
      <w:bCs/>
      <w:i/>
      <w:iCs/>
      <w:color w:val="000000"/>
      <w:sz w:val="20"/>
      <w:lang w:val="fr-FR" w:eastAsia="fr-FR"/>
    </w:rPr>
  </w:style>
  <w:style w:type="paragraph" w:customStyle="1" w:styleId="xl73">
    <w:name w:val="xl73"/>
    <w:basedOn w:val="Normal"/>
    <w:rsid w:val="00205A3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color w:val="000000"/>
      <w:sz w:val="24"/>
      <w:szCs w:val="24"/>
      <w:lang w:val="fr-FR" w:eastAsia="fr-FR"/>
    </w:rPr>
  </w:style>
  <w:style w:type="paragraph" w:customStyle="1" w:styleId="xl74">
    <w:name w:val="xl74"/>
    <w:basedOn w:val="Normal"/>
    <w:rsid w:val="00205A33"/>
    <w:pPr>
      <w:shd w:val="clear" w:color="000000" w:fill="CCFF99"/>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xl75">
    <w:name w:val="xl75"/>
    <w:basedOn w:val="Normal"/>
    <w:rsid w:val="00205A33"/>
    <w:pPr>
      <w:spacing w:before="100" w:beforeAutospacing="1" w:after="100" w:afterAutospacing="1"/>
      <w:jc w:val="center"/>
      <w:textAlignment w:val="center"/>
    </w:pPr>
    <w:rPr>
      <w:rFonts w:eastAsia="Times New Roman"/>
      <w:sz w:val="24"/>
      <w:szCs w:val="24"/>
      <w:lang w:val="fr-FR" w:eastAsia="fr-FR"/>
    </w:rPr>
  </w:style>
  <w:style w:type="paragraph" w:customStyle="1" w:styleId="xl76">
    <w:name w:val="xl76"/>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sz w:val="24"/>
      <w:szCs w:val="24"/>
      <w:lang w:val="fr-FR" w:eastAsia="fr-FR"/>
    </w:rPr>
  </w:style>
  <w:style w:type="paragraph" w:customStyle="1" w:styleId="xl77">
    <w:name w:val="xl77"/>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color w:val="000000"/>
      <w:sz w:val="24"/>
      <w:szCs w:val="24"/>
      <w:lang w:val="fr-FR" w:eastAsia="fr-FR"/>
    </w:rPr>
  </w:style>
  <w:style w:type="paragraph" w:customStyle="1" w:styleId="xl78">
    <w:name w:val="xl78"/>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80">
    <w:name w:val="xl80"/>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sz w:val="24"/>
      <w:szCs w:val="24"/>
      <w:lang w:val="fr-FR" w:eastAsia="fr-FR"/>
    </w:rPr>
  </w:style>
  <w:style w:type="paragraph" w:customStyle="1" w:styleId="xl81">
    <w:name w:val="xl81"/>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b/>
      <w:bCs/>
      <w:i/>
      <w:iCs/>
      <w:color w:val="000000"/>
      <w:sz w:val="20"/>
      <w:lang w:val="fr-FR" w:eastAsia="fr-FR"/>
    </w:rPr>
  </w:style>
  <w:style w:type="paragraph" w:customStyle="1" w:styleId="xl82">
    <w:name w:val="xl82"/>
    <w:basedOn w:val="Normal"/>
    <w:rsid w:val="00205A33"/>
    <w:pPr>
      <w:pBdr>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sz w:val="24"/>
      <w:szCs w:val="24"/>
      <w:lang w:val="fr-FR" w:eastAsia="fr-FR"/>
    </w:rPr>
  </w:style>
  <w:style w:type="paragraph" w:customStyle="1" w:styleId="xl83">
    <w:name w:val="xl83"/>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xl84">
    <w:name w:val="xl84"/>
    <w:basedOn w:val="Normal"/>
    <w:rsid w:val="00205A33"/>
    <w:pP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85">
    <w:name w:val="xl85"/>
    <w:basedOn w:val="Normal"/>
    <w:rsid w:val="00205A33"/>
    <w:pPr>
      <w:spacing w:before="100" w:beforeAutospacing="1" w:after="100" w:afterAutospacing="1"/>
      <w:jc w:val="center"/>
    </w:pPr>
    <w:rPr>
      <w:rFonts w:ascii="Times New Roman" w:eastAsia="Times New Roman" w:hAnsi="Times New Roman" w:cs="Times New Roman"/>
      <w:sz w:val="24"/>
      <w:szCs w:val="24"/>
      <w:lang w:val="fr-FR" w:eastAsia="fr-FR"/>
    </w:rPr>
  </w:style>
  <w:style w:type="paragraph" w:styleId="Title">
    <w:name w:val="Title"/>
    <w:basedOn w:val="Normal"/>
    <w:link w:val="TitleChar"/>
    <w:qFormat/>
    <w:rsid w:val="00106795"/>
    <w:pPr>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106795"/>
    <w:rPr>
      <w:b/>
      <w:bCs/>
      <w:sz w:val="24"/>
      <w:szCs w:val="24"/>
      <w:lang w:val="en-US" w:eastAsia="en-US"/>
    </w:rPr>
  </w:style>
  <w:style w:type="character" w:styleId="FootnoteReference">
    <w:name w:val="footnote reference"/>
    <w:uiPriority w:val="99"/>
    <w:unhideWhenUsed/>
    <w:rsid w:val="00106795"/>
    <w:rPr>
      <w:vertAlign w:val="superscript"/>
    </w:rPr>
  </w:style>
  <w:style w:type="character" w:customStyle="1" w:styleId="FooterChar">
    <w:name w:val="Footer Char"/>
    <w:link w:val="Footer"/>
    <w:uiPriority w:val="99"/>
    <w:rsid w:val="004F47CE"/>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B94A8E"/>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link w:val="BodyText"/>
    <w:rsid w:val="00AE053B"/>
    <w:rPr>
      <w:rFonts w:ascii="Arial" w:eastAsia="SimSun" w:hAnsi="Arial" w:cs="Arial"/>
      <w:sz w:val="22"/>
      <w:lang w:val="en-US" w:eastAsia="zh-CN" w:bidi="ar-SA"/>
    </w:rPr>
  </w:style>
  <w:style w:type="character" w:customStyle="1" w:styleId="ONUMEChar">
    <w:name w:val="ONUM E Char"/>
    <w:basedOn w:val="BodyTextChar"/>
    <w:link w:val="ONUME"/>
    <w:rsid w:val="00AE053B"/>
    <w:rPr>
      <w:rFonts w:ascii="Arial" w:eastAsia="SimSun" w:hAnsi="Arial" w:cs="Arial"/>
      <w:sz w:val="22"/>
      <w:lang w:val="en-US" w:eastAsia="zh-CN" w:bidi="ar-SA"/>
    </w:rPr>
  </w:style>
  <w:style w:type="paragraph" w:styleId="BalloonText">
    <w:name w:val="Balloon Text"/>
    <w:basedOn w:val="Normal"/>
    <w:link w:val="BalloonTextChar"/>
    <w:rsid w:val="008A194A"/>
    <w:rPr>
      <w:rFonts w:ascii="Tahoma" w:hAnsi="Tahoma" w:cs="Tahoma"/>
      <w:sz w:val="16"/>
      <w:szCs w:val="16"/>
    </w:rPr>
  </w:style>
  <w:style w:type="character" w:customStyle="1" w:styleId="BalloonTextChar">
    <w:name w:val="Balloon Text Char"/>
    <w:link w:val="BalloonText"/>
    <w:rsid w:val="008A194A"/>
    <w:rPr>
      <w:rFonts w:ascii="Tahoma" w:eastAsia="SimSun" w:hAnsi="Tahoma" w:cs="Tahoma"/>
      <w:sz w:val="16"/>
      <w:szCs w:val="16"/>
      <w:lang w:eastAsia="zh-CN"/>
    </w:rPr>
  </w:style>
  <w:style w:type="paragraph" w:customStyle="1" w:styleId="DecisionInvitingPara">
    <w:name w:val="Decision Inviting Para."/>
    <w:basedOn w:val="Normal"/>
    <w:rsid w:val="00D001CA"/>
    <w:pPr>
      <w:spacing w:after="120" w:line="260" w:lineRule="atLeast"/>
      <w:ind w:left="5534"/>
      <w:contextualSpacing/>
    </w:pPr>
    <w:rPr>
      <w:rFonts w:eastAsia="Times New Roman" w:cs="Times New Roman"/>
      <w:i/>
      <w:sz w:val="20"/>
      <w:lang w:eastAsia="en-US"/>
    </w:rPr>
  </w:style>
  <w:style w:type="paragraph" w:styleId="ListParagraph">
    <w:name w:val="List Paragraph"/>
    <w:basedOn w:val="Normal"/>
    <w:uiPriority w:val="34"/>
    <w:qFormat/>
    <w:rsid w:val="00D001CA"/>
    <w:pPr>
      <w:ind w:left="720"/>
      <w:contextualSpacing/>
    </w:pPr>
  </w:style>
  <w:style w:type="character" w:styleId="Hyperlink">
    <w:name w:val="Hyperlink"/>
    <w:uiPriority w:val="99"/>
    <w:rsid w:val="00D42798"/>
    <w:rPr>
      <w:color w:val="0000FF"/>
      <w:u w:val="single"/>
    </w:rPr>
  </w:style>
  <w:style w:type="character" w:styleId="FollowedHyperlink">
    <w:name w:val="FollowedHyperlink"/>
    <w:basedOn w:val="DefaultParagraphFont"/>
    <w:uiPriority w:val="99"/>
    <w:unhideWhenUsed/>
    <w:rsid w:val="00205A33"/>
    <w:rPr>
      <w:color w:val="800080"/>
      <w:u w:val="single"/>
    </w:rPr>
  </w:style>
  <w:style w:type="paragraph" w:customStyle="1" w:styleId="font5">
    <w:name w:val="font5"/>
    <w:basedOn w:val="Normal"/>
    <w:rsid w:val="00205A33"/>
    <w:pPr>
      <w:spacing w:before="100" w:beforeAutospacing="1" w:after="100" w:afterAutospacing="1"/>
    </w:pPr>
    <w:rPr>
      <w:rFonts w:eastAsia="Times New Roman"/>
      <w:i/>
      <w:iCs/>
      <w:color w:val="000000"/>
      <w:sz w:val="18"/>
      <w:szCs w:val="18"/>
      <w:lang w:val="fr-FR" w:eastAsia="fr-FR"/>
    </w:rPr>
  </w:style>
  <w:style w:type="paragraph" w:customStyle="1" w:styleId="xl65">
    <w:name w:val="xl65"/>
    <w:basedOn w:val="Normal"/>
    <w:rsid w:val="00205A33"/>
    <w:pPr>
      <w:spacing w:before="100" w:beforeAutospacing="1" w:after="100" w:afterAutospacing="1"/>
      <w:jc w:val="center"/>
    </w:pPr>
    <w:rPr>
      <w:rFonts w:ascii="Times New Roman" w:eastAsia="Times New Roman" w:hAnsi="Times New Roman" w:cs="Times New Roman"/>
      <w:sz w:val="24"/>
      <w:szCs w:val="24"/>
      <w:lang w:val="fr-FR" w:eastAsia="fr-FR"/>
    </w:rPr>
  </w:style>
  <w:style w:type="paragraph" w:customStyle="1" w:styleId="xl67">
    <w:name w:val="xl67"/>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val="fr-FR" w:eastAsia="fr-FR"/>
    </w:rPr>
  </w:style>
  <w:style w:type="paragraph" w:customStyle="1" w:styleId="xl68">
    <w:name w:val="xl68"/>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69">
    <w:name w:val="xl69"/>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3B3B3B"/>
      <w:sz w:val="24"/>
      <w:szCs w:val="24"/>
      <w:lang w:val="fr-FR" w:eastAsia="fr-FR"/>
    </w:rPr>
  </w:style>
  <w:style w:type="paragraph" w:customStyle="1" w:styleId="xl70">
    <w:name w:val="xl70"/>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lang w:val="fr-FR" w:eastAsia="fr-FR"/>
    </w:rPr>
  </w:style>
  <w:style w:type="paragraph" w:customStyle="1" w:styleId="xl71">
    <w:name w:val="xl71"/>
    <w:basedOn w:val="Normal"/>
    <w:rsid w:val="00205A3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color w:val="3B3B3B"/>
      <w:sz w:val="24"/>
      <w:szCs w:val="24"/>
      <w:lang w:val="fr-FR" w:eastAsia="fr-FR"/>
    </w:rPr>
  </w:style>
  <w:style w:type="paragraph" w:customStyle="1" w:styleId="xl72">
    <w:name w:val="xl72"/>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b/>
      <w:bCs/>
      <w:i/>
      <w:iCs/>
      <w:color w:val="000000"/>
      <w:sz w:val="20"/>
      <w:lang w:val="fr-FR" w:eastAsia="fr-FR"/>
    </w:rPr>
  </w:style>
  <w:style w:type="paragraph" w:customStyle="1" w:styleId="xl73">
    <w:name w:val="xl73"/>
    <w:basedOn w:val="Normal"/>
    <w:rsid w:val="00205A3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color w:val="000000"/>
      <w:sz w:val="24"/>
      <w:szCs w:val="24"/>
      <w:lang w:val="fr-FR" w:eastAsia="fr-FR"/>
    </w:rPr>
  </w:style>
  <w:style w:type="paragraph" w:customStyle="1" w:styleId="xl74">
    <w:name w:val="xl74"/>
    <w:basedOn w:val="Normal"/>
    <w:rsid w:val="00205A33"/>
    <w:pPr>
      <w:shd w:val="clear" w:color="000000" w:fill="CCFF99"/>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xl75">
    <w:name w:val="xl75"/>
    <w:basedOn w:val="Normal"/>
    <w:rsid w:val="00205A33"/>
    <w:pPr>
      <w:spacing w:before="100" w:beforeAutospacing="1" w:after="100" w:afterAutospacing="1"/>
      <w:jc w:val="center"/>
      <w:textAlignment w:val="center"/>
    </w:pPr>
    <w:rPr>
      <w:rFonts w:eastAsia="Times New Roman"/>
      <w:sz w:val="24"/>
      <w:szCs w:val="24"/>
      <w:lang w:val="fr-FR" w:eastAsia="fr-FR"/>
    </w:rPr>
  </w:style>
  <w:style w:type="paragraph" w:customStyle="1" w:styleId="xl76">
    <w:name w:val="xl76"/>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sz w:val="24"/>
      <w:szCs w:val="24"/>
      <w:lang w:val="fr-FR" w:eastAsia="fr-FR"/>
    </w:rPr>
  </w:style>
  <w:style w:type="paragraph" w:customStyle="1" w:styleId="xl77">
    <w:name w:val="xl77"/>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color w:val="000000"/>
      <w:sz w:val="24"/>
      <w:szCs w:val="24"/>
      <w:lang w:val="fr-FR" w:eastAsia="fr-FR"/>
    </w:rPr>
  </w:style>
  <w:style w:type="paragraph" w:customStyle="1" w:styleId="xl78">
    <w:name w:val="xl78"/>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80">
    <w:name w:val="xl80"/>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sz w:val="24"/>
      <w:szCs w:val="24"/>
      <w:lang w:val="fr-FR" w:eastAsia="fr-FR"/>
    </w:rPr>
  </w:style>
  <w:style w:type="paragraph" w:customStyle="1" w:styleId="xl81">
    <w:name w:val="xl81"/>
    <w:basedOn w:val="Normal"/>
    <w:rsid w:val="00205A3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eastAsia="Times New Roman"/>
      <w:b/>
      <w:bCs/>
      <w:i/>
      <w:iCs/>
      <w:color w:val="000000"/>
      <w:sz w:val="20"/>
      <w:lang w:val="fr-FR" w:eastAsia="fr-FR"/>
    </w:rPr>
  </w:style>
  <w:style w:type="paragraph" w:customStyle="1" w:styleId="xl82">
    <w:name w:val="xl82"/>
    <w:basedOn w:val="Normal"/>
    <w:rsid w:val="00205A33"/>
    <w:pPr>
      <w:pBdr>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sz w:val="24"/>
      <w:szCs w:val="24"/>
      <w:lang w:val="fr-FR" w:eastAsia="fr-FR"/>
    </w:rPr>
  </w:style>
  <w:style w:type="paragraph" w:customStyle="1" w:styleId="xl83">
    <w:name w:val="xl83"/>
    <w:basedOn w:val="Normal"/>
    <w:rsid w:val="00205A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xl84">
    <w:name w:val="xl84"/>
    <w:basedOn w:val="Normal"/>
    <w:rsid w:val="00205A33"/>
    <w:pPr>
      <w:spacing w:before="100" w:beforeAutospacing="1" w:after="100" w:afterAutospacing="1"/>
      <w:jc w:val="center"/>
      <w:textAlignment w:val="center"/>
    </w:pPr>
    <w:rPr>
      <w:rFonts w:ascii="Times New Roman" w:eastAsia="Times New Roman" w:hAnsi="Times New Roman" w:cs="Times New Roman"/>
      <w:sz w:val="24"/>
      <w:szCs w:val="24"/>
      <w:lang w:val="fr-FR" w:eastAsia="fr-FR"/>
    </w:rPr>
  </w:style>
  <w:style w:type="paragraph" w:customStyle="1" w:styleId="xl85">
    <w:name w:val="xl85"/>
    <w:basedOn w:val="Normal"/>
    <w:rsid w:val="00205A33"/>
    <w:pPr>
      <w:spacing w:before="100" w:beforeAutospacing="1" w:after="100" w:afterAutospacing="1"/>
      <w:jc w:val="center"/>
    </w:pPr>
    <w:rPr>
      <w:rFonts w:ascii="Times New Roman" w:eastAsia="Times New Roman" w:hAnsi="Times New Roman" w:cs="Times New Roman"/>
      <w:sz w:val="24"/>
      <w:szCs w:val="24"/>
      <w:lang w:val="fr-FR" w:eastAsia="fr-FR"/>
    </w:rPr>
  </w:style>
  <w:style w:type="paragraph" w:styleId="Title">
    <w:name w:val="Title"/>
    <w:basedOn w:val="Normal"/>
    <w:link w:val="TitleChar"/>
    <w:qFormat/>
    <w:rsid w:val="00106795"/>
    <w:pPr>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106795"/>
    <w:rPr>
      <w:b/>
      <w:bCs/>
      <w:sz w:val="24"/>
      <w:szCs w:val="24"/>
      <w:lang w:val="en-US" w:eastAsia="en-US"/>
    </w:rPr>
  </w:style>
  <w:style w:type="character" w:styleId="FootnoteReference">
    <w:name w:val="footnote reference"/>
    <w:uiPriority w:val="99"/>
    <w:unhideWhenUsed/>
    <w:rsid w:val="00106795"/>
    <w:rPr>
      <w:vertAlign w:val="superscript"/>
    </w:rPr>
  </w:style>
  <w:style w:type="character" w:customStyle="1" w:styleId="FooterChar">
    <w:name w:val="Footer Char"/>
    <w:link w:val="Footer"/>
    <w:uiPriority w:val="99"/>
    <w:rsid w:val="004F47C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D68D-90F0-492A-B629-8DD70CB4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5504</Words>
  <Characters>30418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MM/A/44/5</vt:lpstr>
    </vt:vector>
  </TitlesOfParts>
  <Company>WIPO</Company>
  <LinksUpToDate>false</LinksUpToDate>
  <CharactersWithSpaces>35851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MM/A/44/5</dc:title>
  <dc:subject>draft report</dc:subject>
  <dc:creator>Hafliger</dc:creator>
  <cp:keywords>NGG/mhf</cp:keywords>
  <cp:lastModifiedBy>MARIN-CUDRAZ DAVI Nicoletta</cp:lastModifiedBy>
  <cp:revision>6</cp:revision>
  <cp:lastPrinted>2015-11-02T15:09:00Z</cp:lastPrinted>
  <dcterms:created xsi:type="dcterms:W3CDTF">2016-01-14T11:19:00Z</dcterms:created>
  <dcterms:modified xsi:type="dcterms:W3CDTF">2016-01-28T13:28:00Z</dcterms:modified>
</cp:coreProperties>
</file>