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D86C47" w:rsidRPr="00656179" w:rsidTr="007738D3">
        <w:tc>
          <w:tcPr>
            <w:tcW w:w="4513" w:type="dxa"/>
            <w:tcBorders>
              <w:bottom w:val="single" w:sz="4" w:space="0" w:color="auto"/>
            </w:tcBorders>
            <w:tcMar>
              <w:bottom w:w="170" w:type="dxa"/>
            </w:tcMar>
          </w:tcPr>
          <w:p w:rsidR="00D86C47" w:rsidRPr="00656179" w:rsidRDefault="00D86C47" w:rsidP="00D07664">
            <w:pPr>
              <w:rPr>
                <w:lang w:val="fr-FR"/>
              </w:rPr>
            </w:pPr>
            <w:bookmarkStart w:id="0" w:name="_GoBack"/>
            <w:bookmarkEnd w:id="0"/>
          </w:p>
        </w:tc>
        <w:tc>
          <w:tcPr>
            <w:tcW w:w="4337" w:type="dxa"/>
            <w:tcBorders>
              <w:bottom w:val="single" w:sz="4" w:space="0" w:color="auto"/>
            </w:tcBorders>
            <w:tcMar>
              <w:left w:w="0" w:type="dxa"/>
              <w:right w:w="0" w:type="dxa"/>
            </w:tcMar>
          </w:tcPr>
          <w:p w:rsidR="00D86C47" w:rsidRPr="00656179" w:rsidRDefault="00D86C47" w:rsidP="00D07664">
            <w:pPr>
              <w:rPr>
                <w:lang w:val="fr-FR"/>
              </w:rPr>
            </w:pPr>
            <w:r w:rsidRPr="00656179">
              <w:rPr>
                <w:noProof/>
                <w:lang w:eastAsia="en-US"/>
              </w:rPr>
              <w:drawing>
                <wp:inline distT="0" distB="0" distL="0" distR="0" wp14:anchorId="30E732B8" wp14:editId="3091915D">
                  <wp:extent cx="1857375" cy="1323975"/>
                  <wp:effectExtent l="0" t="0" r="9525" b="9525"/>
                  <wp:docPr id="1" name="Picture 1"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D86C47" w:rsidRPr="00656179" w:rsidRDefault="00D86C47" w:rsidP="00D07664">
            <w:pPr>
              <w:jc w:val="right"/>
              <w:rPr>
                <w:lang w:val="fr-FR"/>
              </w:rPr>
            </w:pPr>
            <w:r w:rsidRPr="00656179">
              <w:rPr>
                <w:b/>
                <w:sz w:val="40"/>
                <w:szCs w:val="40"/>
                <w:lang w:val="fr-FR"/>
              </w:rPr>
              <w:t>F</w:t>
            </w:r>
          </w:p>
        </w:tc>
      </w:tr>
      <w:tr w:rsidR="00D86C47" w:rsidRPr="00656179" w:rsidTr="00D07664">
        <w:trPr>
          <w:trHeight w:hRule="exact" w:val="340"/>
        </w:trPr>
        <w:tc>
          <w:tcPr>
            <w:tcW w:w="9356" w:type="dxa"/>
            <w:gridSpan w:val="3"/>
            <w:tcBorders>
              <w:top w:val="single" w:sz="4" w:space="0" w:color="auto"/>
            </w:tcBorders>
            <w:tcMar>
              <w:top w:w="170" w:type="dxa"/>
              <w:left w:w="0" w:type="dxa"/>
              <w:right w:w="0" w:type="dxa"/>
            </w:tcMar>
            <w:vAlign w:val="bottom"/>
          </w:tcPr>
          <w:p w:rsidR="00D86C47" w:rsidRPr="00656179" w:rsidRDefault="00D86C47" w:rsidP="00D07664">
            <w:pPr>
              <w:jc w:val="right"/>
              <w:rPr>
                <w:rFonts w:ascii="Arial Black" w:hAnsi="Arial Black"/>
                <w:caps/>
                <w:sz w:val="15"/>
                <w:lang w:val="fr-FR"/>
              </w:rPr>
            </w:pPr>
            <w:r w:rsidRPr="00656179">
              <w:rPr>
                <w:rFonts w:ascii="Arial Black" w:hAnsi="Arial Black"/>
                <w:caps/>
                <w:sz w:val="15"/>
                <w:lang w:val="fr-FR"/>
              </w:rPr>
              <w:t>MM/A/49/</w:t>
            </w:r>
            <w:bookmarkStart w:id="1" w:name="Code"/>
            <w:bookmarkEnd w:id="1"/>
            <w:r w:rsidRPr="00656179">
              <w:rPr>
                <w:rFonts w:ascii="Arial Black" w:hAnsi="Arial Black"/>
                <w:caps/>
                <w:sz w:val="15"/>
                <w:lang w:val="fr-FR"/>
              </w:rPr>
              <w:t>4</w:t>
            </w:r>
          </w:p>
        </w:tc>
      </w:tr>
      <w:tr w:rsidR="00D86C47" w:rsidRPr="00656179" w:rsidTr="00D07664">
        <w:trPr>
          <w:trHeight w:hRule="exact" w:val="170"/>
        </w:trPr>
        <w:tc>
          <w:tcPr>
            <w:tcW w:w="9356" w:type="dxa"/>
            <w:gridSpan w:val="3"/>
            <w:noWrap/>
            <w:tcMar>
              <w:left w:w="0" w:type="dxa"/>
              <w:right w:w="0" w:type="dxa"/>
            </w:tcMar>
            <w:vAlign w:val="bottom"/>
          </w:tcPr>
          <w:p w:rsidR="00D86C47" w:rsidRPr="00656179" w:rsidRDefault="00D86C47" w:rsidP="00D07664">
            <w:pPr>
              <w:jc w:val="right"/>
              <w:rPr>
                <w:rFonts w:ascii="Arial Black" w:hAnsi="Arial Black"/>
                <w:caps/>
                <w:sz w:val="15"/>
                <w:lang w:val="fr-FR"/>
              </w:rPr>
            </w:pPr>
            <w:r w:rsidRPr="00656179">
              <w:rPr>
                <w:rFonts w:ascii="Arial Black" w:hAnsi="Arial Black"/>
                <w:caps/>
                <w:sz w:val="15"/>
                <w:lang w:val="fr-FR"/>
              </w:rPr>
              <w:t>ORIGINAL</w:t>
            </w:r>
            <w:r w:rsidR="00D60B83" w:rsidRPr="00656179">
              <w:rPr>
                <w:rFonts w:ascii="Arial Black" w:hAnsi="Arial Black"/>
                <w:caps/>
                <w:sz w:val="15"/>
                <w:lang w:val="fr-FR"/>
              </w:rPr>
              <w:t> </w:t>
            </w:r>
            <w:r w:rsidRPr="00656179">
              <w:rPr>
                <w:rFonts w:ascii="Arial Black" w:hAnsi="Arial Black"/>
                <w:caps/>
                <w:sz w:val="15"/>
                <w:lang w:val="fr-FR"/>
              </w:rPr>
              <w:t xml:space="preserve">: </w:t>
            </w:r>
            <w:bookmarkStart w:id="2" w:name="Original"/>
            <w:bookmarkEnd w:id="2"/>
            <w:r w:rsidRPr="00656179">
              <w:rPr>
                <w:rFonts w:ascii="Arial Black" w:hAnsi="Arial Black"/>
                <w:caps/>
                <w:sz w:val="15"/>
                <w:lang w:val="fr-FR"/>
              </w:rPr>
              <w:t>anglais</w:t>
            </w:r>
          </w:p>
        </w:tc>
      </w:tr>
      <w:tr w:rsidR="00D86C47" w:rsidRPr="00656179" w:rsidTr="00D07664">
        <w:trPr>
          <w:trHeight w:hRule="exact" w:val="198"/>
        </w:trPr>
        <w:tc>
          <w:tcPr>
            <w:tcW w:w="9356" w:type="dxa"/>
            <w:gridSpan w:val="3"/>
            <w:tcMar>
              <w:left w:w="0" w:type="dxa"/>
              <w:right w:w="0" w:type="dxa"/>
            </w:tcMar>
            <w:vAlign w:val="bottom"/>
          </w:tcPr>
          <w:p w:rsidR="00D86C47" w:rsidRPr="00656179" w:rsidRDefault="00D86C47" w:rsidP="00D07664">
            <w:pPr>
              <w:jc w:val="right"/>
              <w:rPr>
                <w:rFonts w:ascii="Arial Black" w:hAnsi="Arial Black"/>
                <w:caps/>
                <w:sz w:val="15"/>
                <w:lang w:val="fr-FR"/>
              </w:rPr>
            </w:pPr>
            <w:r w:rsidRPr="00656179">
              <w:rPr>
                <w:rFonts w:ascii="Arial Black" w:hAnsi="Arial Black"/>
                <w:caps/>
                <w:sz w:val="15"/>
                <w:lang w:val="fr-FR"/>
              </w:rPr>
              <w:t>DATE</w:t>
            </w:r>
            <w:r w:rsidR="00D60B83" w:rsidRPr="00656179">
              <w:rPr>
                <w:rFonts w:ascii="Arial Black" w:hAnsi="Arial Black"/>
                <w:caps/>
                <w:sz w:val="15"/>
                <w:lang w:val="fr-FR"/>
              </w:rPr>
              <w:t> </w:t>
            </w:r>
            <w:r w:rsidRPr="00656179">
              <w:rPr>
                <w:rFonts w:ascii="Arial Black" w:hAnsi="Arial Black"/>
                <w:caps/>
                <w:sz w:val="15"/>
                <w:lang w:val="fr-FR"/>
              </w:rPr>
              <w:t xml:space="preserve">: </w:t>
            </w:r>
            <w:bookmarkStart w:id="3" w:name="Date"/>
            <w:bookmarkEnd w:id="3"/>
            <w:r w:rsidRPr="00656179">
              <w:rPr>
                <w:rFonts w:ascii="Arial Black" w:hAnsi="Arial Black"/>
                <w:caps/>
                <w:sz w:val="15"/>
                <w:lang w:val="fr-FR"/>
              </w:rPr>
              <w:t>4 septembre 2015</w:t>
            </w:r>
          </w:p>
        </w:tc>
      </w:tr>
    </w:tbl>
    <w:p w:rsidR="00D86C47" w:rsidRPr="00656179" w:rsidRDefault="00D86C47" w:rsidP="00D86C47">
      <w:pPr>
        <w:rPr>
          <w:lang w:val="fr-FR"/>
        </w:rPr>
      </w:pPr>
    </w:p>
    <w:p w:rsidR="00D86C47" w:rsidRPr="00656179" w:rsidRDefault="00D86C47" w:rsidP="00D86C47">
      <w:pPr>
        <w:rPr>
          <w:lang w:val="fr-FR"/>
        </w:rPr>
      </w:pPr>
    </w:p>
    <w:p w:rsidR="00D86C47" w:rsidRPr="00656179" w:rsidRDefault="00D86C47" w:rsidP="00D86C47">
      <w:pPr>
        <w:rPr>
          <w:lang w:val="fr-FR"/>
        </w:rPr>
      </w:pPr>
    </w:p>
    <w:p w:rsidR="00D86C47" w:rsidRPr="00656179" w:rsidRDefault="00D86C47" w:rsidP="00D86C47">
      <w:pPr>
        <w:rPr>
          <w:lang w:val="fr-FR"/>
        </w:rPr>
      </w:pPr>
    </w:p>
    <w:p w:rsidR="00D86C47" w:rsidRPr="00656179" w:rsidRDefault="00D86C47" w:rsidP="00D86C47">
      <w:pPr>
        <w:rPr>
          <w:lang w:val="fr-FR"/>
        </w:rPr>
      </w:pPr>
    </w:p>
    <w:p w:rsidR="00D86C47" w:rsidRPr="00656179" w:rsidRDefault="00D86C47" w:rsidP="00D86C47">
      <w:pPr>
        <w:rPr>
          <w:b/>
          <w:sz w:val="28"/>
          <w:szCs w:val="28"/>
          <w:lang w:val="fr-FR"/>
        </w:rPr>
      </w:pPr>
      <w:r w:rsidRPr="00656179">
        <w:rPr>
          <w:b/>
          <w:sz w:val="28"/>
          <w:szCs w:val="28"/>
          <w:lang w:val="fr-FR"/>
        </w:rPr>
        <w:t>Union particulière pour l</w:t>
      </w:r>
      <w:r w:rsidR="007738D3" w:rsidRPr="00656179">
        <w:rPr>
          <w:b/>
          <w:sz w:val="28"/>
          <w:szCs w:val="28"/>
          <w:lang w:val="fr-FR"/>
        </w:rPr>
        <w:t>’</w:t>
      </w:r>
      <w:r w:rsidRPr="00656179">
        <w:rPr>
          <w:b/>
          <w:sz w:val="28"/>
          <w:szCs w:val="28"/>
          <w:lang w:val="fr-FR"/>
        </w:rPr>
        <w:t>enregistrement international des marques (Union de Madrid)</w:t>
      </w:r>
    </w:p>
    <w:p w:rsidR="00D86C47" w:rsidRPr="00656179" w:rsidRDefault="00D86C47" w:rsidP="00D86C47">
      <w:pPr>
        <w:rPr>
          <w:lang w:val="fr-FR"/>
        </w:rPr>
      </w:pPr>
    </w:p>
    <w:p w:rsidR="00D86C47" w:rsidRPr="00656179" w:rsidRDefault="00D86C47" w:rsidP="00D86C47">
      <w:pPr>
        <w:rPr>
          <w:lang w:val="fr-FR"/>
        </w:rPr>
      </w:pPr>
    </w:p>
    <w:p w:rsidR="00D86C47" w:rsidRPr="00656179" w:rsidRDefault="00D86C47" w:rsidP="00D86C47">
      <w:pPr>
        <w:rPr>
          <w:b/>
          <w:sz w:val="28"/>
          <w:szCs w:val="28"/>
          <w:lang w:val="fr-FR"/>
        </w:rPr>
      </w:pPr>
      <w:r w:rsidRPr="00656179">
        <w:rPr>
          <w:b/>
          <w:sz w:val="28"/>
          <w:szCs w:val="28"/>
          <w:lang w:val="fr-FR"/>
        </w:rPr>
        <w:t>Assemblée</w:t>
      </w:r>
    </w:p>
    <w:p w:rsidR="00D86C47" w:rsidRPr="00656179" w:rsidRDefault="00D86C47" w:rsidP="00D86C47">
      <w:pPr>
        <w:rPr>
          <w:lang w:val="fr-FR"/>
        </w:rPr>
      </w:pPr>
    </w:p>
    <w:p w:rsidR="00D86C47" w:rsidRPr="00656179" w:rsidRDefault="00D86C47" w:rsidP="00D86C47">
      <w:pPr>
        <w:rPr>
          <w:lang w:val="fr-FR"/>
        </w:rPr>
      </w:pPr>
    </w:p>
    <w:p w:rsidR="00D86C47" w:rsidRPr="00656179" w:rsidRDefault="00D86C47" w:rsidP="00D86C47">
      <w:pPr>
        <w:rPr>
          <w:b/>
          <w:sz w:val="24"/>
          <w:szCs w:val="24"/>
          <w:lang w:val="fr-FR"/>
        </w:rPr>
      </w:pPr>
      <w:r w:rsidRPr="00656179">
        <w:rPr>
          <w:b/>
          <w:sz w:val="24"/>
          <w:szCs w:val="24"/>
          <w:lang w:val="fr-FR"/>
        </w:rPr>
        <w:t>Quarante</w:t>
      </w:r>
      <w:r w:rsidR="00CD79CE" w:rsidRPr="00656179">
        <w:rPr>
          <w:b/>
          <w:sz w:val="24"/>
          <w:szCs w:val="24"/>
          <w:lang w:val="fr-FR"/>
        </w:rPr>
        <w:noBreakHyphen/>
      </w:r>
      <w:r w:rsidRPr="00656179">
        <w:rPr>
          <w:b/>
          <w:sz w:val="24"/>
          <w:szCs w:val="24"/>
          <w:lang w:val="fr-FR"/>
        </w:rPr>
        <w:t>neuvième</w:t>
      </w:r>
      <w:r w:rsidR="00D60B83" w:rsidRPr="00656179">
        <w:rPr>
          <w:b/>
          <w:sz w:val="24"/>
          <w:szCs w:val="24"/>
          <w:lang w:val="fr-FR"/>
        </w:rPr>
        <w:t> </w:t>
      </w:r>
      <w:r w:rsidRPr="00656179">
        <w:rPr>
          <w:b/>
          <w:sz w:val="24"/>
          <w:szCs w:val="24"/>
          <w:lang w:val="fr-FR"/>
        </w:rPr>
        <w:t>session (21</w:t>
      </w:r>
      <w:r w:rsidRPr="00656179">
        <w:rPr>
          <w:b/>
          <w:sz w:val="24"/>
          <w:szCs w:val="24"/>
          <w:vertAlign w:val="superscript"/>
          <w:lang w:val="fr-FR"/>
        </w:rPr>
        <w:t>e</w:t>
      </w:r>
      <w:r w:rsidRPr="00656179">
        <w:rPr>
          <w:b/>
          <w:sz w:val="24"/>
          <w:szCs w:val="24"/>
          <w:lang w:val="fr-FR"/>
        </w:rPr>
        <w:t xml:space="preserve"> session ordinaire)</w:t>
      </w:r>
    </w:p>
    <w:p w:rsidR="00D86C47" w:rsidRPr="00656179" w:rsidRDefault="00D86C47" w:rsidP="00D86C47">
      <w:pPr>
        <w:rPr>
          <w:b/>
          <w:sz w:val="24"/>
          <w:szCs w:val="24"/>
          <w:lang w:val="fr-FR"/>
        </w:rPr>
      </w:pPr>
      <w:r w:rsidRPr="00656179">
        <w:rPr>
          <w:b/>
          <w:sz w:val="24"/>
          <w:szCs w:val="24"/>
          <w:lang w:val="fr-FR"/>
        </w:rPr>
        <w:t>Genève, 5 – 1</w:t>
      </w:r>
      <w:r w:rsidR="007738D3" w:rsidRPr="00656179">
        <w:rPr>
          <w:b/>
          <w:sz w:val="24"/>
          <w:szCs w:val="24"/>
          <w:lang w:val="fr-FR"/>
        </w:rPr>
        <w:t>4 octobre 20</w:t>
      </w:r>
      <w:r w:rsidRPr="00656179">
        <w:rPr>
          <w:b/>
          <w:sz w:val="24"/>
          <w:szCs w:val="24"/>
          <w:lang w:val="fr-FR"/>
        </w:rPr>
        <w:t>15</w:t>
      </w:r>
    </w:p>
    <w:p w:rsidR="00D86C47" w:rsidRPr="00656179" w:rsidRDefault="00D86C47" w:rsidP="00D86C47">
      <w:pPr>
        <w:rPr>
          <w:lang w:val="fr-FR"/>
        </w:rPr>
      </w:pPr>
    </w:p>
    <w:p w:rsidR="00D86C47" w:rsidRPr="00656179" w:rsidRDefault="00D86C47" w:rsidP="00D86C47">
      <w:pPr>
        <w:rPr>
          <w:lang w:val="fr-FR"/>
        </w:rPr>
      </w:pPr>
    </w:p>
    <w:p w:rsidR="00D86C47" w:rsidRPr="00656179" w:rsidRDefault="00D86C47" w:rsidP="00D86C47">
      <w:pPr>
        <w:rPr>
          <w:lang w:val="fr-FR"/>
        </w:rPr>
      </w:pPr>
    </w:p>
    <w:p w:rsidR="007738D3" w:rsidRPr="00656179" w:rsidRDefault="004329A3" w:rsidP="00CA46D7">
      <w:pPr>
        <w:rPr>
          <w:caps/>
          <w:sz w:val="24"/>
          <w:lang w:val="fr-FR"/>
        </w:rPr>
      </w:pPr>
      <w:r w:rsidRPr="00656179">
        <w:rPr>
          <w:caps/>
          <w:sz w:val="24"/>
          <w:lang w:val="fr-FR"/>
        </w:rPr>
        <w:t>Questions concernant les unions de Madrid et de Lisbonne</w:t>
      </w:r>
      <w:r w:rsidR="00D60B83" w:rsidRPr="00656179">
        <w:rPr>
          <w:caps/>
          <w:sz w:val="24"/>
          <w:lang w:val="fr-FR"/>
        </w:rPr>
        <w:t> </w:t>
      </w:r>
      <w:r w:rsidR="00ED5219" w:rsidRPr="00656179">
        <w:rPr>
          <w:caps/>
          <w:sz w:val="24"/>
          <w:lang w:val="fr-FR"/>
        </w:rPr>
        <w:t xml:space="preserve">: </w:t>
      </w:r>
      <w:r w:rsidRPr="00656179">
        <w:rPr>
          <w:caps/>
          <w:sz w:val="24"/>
          <w:lang w:val="fr-FR"/>
        </w:rPr>
        <w:t>proposition des États</w:t>
      </w:r>
      <w:r w:rsidR="00CD79CE" w:rsidRPr="00656179">
        <w:rPr>
          <w:caps/>
          <w:sz w:val="24"/>
          <w:lang w:val="fr-FR"/>
        </w:rPr>
        <w:noBreakHyphen/>
      </w:r>
      <w:r w:rsidRPr="00656179">
        <w:rPr>
          <w:caps/>
          <w:sz w:val="24"/>
          <w:lang w:val="fr-FR"/>
        </w:rPr>
        <w:t>U</w:t>
      </w:r>
      <w:r w:rsidR="00D86C47" w:rsidRPr="00656179">
        <w:rPr>
          <w:caps/>
          <w:sz w:val="24"/>
          <w:lang w:val="fr-FR"/>
        </w:rPr>
        <w:t>nis d</w:t>
      </w:r>
      <w:r w:rsidR="007738D3" w:rsidRPr="00656179">
        <w:rPr>
          <w:caps/>
          <w:sz w:val="24"/>
          <w:lang w:val="fr-FR"/>
        </w:rPr>
        <w:t>’</w:t>
      </w:r>
      <w:r w:rsidR="00D86C47" w:rsidRPr="00656179">
        <w:rPr>
          <w:caps/>
          <w:sz w:val="24"/>
          <w:lang w:val="fr-FR"/>
        </w:rPr>
        <w:t>Amérique à l</w:t>
      </w:r>
      <w:r w:rsidR="007738D3" w:rsidRPr="00656179">
        <w:rPr>
          <w:caps/>
          <w:sz w:val="24"/>
          <w:lang w:val="fr-FR"/>
        </w:rPr>
        <w:t>’</w:t>
      </w:r>
      <w:r w:rsidR="00D86C47" w:rsidRPr="00656179">
        <w:rPr>
          <w:caps/>
          <w:sz w:val="24"/>
          <w:lang w:val="fr-FR"/>
        </w:rPr>
        <w:t>intention de </w:t>
      </w:r>
      <w:r w:rsidRPr="00656179">
        <w:rPr>
          <w:caps/>
          <w:sz w:val="24"/>
          <w:lang w:val="fr-FR"/>
        </w:rPr>
        <w:t>l</w:t>
      </w:r>
      <w:r w:rsidR="007738D3" w:rsidRPr="00656179">
        <w:rPr>
          <w:caps/>
          <w:sz w:val="24"/>
          <w:lang w:val="fr-FR"/>
        </w:rPr>
        <w:t>’</w:t>
      </w:r>
      <w:r w:rsidRPr="00656179">
        <w:rPr>
          <w:caps/>
          <w:sz w:val="24"/>
          <w:lang w:val="fr-FR"/>
        </w:rPr>
        <w:t>Assemblée de l</w:t>
      </w:r>
      <w:r w:rsidR="007738D3" w:rsidRPr="00656179">
        <w:rPr>
          <w:caps/>
          <w:sz w:val="24"/>
          <w:lang w:val="fr-FR"/>
        </w:rPr>
        <w:t>’</w:t>
      </w:r>
      <w:r w:rsidRPr="00656179">
        <w:rPr>
          <w:caps/>
          <w:sz w:val="24"/>
          <w:lang w:val="fr-FR"/>
        </w:rPr>
        <w:t>Union de Madrid</w:t>
      </w:r>
    </w:p>
    <w:p w:rsidR="00081975" w:rsidRPr="00656179" w:rsidRDefault="00081975" w:rsidP="008B2CC1">
      <w:pPr>
        <w:rPr>
          <w:lang w:val="fr-FR"/>
        </w:rPr>
      </w:pPr>
    </w:p>
    <w:p w:rsidR="00081975" w:rsidRPr="00656179" w:rsidRDefault="00504014" w:rsidP="008B2CC1">
      <w:pPr>
        <w:rPr>
          <w:i/>
          <w:lang w:val="fr-FR"/>
        </w:rPr>
      </w:pPr>
      <w:bookmarkStart w:id="4" w:name="Prepared"/>
      <w:bookmarkEnd w:id="4"/>
      <w:r w:rsidRPr="00656179">
        <w:rPr>
          <w:i/>
          <w:lang w:val="fr-FR"/>
        </w:rPr>
        <w:t>Document établi par le Bureau international</w:t>
      </w:r>
    </w:p>
    <w:p w:rsidR="00081975" w:rsidRPr="00656179" w:rsidRDefault="00081975">
      <w:pPr>
        <w:rPr>
          <w:lang w:val="fr-FR"/>
        </w:rPr>
      </w:pPr>
    </w:p>
    <w:p w:rsidR="00081975" w:rsidRPr="00656179" w:rsidRDefault="00081975">
      <w:pPr>
        <w:rPr>
          <w:lang w:val="fr-FR"/>
        </w:rPr>
      </w:pPr>
    </w:p>
    <w:p w:rsidR="00081975" w:rsidRPr="00656179" w:rsidRDefault="00081975">
      <w:pPr>
        <w:rPr>
          <w:lang w:val="fr-FR"/>
        </w:rPr>
      </w:pPr>
    </w:p>
    <w:p w:rsidR="00081975" w:rsidRPr="00656179" w:rsidRDefault="00081975" w:rsidP="0053057A">
      <w:pPr>
        <w:rPr>
          <w:lang w:val="fr-FR"/>
        </w:rPr>
      </w:pPr>
    </w:p>
    <w:p w:rsidR="00081975" w:rsidRPr="00656179" w:rsidRDefault="00FA5C37" w:rsidP="0002126A">
      <w:pPr>
        <w:pStyle w:val="ONUMFS"/>
        <w:rPr>
          <w:lang w:val="fr-FR"/>
        </w:rPr>
      </w:pPr>
      <w:r w:rsidRPr="00656179">
        <w:rPr>
          <w:lang w:val="fr-FR"/>
        </w:rPr>
        <w:t xml:space="preserve">Dans une communication datée du </w:t>
      </w:r>
      <w:r w:rsidR="007738D3" w:rsidRPr="00656179">
        <w:rPr>
          <w:lang w:val="fr-FR"/>
        </w:rPr>
        <w:t>3 septembre 20</w:t>
      </w:r>
      <w:r w:rsidRPr="00656179">
        <w:rPr>
          <w:lang w:val="fr-FR"/>
        </w:rPr>
        <w:t>15, reproduite dans l</w:t>
      </w:r>
      <w:r w:rsidR="007738D3" w:rsidRPr="00656179">
        <w:rPr>
          <w:lang w:val="fr-FR"/>
        </w:rPr>
        <w:t>’</w:t>
      </w:r>
      <w:r w:rsidRPr="00656179">
        <w:rPr>
          <w:lang w:val="fr-FR"/>
        </w:rPr>
        <w:t>annexe du présent document, la délégation des États</w:t>
      </w:r>
      <w:r w:rsidR="00CD79CE" w:rsidRPr="00656179">
        <w:rPr>
          <w:lang w:val="fr-FR"/>
        </w:rPr>
        <w:noBreakHyphen/>
      </w:r>
      <w:r w:rsidRPr="00656179">
        <w:rPr>
          <w:lang w:val="fr-FR"/>
        </w:rPr>
        <w:t>Unis d</w:t>
      </w:r>
      <w:r w:rsidR="007738D3" w:rsidRPr="00656179">
        <w:rPr>
          <w:lang w:val="fr-FR"/>
        </w:rPr>
        <w:t>’</w:t>
      </w:r>
      <w:r w:rsidRPr="00656179">
        <w:rPr>
          <w:lang w:val="fr-FR"/>
        </w:rPr>
        <w:t xml:space="preserve">Amérique a demandé, entre autres, que sa contribution intitulée </w:t>
      </w:r>
      <w:r w:rsidR="00D60B83" w:rsidRPr="00656179">
        <w:rPr>
          <w:lang w:val="fr-FR"/>
        </w:rPr>
        <w:t>“</w:t>
      </w:r>
      <w:r w:rsidRPr="00656179">
        <w:rPr>
          <w:lang w:val="fr-FR"/>
        </w:rPr>
        <w:t>Questions concernant les unions de Madrid et de Lisbonne</w:t>
      </w:r>
      <w:r w:rsidR="00D60B83" w:rsidRPr="00656179">
        <w:rPr>
          <w:lang w:val="fr-FR"/>
        </w:rPr>
        <w:t>”</w:t>
      </w:r>
      <w:r w:rsidRPr="00656179">
        <w:rPr>
          <w:lang w:val="fr-FR"/>
        </w:rPr>
        <w:t xml:space="preserve"> soit diffusée en tant que document de travail pour examen à la quarante</w:t>
      </w:r>
      <w:r w:rsidR="00CD79CE" w:rsidRPr="00656179">
        <w:rPr>
          <w:rFonts w:eastAsia="MS Gothic"/>
          <w:lang w:val="fr-FR"/>
        </w:rPr>
        <w:noBreakHyphen/>
      </w:r>
      <w:r w:rsidR="0078340D" w:rsidRPr="00656179">
        <w:rPr>
          <w:lang w:val="fr-FR"/>
        </w:rPr>
        <w:t>neuvième session (21</w:t>
      </w:r>
      <w:r w:rsidR="0078340D" w:rsidRPr="00656179">
        <w:rPr>
          <w:vertAlign w:val="superscript"/>
          <w:lang w:val="fr-FR"/>
        </w:rPr>
        <w:t>e</w:t>
      </w:r>
      <w:r w:rsidR="0078340D" w:rsidRPr="00656179">
        <w:rPr>
          <w:lang w:val="fr-FR"/>
        </w:rPr>
        <w:t> </w:t>
      </w:r>
      <w:r w:rsidRPr="00656179">
        <w:rPr>
          <w:lang w:val="fr-FR"/>
        </w:rPr>
        <w:t>session ordinaire) de l</w:t>
      </w:r>
      <w:r w:rsidR="007738D3" w:rsidRPr="00656179">
        <w:rPr>
          <w:lang w:val="fr-FR"/>
        </w:rPr>
        <w:t>’</w:t>
      </w:r>
      <w:r w:rsidRPr="00656179">
        <w:rPr>
          <w:lang w:val="fr-FR"/>
        </w:rPr>
        <w:t>Assemblée de l</w:t>
      </w:r>
      <w:r w:rsidR="007738D3" w:rsidRPr="00656179">
        <w:rPr>
          <w:lang w:val="fr-FR"/>
        </w:rPr>
        <w:t>’</w:t>
      </w:r>
      <w:r w:rsidRPr="00656179">
        <w:rPr>
          <w:lang w:val="fr-FR"/>
        </w:rPr>
        <w:t>Union de Madrid.</w:t>
      </w:r>
    </w:p>
    <w:p w:rsidR="007738D3" w:rsidRPr="00656179" w:rsidRDefault="000D2554" w:rsidP="00FD7A70">
      <w:pPr>
        <w:pStyle w:val="ONUMFS"/>
        <w:tabs>
          <w:tab w:val="left" w:pos="6096"/>
        </w:tabs>
        <w:ind w:left="5533"/>
        <w:rPr>
          <w:i/>
          <w:lang w:val="fr-FR"/>
        </w:rPr>
      </w:pPr>
      <w:r w:rsidRPr="00656179">
        <w:rPr>
          <w:i/>
          <w:lang w:val="fr-FR"/>
        </w:rPr>
        <w:t>L</w:t>
      </w:r>
      <w:r w:rsidR="007738D3" w:rsidRPr="00656179">
        <w:rPr>
          <w:i/>
          <w:lang w:val="fr-FR"/>
        </w:rPr>
        <w:t>’</w:t>
      </w:r>
      <w:r w:rsidRPr="00656179">
        <w:rPr>
          <w:i/>
          <w:lang w:val="fr-FR"/>
        </w:rPr>
        <w:t>Assemblée est invitée à examiner la communication contenue dans l</w:t>
      </w:r>
      <w:r w:rsidR="007738D3" w:rsidRPr="00656179">
        <w:rPr>
          <w:i/>
          <w:lang w:val="fr-FR"/>
        </w:rPr>
        <w:t>’</w:t>
      </w:r>
      <w:r w:rsidRPr="00656179">
        <w:rPr>
          <w:i/>
          <w:lang w:val="fr-FR"/>
        </w:rPr>
        <w:t>annexe du présent document.</w:t>
      </w:r>
    </w:p>
    <w:p w:rsidR="00081975" w:rsidRPr="00656179" w:rsidRDefault="00081975" w:rsidP="0002126A">
      <w:pPr>
        <w:pStyle w:val="Endofdocument-Annex"/>
        <w:rPr>
          <w:lang w:val="fr-FR"/>
        </w:rPr>
      </w:pPr>
    </w:p>
    <w:p w:rsidR="00081975" w:rsidRPr="00656179" w:rsidRDefault="00081975" w:rsidP="0002126A">
      <w:pPr>
        <w:pStyle w:val="Endofdocument-Annex"/>
        <w:rPr>
          <w:lang w:val="fr-FR"/>
        </w:rPr>
      </w:pPr>
    </w:p>
    <w:p w:rsidR="00081975" w:rsidRPr="00656179" w:rsidRDefault="00B707CF" w:rsidP="0002126A">
      <w:pPr>
        <w:pStyle w:val="Endofdocument-Annex"/>
        <w:rPr>
          <w:lang w:val="fr-FR"/>
        </w:rPr>
      </w:pPr>
      <w:r w:rsidRPr="00656179">
        <w:rPr>
          <w:lang w:val="fr-FR"/>
        </w:rPr>
        <w:t>[</w:t>
      </w:r>
      <w:r w:rsidR="00813695" w:rsidRPr="00656179">
        <w:rPr>
          <w:lang w:val="fr-FR"/>
        </w:rPr>
        <w:t>L</w:t>
      </w:r>
      <w:r w:rsidR="007738D3" w:rsidRPr="00656179">
        <w:rPr>
          <w:lang w:val="fr-FR"/>
        </w:rPr>
        <w:t>’</w:t>
      </w:r>
      <w:r w:rsidR="00813695" w:rsidRPr="00656179">
        <w:rPr>
          <w:lang w:val="fr-FR"/>
        </w:rPr>
        <w:t>annexe suit</w:t>
      </w:r>
      <w:r w:rsidRPr="00656179">
        <w:rPr>
          <w:lang w:val="fr-FR"/>
        </w:rPr>
        <w:t>]</w:t>
      </w:r>
    </w:p>
    <w:p w:rsidR="00081975" w:rsidRPr="00656179" w:rsidRDefault="00081975" w:rsidP="0002126A">
      <w:pPr>
        <w:spacing w:after="120"/>
        <w:contextualSpacing/>
        <w:rPr>
          <w:szCs w:val="22"/>
          <w:lang w:val="fr-FR"/>
        </w:rPr>
      </w:pPr>
    </w:p>
    <w:p w:rsidR="00D86C47" w:rsidRPr="00656179" w:rsidRDefault="00D86C47" w:rsidP="0002126A">
      <w:pPr>
        <w:rPr>
          <w:szCs w:val="22"/>
          <w:lang w:val="fr-FR"/>
        </w:rPr>
        <w:sectPr w:rsidR="00D86C47" w:rsidRPr="00656179" w:rsidSect="007738D3">
          <w:headerReference w:type="default" r:id="rId9"/>
          <w:endnotePr>
            <w:numFmt w:val="decimal"/>
          </w:endnotePr>
          <w:pgSz w:w="11907" w:h="16840" w:code="9"/>
          <w:pgMar w:top="567" w:right="1015" w:bottom="1418" w:left="1418" w:header="510" w:footer="1021" w:gutter="0"/>
          <w:pgNumType w:start="1"/>
          <w:cols w:space="720"/>
          <w:titlePg/>
          <w:docGrid w:linePitch="299"/>
        </w:sectPr>
      </w:pPr>
    </w:p>
    <w:p w:rsidR="00826B9E" w:rsidRPr="00656179" w:rsidRDefault="00826B9E" w:rsidP="0002126A">
      <w:pPr>
        <w:tabs>
          <w:tab w:val="left" w:pos="1985"/>
          <w:tab w:val="center" w:pos="7088"/>
        </w:tabs>
        <w:rPr>
          <w:b/>
          <w:szCs w:val="22"/>
          <w:lang w:val="fr-FR"/>
        </w:rPr>
      </w:pPr>
      <w:r w:rsidRPr="00656179">
        <w:rPr>
          <w:b/>
          <w:szCs w:val="22"/>
          <w:lang w:val="fr-FR"/>
        </w:rPr>
        <w:lastRenderedPageBreak/>
        <w:t>Traduction d’une lettre datée du 3 septembre 2015</w:t>
      </w:r>
    </w:p>
    <w:p w:rsidR="00826B9E" w:rsidRPr="00656179" w:rsidRDefault="00826B9E" w:rsidP="0002126A">
      <w:pPr>
        <w:tabs>
          <w:tab w:val="left" w:pos="1985"/>
          <w:tab w:val="center" w:pos="7088"/>
        </w:tabs>
        <w:rPr>
          <w:szCs w:val="22"/>
          <w:lang w:val="fr-FR"/>
        </w:rPr>
      </w:pPr>
    </w:p>
    <w:p w:rsidR="00826B9E" w:rsidRPr="00656179" w:rsidRDefault="00826B9E" w:rsidP="0002126A">
      <w:pPr>
        <w:tabs>
          <w:tab w:val="left" w:pos="1985"/>
          <w:tab w:val="center" w:pos="7088"/>
        </w:tabs>
        <w:rPr>
          <w:szCs w:val="22"/>
          <w:lang w:val="fr-FR"/>
        </w:rPr>
      </w:pPr>
    </w:p>
    <w:p w:rsidR="00826B9E" w:rsidRPr="00656179" w:rsidRDefault="00826B9E" w:rsidP="0002126A">
      <w:pPr>
        <w:tabs>
          <w:tab w:val="right" w:pos="2552"/>
          <w:tab w:val="left" w:pos="3119"/>
        </w:tabs>
        <w:ind w:left="3119" w:hanging="3119"/>
        <w:rPr>
          <w:szCs w:val="22"/>
          <w:lang w:val="fr-FR"/>
        </w:rPr>
      </w:pPr>
      <w:r w:rsidRPr="00656179">
        <w:rPr>
          <w:szCs w:val="22"/>
          <w:lang w:val="fr-FR"/>
        </w:rPr>
        <w:tab/>
      </w:r>
      <w:proofErr w:type="gramStart"/>
      <w:r w:rsidRPr="00656179">
        <w:rPr>
          <w:b/>
          <w:szCs w:val="22"/>
          <w:lang w:val="fr-FR"/>
        </w:rPr>
        <w:t>adressée</w:t>
      </w:r>
      <w:proofErr w:type="gramEnd"/>
      <w:r w:rsidRPr="00656179">
        <w:rPr>
          <w:b/>
          <w:szCs w:val="22"/>
          <w:lang w:val="fr-FR"/>
        </w:rPr>
        <w:t xml:space="preserve"> par : </w:t>
      </w:r>
      <w:r w:rsidRPr="00656179">
        <w:rPr>
          <w:b/>
          <w:lang w:val="fr-FR"/>
        </w:rPr>
        <w:tab/>
      </w:r>
      <w:r w:rsidRPr="00656179">
        <w:rPr>
          <w:szCs w:val="22"/>
          <w:lang w:val="fr-FR"/>
        </w:rPr>
        <w:t>Mme Deborah Lashley</w:t>
      </w:r>
      <w:r w:rsidRPr="00656179">
        <w:rPr>
          <w:szCs w:val="22"/>
          <w:lang w:val="fr-FR"/>
        </w:rPr>
        <w:noBreakHyphen/>
        <w:t>Johnson</w:t>
      </w:r>
      <w:r w:rsidRPr="00656179">
        <w:rPr>
          <w:szCs w:val="22"/>
          <w:lang w:val="fr-FR"/>
        </w:rPr>
        <w:br/>
        <w:t>Attaché pour les questions de propriété intellectuelle</w:t>
      </w:r>
      <w:r w:rsidRPr="00656179">
        <w:rPr>
          <w:szCs w:val="22"/>
          <w:lang w:val="fr-FR"/>
        </w:rPr>
        <w:br/>
        <w:t>Mission permanente des États</w:t>
      </w:r>
      <w:r w:rsidRPr="00656179">
        <w:rPr>
          <w:szCs w:val="22"/>
          <w:lang w:val="fr-FR"/>
        </w:rPr>
        <w:noBreakHyphen/>
        <w:t>Unis d’Amérique auprès de l’Organisation mondiale du commerce</w:t>
      </w:r>
    </w:p>
    <w:p w:rsidR="00826B9E" w:rsidRPr="00656179" w:rsidRDefault="00826B9E" w:rsidP="0002126A">
      <w:pPr>
        <w:tabs>
          <w:tab w:val="right" w:pos="2552"/>
          <w:tab w:val="left" w:pos="3119"/>
        </w:tabs>
        <w:rPr>
          <w:szCs w:val="22"/>
          <w:lang w:val="fr-FR"/>
        </w:rPr>
      </w:pPr>
    </w:p>
    <w:p w:rsidR="00826B9E" w:rsidRPr="00656179" w:rsidRDefault="00826B9E" w:rsidP="0002126A">
      <w:pPr>
        <w:tabs>
          <w:tab w:val="right" w:pos="2552"/>
          <w:tab w:val="left" w:pos="3119"/>
        </w:tabs>
        <w:ind w:left="3119" w:hanging="3119"/>
        <w:rPr>
          <w:szCs w:val="22"/>
          <w:lang w:val="fr-FR"/>
        </w:rPr>
      </w:pPr>
      <w:r w:rsidRPr="00656179">
        <w:rPr>
          <w:szCs w:val="22"/>
          <w:lang w:val="fr-FR"/>
        </w:rPr>
        <w:tab/>
      </w:r>
      <w:proofErr w:type="gramStart"/>
      <w:r w:rsidRPr="00656179">
        <w:rPr>
          <w:b/>
          <w:szCs w:val="22"/>
          <w:lang w:val="fr-FR"/>
        </w:rPr>
        <w:t>à</w:t>
      </w:r>
      <w:proofErr w:type="gramEnd"/>
      <w:r w:rsidRPr="00656179">
        <w:rPr>
          <w:b/>
          <w:szCs w:val="22"/>
          <w:lang w:val="fr-FR"/>
        </w:rPr>
        <w:t xml:space="preserve"> : </w:t>
      </w:r>
      <w:r w:rsidRPr="00656179">
        <w:rPr>
          <w:b/>
          <w:szCs w:val="22"/>
          <w:lang w:val="fr-FR"/>
        </w:rPr>
        <w:tab/>
      </w:r>
      <w:r w:rsidRPr="00656179">
        <w:rPr>
          <w:lang w:val="fr-FR"/>
        </w:rPr>
        <w:t>M.</w:t>
      </w:r>
      <w:r w:rsidRPr="00656179">
        <w:rPr>
          <w:szCs w:val="22"/>
          <w:lang w:val="fr-FR"/>
        </w:rPr>
        <w:t xml:space="preserve"> Francis </w:t>
      </w:r>
      <w:proofErr w:type="spellStart"/>
      <w:r w:rsidRPr="00656179">
        <w:rPr>
          <w:szCs w:val="22"/>
          <w:lang w:val="fr-FR"/>
        </w:rPr>
        <w:t>Gurry</w:t>
      </w:r>
      <w:proofErr w:type="spellEnd"/>
      <w:r w:rsidRPr="00656179">
        <w:rPr>
          <w:szCs w:val="22"/>
          <w:lang w:val="fr-FR"/>
        </w:rPr>
        <w:br/>
        <w:t>Directeur général</w:t>
      </w:r>
      <w:r w:rsidRPr="00656179">
        <w:rPr>
          <w:szCs w:val="22"/>
          <w:lang w:val="fr-FR"/>
        </w:rPr>
        <w:br/>
        <w:t>Organisation Mondiale de la Propriété Intellectuelle (OMPI)</w:t>
      </w:r>
    </w:p>
    <w:p w:rsidR="00826B9E" w:rsidRPr="00656179" w:rsidRDefault="00826B9E" w:rsidP="0002126A">
      <w:pPr>
        <w:tabs>
          <w:tab w:val="left" w:pos="1985"/>
          <w:tab w:val="center" w:pos="7088"/>
        </w:tabs>
        <w:rPr>
          <w:szCs w:val="22"/>
          <w:lang w:val="fr-FR"/>
        </w:rPr>
      </w:pPr>
    </w:p>
    <w:p w:rsidR="00826B9E" w:rsidRPr="00656179" w:rsidRDefault="00826B9E" w:rsidP="0002126A">
      <w:pPr>
        <w:tabs>
          <w:tab w:val="left" w:pos="1985"/>
          <w:tab w:val="center" w:pos="7088"/>
        </w:tabs>
        <w:rPr>
          <w:szCs w:val="22"/>
          <w:lang w:val="fr-FR"/>
        </w:rPr>
      </w:pPr>
    </w:p>
    <w:p w:rsidR="00826B9E" w:rsidRPr="00656179" w:rsidRDefault="00826B9E" w:rsidP="0002126A">
      <w:pPr>
        <w:tabs>
          <w:tab w:val="left" w:pos="1985"/>
          <w:tab w:val="center" w:pos="7088"/>
        </w:tabs>
        <w:rPr>
          <w:szCs w:val="22"/>
          <w:lang w:val="fr-FR"/>
        </w:rPr>
      </w:pPr>
      <w:r w:rsidRPr="00656179">
        <w:rPr>
          <w:szCs w:val="22"/>
          <w:lang w:val="fr-FR"/>
        </w:rPr>
        <w:t>Monsieur le Directeur général,</w:t>
      </w:r>
    </w:p>
    <w:p w:rsidR="00826B9E" w:rsidRPr="00656179" w:rsidRDefault="00826B9E" w:rsidP="0002126A">
      <w:pPr>
        <w:tabs>
          <w:tab w:val="left" w:pos="1985"/>
          <w:tab w:val="center" w:pos="7088"/>
        </w:tabs>
        <w:rPr>
          <w:szCs w:val="22"/>
          <w:lang w:val="fr-FR"/>
        </w:rPr>
      </w:pPr>
    </w:p>
    <w:p w:rsidR="00826B9E" w:rsidRPr="00656179" w:rsidRDefault="00826B9E" w:rsidP="0002126A">
      <w:pPr>
        <w:rPr>
          <w:szCs w:val="22"/>
          <w:lang w:val="fr-FR"/>
        </w:rPr>
      </w:pPr>
      <w:r w:rsidRPr="00656179">
        <w:rPr>
          <w:szCs w:val="22"/>
          <w:lang w:val="fr-FR"/>
        </w:rPr>
        <w:t>En vertu de l’article 5.4) des Règles générales de procédure de l’OMPI figurant dans la publication n° 399 (FE) Rev.3 de l’OMPI, les États</w:t>
      </w:r>
      <w:r w:rsidRPr="00656179">
        <w:rPr>
          <w:szCs w:val="22"/>
          <w:lang w:val="fr-FR"/>
        </w:rPr>
        <w:noBreakHyphen/>
        <w:t>Unis d’Amérique demandent que les propositions ci</w:t>
      </w:r>
      <w:r w:rsidRPr="00656179">
        <w:rPr>
          <w:szCs w:val="22"/>
          <w:lang w:val="fr-FR"/>
        </w:rPr>
        <w:noBreakHyphen/>
        <w:t>après soient inscrites au projet d’ordre du jour de la cinquante</w:t>
      </w:r>
      <w:r w:rsidRPr="00656179">
        <w:rPr>
          <w:szCs w:val="22"/>
          <w:lang w:val="fr-FR"/>
        </w:rPr>
        <w:noBreakHyphen/>
        <w:t>cinquième série de réunions des assemblées des États membres de l’OMPI (qui se tiendra à Genève du 5 au 14 octobre 2015), en tant que propositions à examiner au titre des points correspondants de l’ordre du jour ou en tant que nouveaux points de l’ordre du jour, selon ce qui convient :</w:t>
      </w:r>
    </w:p>
    <w:p w:rsidR="00826B9E" w:rsidRPr="00656179" w:rsidRDefault="00826B9E" w:rsidP="0002126A">
      <w:pPr>
        <w:rPr>
          <w:szCs w:val="22"/>
          <w:lang w:val="fr-FR"/>
        </w:rPr>
      </w:pPr>
    </w:p>
    <w:p w:rsidR="00826B9E" w:rsidRPr="00656179" w:rsidRDefault="00826B9E" w:rsidP="0002126A">
      <w:pPr>
        <w:pStyle w:val="ListParagraph"/>
        <w:numPr>
          <w:ilvl w:val="0"/>
          <w:numId w:val="8"/>
        </w:numPr>
        <w:rPr>
          <w:szCs w:val="22"/>
          <w:lang w:val="fr-FR"/>
        </w:rPr>
      </w:pPr>
      <w:r w:rsidRPr="00656179">
        <w:rPr>
          <w:szCs w:val="22"/>
          <w:lang w:val="fr-FR"/>
        </w:rPr>
        <w:t>Assemblée de l’Union du PCT : questions concernant l’Union de Lisbonne;</w:t>
      </w:r>
    </w:p>
    <w:p w:rsidR="00826B9E" w:rsidRPr="00656179" w:rsidRDefault="00826B9E" w:rsidP="0002126A">
      <w:pPr>
        <w:pStyle w:val="ListParagraph"/>
        <w:numPr>
          <w:ilvl w:val="0"/>
          <w:numId w:val="8"/>
        </w:numPr>
        <w:rPr>
          <w:szCs w:val="22"/>
          <w:lang w:val="fr-FR"/>
        </w:rPr>
      </w:pPr>
      <w:r w:rsidRPr="00656179">
        <w:rPr>
          <w:szCs w:val="22"/>
          <w:lang w:val="fr-FR"/>
        </w:rPr>
        <w:t>Assemblée de l’Union de Madrid : questions concernant les unions de Madrid et de Lisbonne;</w:t>
      </w:r>
    </w:p>
    <w:p w:rsidR="00826B9E" w:rsidRPr="00656179" w:rsidRDefault="00826B9E" w:rsidP="0002126A">
      <w:pPr>
        <w:pStyle w:val="ListParagraph"/>
        <w:numPr>
          <w:ilvl w:val="0"/>
          <w:numId w:val="8"/>
        </w:numPr>
        <w:rPr>
          <w:szCs w:val="22"/>
          <w:lang w:val="fr-FR"/>
        </w:rPr>
      </w:pPr>
      <w:r w:rsidRPr="00656179">
        <w:rPr>
          <w:szCs w:val="22"/>
          <w:lang w:val="fr-FR"/>
        </w:rPr>
        <w:t>Assemblée générale de l’OMPI : questions concernant le Comité permanent du droit des marques, des dessins et modèles industriels et des indications géographiques;</w:t>
      </w:r>
    </w:p>
    <w:p w:rsidR="00826B9E" w:rsidRPr="00656179" w:rsidRDefault="00826B9E" w:rsidP="0002126A">
      <w:pPr>
        <w:pStyle w:val="ListParagraph"/>
        <w:numPr>
          <w:ilvl w:val="0"/>
          <w:numId w:val="8"/>
        </w:numPr>
        <w:rPr>
          <w:szCs w:val="22"/>
          <w:lang w:val="fr-FR"/>
        </w:rPr>
      </w:pPr>
      <w:r w:rsidRPr="00656179">
        <w:rPr>
          <w:szCs w:val="22"/>
          <w:lang w:val="fr-FR"/>
        </w:rPr>
        <w:t>Assemblée générale de l’OMPI : questions concernant l’administration de l’Acte de Genève de l’Arrangement de Lisbonne;  et</w:t>
      </w:r>
    </w:p>
    <w:p w:rsidR="00826B9E" w:rsidRPr="00656179" w:rsidRDefault="00826B9E" w:rsidP="0002126A">
      <w:pPr>
        <w:pStyle w:val="ListParagraph"/>
        <w:numPr>
          <w:ilvl w:val="0"/>
          <w:numId w:val="8"/>
        </w:numPr>
        <w:rPr>
          <w:szCs w:val="22"/>
          <w:lang w:val="fr-FR"/>
        </w:rPr>
      </w:pPr>
      <w:r w:rsidRPr="00656179">
        <w:rPr>
          <w:szCs w:val="22"/>
          <w:lang w:val="fr-FR"/>
        </w:rPr>
        <w:t>Assemblée générale de l’OMPI : questions concernant le Comité intergouvernemental de la propriété intellectuelle relative aux ressources génétiques, aux savoirs traditionnels et au folklore (IGC).</w:t>
      </w:r>
    </w:p>
    <w:p w:rsidR="00826B9E" w:rsidRPr="00656179" w:rsidRDefault="00826B9E" w:rsidP="0002126A">
      <w:pPr>
        <w:rPr>
          <w:szCs w:val="22"/>
          <w:lang w:val="fr-FR"/>
        </w:rPr>
      </w:pPr>
    </w:p>
    <w:p w:rsidR="00826B9E" w:rsidRPr="00656179" w:rsidRDefault="00826B9E" w:rsidP="0002126A">
      <w:pPr>
        <w:rPr>
          <w:szCs w:val="22"/>
          <w:lang w:val="fr-FR"/>
        </w:rPr>
      </w:pPr>
      <w:r w:rsidRPr="00656179">
        <w:rPr>
          <w:szCs w:val="22"/>
          <w:lang w:val="fr-FR"/>
        </w:rPr>
        <w:t>Les États</w:t>
      </w:r>
      <w:r w:rsidRPr="00656179">
        <w:rPr>
          <w:szCs w:val="22"/>
          <w:lang w:val="fr-FR"/>
        </w:rPr>
        <w:noBreakHyphen/>
        <w:t xml:space="preserve">Unis d’Amérique demandent également que le projet d’ordre du jour (document </w:t>
      </w:r>
      <w:r w:rsidR="00DB3C7A">
        <w:rPr>
          <w:szCs w:val="22"/>
          <w:lang w:val="fr-FR"/>
        </w:rPr>
        <w:t>WO</w:t>
      </w:r>
      <w:r w:rsidRPr="00656179">
        <w:rPr>
          <w:szCs w:val="22"/>
          <w:lang w:val="fr-FR"/>
        </w:rPr>
        <w:t>/55/1 Prov.2) soit remanié de sorte que le point relatif aux “Services mondiaux de propriété intellectuelle” (points 19 à 23 de l’ordre du jour), auquel se rapporte principalement le budget de l’OMPI, figure avant celui intitulé “Programme, budget et questions de supervision” (points 10 et 11 de l’ordre du jour).</w:t>
      </w:r>
    </w:p>
    <w:p w:rsidR="00826B9E" w:rsidRPr="00656179" w:rsidRDefault="00826B9E" w:rsidP="0002126A">
      <w:pPr>
        <w:rPr>
          <w:szCs w:val="22"/>
          <w:lang w:val="fr-FR"/>
        </w:rPr>
      </w:pPr>
    </w:p>
    <w:p w:rsidR="00826B9E" w:rsidRPr="00656179" w:rsidRDefault="00826B9E" w:rsidP="0002126A">
      <w:pPr>
        <w:rPr>
          <w:szCs w:val="22"/>
          <w:lang w:val="fr-FR"/>
        </w:rPr>
      </w:pPr>
      <w:r w:rsidRPr="00656179">
        <w:rPr>
          <w:szCs w:val="22"/>
          <w:lang w:val="fr-FR"/>
        </w:rPr>
        <w:t>Je vous saurais gré de bien vouloir me faire parvenir un exemplaire de la version révisée du projet d’ordre du jour dans laquelle les points susmentionnés auront été ajoutés et l’ordre du jour remanié conformément à la présente demande.</w:t>
      </w:r>
    </w:p>
    <w:p w:rsidR="00826B9E" w:rsidRPr="00656179" w:rsidRDefault="00826B9E" w:rsidP="0002126A">
      <w:pPr>
        <w:rPr>
          <w:szCs w:val="22"/>
          <w:lang w:val="fr-FR"/>
        </w:rPr>
      </w:pPr>
    </w:p>
    <w:p w:rsidR="00826B9E" w:rsidRPr="00656179" w:rsidRDefault="00826B9E" w:rsidP="0002126A">
      <w:pPr>
        <w:rPr>
          <w:szCs w:val="22"/>
          <w:lang w:val="fr-FR"/>
        </w:rPr>
      </w:pPr>
      <w:r w:rsidRPr="00656179">
        <w:rPr>
          <w:szCs w:val="22"/>
          <w:lang w:val="fr-FR"/>
        </w:rPr>
        <w:t>Veuillez agréer, Monsieur le Directeur général, l’assurance de ma considération distinguée.</w:t>
      </w:r>
    </w:p>
    <w:p w:rsidR="00826B9E" w:rsidRPr="00656179" w:rsidRDefault="00826B9E" w:rsidP="0002126A">
      <w:pPr>
        <w:rPr>
          <w:szCs w:val="22"/>
          <w:lang w:val="fr-FR"/>
        </w:rPr>
      </w:pPr>
    </w:p>
    <w:p w:rsidR="00826B9E" w:rsidRPr="00656179" w:rsidRDefault="00826B9E" w:rsidP="0002126A">
      <w:pPr>
        <w:rPr>
          <w:szCs w:val="22"/>
          <w:lang w:val="fr-FR"/>
        </w:rPr>
      </w:pPr>
    </w:p>
    <w:p w:rsidR="00826B9E" w:rsidRPr="00656179" w:rsidRDefault="00826B9E" w:rsidP="0002126A">
      <w:pPr>
        <w:pStyle w:val="Signature"/>
        <w:ind w:left="4536"/>
        <w:rPr>
          <w:spacing w:val="-2"/>
          <w:szCs w:val="22"/>
          <w:lang w:val="fr-FR"/>
        </w:rPr>
      </w:pPr>
      <w:r w:rsidRPr="00656179">
        <w:rPr>
          <w:spacing w:val="-2"/>
          <w:szCs w:val="22"/>
          <w:lang w:val="fr-FR"/>
        </w:rPr>
        <w:t>(Signé par : Mme Deborah Lashley</w:t>
      </w:r>
      <w:r w:rsidRPr="00656179">
        <w:rPr>
          <w:spacing w:val="-2"/>
          <w:szCs w:val="22"/>
          <w:lang w:val="fr-FR"/>
        </w:rPr>
        <w:noBreakHyphen/>
        <w:t>Johnson</w:t>
      </w:r>
      <w:r w:rsidRPr="00656179">
        <w:rPr>
          <w:spacing w:val="-2"/>
          <w:szCs w:val="22"/>
          <w:lang w:val="fr-FR"/>
        </w:rPr>
        <w:br/>
      </w:r>
      <w:r w:rsidRPr="00656179">
        <w:rPr>
          <w:spacing w:val="-6"/>
          <w:szCs w:val="22"/>
          <w:lang w:val="fr-FR"/>
        </w:rPr>
        <w:t>Attaché pour les questions de propriété intellectuelle</w:t>
      </w:r>
      <w:r w:rsidRPr="00656179">
        <w:rPr>
          <w:spacing w:val="-2"/>
          <w:szCs w:val="22"/>
          <w:lang w:val="fr-FR"/>
        </w:rPr>
        <w:br/>
        <w:t>Mission permanente des États</w:t>
      </w:r>
      <w:r w:rsidRPr="00656179">
        <w:rPr>
          <w:spacing w:val="-2"/>
          <w:szCs w:val="22"/>
          <w:lang w:val="fr-FR"/>
        </w:rPr>
        <w:noBreakHyphen/>
        <w:t>Unis d’Amérique auprès de l’Organisation mondiale du commerce)</w:t>
      </w:r>
    </w:p>
    <w:p w:rsidR="00826B9E" w:rsidRPr="00656179" w:rsidRDefault="00826B9E" w:rsidP="0002126A">
      <w:pPr>
        <w:rPr>
          <w:szCs w:val="22"/>
          <w:lang w:val="fr-FR"/>
        </w:rPr>
      </w:pPr>
    </w:p>
    <w:p w:rsidR="00826B9E" w:rsidRPr="00656179" w:rsidRDefault="00826B9E" w:rsidP="0002126A">
      <w:pPr>
        <w:rPr>
          <w:szCs w:val="22"/>
          <w:lang w:val="fr-FR"/>
        </w:rPr>
      </w:pPr>
    </w:p>
    <w:p w:rsidR="00826B9E" w:rsidRPr="00656179" w:rsidRDefault="00826B9E" w:rsidP="0002126A">
      <w:pPr>
        <w:tabs>
          <w:tab w:val="left" w:pos="1701"/>
          <w:tab w:val="left" w:pos="2268"/>
        </w:tabs>
        <w:rPr>
          <w:lang w:val="fr-FR"/>
        </w:rPr>
      </w:pPr>
      <w:r w:rsidRPr="00656179">
        <w:rPr>
          <w:szCs w:val="22"/>
          <w:u w:val="single"/>
          <w:lang w:val="fr-FR"/>
        </w:rPr>
        <w:t>Pièces jointes</w:t>
      </w:r>
    </w:p>
    <w:p w:rsidR="00081975" w:rsidRPr="00656179" w:rsidRDefault="00081975" w:rsidP="0002126A">
      <w:pPr>
        <w:rPr>
          <w:lang w:val="fr-FR"/>
        </w:rPr>
      </w:pPr>
    </w:p>
    <w:p w:rsidR="00D86C47" w:rsidRPr="00656179" w:rsidRDefault="00D86C47" w:rsidP="0002126A">
      <w:pPr>
        <w:rPr>
          <w:lang w:val="fr-FR"/>
        </w:rPr>
      </w:pPr>
      <w:r w:rsidRPr="00656179">
        <w:rPr>
          <w:lang w:val="fr-FR"/>
        </w:rPr>
        <w:br w:type="page"/>
      </w:r>
    </w:p>
    <w:p w:rsidR="00081975" w:rsidRPr="00656179" w:rsidRDefault="00FA5C37" w:rsidP="0002126A">
      <w:pPr>
        <w:spacing w:after="200"/>
        <w:jc w:val="center"/>
        <w:rPr>
          <w:rFonts w:eastAsiaTheme="minorHAnsi"/>
          <w:b/>
          <w:szCs w:val="22"/>
          <w:lang w:val="fr-FR" w:eastAsia="en-US"/>
        </w:rPr>
      </w:pPr>
      <w:r w:rsidRPr="00656179">
        <w:rPr>
          <w:rFonts w:eastAsiaTheme="minorHAnsi"/>
          <w:b/>
          <w:color w:val="000000"/>
          <w:szCs w:val="22"/>
          <w:lang w:val="fr-FR" w:eastAsia="en-US"/>
        </w:rPr>
        <w:lastRenderedPageBreak/>
        <w:t>Questions concernant les unions de Madrid et de Lisbonne</w:t>
      </w:r>
    </w:p>
    <w:p w:rsidR="00081975" w:rsidRPr="00656179" w:rsidRDefault="00FA5C37" w:rsidP="0002126A">
      <w:pPr>
        <w:spacing w:after="200"/>
        <w:jc w:val="center"/>
        <w:rPr>
          <w:rFonts w:eastAsiaTheme="minorHAnsi"/>
          <w:b/>
          <w:szCs w:val="22"/>
          <w:lang w:val="fr-FR" w:eastAsia="en-US"/>
        </w:rPr>
      </w:pPr>
      <w:r w:rsidRPr="00656179">
        <w:rPr>
          <w:rFonts w:eastAsiaTheme="minorHAnsi"/>
          <w:b/>
          <w:color w:val="000000"/>
          <w:szCs w:val="22"/>
          <w:lang w:val="fr-FR" w:eastAsia="en-US"/>
        </w:rPr>
        <w:t>Proposition des États</w:t>
      </w:r>
      <w:r w:rsidR="00CD79CE" w:rsidRPr="00656179">
        <w:rPr>
          <w:rFonts w:eastAsiaTheme="minorHAnsi"/>
          <w:b/>
          <w:color w:val="000000"/>
          <w:szCs w:val="22"/>
          <w:lang w:val="fr-FR" w:eastAsia="en-US"/>
        </w:rPr>
        <w:noBreakHyphen/>
      </w:r>
      <w:r w:rsidRPr="00656179">
        <w:rPr>
          <w:rFonts w:eastAsiaTheme="minorHAnsi"/>
          <w:b/>
          <w:color w:val="000000"/>
          <w:szCs w:val="22"/>
          <w:lang w:val="fr-FR" w:eastAsia="en-US"/>
        </w:rPr>
        <w:t>Unis d</w:t>
      </w:r>
      <w:r w:rsidR="007738D3" w:rsidRPr="00656179">
        <w:rPr>
          <w:rFonts w:eastAsiaTheme="minorHAnsi"/>
          <w:b/>
          <w:color w:val="000000"/>
          <w:szCs w:val="22"/>
          <w:lang w:val="fr-FR" w:eastAsia="en-US"/>
        </w:rPr>
        <w:t>’</w:t>
      </w:r>
      <w:r w:rsidRPr="00656179">
        <w:rPr>
          <w:rFonts w:eastAsiaTheme="minorHAnsi"/>
          <w:b/>
          <w:color w:val="000000"/>
          <w:szCs w:val="22"/>
          <w:lang w:val="fr-FR" w:eastAsia="en-US"/>
        </w:rPr>
        <w:t>Amérique à l</w:t>
      </w:r>
      <w:r w:rsidR="007738D3" w:rsidRPr="00656179">
        <w:rPr>
          <w:rFonts w:eastAsiaTheme="minorHAnsi"/>
          <w:b/>
          <w:color w:val="000000"/>
          <w:szCs w:val="22"/>
          <w:lang w:val="fr-FR" w:eastAsia="en-US"/>
        </w:rPr>
        <w:t>’</w:t>
      </w:r>
      <w:r w:rsidRPr="00656179">
        <w:rPr>
          <w:rFonts w:eastAsiaTheme="minorHAnsi"/>
          <w:b/>
          <w:color w:val="000000"/>
          <w:szCs w:val="22"/>
          <w:lang w:val="fr-FR" w:eastAsia="en-US"/>
        </w:rPr>
        <w:t>intention de l</w:t>
      </w:r>
      <w:r w:rsidR="007738D3" w:rsidRPr="00656179">
        <w:rPr>
          <w:rFonts w:eastAsiaTheme="minorHAnsi"/>
          <w:b/>
          <w:color w:val="000000"/>
          <w:szCs w:val="22"/>
          <w:lang w:val="fr-FR" w:eastAsia="en-US"/>
        </w:rPr>
        <w:t>’</w:t>
      </w:r>
      <w:r w:rsidRPr="00656179">
        <w:rPr>
          <w:rFonts w:eastAsiaTheme="minorHAnsi"/>
          <w:b/>
          <w:color w:val="000000"/>
          <w:szCs w:val="22"/>
          <w:lang w:val="fr-FR" w:eastAsia="en-US"/>
        </w:rPr>
        <w:t>Assemblée de l</w:t>
      </w:r>
      <w:r w:rsidR="007738D3" w:rsidRPr="00656179">
        <w:rPr>
          <w:rFonts w:eastAsiaTheme="minorHAnsi"/>
          <w:b/>
          <w:color w:val="000000"/>
          <w:szCs w:val="22"/>
          <w:lang w:val="fr-FR" w:eastAsia="en-US"/>
        </w:rPr>
        <w:t>’</w:t>
      </w:r>
      <w:r w:rsidRPr="00656179">
        <w:rPr>
          <w:rFonts w:eastAsiaTheme="minorHAnsi"/>
          <w:b/>
          <w:color w:val="000000"/>
          <w:szCs w:val="22"/>
          <w:lang w:val="fr-FR" w:eastAsia="en-US"/>
        </w:rPr>
        <w:t>Union de Madrid</w:t>
      </w:r>
    </w:p>
    <w:p w:rsidR="00081975" w:rsidRPr="00656179" w:rsidRDefault="00081975" w:rsidP="0002126A">
      <w:pPr>
        <w:spacing w:after="200"/>
        <w:jc w:val="center"/>
        <w:rPr>
          <w:rFonts w:eastAsiaTheme="minorHAnsi"/>
          <w:b/>
          <w:szCs w:val="22"/>
          <w:lang w:val="fr-FR" w:eastAsia="en-US"/>
        </w:rPr>
      </w:pPr>
    </w:p>
    <w:p w:rsidR="00ED5219" w:rsidRPr="00656179" w:rsidRDefault="00ED5219" w:rsidP="0002126A">
      <w:pPr>
        <w:spacing w:after="200"/>
        <w:rPr>
          <w:rFonts w:eastAsiaTheme="minorHAnsi"/>
          <w:szCs w:val="22"/>
          <w:lang w:val="fr-FR" w:eastAsia="en-US"/>
        </w:rPr>
      </w:pPr>
      <w:r w:rsidRPr="00656179">
        <w:rPr>
          <w:rFonts w:eastAsiaTheme="minorHAnsi"/>
          <w:szCs w:val="22"/>
          <w:lang w:val="fr-FR" w:eastAsia="en-US"/>
        </w:rPr>
        <w:t>Les États</w:t>
      </w:r>
      <w:r w:rsidRPr="00656179">
        <w:rPr>
          <w:rFonts w:eastAsiaTheme="minorHAnsi"/>
          <w:szCs w:val="22"/>
          <w:lang w:val="fr-FR" w:eastAsia="en-US"/>
        </w:rPr>
        <w:noBreakHyphen/>
        <w:t>Unis d’Amérique proposent une décision pour examen à la quarante</w:t>
      </w:r>
      <w:r w:rsidRPr="00656179">
        <w:rPr>
          <w:rFonts w:eastAsiaTheme="minorHAnsi"/>
          <w:szCs w:val="22"/>
          <w:lang w:val="fr-FR" w:eastAsia="en-US"/>
        </w:rPr>
        <w:noBreakHyphen/>
        <w:t>neuvième session (21</w:t>
      </w:r>
      <w:r w:rsidRPr="00656179">
        <w:rPr>
          <w:rFonts w:eastAsiaTheme="minorHAnsi"/>
          <w:szCs w:val="22"/>
          <w:vertAlign w:val="superscript"/>
          <w:lang w:val="fr-FR" w:eastAsia="en-US"/>
        </w:rPr>
        <w:t>e</w:t>
      </w:r>
      <w:r w:rsidRPr="00656179">
        <w:rPr>
          <w:rFonts w:eastAsiaTheme="minorHAnsi"/>
          <w:szCs w:val="22"/>
          <w:lang w:val="fr-FR" w:eastAsia="en-US"/>
        </w:rPr>
        <w:t> session ordinaire) de l’Assemblée de l’Union de Madrid selon laquelle :</w:t>
      </w:r>
    </w:p>
    <w:p w:rsidR="00ED5219" w:rsidRPr="00656179" w:rsidRDefault="00ED5219" w:rsidP="0002126A">
      <w:pPr>
        <w:numPr>
          <w:ilvl w:val="0"/>
          <w:numId w:val="7"/>
        </w:numPr>
        <w:spacing w:after="200"/>
        <w:ind w:left="1134" w:hanging="567"/>
        <w:contextualSpacing/>
        <w:rPr>
          <w:rFonts w:eastAsiaTheme="minorHAnsi"/>
          <w:szCs w:val="22"/>
          <w:lang w:val="fr-FR" w:eastAsia="en-US"/>
        </w:rPr>
      </w:pPr>
      <w:r w:rsidRPr="00656179">
        <w:rPr>
          <w:rFonts w:eastAsiaTheme="minorHAnsi"/>
          <w:szCs w:val="22"/>
          <w:lang w:val="fr-FR" w:eastAsia="en-US"/>
        </w:rPr>
        <w:t xml:space="preserve">les recettes provenant des taxes </w:t>
      </w:r>
      <w:r w:rsidR="00061B7C">
        <w:rPr>
          <w:rFonts w:eastAsiaTheme="minorHAnsi"/>
          <w:szCs w:val="22"/>
          <w:lang w:val="fr-FR" w:eastAsia="en-US"/>
        </w:rPr>
        <w:t xml:space="preserve">et les réserves </w:t>
      </w:r>
      <w:r w:rsidRPr="00656179">
        <w:rPr>
          <w:rFonts w:eastAsiaTheme="minorHAnsi"/>
          <w:szCs w:val="22"/>
          <w:lang w:val="fr-FR" w:eastAsia="en-US"/>
        </w:rPr>
        <w:t>de l’Union de Madrid ne seront pas utilisées pour financer les dépenses directes ou indirectes de l’Union de Lisbonne, sauf autorisation expresse de l’Union de Madrid;  et</w:t>
      </w:r>
    </w:p>
    <w:p w:rsidR="00ED5219" w:rsidRPr="00656179" w:rsidRDefault="00ED5219" w:rsidP="0002126A">
      <w:pPr>
        <w:numPr>
          <w:ilvl w:val="0"/>
          <w:numId w:val="7"/>
        </w:numPr>
        <w:spacing w:after="200"/>
        <w:ind w:left="1134" w:hanging="567"/>
        <w:contextualSpacing/>
        <w:rPr>
          <w:rFonts w:eastAsiaTheme="minorHAnsi"/>
          <w:szCs w:val="22"/>
          <w:lang w:val="fr-FR" w:eastAsia="en-US"/>
        </w:rPr>
      </w:pPr>
      <w:r w:rsidRPr="00656179">
        <w:rPr>
          <w:rFonts w:eastAsiaTheme="minorHAnsi"/>
          <w:szCs w:val="22"/>
          <w:lang w:val="fr-FR" w:eastAsia="en-US"/>
        </w:rPr>
        <w:t xml:space="preserve">le Bureau international de l’OMPI mettra dûment en œuvre les </w:t>
      </w:r>
      <w:r w:rsidR="00061B7C">
        <w:rPr>
          <w:rFonts w:eastAsiaTheme="minorHAnsi"/>
          <w:szCs w:val="22"/>
          <w:lang w:val="fr-FR" w:eastAsia="en-US"/>
        </w:rPr>
        <w:t>modalité</w:t>
      </w:r>
      <w:r w:rsidRPr="00656179">
        <w:rPr>
          <w:rFonts w:eastAsiaTheme="minorHAnsi"/>
          <w:szCs w:val="22"/>
          <w:lang w:val="fr-FR" w:eastAsia="en-US"/>
        </w:rPr>
        <w:t>s financières de l’Arrangement de Madrid concernant l’enregistrement des marques (“Arrangement de Madrid”) et du Protocole de Madrid, qui prévoient que tout excédent de recettes doit être re</w:t>
      </w:r>
      <w:r w:rsidR="00061B7C">
        <w:rPr>
          <w:rFonts w:eastAsiaTheme="minorHAnsi"/>
          <w:szCs w:val="22"/>
          <w:lang w:val="fr-FR" w:eastAsia="en-US"/>
        </w:rPr>
        <w:t>versé</w:t>
      </w:r>
      <w:r w:rsidRPr="00656179">
        <w:rPr>
          <w:rFonts w:eastAsiaTheme="minorHAnsi"/>
          <w:szCs w:val="22"/>
          <w:lang w:val="fr-FR" w:eastAsia="en-US"/>
        </w:rPr>
        <w:t xml:space="preserve"> aux parties contractantes de l’accord applicable.</w:t>
      </w:r>
    </w:p>
    <w:p w:rsidR="0002126A" w:rsidRDefault="00ED5219" w:rsidP="0002126A">
      <w:pPr>
        <w:spacing w:after="200"/>
        <w:rPr>
          <w:rFonts w:eastAsiaTheme="minorHAnsi"/>
          <w:szCs w:val="22"/>
          <w:lang w:val="fr-FR" w:eastAsia="en-US"/>
        </w:rPr>
        <w:sectPr w:rsidR="0002126A" w:rsidSect="007738D3">
          <w:headerReference w:type="default" r:id="rId10"/>
          <w:footerReference w:type="default" r:id="rId11"/>
          <w:headerReference w:type="first" r:id="rId12"/>
          <w:footerReference w:type="first" r:id="rId13"/>
          <w:endnotePr>
            <w:numFmt w:val="decimal"/>
          </w:endnotePr>
          <w:pgSz w:w="11907" w:h="16840" w:code="9"/>
          <w:pgMar w:top="567" w:right="1134" w:bottom="1418" w:left="1418" w:header="510" w:footer="1021" w:gutter="0"/>
          <w:pgNumType w:start="1"/>
          <w:cols w:space="720"/>
          <w:titlePg/>
          <w:docGrid w:linePitch="299"/>
        </w:sectPr>
      </w:pPr>
      <w:r w:rsidRPr="00656179">
        <w:rPr>
          <w:rFonts w:eastAsiaTheme="minorHAnsi"/>
          <w:szCs w:val="22"/>
          <w:lang w:val="fr-FR" w:eastAsia="en-US"/>
        </w:rPr>
        <w:t>L’Union de Lisbonne connaît un déficit financier depuis de nombreuses années, si ce n’est depuis sa création</w:t>
      </w:r>
      <w:r w:rsidRPr="00656179">
        <w:rPr>
          <w:rFonts w:eastAsiaTheme="minorHAnsi"/>
          <w:szCs w:val="22"/>
          <w:vertAlign w:val="superscript"/>
          <w:lang w:val="fr-FR" w:eastAsia="en-US"/>
        </w:rPr>
        <w:footnoteReference w:id="2"/>
      </w:r>
      <w:r w:rsidRPr="00656179">
        <w:rPr>
          <w:rFonts w:eastAsiaTheme="minorHAnsi"/>
          <w:szCs w:val="22"/>
          <w:lang w:val="fr-FR" w:eastAsia="en-US"/>
        </w:rPr>
        <w:t>.  Non seulement elle a accumulé un déficit en ce qui concerne ses propres dépenses, mais elle a par ailleurs très peu ou pas du tout participé aux dépenses communes des unions</w:t>
      </w:r>
      <w:r w:rsidRPr="00656179">
        <w:rPr>
          <w:rFonts w:eastAsiaTheme="minorHAnsi"/>
          <w:szCs w:val="22"/>
          <w:vertAlign w:val="superscript"/>
          <w:lang w:val="fr-FR" w:eastAsia="en-US"/>
        </w:rPr>
        <w:footnoteReference w:id="3"/>
      </w:r>
      <w:r w:rsidRPr="00656179">
        <w:rPr>
          <w:rFonts w:eastAsiaTheme="minorHAnsi"/>
          <w:szCs w:val="22"/>
          <w:lang w:val="fr-FR" w:eastAsia="en-US"/>
        </w:rPr>
        <w:t>.  En outre, contrairement à l’Union du Traité de coopération en matière de brevets (PCT), les parties contractantes de l’Arrangement de Lisbonne concernant la protection des appellations d’origine et leur enregistrement international (Arrangement de Lisbonne) n’ont jamais versé de contribution</w:t>
      </w:r>
      <w:r w:rsidRPr="00656179">
        <w:rPr>
          <w:rFonts w:eastAsiaTheme="minorHAnsi"/>
          <w:szCs w:val="22"/>
          <w:vertAlign w:val="superscript"/>
          <w:lang w:val="fr-FR" w:eastAsia="en-US"/>
        </w:rPr>
        <w:footnoteReference w:id="4"/>
      </w:r>
      <w:r w:rsidRPr="00656179">
        <w:rPr>
          <w:rFonts w:eastAsiaTheme="minorHAnsi"/>
          <w:szCs w:val="22"/>
          <w:lang w:val="fr-FR" w:eastAsia="en-US"/>
        </w:rPr>
        <w:t xml:space="preserve"> à l’Union de Lisbonne, ni cré</w:t>
      </w:r>
      <w:r w:rsidR="00061B7C">
        <w:rPr>
          <w:rFonts w:eastAsiaTheme="minorHAnsi"/>
          <w:szCs w:val="22"/>
          <w:lang w:val="fr-FR" w:eastAsia="en-US"/>
        </w:rPr>
        <w:t>é</w:t>
      </w:r>
      <w:r w:rsidRPr="00656179">
        <w:rPr>
          <w:rFonts w:eastAsiaTheme="minorHAnsi"/>
          <w:szCs w:val="22"/>
          <w:lang w:val="fr-FR" w:eastAsia="en-US"/>
        </w:rPr>
        <w:t xml:space="preserve"> de fonds de réserve suffisant ou de fonds de roulement en vue de financer les dépenses découlant de l’Arrangement de Lisbonne </w:t>
      </w:r>
      <w:r w:rsidR="0002126A">
        <w:rPr>
          <w:rFonts w:eastAsiaTheme="minorHAnsi"/>
          <w:szCs w:val="22"/>
          <w:lang w:val="fr-FR" w:eastAsia="en-US"/>
        </w:rPr>
        <w:br/>
      </w:r>
    </w:p>
    <w:p w:rsidR="00ED5219" w:rsidRPr="00656179" w:rsidRDefault="00ED5219" w:rsidP="0002126A">
      <w:pPr>
        <w:spacing w:after="200"/>
        <w:rPr>
          <w:rFonts w:eastAsiaTheme="minorHAnsi"/>
          <w:szCs w:val="22"/>
          <w:lang w:val="fr-FR" w:eastAsia="en-US"/>
        </w:rPr>
      </w:pPr>
      <w:proofErr w:type="gramStart"/>
      <w:r w:rsidRPr="00656179">
        <w:rPr>
          <w:rFonts w:eastAsiaTheme="minorHAnsi"/>
          <w:szCs w:val="22"/>
          <w:lang w:val="fr-FR" w:eastAsia="en-US"/>
        </w:rPr>
        <w:lastRenderedPageBreak/>
        <w:t>ou</w:t>
      </w:r>
      <w:proofErr w:type="gramEnd"/>
      <w:r w:rsidRPr="00656179">
        <w:rPr>
          <w:rFonts w:eastAsiaTheme="minorHAnsi"/>
          <w:szCs w:val="22"/>
          <w:lang w:val="fr-FR" w:eastAsia="en-US"/>
        </w:rPr>
        <w:t xml:space="preserve"> sa part dans les dépenses indirectes de l’Organisation Mondiale de la Propriété Intellectuelle (OMPI)</w:t>
      </w:r>
      <w:r w:rsidRPr="00656179">
        <w:rPr>
          <w:rStyle w:val="FootnoteReference"/>
          <w:rFonts w:eastAsiaTheme="minorHAnsi"/>
          <w:szCs w:val="22"/>
          <w:lang w:val="fr-FR" w:eastAsia="en-US"/>
        </w:rPr>
        <w:footnoteReference w:id="5"/>
      </w:r>
      <w:r w:rsidRPr="00656179">
        <w:rPr>
          <w:rFonts w:eastAsiaTheme="minorHAnsi"/>
          <w:szCs w:val="22"/>
          <w:lang w:val="fr-FR" w:eastAsia="en-US"/>
        </w:rPr>
        <w:t>.  Les rapports de l’OMPI sur les opérations financières de l’Union de Lisbonne ne permettent pas de se faire une idée précise de ces opérations.  Pour certaines années, les recettes et les dépenses de l’Union de Lisbonne n’apparaissent pas du tout dans le budget de l’Organisation</w:t>
      </w:r>
      <w:r w:rsidRPr="00656179">
        <w:rPr>
          <w:rFonts w:eastAsiaTheme="minorHAnsi"/>
          <w:szCs w:val="22"/>
          <w:vertAlign w:val="superscript"/>
          <w:lang w:val="fr-FR" w:eastAsia="en-US"/>
        </w:rPr>
        <w:footnoteReference w:id="6"/>
      </w:r>
      <w:r w:rsidRPr="00656179">
        <w:rPr>
          <w:rFonts w:eastAsiaTheme="minorHAnsi"/>
          <w:szCs w:val="22"/>
          <w:lang w:val="fr-FR" w:eastAsia="en-US"/>
        </w:rPr>
        <w:t>.  Cependant, le rapport sur le programme et budget de l’OMPI rend de nouveau compte des recettes et dépenses du système de Lisbonne depuis 2008, et indique que ce dernier continue d’accumuler un déficit considérable.  Pour 2014, le déficit entre les recettes et les dépenses déclarées était de 531 000 francs suisses.  Les membres de l’Union de Lisbonne ont justifié cette situation par la tenue de réunions visant à réviser l’Accord de Lisbonne, alors que les problèmes de déficit que connaît l’Union précèdent de beaucoup le processus de révision.  En 2014, lorsque le Secrétariat a proposé d’augmenter pour la première fois depuis 1994 les taxes de Lisbonne, il était clairement indiqué dans la proposition que “les recettes provenant des taxes sont loin d’être suffisantes pour couvrir les dépenses occasionnées au Bureau international par le fonctionnement du service de l’enregistrement international du système de Lisbonne : 98% des recettes de l’Union de Lisbonne proviennent de sources autres que les taxes, notamment de sa part dans les recettes diverses de l’Organisation”</w:t>
      </w:r>
      <w:r w:rsidRPr="00656179">
        <w:rPr>
          <w:rFonts w:eastAsiaTheme="minorHAnsi"/>
          <w:szCs w:val="22"/>
          <w:vertAlign w:val="superscript"/>
          <w:lang w:val="fr-FR" w:eastAsia="en-US"/>
        </w:rPr>
        <w:footnoteReference w:id="7"/>
      </w:r>
      <w:r w:rsidRPr="00656179">
        <w:rPr>
          <w:rFonts w:eastAsiaTheme="minorHAnsi"/>
          <w:szCs w:val="22"/>
          <w:lang w:val="fr-FR" w:eastAsia="en-US"/>
        </w:rPr>
        <w:t>.</w:t>
      </w:r>
    </w:p>
    <w:p w:rsidR="00081975" w:rsidRPr="00656179" w:rsidRDefault="00226DB6" w:rsidP="0002126A">
      <w:pPr>
        <w:spacing w:after="200"/>
        <w:rPr>
          <w:rFonts w:eastAsiaTheme="minorHAnsi"/>
          <w:szCs w:val="22"/>
          <w:lang w:val="fr-FR" w:eastAsia="en-US"/>
        </w:rPr>
      </w:pPr>
      <w:r w:rsidRPr="00656179">
        <w:rPr>
          <w:rFonts w:eastAsiaTheme="minorHAnsi"/>
          <w:color w:val="000000"/>
          <w:szCs w:val="22"/>
          <w:lang w:val="fr-FR" w:eastAsia="en-US"/>
        </w:rPr>
        <w:t>Au fil des ans, le déficit de l</w:t>
      </w:r>
      <w:r w:rsidR="007738D3" w:rsidRPr="00656179">
        <w:rPr>
          <w:rFonts w:eastAsiaTheme="minorHAnsi"/>
          <w:color w:val="000000"/>
          <w:szCs w:val="22"/>
          <w:lang w:val="fr-FR" w:eastAsia="en-US"/>
        </w:rPr>
        <w:t>’</w:t>
      </w:r>
      <w:r w:rsidRPr="00656179">
        <w:rPr>
          <w:rFonts w:eastAsiaTheme="minorHAnsi"/>
          <w:color w:val="000000"/>
          <w:szCs w:val="22"/>
          <w:lang w:val="fr-FR" w:eastAsia="en-US"/>
        </w:rPr>
        <w:t>Union de Lisbonne n</w:t>
      </w:r>
      <w:r w:rsidR="007738D3" w:rsidRPr="00656179">
        <w:rPr>
          <w:rFonts w:eastAsiaTheme="minorHAnsi"/>
          <w:color w:val="000000"/>
          <w:szCs w:val="22"/>
          <w:lang w:val="fr-FR" w:eastAsia="en-US"/>
        </w:rPr>
        <w:t>’</w:t>
      </w:r>
      <w:r w:rsidRPr="00656179">
        <w:rPr>
          <w:rFonts w:eastAsiaTheme="minorHAnsi"/>
          <w:color w:val="000000"/>
          <w:szCs w:val="22"/>
          <w:lang w:val="fr-FR" w:eastAsia="en-US"/>
        </w:rPr>
        <w:t xml:space="preserve">a pas été financé par les principales </w:t>
      </w:r>
      <w:r w:rsidR="00061B7C">
        <w:rPr>
          <w:rFonts w:eastAsiaTheme="minorHAnsi"/>
          <w:color w:val="000000"/>
          <w:szCs w:val="22"/>
          <w:lang w:val="fr-FR" w:eastAsia="en-US"/>
        </w:rPr>
        <w:t>res</w:t>
      </w:r>
      <w:r w:rsidRPr="00656179">
        <w:rPr>
          <w:rFonts w:eastAsiaTheme="minorHAnsi"/>
          <w:color w:val="000000"/>
          <w:szCs w:val="22"/>
          <w:lang w:val="fr-FR" w:eastAsia="en-US"/>
        </w:rPr>
        <w:t xml:space="preserve">sources </w:t>
      </w:r>
      <w:r w:rsidR="00061B7C">
        <w:rPr>
          <w:rFonts w:eastAsiaTheme="minorHAnsi"/>
          <w:color w:val="000000"/>
          <w:szCs w:val="22"/>
          <w:lang w:val="fr-FR" w:eastAsia="en-US"/>
        </w:rPr>
        <w:t>indiqué</w:t>
      </w:r>
      <w:r w:rsidRPr="00656179">
        <w:rPr>
          <w:rFonts w:eastAsiaTheme="minorHAnsi"/>
          <w:color w:val="000000"/>
          <w:szCs w:val="22"/>
          <w:lang w:val="fr-FR" w:eastAsia="en-US"/>
        </w:rPr>
        <w:t>es à l</w:t>
      </w:r>
      <w:r w:rsidR="007738D3" w:rsidRPr="00656179">
        <w:rPr>
          <w:rFonts w:eastAsiaTheme="minorHAnsi"/>
          <w:color w:val="000000"/>
          <w:szCs w:val="22"/>
          <w:lang w:val="fr-FR" w:eastAsia="en-US"/>
        </w:rPr>
        <w:t>’</w:t>
      </w:r>
      <w:r w:rsidRPr="00656179">
        <w:rPr>
          <w:rFonts w:eastAsiaTheme="minorHAnsi"/>
          <w:color w:val="000000"/>
          <w:szCs w:val="22"/>
          <w:lang w:val="fr-FR" w:eastAsia="en-US"/>
        </w:rPr>
        <w:t>article</w:t>
      </w:r>
      <w:r w:rsidR="00D60B83" w:rsidRPr="00656179">
        <w:rPr>
          <w:rFonts w:eastAsiaTheme="minorHAnsi"/>
          <w:color w:val="000000"/>
          <w:szCs w:val="22"/>
          <w:lang w:val="fr-FR" w:eastAsia="en-US"/>
        </w:rPr>
        <w:t> </w:t>
      </w:r>
      <w:r w:rsidRPr="00656179">
        <w:rPr>
          <w:rFonts w:eastAsiaTheme="minorHAnsi"/>
          <w:color w:val="000000"/>
          <w:szCs w:val="22"/>
          <w:lang w:val="fr-FR" w:eastAsia="en-US"/>
        </w:rPr>
        <w:t>11.</w:t>
      </w:r>
      <w:r w:rsidR="00061B7C">
        <w:rPr>
          <w:rFonts w:eastAsiaTheme="minorHAnsi"/>
          <w:color w:val="000000"/>
          <w:szCs w:val="22"/>
          <w:lang w:val="fr-FR" w:eastAsia="en-US"/>
        </w:rPr>
        <w:t>3</w:t>
      </w:r>
      <w:r w:rsidRPr="00656179">
        <w:rPr>
          <w:rFonts w:eastAsiaTheme="minorHAnsi"/>
          <w:color w:val="000000"/>
          <w:szCs w:val="22"/>
          <w:lang w:val="fr-FR" w:eastAsia="en-US"/>
        </w:rPr>
        <w:t>) de</w:t>
      </w:r>
      <w:r w:rsidRPr="00E90DF2">
        <w:rPr>
          <w:rFonts w:eastAsiaTheme="minorHAnsi"/>
          <w:szCs w:val="22"/>
          <w:lang w:val="fr-FR" w:eastAsia="en-US"/>
        </w:rPr>
        <w:t xml:space="preserve"> l</w:t>
      </w:r>
      <w:r w:rsidR="007738D3" w:rsidRPr="00E90DF2">
        <w:rPr>
          <w:rFonts w:eastAsiaTheme="minorHAnsi"/>
          <w:szCs w:val="22"/>
          <w:lang w:val="fr-FR" w:eastAsia="en-US"/>
        </w:rPr>
        <w:t>’</w:t>
      </w:r>
      <w:r w:rsidRPr="00E90DF2">
        <w:rPr>
          <w:rFonts w:eastAsiaTheme="minorHAnsi"/>
          <w:szCs w:val="22"/>
          <w:lang w:val="fr-FR" w:eastAsia="en-US"/>
        </w:rPr>
        <w:t>Arrangement de Lisbonne</w:t>
      </w:r>
      <w:r w:rsidR="00D60B83" w:rsidRPr="00E90DF2">
        <w:rPr>
          <w:rFonts w:eastAsiaTheme="minorHAnsi"/>
          <w:szCs w:val="22"/>
          <w:lang w:val="fr-FR" w:eastAsia="en-US"/>
        </w:rPr>
        <w:t> </w:t>
      </w:r>
      <w:r w:rsidRPr="00E90DF2">
        <w:rPr>
          <w:rFonts w:eastAsiaTheme="minorHAnsi"/>
          <w:szCs w:val="22"/>
          <w:lang w:val="fr-FR" w:eastAsia="en-US"/>
        </w:rPr>
        <w:t>: le</w:t>
      </w:r>
      <w:r w:rsidRPr="00656179">
        <w:rPr>
          <w:rFonts w:eastAsiaTheme="minorHAnsi"/>
          <w:color w:val="000000"/>
          <w:szCs w:val="22"/>
          <w:lang w:val="fr-FR" w:eastAsia="en-US"/>
        </w:rPr>
        <w:t>s taxes n</w:t>
      </w:r>
      <w:r w:rsidR="007738D3" w:rsidRPr="00656179">
        <w:rPr>
          <w:rFonts w:eastAsiaTheme="minorHAnsi"/>
          <w:color w:val="000000"/>
          <w:szCs w:val="22"/>
          <w:lang w:val="fr-FR" w:eastAsia="en-US"/>
        </w:rPr>
        <w:t>’</w:t>
      </w:r>
      <w:r w:rsidR="00E842DE" w:rsidRPr="00656179">
        <w:rPr>
          <w:rFonts w:eastAsiaTheme="minorHAnsi"/>
          <w:color w:val="000000"/>
          <w:szCs w:val="22"/>
          <w:lang w:val="fr-FR" w:eastAsia="en-US"/>
        </w:rPr>
        <w:t xml:space="preserve">ont pas </w:t>
      </w:r>
      <w:r w:rsidR="00061B7C">
        <w:rPr>
          <w:rFonts w:eastAsiaTheme="minorHAnsi"/>
          <w:color w:val="000000"/>
          <w:szCs w:val="22"/>
          <w:lang w:val="fr-FR" w:eastAsia="en-US"/>
        </w:rPr>
        <w:t>été relevées en </w:t>
      </w:r>
      <w:r w:rsidR="00E842DE" w:rsidRPr="00656179">
        <w:rPr>
          <w:rFonts w:eastAsiaTheme="minorHAnsi"/>
          <w:color w:val="000000"/>
          <w:szCs w:val="22"/>
          <w:lang w:val="fr-FR" w:eastAsia="en-US"/>
        </w:rPr>
        <w:t>20 </w:t>
      </w:r>
      <w:r w:rsidRPr="00656179">
        <w:rPr>
          <w:rFonts w:eastAsiaTheme="minorHAnsi"/>
          <w:color w:val="000000"/>
          <w:szCs w:val="22"/>
          <w:lang w:val="fr-FR" w:eastAsia="en-US"/>
        </w:rPr>
        <w:t xml:space="preserve">ans et les contributions des parties contractantes, requises </w:t>
      </w:r>
      <w:r w:rsidR="00061B7C">
        <w:rPr>
          <w:rFonts w:eastAsiaTheme="minorHAnsi"/>
          <w:color w:val="000000"/>
          <w:szCs w:val="22"/>
          <w:lang w:val="fr-FR" w:eastAsia="en-US"/>
        </w:rPr>
        <w:t>en vertu du</w:t>
      </w:r>
      <w:r w:rsidRPr="00656179">
        <w:rPr>
          <w:rFonts w:eastAsiaTheme="minorHAnsi"/>
          <w:color w:val="000000"/>
          <w:szCs w:val="22"/>
          <w:lang w:val="fr-FR" w:eastAsia="en-US"/>
        </w:rPr>
        <w:t xml:space="preserve"> traité, n</w:t>
      </w:r>
      <w:r w:rsidR="007738D3" w:rsidRPr="00656179">
        <w:rPr>
          <w:rFonts w:eastAsiaTheme="minorHAnsi"/>
          <w:color w:val="000000"/>
          <w:szCs w:val="22"/>
          <w:lang w:val="fr-FR" w:eastAsia="en-US"/>
        </w:rPr>
        <w:t>’</w:t>
      </w:r>
      <w:r w:rsidRPr="00656179">
        <w:rPr>
          <w:rFonts w:eastAsiaTheme="minorHAnsi"/>
          <w:color w:val="000000"/>
          <w:szCs w:val="22"/>
          <w:lang w:val="fr-FR" w:eastAsia="en-US"/>
        </w:rPr>
        <w:t xml:space="preserve">ont jamais été </w:t>
      </w:r>
      <w:r w:rsidR="00061B7C">
        <w:rPr>
          <w:rFonts w:eastAsiaTheme="minorHAnsi"/>
          <w:color w:val="000000"/>
          <w:szCs w:val="22"/>
          <w:lang w:val="fr-FR" w:eastAsia="en-US"/>
        </w:rPr>
        <w:t>ré</w:t>
      </w:r>
      <w:r w:rsidRPr="00656179">
        <w:rPr>
          <w:rFonts w:eastAsiaTheme="minorHAnsi"/>
          <w:color w:val="000000"/>
          <w:szCs w:val="22"/>
          <w:lang w:val="fr-FR" w:eastAsia="en-US"/>
        </w:rPr>
        <w:t xml:space="preserve">examinées depuis </w:t>
      </w:r>
      <w:r w:rsidR="00061B7C">
        <w:rPr>
          <w:rFonts w:eastAsiaTheme="minorHAnsi"/>
          <w:color w:val="000000"/>
          <w:szCs w:val="22"/>
          <w:lang w:val="fr-FR" w:eastAsia="en-US"/>
        </w:rPr>
        <w:t>l’</w:t>
      </w:r>
      <w:r w:rsidRPr="00656179">
        <w:rPr>
          <w:rFonts w:eastAsiaTheme="minorHAnsi"/>
          <w:color w:val="000000"/>
          <w:szCs w:val="22"/>
          <w:lang w:val="fr-FR" w:eastAsia="en-US"/>
        </w:rPr>
        <w:t>entrée en vigueur</w:t>
      </w:r>
      <w:r w:rsidR="00061B7C">
        <w:rPr>
          <w:rFonts w:eastAsiaTheme="minorHAnsi"/>
          <w:color w:val="000000"/>
          <w:szCs w:val="22"/>
          <w:lang w:val="fr-FR" w:eastAsia="en-US"/>
        </w:rPr>
        <w:t xml:space="preserve"> du traité</w:t>
      </w:r>
      <w:r w:rsidRPr="00656179">
        <w:rPr>
          <w:rFonts w:eastAsiaTheme="minorHAnsi"/>
          <w:color w:val="000000"/>
          <w:szCs w:val="22"/>
          <w:lang w:val="fr-FR" w:eastAsia="en-US"/>
        </w:rPr>
        <w:t xml:space="preserve"> en</w:t>
      </w:r>
      <w:r w:rsidR="00D60B83" w:rsidRPr="00656179">
        <w:rPr>
          <w:rFonts w:eastAsiaTheme="minorHAnsi"/>
          <w:color w:val="000000"/>
          <w:szCs w:val="22"/>
          <w:lang w:val="fr-FR" w:eastAsia="en-US"/>
        </w:rPr>
        <w:t> </w:t>
      </w:r>
      <w:r w:rsidRPr="00656179">
        <w:rPr>
          <w:rFonts w:eastAsiaTheme="minorHAnsi"/>
          <w:color w:val="000000"/>
          <w:szCs w:val="22"/>
          <w:lang w:val="fr-FR" w:eastAsia="en-US"/>
        </w:rPr>
        <w:t>1966.</w:t>
      </w:r>
      <w:r w:rsidR="00B707CF" w:rsidRPr="00656179">
        <w:rPr>
          <w:color w:val="000000"/>
          <w:szCs w:val="22"/>
          <w:lang w:val="fr-FR"/>
        </w:rPr>
        <w:t xml:space="preserve">  </w:t>
      </w:r>
      <w:r w:rsidR="00BA4BB2" w:rsidRPr="00656179">
        <w:rPr>
          <w:rFonts w:eastAsiaTheme="minorHAnsi"/>
          <w:color w:val="000000"/>
          <w:szCs w:val="22"/>
          <w:lang w:val="fr-FR" w:eastAsia="en-US"/>
        </w:rPr>
        <w:t>Il en va ainsi même si l</w:t>
      </w:r>
      <w:r w:rsidR="007738D3" w:rsidRPr="00656179">
        <w:rPr>
          <w:rFonts w:eastAsiaTheme="minorHAnsi"/>
          <w:color w:val="000000"/>
          <w:szCs w:val="22"/>
          <w:lang w:val="fr-FR" w:eastAsia="en-US"/>
        </w:rPr>
        <w:t>’</w:t>
      </w:r>
      <w:r w:rsidR="00BA4BB2" w:rsidRPr="00656179">
        <w:rPr>
          <w:rFonts w:eastAsiaTheme="minorHAnsi"/>
          <w:color w:val="000000"/>
          <w:szCs w:val="22"/>
          <w:lang w:val="fr-FR" w:eastAsia="en-US"/>
        </w:rPr>
        <w:t>article</w:t>
      </w:r>
      <w:r w:rsidR="00D60B83" w:rsidRPr="00656179">
        <w:rPr>
          <w:rFonts w:eastAsiaTheme="minorHAnsi"/>
          <w:color w:val="000000"/>
          <w:szCs w:val="22"/>
          <w:lang w:val="fr-FR" w:eastAsia="en-US"/>
        </w:rPr>
        <w:t> </w:t>
      </w:r>
      <w:r w:rsidR="00E842DE" w:rsidRPr="00656179">
        <w:rPr>
          <w:rFonts w:eastAsiaTheme="minorHAnsi"/>
          <w:color w:val="000000"/>
          <w:szCs w:val="22"/>
          <w:lang w:val="fr-FR" w:eastAsia="en-US"/>
        </w:rPr>
        <w:t>11.4)</w:t>
      </w:r>
      <w:r w:rsidR="00BA4BB2" w:rsidRPr="00656179">
        <w:rPr>
          <w:rFonts w:eastAsiaTheme="minorHAnsi"/>
          <w:color w:val="000000"/>
          <w:szCs w:val="22"/>
          <w:lang w:val="fr-FR" w:eastAsia="en-US"/>
        </w:rPr>
        <w:t xml:space="preserve">b) dispose que </w:t>
      </w:r>
      <w:r w:rsidR="00D60B83" w:rsidRPr="00656179">
        <w:rPr>
          <w:rFonts w:eastAsiaTheme="minorHAnsi"/>
          <w:color w:val="000000"/>
          <w:szCs w:val="22"/>
          <w:lang w:val="fr-FR" w:eastAsia="en-US"/>
        </w:rPr>
        <w:t>“</w:t>
      </w:r>
      <w:r w:rsidR="00BA4BB2" w:rsidRPr="00656179">
        <w:rPr>
          <w:rFonts w:eastAsiaTheme="minorHAnsi"/>
          <w:color w:val="000000"/>
          <w:szCs w:val="22"/>
          <w:lang w:val="fr-FR" w:eastAsia="en-US"/>
        </w:rPr>
        <w:t>[l]e montant de cette taxe est fixé de manière à ce que les recettes de l</w:t>
      </w:r>
      <w:r w:rsidR="007738D3" w:rsidRPr="00656179">
        <w:rPr>
          <w:rFonts w:eastAsiaTheme="minorHAnsi"/>
          <w:color w:val="000000"/>
          <w:szCs w:val="22"/>
          <w:lang w:val="fr-FR" w:eastAsia="en-US"/>
        </w:rPr>
        <w:t>’</w:t>
      </w:r>
      <w:r w:rsidR="00BA4BB2" w:rsidRPr="00656179">
        <w:rPr>
          <w:rFonts w:eastAsiaTheme="minorHAnsi"/>
          <w:color w:val="000000"/>
          <w:szCs w:val="22"/>
          <w:lang w:val="fr-FR" w:eastAsia="en-US"/>
        </w:rPr>
        <w:t>Union particulière soient, normalement, suffisantes pour couvrir les dépenses occasionnées au Bureau international par le fonctionnement du service de l</w:t>
      </w:r>
      <w:r w:rsidR="007738D3" w:rsidRPr="00656179">
        <w:rPr>
          <w:rFonts w:eastAsiaTheme="minorHAnsi"/>
          <w:color w:val="000000"/>
          <w:szCs w:val="22"/>
          <w:lang w:val="fr-FR" w:eastAsia="en-US"/>
        </w:rPr>
        <w:t>’</w:t>
      </w:r>
      <w:r w:rsidR="00BA4BB2" w:rsidRPr="00656179">
        <w:rPr>
          <w:rFonts w:eastAsiaTheme="minorHAnsi"/>
          <w:color w:val="000000"/>
          <w:szCs w:val="22"/>
          <w:lang w:val="fr-FR" w:eastAsia="en-US"/>
        </w:rPr>
        <w:t>enregistrement international sans qu</w:t>
      </w:r>
      <w:r w:rsidR="007738D3" w:rsidRPr="00656179">
        <w:rPr>
          <w:rFonts w:eastAsiaTheme="minorHAnsi"/>
          <w:color w:val="000000"/>
          <w:szCs w:val="22"/>
          <w:lang w:val="fr-FR" w:eastAsia="en-US"/>
        </w:rPr>
        <w:t>’</w:t>
      </w:r>
      <w:r w:rsidR="00BA4BB2" w:rsidRPr="00656179">
        <w:rPr>
          <w:rFonts w:eastAsiaTheme="minorHAnsi"/>
          <w:color w:val="000000"/>
          <w:szCs w:val="22"/>
          <w:lang w:val="fr-FR" w:eastAsia="en-US"/>
        </w:rPr>
        <w:t>il soit recouru au versement des contributions mentionnées à l</w:t>
      </w:r>
      <w:r w:rsidR="007738D3" w:rsidRPr="00656179">
        <w:rPr>
          <w:rFonts w:eastAsiaTheme="minorHAnsi"/>
          <w:color w:val="000000"/>
          <w:szCs w:val="22"/>
          <w:lang w:val="fr-FR" w:eastAsia="en-US"/>
        </w:rPr>
        <w:t>’</w:t>
      </w:r>
      <w:r w:rsidR="00BA4BB2" w:rsidRPr="00656179">
        <w:rPr>
          <w:rFonts w:eastAsiaTheme="minorHAnsi"/>
          <w:color w:val="000000"/>
          <w:szCs w:val="22"/>
          <w:lang w:val="fr-FR" w:eastAsia="en-US"/>
        </w:rPr>
        <w:t>alinéa</w:t>
      </w:r>
      <w:r w:rsidR="00D60B83" w:rsidRPr="00656179">
        <w:rPr>
          <w:rFonts w:eastAsiaTheme="minorHAnsi"/>
          <w:color w:val="000000"/>
          <w:szCs w:val="22"/>
          <w:lang w:val="fr-FR" w:eastAsia="en-US"/>
        </w:rPr>
        <w:t> </w:t>
      </w:r>
      <w:r w:rsidR="00BA4BB2" w:rsidRPr="00656179">
        <w:rPr>
          <w:rFonts w:eastAsiaTheme="minorHAnsi"/>
          <w:color w:val="000000"/>
          <w:szCs w:val="22"/>
          <w:lang w:val="fr-FR" w:eastAsia="en-US"/>
        </w:rPr>
        <w:t>3)v) ci</w:t>
      </w:r>
      <w:r w:rsidR="00CD79CE" w:rsidRPr="00656179">
        <w:rPr>
          <w:rFonts w:eastAsiaTheme="minorHAnsi"/>
          <w:color w:val="000000"/>
          <w:szCs w:val="22"/>
          <w:lang w:val="fr-FR" w:eastAsia="en-US"/>
        </w:rPr>
        <w:noBreakHyphen/>
      </w:r>
      <w:r w:rsidR="00BA4BB2" w:rsidRPr="00656179">
        <w:rPr>
          <w:rFonts w:eastAsiaTheme="minorHAnsi"/>
          <w:color w:val="000000"/>
          <w:szCs w:val="22"/>
          <w:lang w:val="fr-FR" w:eastAsia="en-US"/>
        </w:rPr>
        <w:t>dessus</w:t>
      </w:r>
      <w:r w:rsidR="00D60B83" w:rsidRPr="00656179">
        <w:rPr>
          <w:rFonts w:eastAsiaTheme="minorHAnsi"/>
          <w:color w:val="000000"/>
          <w:szCs w:val="22"/>
          <w:lang w:val="fr-FR" w:eastAsia="en-US"/>
        </w:rPr>
        <w:t>”.</w:t>
      </w:r>
      <w:r w:rsidR="00B707CF" w:rsidRPr="00656179">
        <w:rPr>
          <w:color w:val="000000"/>
          <w:szCs w:val="22"/>
          <w:lang w:val="fr-FR"/>
        </w:rPr>
        <w:t xml:space="preserve">  </w:t>
      </w:r>
      <w:r w:rsidR="00BA4BB2" w:rsidRPr="00656179">
        <w:rPr>
          <w:rFonts w:eastAsiaTheme="minorHAnsi"/>
          <w:color w:val="000000"/>
          <w:szCs w:val="22"/>
          <w:lang w:val="fr-FR" w:eastAsia="en-US"/>
        </w:rPr>
        <w:t>En vertu de l</w:t>
      </w:r>
      <w:r w:rsidR="007738D3" w:rsidRPr="00656179">
        <w:rPr>
          <w:rFonts w:eastAsiaTheme="minorHAnsi"/>
          <w:color w:val="000000"/>
          <w:szCs w:val="22"/>
          <w:lang w:val="fr-FR" w:eastAsia="en-US"/>
        </w:rPr>
        <w:t>’</w:t>
      </w:r>
      <w:r w:rsidR="00BA4BB2" w:rsidRPr="00656179">
        <w:rPr>
          <w:rFonts w:eastAsiaTheme="minorHAnsi"/>
          <w:color w:val="000000"/>
          <w:szCs w:val="22"/>
          <w:lang w:val="fr-FR" w:eastAsia="en-US"/>
        </w:rPr>
        <w:t>article</w:t>
      </w:r>
      <w:r w:rsidR="00D60B83" w:rsidRPr="00656179">
        <w:rPr>
          <w:rFonts w:eastAsiaTheme="minorHAnsi"/>
          <w:color w:val="000000"/>
          <w:szCs w:val="22"/>
          <w:lang w:val="fr-FR" w:eastAsia="en-US"/>
        </w:rPr>
        <w:t> </w:t>
      </w:r>
      <w:r w:rsidR="00E842DE" w:rsidRPr="00656179">
        <w:rPr>
          <w:rFonts w:eastAsiaTheme="minorHAnsi"/>
          <w:color w:val="000000"/>
          <w:szCs w:val="22"/>
          <w:lang w:val="fr-FR" w:eastAsia="en-US"/>
        </w:rPr>
        <w:t>11.4)</w:t>
      </w:r>
      <w:r w:rsidR="00BA4BB2" w:rsidRPr="00656179">
        <w:rPr>
          <w:rFonts w:eastAsiaTheme="minorHAnsi"/>
          <w:color w:val="000000"/>
          <w:szCs w:val="22"/>
          <w:lang w:val="fr-FR" w:eastAsia="en-US"/>
        </w:rPr>
        <w:t>a), le Directeur général et l</w:t>
      </w:r>
      <w:r w:rsidR="007738D3" w:rsidRPr="00656179">
        <w:rPr>
          <w:rFonts w:eastAsiaTheme="minorHAnsi"/>
          <w:color w:val="000000"/>
          <w:szCs w:val="22"/>
          <w:lang w:val="fr-FR" w:eastAsia="en-US"/>
        </w:rPr>
        <w:t>’</w:t>
      </w:r>
      <w:r w:rsidR="001F2622" w:rsidRPr="00656179">
        <w:rPr>
          <w:rFonts w:eastAsiaTheme="minorHAnsi"/>
          <w:color w:val="000000"/>
          <w:szCs w:val="22"/>
          <w:lang w:val="fr-FR" w:eastAsia="en-US"/>
        </w:rPr>
        <w:t>Assemblée de l</w:t>
      </w:r>
      <w:r w:rsidR="007738D3" w:rsidRPr="00656179">
        <w:rPr>
          <w:rFonts w:eastAsiaTheme="minorHAnsi"/>
          <w:color w:val="000000"/>
          <w:szCs w:val="22"/>
          <w:lang w:val="fr-FR" w:eastAsia="en-US"/>
        </w:rPr>
        <w:t>’</w:t>
      </w:r>
      <w:r w:rsidR="001F2622" w:rsidRPr="00656179">
        <w:rPr>
          <w:rFonts w:eastAsiaTheme="minorHAnsi"/>
          <w:color w:val="000000"/>
          <w:szCs w:val="22"/>
          <w:lang w:val="fr-FR" w:eastAsia="en-US"/>
        </w:rPr>
        <w:t>Union de Lisbonne</w:t>
      </w:r>
      <w:r w:rsidR="00BA4BB2" w:rsidRPr="00656179">
        <w:rPr>
          <w:rFonts w:eastAsiaTheme="minorHAnsi"/>
          <w:color w:val="000000"/>
          <w:szCs w:val="22"/>
          <w:lang w:val="fr-FR" w:eastAsia="en-US"/>
        </w:rPr>
        <w:t xml:space="preserve"> sont chargés respectivement de proposer et d</w:t>
      </w:r>
      <w:r w:rsidR="007738D3" w:rsidRPr="00656179">
        <w:rPr>
          <w:rFonts w:eastAsiaTheme="minorHAnsi"/>
          <w:color w:val="000000"/>
          <w:szCs w:val="22"/>
          <w:lang w:val="fr-FR" w:eastAsia="en-US"/>
        </w:rPr>
        <w:t>’</w:t>
      </w:r>
      <w:r w:rsidR="00BA4BB2" w:rsidRPr="00656179">
        <w:rPr>
          <w:rFonts w:eastAsiaTheme="minorHAnsi"/>
          <w:color w:val="000000"/>
          <w:szCs w:val="22"/>
          <w:lang w:val="fr-FR" w:eastAsia="en-US"/>
        </w:rPr>
        <w:t>adopter les augmentations de taxes pour l</w:t>
      </w:r>
      <w:r w:rsidR="007738D3" w:rsidRPr="00656179">
        <w:rPr>
          <w:rFonts w:eastAsiaTheme="minorHAnsi"/>
          <w:color w:val="000000"/>
          <w:szCs w:val="22"/>
          <w:lang w:val="fr-FR" w:eastAsia="en-US"/>
        </w:rPr>
        <w:t>’</w:t>
      </w:r>
      <w:r w:rsidR="00BA4BB2" w:rsidRPr="00656179">
        <w:rPr>
          <w:rFonts w:eastAsiaTheme="minorHAnsi"/>
          <w:color w:val="000000"/>
          <w:szCs w:val="22"/>
          <w:lang w:val="fr-FR" w:eastAsia="en-US"/>
        </w:rPr>
        <w:t>Union de Lisbonne.</w:t>
      </w:r>
    </w:p>
    <w:p w:rsidR="007738D3" w:rsidRPr="00656179" w:rsidRDefault="00443B42" w:rsidP="0002126A">
      <w:pPr>
        <w:spacing w:after="200"/>
        <w:rPr>
          <w:rFonts w:eastAsiaTheme="minorHAnsi"/>
          <w:szCs w:val="22"/>
          <w:lang w:val="fr-FR" w:eastAsia="en-US"/>
        </w:rPr>
      </w:pPr>
      <w:r w:rsidRPr="00656179">
        <w:rPr>
          <w:rFonts w:eastAsiaTheme="minorHAnsi"/>
          <w:color w:val="000000"/>
          <w:szCs w:val="22"/>
          <w:lang w:val="fr-FR" w:eastAsia="en-US"/>
        </w:rPr>
        <w:t xml:space="preserve">Il semble que le déficit </w:t>
      </w:r>
      <w:r w:rsidR="007E03E2" w:rsidRPr="00656179">
        <w:rPr>
          <w:rFonts w:eastAsiaTheme="minorHAnsi"/>
          <w:color w:val="000000"/>
          <w:szCs w:val="22"/>
          <w:lang w:val="fr-FR" w:eastAsia="en-US"/>
        </w:rPr>
        <w:t>permanent</w:t>
      </w:r>
      <w:r w:rsidRPr="00656179">
        <w:rPr>
          <w:rFonts w:eastAsiaTheme="minorHAnsi"/>
          <w:color w:val="000000"/>
          <w:szCs w:val="22"/>
          <w:lang w:val="fr-FR" w:eastAsia="en-US"/>
        </w:rPr>
        <w:t xml:space="preserve"> et croissant ait été financé par d</w:t>
      </w:r>
      <w:r w:rsidR="00061B7C">
        <w:rPr>
          <w:rFonts w:eastAsiaTheme="minorHAnsi"/>
          <w:color w:val="000000"/>
          <w:szCs w:val="22"/>
          <w:lang w:val="fr-FR" w:eastAsia="en-US"/>
        </w:rPr>
        <w:t>es</w:t>
      </w:r>
      <w:r w:rsidRPr="00656179">
        <w:rPr>
          <w:rFonts w:eastAsiaTheme="minorHAnsi"/>
          <w:color w:val="000000"/>
          <w:szCs w:val="22"/>
          <w:lang w:val="fr-FR" w:eastAsia="en-US"/>
        </w:rPr>
        <w:t xml:space="preserve"> </w:t>
      </w:r>
      <w:r w:rsidR="00061B7C">
        <w:rPr>
          <w:rFonts w:eastAsiaTheme="minorHAnsi"/>
          <w:color w:val="000000"/>
          <w:szCs w:val="22"/>
          <w:lang w:val="fr-FR" w:eastAsia="en-US"/>
        </w:rPr>
        <w:t>res</w:t>
      </w:r>
      <w:r w:rsidRPr="00656179">
        <w:rPr>
          <w:rFonts w:eastAsiaTheme="minorHAnsi"/>
          <w:color w:val="000000"/>
          <w:szCs w:val="22"/>
          <w:lang w:val="fr-FR" w:eastAsia="en-US"/>
        </w:rPr>
        <w:t xml:space="preserve">sources </w:t>
      </w:r>
      <w:r w:rsidR="00061B7C">
        <w:rPr>
          <w:rFonts w:eastAsiaTheme="minorHAnsi"/>
          <w:color w:val="000000"/>
          <w:szCs w:val="22"/>
          <w:lang w:val="fr-FR" w:eastAsia="en-US"/>
        </w:rPr>
        <w:t xml:space="preserve">autres </w:t>
      </w:r>
      <w:r w:rsidRPr="00656179">
        <w:rPr>
          <w:rFonts w:eastAsiaTheme="minorHAnsi"/>
          <w:color w:val="000000"/>
          <w:szCs w:val="22"/>
          <w:lang w:val="fr-FR" w:eastAsia="en-US"/>
        </w:rPr>
        <w:t xml:space="preserve">que celles </w:t>
      </w:r>
      <w:r w:rsidR="00061B7C">
        <w:rPr>
          <w:rFonts w:eastAsiaTheme="minorHAnsi"/>
          <w:color w:val="000000"/>
          <w:szCs w:val="22"/>
          <w:lang w:val="fr-FR" w:eastAsia="en-US"/>
        </w:rPr>
        <w:t>indiqu</w:t>
      </w:r>
      <w:r w:rsidRPr="00656179">
        <w:rPr>
          <w:rFonts w:eastAsiaTheme="minorHAnsi"/>
          <w:color w:val="000000"/>
          <w:szCs w:val="22"/>
          <w:lang w:val="fr-FR" w:eastAsia="en-US"/>
        </w:rPr>
        <w:t>ées à l</w:t>
      </w:r>
      <w:r w:rsidR="007738D3" w:rsidRPr="00656179">
        <w:rPr>
          <w:rFonts w:eastAsiaTheme="minorHAnsi"/>
          <w:color w:val="000000"/>
          <w:szCs w:val="22"/>
          <w:lang w:val="fr-FR" w:eastAsia="en-US"/>
        </w:rPr>
        <w:t>’</w:t>
      </w:r>
      <w:r w:rsidRPr="00656179">
        <w:rPr>
          <w:rFonts w:eastAsiaTheme="minorHAnsi"/>
          <w:color w:val="000000"/>
          <w:szCs w:val="22"/>
          <w:lang w:val="fr-FR" w:eastAsia="en-US"/>
        </w:rPr>
        <w:t>article</w:t>
      </w:r>
      <w:r w:rsidR="00D60B83" w:rsidRPr="00656179">
        <w:rPr>
          <w:rFonts w:eastAsiaTheme="minorHAnsi"/>
          <w:color w:val="000000"/>
          <w:szCs w:val="22"/>
          <w:lang w:val="fr-FR" w:eastAsia="en-US"/>
        </w:rPr>
        <w:t> </w:t>
      </w:r>
      <w:r w:rsidRPr="00656179">
        <w:rPr>
          <w:rFonts w:eastAsiaTheme="minorHAnsi"/>
          <w:color w:val="000000"/>
          <w:szCs w:val="22"/>
          <w:lang w:val="fr-FR" w:eastAsia="en-US"/>
        </w:rPr>
        <w:t>11.3) de l</w:t>
      </w:r>
      <w:r w:rsidR="007738D3" w:rsidRPr="00656179">
        <w:rPr>
          <w:rFonts w:eastAsiaTheme="minorHAnsi"/>
          <w:color w:val="000000"/>
          <w:szCs w:val="22"/>
          <w:lang w:val="fr-FR" w:eastAsia="en-US"/>
        </w:rPr>
        <w:t>’</w:t>
      </w:r>
      <w:r w:rsidRPr="00656179">
        <w:rPr>
          <w:rFonts w:eastAsiaTheme="minorHAnsi"/>
          <w:color w:val="000000"/>
          <w:szCs w:val="22"/>
          <w:lang w:val="fr-FR" w:eastAsia="en-US"/>
        </w:rPr>
        <w:t>Arrangement de Lisbonne</w:t>
      </w:r>
      <w:r w:rsidRPr="00656179">
        <w:rPr>
          <w:rStyle w:val="FootnoteReference"/>
          <w:rFonts w:eastAsiaTheme="minorHAnsi"/>
          <w:color w:val="000000"/>
          <w:szCs w:val="22"/>
          <w:lang w:val="fr-FR" w:eastAsia="en-US"/>
        </w:rPr>
        <w:footnoteReference w:id="8"/>
      </w:r>
      <w:r w:rsidRPr="00656179">
        <w:rPr>
          <w:rFonts w:eastAsiaTheme="minorHAnsi"/>
          <w:color w:val="000000"/>
          <w:szCs w:val="22"/>
          <w:lang w:val="fr-FR" w:eastAsia="en-US"/>
        </w:rPr>
        <w:t>.</w:t>
      </w:r>
      <w:r w:rsidR="00B707CF" w:rsidRPr="00656179">
        <w:rPr>
          <w:color w:val="000000"/>
          <w:szCs w:val="22"/>
          <w:lang w:val="fr-FR"/>
        </w:rPr>
        <w:t xml:space="preserve">  </w:t>
      </w:r>
      <w:r w:rsidRPr="00656179">
        <w:rPr>
          <w:rFonts w:eastAsiaTheme="minorHAnsi"/>
          <w:color w:val="000000"/>
          <w:szCs w:val="22"/>
          <w:lang w:val="fr-FR" w:eastAsia="en-US"/>
        </w:rPr>
        <w:t xml:space="preserve">Nous </w:t>
      </w:r>
      <w:r w:rsidR="00391695" w:rsidRPr="00656179">
        <w:rPr>
          <w:rFonts w:eastAsiaTheme="minorHAnsi"/>
          <w:color w:val="000000"/>
          <w:szCs w:val="22"/>
          <w:lang w:val="fr-FR" w:eastAsia="en-US"/>
        </w:rPr>
        <w:t>croyons comprendre</w:t>
      </w:r>
      <w:r w:rsidRPr="00656179">
        <w:rPr>
          <w:rFonts w:eastAsiaTheme="minorHAnsi"/>
          <w:color w:val="000000"/>
          <w:szCs w:val="22"/>
          <w:lang w:val="fr-FR" w:eastAsia="en-US"/>
        </w:rPr>
        <w:t xml:space="preserve"> que le déficit de l</w:t>
      </w:r>
      <w:r w:rsidR="007738D3" w:rsidRPr="00656179">
        <w:rPr>
          <w:rFonts w:eastAsiaTheme="minorHAnsi"/>
          <w:color w:val="000000"/>
          <w:szCs w:val="22"/>
          <w:lang w:val="fr-FR" w:eastAsia="en-US"/>
        </w:rPr>
        <w:t>’</w:t>
      </w:r>
      <w:r w:rsidRPr="00656179">
        <w:rPr>
          <w:rFonts w:eastAsiaTheme="minorHAnsi"/>
          <w:color w:val="000000"/>
          <w:szCs w:val="22"/>
          <w:lang w:val="fr-FR" w:eastAsia="en-US"/>
        </w:rPr>
        <w:t>Union de Lisbonne est financé par les systèmes d</w:t>
      </w:r>
      <w:r w:rsidR="007738D3" w:rsidRPr="00E90DF2">
        <w:rPr>
          <w:rFonts w:eastAsiaTheme="minorHAnsi"/>
          <w:szCs w:val="22"/>
          <w:lang w:val="fr-FR" w:eastAsia="en-US"/>
        </w:rPr>
        <w:t>’</w:t>
      </w:r>
      <w:r w:rsidRPr="00E90DF2">
        <w:rPr>
          <w:rFonts w:eastAsiaTheme="minorHAnsi"/>
          <w:szCs w:val="22"/>
          <w:lang w:val="fr-FR" w:eastAsia="en-US"/>
        </w:rPr>
        <w:t xml:space="preserve">enregistrement international </w:t>
      </w:r>
      <w:r w:rsidRPr="00656179">
        <w:rPr>
          <w:rFonts w:eastAsiaTheme="minorHAnsi"/>
          <w:color w:val="000000"/>
          <w:szCs w:val="22"/>
          <w:lang w:val="fr-FR" w:eastAsia="en-US"/>
        </w:rPr>
        <w:t xml:space="preserve">du PCT et de </w:t>
      </w:r>
      <w:r w:rsidRPr="0002126A">
        <w:rPr>
          <w:rFonts w:eastAsiaTheme="minorHAnsi"/>
          <w:szCs w:val="22"/>
          <w:lang w:val="fr-FR" w:eastAsia="en-US"/>
        </w:rPr>
        <w:t>Madrid (système de Madrid pour l</w:t>
      </w:r>
      <w:r w:rsidR="007738D3" w:rsidRPr="0002126A">
        <w:rPr>
          <w:rFonts w:eastAsiaTheme="minorHAnsi"/>
          <w:szCs w:val="22"/>
          <w:lang w:val="fr-FR" w:eastAsia="en-US"/>
        </w:rPr>
        <w:t>’</w:t>
      </w:r>
      <w:r w:rsidRPr="0002126A">
        <w:rPr>
          <w:rFonts w:eastAsiaTheme="minorHAnsi"/>
          <w:szCs w:val="22"/>
          <w:lang w:val="fr-FR" w:eastAsia="en-US"/>
        </w:rPr>
        <w:t>enregistrement international des marques)</w:t>
      </w:r>
      <w:r w:rsidRPr="00656179">
        <w:rPr>
          <w:rStyle w:val="FootnoteReference"/>
          <w:rFonts w:eastAsiaTheme="minorHAnsi"/>
          <w:color w:val="000000"/>
          <w:szCs w:val="22"/>
          <w:lang w:val="fr-FR" w:eastAsia="en-US"/>
        </w:rPr>
        <w:footnoteReference w:id="9"/>
      </w:r>
      <w:r w:rsidRPr="00656179">
        <w:rPr>
          <w:rFonts w:eastAsiaTheme="minorHAnsi"/>
          <w:color w:val="000000"/>
          <w:szCs w:val="22"/>
          <w:lang w:val="fr-FR" w:eastAsia="en-US"/>
        </w:rPr>
        <w:t>.</w:t>
      </w:r>
      <w:r w:rsidR="00B707CF" w:rsidRPr="00656179">
        <w:rPr>
          <w:color w:val="000000"/>
          <w:szCs w:val="22"/>
          <w:lang w:val="fr-FR"/>
        </w:rPr>
        <w:t xml:space="preserve">  </w:t>
      </w:r>
      <w:r w:rsidR="00916D34" w:rsidRPr="00656179">
        <w:rPr>
          <w:rFonts w:eastAsiaTheme="minorHAnsi"/>
          <w:color w:val="000000"/>
          <w:szCs w:val="22"/>
          <w:lang w:val="fr-FR" w:eastAsia="en-US"/>
        </w:rPr>
        <w:t>Nous sommes profondément préoccupés par le fait que ce système de financement des déficits est contraire aux obligations qui découlent de l</w:t>
      </w:r>
      <w:r w:rsidR="007738D3" w:rsidRPr="00656179">
        <w:rPr>
          <w:rFonts w:eastAsiaTheme="minorHAnsi"/>
          <w:color w:val="000000"/>
          <w:szCs w:val="22"/>
          <w:lang w:val="fr-FR" w:eastAsia="en-US"/>
        </w:rPr>
        <w:t>’</w:t>
      </w:r>
      <w:r w:rsidR="00916D34" w:rsidRPr="00E90DF2">
        <w:rPr>
          <w:rFonts w:eastAsiaTheme="minorHAnsi"/>
          <w:szCs w:val="22"/>
          <w:lang w:val="fr-FR" w:eastAsia="en-US"/>
        </w:rPr>
        <w:t>Arrangement et du Protocole de Madrid.</w:t>
      </w:r>
    </w:p>
    <w:p w:rsidR="007738D3" w:rsidRPr="0002126A" w:rsidRDefault="009B0F66" w:rsidP="0002126A">
      <w:pPr>
        <w:spacing w:after="200"/>
        <w:rPr>
          <w:rFonts w:eastAsiaTheme="minorHAnsi"/>
          <w:szCs w:val="22"/>
          <w:lang w:val="fr-FR" w:eastAsia="en-US"/>
        </w:rPr>
      </w:pPr>
      <w:r w:rsidRPr="00656179">
        <w:rPr>
          <w:rFonts w:eastAsiaTheme="minorHAnsi"/>
          <w:color w:val="000000"/>
          <w:szCs w:val="22"/>
          <w:lang w:val="fr-FR" w:eastAsia="en-US"/>
        </w:rPr>
        <w:t>Selon la</w:t>
      </w:r>
      <w:r w:rsidR="00605C18" w:rsidRPr="00656179">
        <w:rPr>
          <w:rFonts w:eastAsiaTheme="minorHAnsi"/>
          <w:color w:val="000000"/>
          <w:szCs w:val="22"/>
          <w:lang w:val="fr-FR" w:eastAsia="en-US"/>
        </w:rPr>
        <w:t xml:space="preserve"> pratique de l</w:t>
      </w:r>
      <w:r w:rsidR="007738D3" w:rsidRPr="00656179">
        <w:rPr>
          <w:rFonts w:eastAsiaTheme="minorHAnsi"/>
          <w:color w:val="000000"/>
          <w:szCs w:val="22"/>
          <w:lang w:val="fr-FR" w:eastAsia="en-US"/>
        </w:rPr>
        <w:t>’</w:t>
      </w:r>
      <w:r w:rsidR="00605C18" w:rsidRPr="00656179">
        <w:rPr>
          <w:rFonts w:eastAsiaTheme="minorHAnsi"/>
          <w:color w:val="000000"/>
          <w:szCs w:val="22"/>
          <w:lang w:val="fr-FR" w:eastAsia="en-US"/>
        </w:rPr>
        <w:t>OMPI</w:t>
      </w:r>
      <w:r w:rsidRPr="00656179">
        <w:rPr>
          <w:rFonts w:eastAsiaTheme="minorHAnsi"/>
          <w:color w:val="000000"/>
          <w:szCs w:val="22"/>
          <w:lang w:val="fr-FR" w:eastAsia="en-US"/>
        </w:rPr>
        <w:t>,</w:t>
      </w:r>
      <w:r w:rsidR="00605C18" w:rsidRPr="00656179">
        <w:rPr>
          <w:rFonts w:eastAsiaTheme="minorHAnsi"/>
          <w:color w:val="000000"/>
          <w:szCs w:val="22"/>
          <w:lang w:val="fr-FR" w:eastAsia="en-US"/>
        </w:rPr>
        <w:t xml:space="preserve"> qui consiste à répartir les dépenses indirectes (dépenses communes) en fonction de la </w:t>
      </w:r>
      <w:r w:rsidR="00D60B83" w:rsidRPr="00656179">
        <w:rPr>
          <w:rFonts w:eastAsiaTheme="minorHAnsi"/>
          <w:color w:val="000000"/>
          <w:szCs w:val="22"/>
          <w:lang w:val="fr-FR" w:eastAsia="en-US"/>
        </w:rPr>
        <w:t>“</w:t>
      </w:r>
      <w:r w:rsidR="00605C18" w:rsidRPr="00656179">
        <w:rPr>
          <w:rFonts w:eastAsiaTheme="minorHAnsi"/>
          <w:color w:val="000000"/>
          <w:szCs w:val="22"/>
          <w:lang w:val="fr-FR" w:eastAsia="en-US"/>
        </w:rPr>
        <w:t>capacité de paiement</w:t>
      </w:r>
      <w:r w:rsidR="00D60B83" w:rsidRPr="00656179">
        <w:rPr>
          <w:rFonts w:eastAsiaTheme="minorHAnsi"/>
          <w:color w:val="000000"/>
          <w:szCs w:val="22"/>
          <w:lang w:val="fr-FR" w:eastAsia="en-US"/>
        </w:rPr>
        <w:t>”</w:t>
      </w:r>
      <w:r w:rsidR="00605C18" w:rsidRPr="00656179">
        <w:rPr>
          <w:rFonts w:eastAsiaTheme="minorHAnsi"/>
          <w:color w:val="000000"/>
          <w:szCs w:val="22"/>
          <w:lang w:val="fr-FR" w:eastAsia="en-US"/>
        </w:rPr>
        <w:t xml:space="preserve"> de chacune des unions</w:t>
      </w:r>
      <w:r w:rsidRPr="00656179">
        <w:rPr>
          <w:rFonts w:eastAsiaTheme="minorHAnsi"/>
          <w:color w:val="000000"/>
          <w:szCs w:val="22"/>
          <w:lang w:val="fr-FR" w:eastAsia="en-US"/>
        </w:rPr>
        <w:t>,</w:t>
      </w:r>
      <w:r w:rsidR="00605C18" w:rsidRPr="00656179">
        <w:rPr>
          <w:rFonts w:eastAsiaTheme="minorHAnsi"/>
          <w:color w:val="000000"/>
          <w:szCs w:val="22"/>
          <w:lang w:val="fr-FR" w:eastAsia="en-US"/>
        </w:rPr>
        <w:t xml:space="preserve"> les unions dont les résultats sont insatisfaisants ne sont pas tenues responsables de leurs dépenses indirectes</w:t>
      </w:r>
      <w:r w:rsidR="00040D6D" w:rsidRPr="00656179">
        <w:rPr>
          <w:rFonts w:eastAsiaTheme="minorHAnsi"/>
          <w:color w:val="000000"/>
          <w:szCs w:val="22"/>
          <w:lang w:val="fr-FR" w:eastAsia="en-US"/>
        </w:rPr>
        <w:t>,</w:t>
      </w:r>
      <w:r w:rsidR="00605C18" w:rsidRPr="00656179">
        <w:rPr>
          <w:rFonts w:eastAsiaTheme="minorHAnsi"/>
          <w:color w:val="000000"/>
          <w:szCs w:val="22"/>
          <w:lang w:val="fr-FR" w:eastAsia="en-US"/>
        </w:rPr>
        <w:t xml:space="preserve"> et </w:t>
      </w:r>
      <w:r w:rsidRPr="00656179">
        <w:rPr>
          <w:rFonts w:eastAsiaTheme="minorHAnsi"/>
          <w:color w:val="000000"/>
          <w:szCs w:val="22"/>
          <w:lang w:val="fr-FR" w:eastAsia="en-US"/>
        </w:rPr>
        <w:t>celles</w:t>
      </w:r>
      <w:r w:rsidR="00605C18" w:rsidRPr="00656179">
        <w:rPr>
          <w:rFonts w:eastAsiaTheme="minorHAnsi"/>
          <w:color w:val="000000"/>
          <w:szCs w:val="22"/>
          <w:lang w:val="fr-FR" w:eastAsia="en-US"/>
        </w:rPr>
        <w:t xml:space="preserve"> qui enregistrent de bons résultats, telles que les unions</w:t>
      </w:r>
      <w:r w:rsidR="007738D3" w:rsidRPr="00656179">
        <w:rPr>
          <w:rFonts w:eastAsiaTheme="minorHAnsi"/>
          <w:color w:val="000000"/>
          <w:szCs w:val="22"/>
          <w:lang w:val="fr-FR" w:eastAsia="en-US"/>
        </w:rPr>
        <w:t xml:space="preserve"> du PCT</w:t>
      </w:r>
      <w:r w:rsidR="00605C18" w:rsidRPr="00656179">
        <w:rPr>
          <w:rFonts w:eastAsiaTheme="minorHAnsi"/>
          <w:color w:val="000000"/>
          <w:szCs w:val="22"/>
          <w:lang w:val="fr-FR" w:eastAsia="en-US"/>
        </w:rPr>
        <w:t xml:space="preserve"> et de Madrid, sont </w:t>
      </w:r>
      <w:r w:rsidR="00605C18" w:rsidRPr="00656179">
        <w:rPr>
          <w:rFonts w:eastAsiaTheme="minorHAnsi"/>
          <w:color w:val="000000"/>
          <w:szCs w:val="22"/>
          <w:lang w:val="fr-FR" w:eastAsia="en-US"/>
        </w:rPr>
        <w:lastRenderedPageBreak/>
        <w:t>contraintes de verser un montant plus important pour</w:t>
      </w:r>
      <w:r w:rsidR="00040D6D" w:rsidRPr="00656179">
        <w:rPr>
          <w:rFonts w:eastAsiaTheme="minorHAnsi"/>
          <w:color w:val="000000"/>
          <w:szCs w:val="22"/>
          <w:lang w:val="fr-FR" w:eastAsia="en-US"/>
        </w:rPr>
        <w:t xml:space="preserve"> couvrir</w:t>
      </w:r>
      <w:r w:rsidR="00605C18" w:rsidRPr="00656179">
        <w:rPr>
          <w:rFonts w:eastAsiaTheme="minorHAnsi"/>
          <w:color w:val="000000"/>
          <w:szCs w:val="22"/>
          <w:lang w:val="fr-FR" w:eastAsia="en-US"/>
        </w:rPr>
        <w:t xml:space="preserve"> toutes les dépenses indirectes des unions</w:t>
      </w:r>
      <w:r w:rsidR="00605C18" w:rsidRPr="00656179">
        <w:rPr>
          <w:rStyle w:val="FootnoteReference"/>
          <w:rFonts w:eastAsiaTheme="minorHAnsi"/>
          <w:color w:val="000000"/>
          <w:szCs w:val="22"/>
          <w:lang w:val="fr-FR" w:eastAsia="en-US"/>
        </w:rPr>
        <w:footnoteReference w:id="10"/>
      </w:r>
      <w:r w:rsidR="00605C18" w:rsidRPr="00656179">
        <w:rPr>
          <w:rFonts w:eastAsiaTheme="minorHAnsi"/>
          <w:color w:val="000000"/>
          <w:szCs w:val="22"/>
          <w:lang w:val="fr-FR" w:eastAsia="en-US"/>
        </w:rPr>
        <w:t>.</w:t>
      </w:r>
      <w:r w:rsidR="00B707CF" w:rsidRPr="00656179">
        <w:rPr>
          <w:color w:val="000000"/>
          <w:szCs w:val="22"/>
          <w:lang w:val="fr-FR"/>
        </w:rPr>
        <w:t xml:space="preserve">  </w:t>
      </w:r>
      <w:r w:rsidR="00605C18" w:rsidRPr="00656179">
        <w:rPr>
          <w:rFonts w:eastAsiaTheme="minorHAnsi"/>
          <w:color w:val="000000"/>
          <w:szCs w:val="22"/>
          <w:lang w:val="fr-FR" w:eastAsia="en-US"/>
        </w:rPr>
        <w:t>Ce traitement des dépenses communes est incompatible avec les dispositions de l</w:t>
      </w:r>
      <w:r w:rsidR="007738D3" w:rsidRPr="00656179">
        <w:rPr>
          <w:rFonts w:eastAsiaTheme="minorHAnsi"/>
          <w:color w:val="000000"/>
          <w:szCs w:val="22"/>
          <w:lang w:val="fr-FR" w:eastAsia="en-US"/>
        </w:rPr>
        <w:t>’</w:t>
      </w:r>
      <w:r w:rsidR="00605C18" w:rsidRPr="00656179">
        <w:rPr>
          <w:rFonts w:eastAsiaTheme="minorHAnsi"/>
          <w:color w:val="000000"/>
          <w:szCs w:val="22"/>
          <w:lang w:val="fr-FR" w:eastAsia="en-US"/>
        </w:rPr>
        <w:t>article</w:t>
      </w:r>
      <w:r w:rsidR="00D60B83" w:rsidRPr="00656179">
        <w:rPr>
          <w:rFonts w:eastAsiaTheme="minorHAnsi"/>
          <w:color w:val="000000"/>
          <w:szCs w:val="22"/>
          <w:lang w:val="fr-FR" w:eastAsia="en-US"/>
        </w:rPr>
        <w:t> </w:t>
      </w:r>
      <w:r w:rsidR="00605C18" w:rsidRPr="00656179">
        <w:rPr>
          <w:rFonts w:eastAsiaTheme="minorHAnsi"/>
          <w:color w:val="000000"/>
          <w:szCs w:val="22"/>
          <w:lang w:val="fr-FR" w:eastAsia="en-US"/>
        </w:rPr>
        <w:t xml:space="preserve">12 </w:t>
      </w:r>
      <w:r w:rsidR="00605C18" w:rsidRPr="0002126A">
        <w:rPr>
          <w:rFonts w:eastAsiaTheme="minorHAnsi"/>
          <w:szCs w:val="22"/>
          <w:lang w:val="fr-FR" w:eastAsia="en-US"/>
        </w:rPr>
        <w:t>de l</w:t>
      </w:r>
      <w:r w:rsidR="007738D3" w:rsidRPr="0002126A">
        <w:rPr>
          <w:rFonts w:eastAsiaTheme="minorHAnsi"/>
          <w:szCs w:val="22"/>
          <w:lang w:val="fr-FR" w:eastAsia="en-US"/>
        </w:rPr>
        <w:t>’</w:t>
      </w:r>
      <w:r w:rsidR="00605C18" w:rsidRPr="0002126A">
        <w:rPr>
          <w:rFonts w:eastAsiaTheme="minorHAnsi"/>
          <w:szCs w:val="22"/>
          <w:lang w:val="fr-FR" w:eastAsia="en-US"/>
        </w:rPr>
        <w:t xml:space="preserve">Arrangement de Madrid et utilise des excédents de recettes qui devraient </w:t>
      </w:r>
      <w:r w:rsidR="00195C9D" w:rsidRPr="0002126A">
        <w:rPr>
          <w:rFonts w:eastAsiaTheme="minorHAnsi"/>
          <w:szCs w:val="22"/>
          <w:lang w:val="fr-FR" w:eastAsia="en-US"/>
        </w:rPr>
        <w:t>ê</w:t>
      </w:r>
      <w:r w:rsidR="00E41697" w:rsidRPr="0002126A">
        <w:rPr>
          <w:rFonts w:eastAsiaTheme="minorHAnsi"/>
          <w:szCs w:val="22"/>
          <w:lang w:val="fr-FR" w:eastAsia="en-US"/>
        </w:rPr>
        <w:t>tre reversé</w:t>
      </w:r>
      <w:r w:rsidR="00195C9D" w:rsidRPr="0002126A">
        <w:rPr>
          <w:rFonts w:eastAsiaTheme="minorHAnsi"/>
          <w:szCs w:val="22"/>
          <w:lang w:val="fr-FR" w:eastAsia="en-US"/>
        </w:rPr>
        <w:t>s</w:t>
      </w:r>
      <w:r w:rsidR="00605C18" w:rsidRPr="0002126A">
        <w:rPr>
          <w:rFonts w:eastAsiaTheme="minorHAnsi"/>
          <w:szCs w:val="22"/>
          <w:lang w:val="fr-FR" w:eastAsia="en-US"/>
        </w:rPr>
        <w:t xml:space="preserve"> aux parties contractantes de l</w:t>
      </w:r>
      <w:r w:rsidR="007738D3" w:rsidRPr="0002126A">
        <w:rPr>
          <w:rFonts w:eastAsiaTheme="minorHAnsi"/>
          <w:szCs w:val="22"/>
          <w:lang w:val="fr-FR" w:eastAsia="en-US"/>
        </w:rPr>
        <w:t>’</w:t>
      </w:r>
      <w:r w:rsidR="00605C18" w:rsidRPr="0002126A">
        <w:rPr>
          <w:rFonts w:eastAsiaTheme="minorHAnsi"/>
          <w:szCs w:val="22"/>
          <w:lang w:val="fr-FR" w:eastAsia="en-US"/>
        </w:rPr>
        <w:t>Union de Madrid conformément à l</w:t>
      </w:r>
      <w:r w:rsidR="007738D3" w:rsidRPr="0002126A">
        <w:rPr>
          <w:rFonts w:eastAsiaTheme="minorHAnsi"/>
          <w:szCs w:val="22"/>
          <w:lang w:val="fr-FR" w:eastAsia="en-US"/>
        </w:rPr>
        <w:t>’</w:t>
      </w:r>
      <w:r w:rsidR="00605C18" w:rsidRPr="0002126A">
        <w:rPr>
          <w:rFonts w:eastAsiaTheme="minorHAnsi"/>
          <w:szCs w:val="22"/>
          <w:lang w:val="fr-FR" w:eastAsia="en-US"/>
        </w:rPr>
        <w:t>article</w:t>
      </w:r>
      <w:r w:rsidR="00D60B83" w:rsidRPr="0002126A">
        <w:rPr>
          <w:rFonts w:eastAsiaTheme="minorHAnsi"/>
          <w:szCs w:val="22"/>
          <w:lang w:val="fr-FR" w:eastAsia="en-US"/>
        </w:rPr>
        <w:t> </w:t>
      </w:r>
      <w:r w:rsidR="00605C18" w:rsidRPr="0002126A">
        <w:rPr>
          <w:rFonts w:eastAsiaTheme="minorHAnsi"/>
          <w:szCs w:val="22"/>
          <w:lang w:val="fr-FR" w:eastAsia="en-US"/>
        </w:rPr>
        <w:t>8 au lieu de financer les dépenses indirectes et directes de l</w:t>
      </w:r>
      <w:r w:rsidR="007738D3" w:rsidRPr="0002126A">
        <w:rPr>
          <w:rFonts w:eastAsiaTheme="minorHAnsi"/>
          <w:szCs w:val="22"/>
          <w:lang w:val="fr-FR" w:eastAsia="en-US"/>
        </w:rPr>
        <w:t>’</w:t>
      </w:r>
      <w:r w:rsidR="00605C18" w:rsidRPr="0002126A">
        <w:rPr>
          <w:rFonts w:eastAsiaTheme="minorHAnsi"/>
          <w:szCs w:val="22"/>
          <w:lang w:val="fr-FR" w:eastAsia="en-US"/>
        </w:rPr>
        <w:t>Union de Lisbonne.</w:t>
      </w:r>
      <w:r w:rsidR="00B707CF" w:rsidRPr="0002126A">
        <w:rPr>
          <w:szCs w:val="22"/>
          <w:lang w:val="fr-FR"/>
        </w:rPr>
        <w:t xml:space="preserve">  </w:t>
      </w:r>
      <w:r w:rsidR="00D6321F" w:rsidRPr="0002126A">
        <w:rPr>
          <w:rFonts w:eastAsiaTheme="minorHAnsi"/>
          <w:szCs w:val="22"/>
          <w:lang w:val="fr-FR" w:eastAsia="en-US"/>
        </w:rPr>
        <w:t>L</w:t>
      </w:r>
      <w:r w:rsidR="007738D3" w:rsidRPr="0002126A">
        <w:rPr>
          <w:rFonts w:eastAsiaTheme="minorHAnsi"/>
          <w:szCs w:val="22"/>
          <w:lang w:val="fr-FR" w:eastAsia="en-US"/>
        </w:rPr>
        <w:t>’</w:t>
      </w:r>
      <w:r w:rsidR="00D6321F" w:rsidRPr="0002126A">
        <w:rPr>
          <w:rFonts w:eastAsiaTheme="minorHAnsi"/>
          <w:szCs w:val="22"/>
          <w:lang w:val="fr-FR" w:eastAsia="en-US"/>
        </w:rPr>
        <w:t>article</w:t>
      </w:r>
      <w:r w:rsidR="00D60B83" w:rsidRPr="0002126A">
        <w:rPr>
          <w:rFonts w:eastAsiaTheme="minorHAnsi"/>
          <w:szCs w:val="22"/>
          <w:lang w:val="fr-FR" w:eastAsia="en-US"/>
        </w:rPr>
        <w:t> </w:t>
      </w:r>
      <w:r w:rsidR="00D6321F" w:rsidRPr="0002126A">
        <w:rPr>
          <w:rFonts w:eastAsiaTheme="minorHAnsi"/>
          <w:szCs w:val="22"/>
          <w:lang w:val="fr-FR" w:eastAsia="en-US"/>
        </w:rPr>
        <w:t>12 de l</w:t>
      </w:r>
      <w:r w:rsidR="007738D3" w:rsidRPr="0002126A">
        <w:rPr>
          <w:rFonts w:eastAsiaTheme="minorHAnsi"/>
          <w:szCs w:val="22"/>
          <w:lang w:val="fr-FR" w:eastAsia="en-US"/>
        </w:rPr>
        <w:t>’</w:t>
      </w:r>
      <w:r w:rsidR="00D6321F" w:rsidRPr="0002126A">
        <w:rPr>
          <w:rFonts w:eastAsiaTheme="minorHAnsi"/>
          <w:szCs w:val="22"/>
          <w:lang w:val="fr-FR" w:eastAsia="en-US"/>
        </w:rPr>
        <w:t>Arrangement de Madrid dispose que l</w:t>
      </w:r>
      <w:r w:rsidR="007738D3" w:rsidRPr="0002126A">
        <w:rPr>
          <w:rFonts w:eastAsiaTheme="minorHAnsi"/>
          <w:szCs w:val="22"/>
          <w:lang w:val="fr-FR" w:eastAsia="en-US"/>
        </w:rPr>
        <w:t>’</w:t>
      </w:r>
      <w:r w:rsidR="00D6321F" w:rsidRPr="0002126A">
        <w:rPr>
          <w:rFonts w:eastAsiaTheme="minorHAnsi"/>
          <w:szCs w:val="22"/>
          <w:lang w:val="fr-FR" w:eastAsia="en-US"/>
        </w:rPr>
        <w:t xml:space="preserve">Union de Madrid contribuera aux dépenses communes aux unions, qui sont définies comme </w:t>
      </w:r>
      <w:r w:rsidR="00D60B83" w:rsidRPr="0002126A">
        <w:rPr>
          <w:rFonts w:eastAsiaTheme="minorHAnsi"/>
          <w:szCs w:val="22"/>
          <w:lang w:val="fr-FR" w:eastAsia="en-US"/>
        </w:rPr>
        <w:t>“</w:t>
      </w:r>
      <w:r w:rsidR="00D6321F" w:rsidRPr="0002126A">
        <w:rPr>
          <w:rFonts w:eastAsiaTheme="minorHAnsi"/>
          <w:szCs w:val="22"/>
          <w:lang w:val="fr-FR" w:eastAsia="en-US"/>
        </w:rPr>
        <w:t>les dépenses qui ne sont pas attribuées exclusivement à l</w:t>
      </w:r>
      <w:r w:rsidR="007738D3" w:rsidRPr="0002126A">
        <w:rPr>
          <w:rFonts w:eastAsiaTheme="minorHAnsi"/>
          <w:szCs w:val="22"/>
          <w:lang w:val="fr-FR" w:eastAsia="en-US"/>
        </w:rPr>
        <w:t>’</w:t>
      </w:r>
      <w:r w:rsidR="00D6321F" w:rsidRPr="0002126A">
        <w:rPr>
          <w:rFonts w:eastAsiaTheme="minorHAnsi"/>
          <w:szCs w:val="22"/>
          <w:lang w:val="fr-FR" w:eastAsia="en-US"/>
        </w:rPr>
        <w:t>Union particulière mais également à une ou plusieurs autres Unions administrées par l</w:t>
      </w:r>
      <w:r w:rsidR="007738D3" w:rsidRPr="0002126A">
        <w:rPr>
          <w:rFonts w:eastAsiaTheme="minorHAnsi"/>
          <w:szCs w:val="22"/>
          <w:lang w:val="fr-FR" w:eastAsia="en-US"/>
        </w:rPr>
        <w:t>’</w:t>
      </w:r>
      <w:r w:rsidR="00D6321F" w:rsidRPr="0002126A">
        <w:rPr>
          <w:rFonts w:eastAsiaTheme="minorHAnsi"/>
          <w:szCs w:val="22"/>
          <w:lang w:val="fr-FR" w:eastAsia="en-US"/>
        </w:rPr>
        <w:t>Organisation</w:t>
      </w:r>
      <w:r w:rsidR="00D60B83" w:rsidRPr="0002126A">
        <w:rPr>
          <w:rFonts w:eastAsiaTheme="minorHAnsi"/>
          <w:szCs w:val="22"/>
          <w:lang w:val="fr-FR" w:eastAsia="en-US"/>
        </w:rPr>
        <w:t>”</w:t>
      </w:r>
      <w:r w:rsidR="00D6321F" w:rsidRPr="0002126A">
        <w:rPr>
          <w:rFonts w:eastAsiaTheme="minorHAnsi"/>
          <w:szCs w:val="22"/>
          <w:lang w:val="fr-FR" w:eastAsia="en-US"/>
        </w:rPr>
        <w:t>, et précise que la part que l</w:t>
      </w:r>
      <w:r w:rsidR="007738D3" w:rsidRPr="0002126A">
        <w:rPr>
          <w:rFonts w:eastAsiaTheme="minorHAnsi"/>
          <w:szCs w:val="22"/>
          <w:lang w:val="fr-FR" w:eastAsia="en-US"/>
        </w:rPr>
        <w:t>’</w:t>
      </w:r>
      <w:r w:rsidR="00D6321F" w:rsidRPr="0002126A">
        <w:rPr>
          <w:rFonts w:eastAsiaTheme="minorHAnsi"/>
          <w:szCs w:val="22"/>
          <w:lang w:val="fr-FR" w:eastAsia="en-US"/>
        </w:rPr>
        <w:t xml:space="preserve">Union particulière devra verser sera </w:t>
      </w:r>
      <w:r w:rsidR="00D60B83" w:rsidRPr="0002126A">
        <w:rPr>
          <w:rFonts w:eastAsiaTheme="minorHAnsi"/>
          <w:szCs w:val="22"/>
          <w:lang w:val="fr-FR" w:eastAsia="en-US"/>
        </w:rPr>
        <w:t>“</w:t>
      </w:r>
      <w:r w:rsidR="00D6321F" w:rsidRPr="0002126A">
        <w:rPr>
          <w:rFonts w:eastAsiaTheme="minorHAnsi"/>
          <w:szCs w:val="22"/>
          <w:lang w:val="fr-FR" w:eastAsia="en-US"/>
        </w:rPr>
        <w:t>proportionnelle à l</w:t>
      </w:r>
      <w:r w:rsidR="007738D3" w:rsidRPr="0002126A">
        <w:rPr>
          <w:rFonts w:eastAsiaTheme="minorHAnsi"/>
          <w:szCs w:val="22"/>
          <w:lang w:val="fr-FR" w:eastAsia="en-US"/>
        </w:rPr>
        <w:t>’</w:t>
      </w:r>
      <w:r w:rsidR="00D6321F" w:rsidRPr="0002126A">
        <w:rPr>
          <w:rFonts w:eastAsiaTheme="minorHAnsi"/>
          <w:szCs w:val="22"/>
          <w:lang w:val="fr-FR" w:eastAsia="en-US"/>
        </w:rPr>
        <w:t>intérêt que ces dépenses présentent pour elle</w:t>
      </w:r>
      <w:r w:rsidR="00D60B83" w:rsidRPr="0002126A">
        <w:rPr>
          <w:rFonts w:eastAsiaTheme="minorHAnsi"/>
          <w:szCs w:val="22"/>
          <w:lang w:val="fr-FR" w:eastAsia="en-US"/>
        </w:rPr>
        <w:t>”</w:t>
      </w:r>
      <w:r w:rsidR="00D6321F" w:rsidRPr="0002126A">
        <w:rPr>
          <w:rStyle w:val="FootnoteReference"/>
          <w:rFonts w:eastAsiaTheme="minorHAnsi"/>
          <w:szCs w:val="22"/>
          <w:lang w:val="fr-FR" w:eastAsia="en-US"/>
        </w:rPr>
        <w:footnoteReference w:id="11"/>
      </w:r>
      <w:r w:rsidR="00D6321F" w:rsidRPr="0002126A">
        <w:rPr>
          <w:rFonts w:eastAsiaTheme="minorHAnsi"/>
          <w:szCs w:val="22"/>
          <w:lang w:val="fr-FR" w:eastAsia="en-US"/>
        </w:rPr>
        <w:t>.</w:t>
      </w:r>
      <w:r w:rsidR="00D60B83" w:rsidRPr="0002126A">
        <w:rPr>
          <w:rFonts w:eastAsiaTheme="minorHAnsi"/>
          <w:szCs w:val="22"/>
          <w:lang w:val="fr-FR" w:eastAsia="en-US"/>
        </w:rPr>
        <w:t xml:space="preserve"> </w:t>
      </w:r>
      <w:r w:rsidR="00D6321F" w:rsidRPr="0002126A">
        <w:rPr>
          <w:rFonts w:eastAsiaTheme="minorHAnsi"/>
          <w:szCs w:val="22"/>
          <w:lang w:val="fr-FR" w:eastAsia="en-US"/>
        </w:rPr>
        <w:t xml:space="preserve"> Néanmoins, les documents relatifs au budget emploient une définition des </w:t>
      </w:r>
      <w:r w:rsidR="00D60B83" w:rsidRPr="0002126A">
        <w:rPr>
          <w:rFonts w:eastAsiaTheme="minorHAnsi"/>
          <w:szCs w:val="22"/>
          <w:lang w:val="fr-FR" w:eastAsia="en-US"/>
        </w:rPr>
        <w:t>“</w:t>
      </w:r>
      <w:r w:rsidR="00D6321F" w:rsidRPr="0002126A">
        <w:rPr>
          <w:rFonts w:eastAsiaTheme="minorHAnsi"/>
          <w:szCs w:val="22"/>
          <w:lang w:val="fr-FR" w:eastAsia="en-US"/>
        </w:rPr>
        <w:t>dépenses communes</w:t>
      </w:r>
      <w:r w:rsidR="00D60B83" w:rsidRPr="0002126A">
        <w:rPr>
          <w:rFonts w:eastAsiaTheme="minorHAnsi"/>
          <w:szCs w:val="22"/>
          <w:lang w:val="fr-FR" w:eastAsia="en-US"/>
        </w:rPr>
        <w:t>”</w:t>
      </w:r>
      <w:r w:rsidR="00D6321F" w:rsidRPr="0002126A">
        <w:rPr>
          <w:rFonts w:eastAsiaTheme="minorHAnsi"/>
          <w:szCs w:val="22"/>
          <w:lang w:val="fr-FR" w:eastAsia="en-US"/>
        </w:rPr>
        <w:t xml:space="preserve"> pour l</w:t>
      </w:r>
      <w:r w:rsidR="007738D3" w:rsidRPr="0002126A">
        <w:rPr>
          <w:rFonts w:eastAsiaTheme="minorHAnsi"/>
          <w:szCs w:val="22"/>
          <w:lang w:val="fr-FR" w:eastAsia="en-US"/>
        </w:rPr>
        <w:t>’</w:t>
      </w:r>
      <w:r w:rsidR="00D6321F" w:rsidRPr="0002126A">
        <w:rPr>
          <w:rFonts w:eastAsiaTheme="minorHAnsi"/>
          <w:szCs w:val="22"/>
          <w:lang w:val="fr-FR" w:eastAsia="en-US"/>
        </w:rPr>
        <w:t>Union de Madrid qui est contraire aux dispositions de l</w:t>
      </w:r>
      <w:r w:rsidR="007738D3" w:rsidRPr="0002126A">
        <w:rPr>
          <w:rFonts w:eastAsiaTheme="minorHAnsi"/>
          <w:szCs w:val="22"/>
          <w:lang w:val="fr-FR" w:eastAsia="en-US"/>
        </w:rPr>
        <w:t>’</w:t>
      </w:r>
      <w:r w:rsidR="00D6321F" w:rsidRPr="0002126A">
        <w:rPr>
          <w:rFonts w:eastAsiaTheme="minorHAnsi"/>
          <w:szCs w:val="22"/>
          <w:lang w:val="fr-FR" w:eastAsia="en-US"/>
        </w:rPr>
        <w:t>article</w:t>
      </w:r>
      <w:r w:rsidR="00D60B83" w:rsidRPr="0002126A">
        <w:rPr>
          <w:rFonts w:eastAsiaTheme="minorHAnsi"/>
          <w:szCs w:val="22"/>
          <w:lang w:val="fr-FR" w:eastAsia="en-US"/>
        </w:rPr>
        <w:t> </w:t>
      </w:r>
      <w:r w:rsidR="00D6321F" w:rsidRPr="0002126A">
        <w:rPr>
          <w:rFonts w:eastAsiaTheme="minorHAnsi"/>
          <w:szCs w:val="22"/>
          <w:lang w:val="fr-FR" w:eastAsia="en-US"/>
        </w:rPr>
        <w:t>12 étant donné que les dépenses directes et indirectes de l</w:t>
      </w:r>
      <w:r w:rsidR="007738D3" w:rsidRPr="0002126A">
        <w:rPr>
          <w:rFonts w:eastAsiaTheme="minorHAnsi"/>
          <w:szCs w:val="22"/>
          <w:lang w:val="fr-FR" w:eastAsia="en-US"/>
        </w:rPr>
        <w:t>’</w:t>
      </w:r>
      <w:r w:rsidR="00D6321F" w:rsidRPr="0002126A">
        <w:rPr>
          <w:rFonts w:eastAsiaTheme="minorHAnsi"/>
          <w:szCs w:val="22"/>
          <w:lang w:val="fr-FR" w:eastAsia="en-US"/>
        </w:rPr>
        <w:t>Union de Lisbonne, qui ne peuvent pas être considérées comme une dépense commune à l</w:t>
      </w:r>
      <w:r w:rsidR="007738D3" w:rsidRPr="0002126A">
        <w:rPr>
          <w:rFonts w:eastAsiaTheme="minorHAnsi"/>
          <w:szCs w:val="22"/>
          <w:lang w:val="fr-FR" w:eastAsia="en-US"/>
        </w:rPr>
        <w:t>’</w:t>
      </w:r>
      <w:r w:rsidR="00D6321F" w:rsidRPr="0002126A">
        <w:rPr>
          <w:rFonts w:eastAsiaTheme="minorHAnsi"/>
          <w:szCs w:val="22"/>
          <w:lang w:val="fr-FR" w:eastAsia="en-US"/>
        </w:rPr>
        <w:t xml:space="preserve">Union de Madrid </w:t>
      </w:r>
      <w:r w:rsidR="00E41697" w:rsidRPr="0002126A">
        <w:rPr>
          <w:rFonts w:eastAsiaTheme="minorHAnsi"/>
          <w:szCs w:val="22"/>
          <w:lang w:val="fr-FR" w:eastAsia="en-US"/>
        </w:rPr>
        <w:t>ou</w:t>
      </w:r>
      <w:r w:rsidR="00D6321F" w:rsidRPr="0002126A">
        <w:rPr>
          <w:rFonts w:eastAsiaTheme="minorHAnsi"/>
          <w:szCs w:val="22"/>
          <w:lang w:val="fr-FR" w:eastAsia="en-US"/>
        </w:rPr>
        <w:t xml:space="preserve"> à l</w:t>
      </w:r>
      <w:r w:rsidR="007738D3" w:rsidRPr="0002126A">
        <w:rPr>
          <w:rFonts w:eastAsiaTheme="minorHAnsi"/>
          <w:szCs w:val="22"/>
          <w:lang w:val="fr-FR" w:eastAsia="en-US"/>
        </w:rPr>
        <w:t>’</w:t>
      </w:r>
      <w:r w:rsidR="00D6321F" w:rsidRPr="0002126A">
        <w:rPr>
          <w:rFonts w:eastAsiaTheme="minorHAnsi"/>
          <w:szCs w:val="22"/>
          <w:lang w:val="fr-FR" w:eastAsia="en-US"/>
        </w:rPr>
        <w:t>Union</w:t>
      </w:r>
      <w:r w:rsidR="007738D3" w:rsidRPr="0002126A">
        <w:rPr>
          <w:rFonts w:eastAsiaTheme="minorHAnsi"/>
          <w:szCs w:val="22"/>
          <w:lang w:val="fr-FR" w:eastAsia="en-US"/>
        </w:rPr>
        <w:t xml:space="preserve"> du PCT</w:t>
      </w:r>
      <w:r w:rsidR="00D6321F" w:rsidRPr="0002126A">
        <w:rPr>
          <w:rFonts w:eastAsiaTheme="minorHAnsi"/>
          <w:szCs w:val="22"/>
          <w:lang w:val="fr-FR" w:eastAsia="en-US"/>
        </w:rPr>
        <w:t xml:space="preserve">, ont été réparties presque </w:t>
      </w:r>
      <w:r w:rsidR="00E41697" w:rsidRPr="0002126A">
        <w:rPr>
          <w:rFonts w:eastAsiaTheme="minorHAnsi"/>
          <w:szCs w:val="22"/>
          <w:lang w:val="fr-FR" w:eastAsia="en-US"/>
        </w:rPr>
        <w:t>entièrement</w:t>
      </w:r>
      <w:r w:rsidR="00D6321F" w:rsidRPr="0002126A">
        <w:rPr>
          <w:rFonts w:eastAsiaTheme="minorHAnsi"/>
          <w:szCs w:val="22"/>
          <w:lang w:val="fr-FR" w:eastAsia="en-US"/>
        </w:rPr>
        <w:t xml:space="preserve"> entre ces deux</w:t>
      </w:r>
      <w:r w:rsidR="00D60B83" w:rsidRPr="0002126A">
        <w:rPr>
          <w:rFonts w:eastAsiaTheme="minorHAnsi"/>
          <w:szCs w:val="22"/>
          <w:lang w:val="fr-FR" w:eastAsia="en-US"/>
        </w:rPr>
        <w:t> </w:t>
      </w:r>
      <w:r w:rsidR="00D6321F" w:rsidRPr="0002126A">
        <w:rPr>
          <w:rFonts w:eastAsiaTheme="minorHAnsi"/>
          <w:szCs w:val="22"/>
          <w:lang w:val="fr-FR" w:eastAsia="en-US"/>
        </w:rPr>
        <w:t>unions.</w:t>
      </w:r>
      <w:r w:rsidR="00B707CF" w:rsidRPr="0002126A">
        <w:rPr>
          <w:szCs w:val="22"/>
          <w:lang w:val="fr-FR"/>
        </w:rPr>
        <w:t xml:space="preserve">  </w:t>
      </w:r>
      <w:r w:rsidR="00B47859" w:rsidRPr="0002126A">
        <w:rPr>
          <w:rFonts w:eastAsiaTheme="minorHAnsi"/>
          <w:szCs w:val="22"/>
          <w:lang w:val="fr-FR" w:eastAsia="en-US"/>
        </w:rPr>
        <w:t xml:space="preserve">(Cette pratique contraste vivement avec les liens existants entre les unions de Madrid et de </w:t>
      </w:r>
      <w:r w:rsidR="007738D3" w:rsidRPr="0002126A">
        <w:rPr>
          <w:rFonts w:eastAsiaTheme="minorHAnsi"/>
          <w:szCs w:val="22"/>
          <w:lang w:val="fr-FR" w:eastAsia="en-US"/>
        </w:rPr>
        <w:t>La Haye</w:t>
      </w:r>
      <w:r w:rsidR="00B47859" w:rsidRPr="0002126A">
        <w:rPr>
          <w:rFonts w:eastAsiaTheme="minorHAnsi"/>
          <w:szCs w:val="22"/>
          <w:lang w:val="fr-FR" w:eastAsia="en-US"/>
        </w:rPr>
        <w:t>, l</w:t>
      </w:r>
      <w:r w:rsidR="007738D3" w:rsidRPr="0002126A">
        <w:rPr>
          <w:rFonts w:eastAsiaTheme="minorHAnsi"/>
          <w:szCs w:val="22"/>
          <w:lang w:val="fr-FR" w:eastAsia="en-US"/>
        </w:rPr>
        <w:t>’</w:t>
      </w:r>
      <w:r w:rsidR="00B47859" w:rsidRPr="0002126A">
        <w:rPr>
          <w:rFonts w:eastAsiaTheme="minorHAnsi"/>
          <w:szCs w:val="22"/>
          <w:lang w:val="fr-FR" w:eastAsia="en-US"/>
        </w:rPr>
        <w:t>Union de Madrid ayant pris la décision expresse de prêter de l</w:t>
      </w:r>
      <w:r w:rsidR="007738D3" w:rsidRPr="0002126A">
        <w:rPr>
          <w:rFonts w:eastAsiaTheme="minorHAnsi"/>
          <w:szCs w:val="22"/>
          <w:lang w:val="fr-FR" w:eastAsia="en-US"/>
        </w:rPr>
        <w:t>’</w:t>
      </w:r>
      <w:r w:rsidR="00B47859" w:rsidRPr="0002126A">
        <w:rPr>
          <w:rFonts w:eastAsiaTheme="minorHAnsi"/>
          <w:szCs w:val="22"/>
          <w:lang w:val="fr-FR" w:eastAsia="en-US"/>
        </w:rPr>
        <w:t>argent à l</w:t>
      </w:r>
      <w:r w:rsidR="007738D3" w:rsidRPr="0002126A">
        <w:rPr>
          <w:rFonts w:eastAsiaTheme="minorHAnsi"/>
          <w:szCs w:val="22"/>
          <w:lang w:val="fr-FR" w:eastAsia="en-US"/>
        </w:rPr>
        <w:t>’</w:t>
      </w:r>
      <w:r w:rsidR="00B47859" w:rsidRPr="0002126A">
        <w:rPr>
          <w:rFonts w:eastAsiaTheme="minorHAnsi"/>
          <w:szCs w:val="22"/>
          <w:lang w:val="fr-FR" w:eastAsia="en-US"/>
        </w:rPr>
        <w:t xml:space="preserve">Union de </w:t>
      </w:r>
      <w:r w:rsidR="007738D3" w:rsidRPr="0002126A">
        <w:rPr>
          <w:rFonts w:eastAsiaTheme="minorHAnsi"/>
          <w:szCs w:val="22"/>
          <w:lang w:val="fr-FR" w:eastAsia="en-US"/>
        </w:rPr>
        <w:t>La Haye</w:t>
      </w:r>
      <w:r w:rsidR="00B47859" w:rsidRPr="0002126A">
        <w:rPr>
          <w:rFonts w:eastAsiaTheme="minorHAnsi"/>
          <w:szCs w:val="22"/>
          <w:lang w:val="fr-FR" w:eastAsia="en-US"/>
        </w:rPr>
        <w:t xml:space="preserve"> </w:t>
      </w:r>
      <w:r w:rsidR="00735664" w:rsidRPr="0002126A">
        <w:rPr>
          <w:rFonts w:eastAsiaTheme="minorHAnsi"/>
          <w:szCs w:val="22"/>
          <w:lang w:val="fr-FR" w:eastAsia="en-US"/>
        </w:rPr>
        <w:t xml:space="preserve">au lieu que ces recettes soient discrètement réparties </w:t>
      </w:r>
      <w:r w:rsidR="00B47859" w:rsidRPr="0002126A">
        <w:rPr>
          <w:rFonts w:eastAsiaTheme="minorHAnsi"/>
          <w:szCs w:val="22"/>
          <w:lang w:val="fr-FR" w:eastAsia="en-US"/>
        </w:rPr>
        <w:t>pour couvrir les dépenses de l</w:t>
      </w:r>
      <w:r w:rsidR="007738D3" w:rsidRPr="0002126A">
        <w:rPr>
          <w:rFonts w:eastAsiaTheme="minorHAnsi"/>
          <w:szCs w:val="22"/>
          <w:lang w:val="fr-FR" w:eastAsia="en-US"/>
        </w:rPr>
        <w:t>’</w:t>
      </w:r>
      <w:r w:rsidR="00B47859" w:rsidRPr="0002126A">
        <w:rPr>
          <w:rFonts w:eastAsiaTheme="minorHAnsi"/>
          <w:szCs w:val="22"/>
          <w:lang w:val="fr-FR" w:eastAsia="en-US"/>
        </w:rPr>
        <w:t xml:space="preserve">Union de </w:t>
      </w:r>
      <w:r w:rsidR="007738D3" w:rsidRPr="0002126A">
        <w:rPr>
          <w:rFonts w:eastAsiaTheme="minorHAnsi"/>
          <w:szCs w:val="22"/>
          <w:lang w:val="fr-FR" w:eastAsia="en-US"/>
        </w:rPr>
        <w:t>La Haye</w:t>
      </w:r>
      <w:r w:rsidR="00B47859" w:rsidRPr="0002126A">
        <w:rPr>
          <w:rFonts w:eastAsiaTheme="minorHAnsi"/>
          <w:szCs w:val="22"/>
          <w:lang w:val="fr-FR" w:eastAsia="en-US"/>
        </w:rPr>
        <w:t xml:space="preserve"> sans </w:t>
      </w:r>
      <w:r w:rsidR="00494CCF" w:rsidRPr="0002126A">
        <w:rPr>
          <w:rFonts w:eastAsiaTheme="minorHAnsi"/>
          <w:szCs w:val="22"/>
          <w:lang w:val="fr-FR" w:eastAsia="en-US"/>
        </w:rPr>
        <w:t>décision expresse à cet égard</w:t>
      </w:r>
      <w:r w:rsidR="00B47859" w:rsidRPr="0002126A">
        <w:rPr>
          <w:rFonts w:eastAsiaTheme="minorHAnsi"/>
          <w:szCs w:val="22"/>
          <w:lang w:val="fr-FR" w:eastAsia="en-US"/>
        </w:rPr>
        <w:t>, comme c</w:t>
      </w:r>
      <w:r w:rsidR="007738D3" w:rsidRPr="0002126A">
        <w:rPr>
          <w:rFonts w:eastAsiaTheme="minorHAnsi"/>
          <w:szCs w:val="22"/>
          <w:lang w:val="fr-FR" w:eastAsia="en-US"/>
        </w:rPr>
        <w:t>’</w:t>
      </w:r>
      <w:r w:rsidR="00B47859" w:rsidRPr="0002126A">
        <w:rPr>
          <w:rFonts w:eastAsiaTheme="minorHAnsi"/>
          <w:szCs w:val="22"/>
          <w:lang w:val="fr-FR" w:eastAsia="en-US"/>
        </w:rPr>
        <w:t>est le cas pour les dépenses de l</w:t>
      </w:r>
      <w:r w:rsidR="007738D3" w:rsidRPr="0002126A">
        <w:rPr>
          <w:rFonts w:eastAsiaTheme="minorHAnsi"/>
          <w:szCs w:val="22"/>
          <w:lang w:val="fr-FR" w:eastAsia="en-US"/>
        </w:rPr>
        <w:t>’</w:t>
      </w:r>
      <w:r w:rsidR="00B47859" w:rsidRPr="0002126A">
        <w:rPr>
          <w:rFonts w:eastAsiaTheme="minorHAnsi"/>
          <w:szCs w:val="22"/>
          <w:lang w:val="fr-FR" w:eastAsia="en-US"/>
        </w:rPr>
        <w:t>Union de Lisbonne.)</w:t>
      </w:r>
    </w:p>
    <w:p w:rsidR="0002126A" w:rsidRDefault="00BF093B" w:rsidP="0002126A">
      <w:pPr>
        <w:spacing w:after="200"/>
        <w:rPr>
          <w:szCs w:val="22"/>
          <w:lang w:val="fr-FR"/>
        </w:rPr>
      </w:pPr>
      <w:r w:rsidRPr="0002126A">
        <w:rPr>
          <w:rFonts w:eastAsiaTheme="minorHAnsi"/>
          <w:szCs w:val="22"/>
          <w:lang w:val="fr-FR" w:eastAsia="en-US"/>
        </w:rPr>
        <w:t xml:space="preserve">En décidant de </w:t>
      </w:r>
      <w:r w:rsidR="00743CD3" w:rsidRPr="0002126A">
        <w:rPr>
          <w:rFonts w:eastAsiaTheme="minorHAnsi"/>
          <w:szCs w:val="22"/>
          <w:lang w:val="fr-FR" w:eastAsia="en-US"/>
        </w:rPr>
        <w:t>se passer de l</w:t>
      </w:r>
      <w:r w:rsidR="007738D3" w:rsidRPr="0002126A">
        <w:rPr>
          <w:rFonts w:eastAsiaTheme="minorHAnsi"/>
          <w:szCs w:val="22"/>
          <w:lang w:val="fr-FR" w:eastAsia="en-US"/>
        </w:rPr>
        <w:t>’</w:t>
      </w:r>
      <w:r w:rsidR="00743CD3" w:rsidRPr="0002126A">
        <w:rPr>
          <w:rFonts w:eastAsiaTheme="minorHAnsi"/>
          <w:szCs w:val="22"/>
          <w:lang w:val="fr-FR" w:eastAsia="en-US"/>
        </w:rPr>
        <w:t>avis</w:t>
      </w:r>
      <w:r w:rsidRPr="0002126A">
        <w:rPr>
          <w:rFonts w:eastAsiaTheme="minorHAnsi"/>
          <w:szCs w:val="22"/>
          <w:lang w:val="fr-FR" w:eastAsia="en-US"/>
        </w:rPr>
        <w:t xml:space="preserve"> du Comité de coordination en</w:t>
      </w:r>
      <w:r w:rsidR="00D60B83" w:rsidRPr="0002126A">
        <w:rPr>
          <w:rFonts w:eastAsiaTheme="minorHAnsi"/>
          <w:szCs w:val="22"/>
          <w:lang w:val="fr-FR" w:eastAsia="en-US"/>
        </w:rPr>
        <w:t> </w:t>
      </w:r>
      <w:r w:rsidRPr="0002126A">
        <w:rPr>
          <w:rFonts w:eastAsiaTheme="minorHAnsi"/>
          <w:szCs w:val="22"/>
          <w:lang w:val="fr-FR" w:eastAsia="en-US"/>
        </w:rPr>
        <w:t>2014, les membres de l</w:t>
      </w:r>
      <w:r w:rsidR="007738D3" w:rsidRPr="0002126A">
        <w:rPr>
          <w:rFonts w:eastAsiaTheme="minorHAnsi"/>
          <w:szCs w:val="22"/>
          <w:lang w:val="fr-FR" w:eastAsia="en-US"/>
        </w:rPr>
        <w:t>’</w:t>
      </w:r>
      <w:r w:rsidR="001F2622" w:rsidRPr="0002126A">
        <w:rPr>
          <w:rFonts w:eastAsiaTheme="minorHAnsi"/>
          <w:szCs w:val="22"/>
          <w:lang w:val="fr-FR" w:eastAsia="en-US"/>
        </w:rPr>
        <w:t>Assemblée de l</w:t>
      </w:r>
      <w:r w:rsidR="007738D3" w:rsidRPr="0002126A">
        <w:rPr>
          <w:rFonts w:eastAsiaTheme="minorHAnsi"/>
          <w:szCs w:val="22"/>
          <w:lang w:val="fr-FR" w:eastAsia="en-US"/>
        </w:rPr>
        <w:t>’</w:t>
      </w:r>
      <w:r w:rsidR="001F2622" w:rsidRPr="0002126A">
        <w:rPr>
          <w:rFonts w:eastAsiaTheme="minorHAnsi"/>
          <w:szCs w:val="22"/>
          <w:lang w:val="fr-FR" w:eastAsia="en-US"/>
        </w:rPr>
        <w:t>Union de Lisbonne</w:t>
      </w:r>
      <w:r w:rsidRPr="0002126A">
        <w:rPr>
          <w:rFonts w:eastAsiaTheme="minorHAnsi"/>
          <w:szCs w:val="22"/>
          <w:lang w:val="fr-FR" w:eastAsia="en-US"/>
        </w:rPr>
        <w:t xml:space="preserve"> ont </w:t>
      </w:r>
      <w:r w:rsidR="00E9788A" w:rsidRPr="0002126A">
        <w:rPr>
          <w:rFonts w:eastAsiaTheme="minorHAnsi"/>
          <w:szCs w:val="22"/>
          <w:lang w:val="fr-FR" w:eastAsia="en-US"/>
        </w:rPr>
        <w:t>considéré</w:t>
      </w:r>
      <w:r w:rsidRPr="0002126A">
        <w:rPr>
          <w:rFonts w:eastAsiaTheme="minorHAnsi"/>
          <w:szCs w:val="22"/>
          <w:lang w:val="fr-FR" w:eastAsia="en-US"/>
        </w:rPr>
        <w:t xml:space="preserve"> que </w:t>
      </w:r>
      <w:r w:rsidR="00E9788A" w:rsidRPr="0002126A">
        <w:rPr>
          <w:rFonts w:eastAsiaTheme="minorHAnsi"/>
          <w:szCs w:val="22"/>
          <w:lang w:val="fr-FR" w:eastAsia="en-US"/>
        </w:rPr>
        <w:t>ses actes</w:t>
      </w:r>
      <w:r w:rsidRPr="0002126A">
        <w:rPr>
          <w:rFonts w:eastAsiaTheme="minorHAnsi"/>
          <w:szCs w:val="22"/>
          <w:lang w:val="fr-FR" w:eastAsia="en-US"/>
        </w:rPr>
        <w:t xml:space="preserve"> </w:t>
      </w:r>
      <w:r w:rsidRPr="0002126A">
        <w:rPr>
          <w:rFonts w:eastAsiaTheme="minorHAnsi"/>
          <w:szCs w:val="22"/>
          <w:u w:val="single"/>
          <w:lang w:val="fr-FR" w:eastAsia="en-US"/>
        </w:rPr>
        <w:t>n</w:t>
      </w:r>
      <w:r w:rsidR="007738D3" w:rsidRPr="0002126A">
        <w:rPr>
          <w:rFonts w:eastAsiaTheme="minorHAnsi"/>
          <w:szCs w:val="22"/>
          <w:u w:val="single"/>
          <w:lang w:val="fr-FR" w:eastAsia="en-US"/>
        </w:rPr>
        <w:t>’</w:t>
      </w:r>
      <w:r w:rsidRPr="0002126A">
        <w:rPr>
          <w:rFonts w:eastAsiaTheme="minorHAnsi"/>
          <w:szCs w:val="22"/>
          <w:u w:val="single"/>
          <w:lang w:val="fr-FR" w:eastAsia="en-US"/>
        </w:rPr>
        <w:t>intéressai</w:t>
      </w:r>
      <w:r w:rsidR="00E9788A" w:rsidRPr="0002126A">
        <w:rPr>
          <w:rFonts w:eastAsiaTheme="minorHAnsi"/>
          <w:szCs w:val="22"/>
          <w:u w:val="single"/>
          <w:lang w:val="fr-FR" w:eastAsia="en-US"/>
        </w:rPr>
        <w:t>en</w:t>
      </w:r>
      <w:r w:rsidRPr="0002126A">
        <w:rPr>
          <w:rFonts w:eastAsiaTheme="minorHAnsi"/>
          <w:szCs w:val="22"/>
          <w:u w:val="single"/>
          <w:lang w:val="fr-FR" w:eastAsia="en-US"/>
        </w:rPr>
        <w:t>t pas</w:t>
      </w:r>
      <w:r w:rsidRPr="0002126A">
        <w:rPr>
          <w:rFonts w:eastAsiaTheme="minorHAnsi"/>
          <w:szCs w:val="22"/>
          <w:lang w:val="fr-FR" w:eastAsia="en-US"/>
        </w:rPr>
        <w:t xml:space="preserve"> les autres unions</w:t>
      </w:r>
      <w:r w:rsidRPr="0002126A">
        <w:rPr>
          <w:rStyle w:val="FootnoteReference"/>
          <w:rFonts w:eastAsiaTheme="minorHAnsi"/>
          <w:szCs w:val="22"/>
          <w:lang w:val="fr-FR" w:eastAsia="en-US"/>
        </w:rPr>
        <w:footnoteReference w:id="12"/>
      </w:r>
      <w:r w:rsidRPr="0002126A">
        <w:rPr>
          <w:rFonts w:eastAsiaTheme="minorHAnsi"/>
          <w:szCs w:val="22"/>
          <w:lang w:val="fr-FR" w:eastAsia="en-US"/>
        </w:rPr>
        <w:t>.</w:t>
      </w:r>
      <w:r w:rsidR="00B707CF" w:rsidRPr="0002126A">
        <w:rPr>
          <w:szCs w:val="22"/>
          <w:lang w:val="fr-FR"/>
        </w:rPr>
        <w:t xml:space="preserve">  </w:t>
      </w:r>
      <w:r w:rsidR="00D134CC" w:rsidRPr="0002126A">
        <w:rPr>
          <w:rFonts w:eastAsiaTheme="minorHAnsi"/>
          <w:szCs w:val="22"/>
          <w:lang w:val="fr-FR" w:eastAsia="en-US"/>
        </w:rPr>
        <w:t>L</w:t>
      </w:r>
      <w:r w:rsidR="007738D3" w:rsidRPr="0002126A">
        <w:rPr>
          <w:rFonts w:eastAsiaTheme="minorHAnsi"/>
          <w:szCs w:val="22"/>
          <w:lang w:val="fr-FR" w:eastAsia="en-US"/>
        </w:rPr>
        <w:t>’</w:t>
      </w:r>
      <w:r w:rsidR="00D134CC" w:rsidRPr="0002126A">
        <w:rPr>
          <w:rFonts w:eastAsiaTheme="minorHAnsi"/>
          <w:szCs w:val="22"/>
          <w:lang w:val="fr-FR" w:eastAsia="en-US"/>
        </w:rPr>
        <w:t xml:space="preserve">Union de Lisbonne ne peut pas, à présent, adopter une position contraire simplement </w:t>
      </w:r>
      <w:r w:rsidR="00E9788A" w:rsidRPr="0002126A">
        <w:rPr>
          <w:rFonts w:eastAsiaTheme="minorHAnsi"/>
          <w:szCs w:val="22"/>
          <w:lang w:val="fr-FR" w:eastAsia="en-US"/>
        </w:rPr>
        <w:t>dans le but de</w:t>
      </w:r>
      <w:r w:rsidR="00D134CC" w:rsidRPr="0002126A">
        <w:rPr>
          <w:rFonts w:eastAsiaTheme="minorHAnsi"/>
          <w:szCs w:val="22"/>
          <w:lang w:val="fr-FR" w:eastAsia="en-US"/>
        </w:rPr>
        <w:t xml:space="preserve"> percevoir les excédents de recettes dégagés par l</w:t>
      </w:r>
      <w:r w:rsidR="007738D3" w:rsidRPr="0002126A">
        <w:rPr>
          <w:rFonts w:eastAsiaTheme="minorHAnsi"/>
          <w:szCs w:val="22"/>
          <w:lang w:val="fr-FR" w:eastAsia="en-US"/>
        </w:rPr>
        <w:t>’</w:t>
      </w:r>
      <w:r w:rsidR="00D134CC" w:rsidRPr="0002126A">
        <w:rPr>
          <w:rFonts w:eastAsiaTheme="minorHAnsi"/>
          <w:szCs w:val="22"/>
          <w:lang w:val="fr-FR" w:eastAsia="en-US"/>
        </w:rPr>
        <w:t>Union de Madrid.</w:t>
      </w:r>
      <w:r w:rsidR="00B707CF" w:rsidRPr="0002126A">
        <w:rPr>
          <w:szCs w:val="22"/>
          <w:lang w:val="fr-FR"/>
        </w:rPr>
        <w:t xml:space="preserve">  </w:t>
      </w:r>
    </w:p>
    <w:p w:rsidR="0002126A" w:rsidRDefault="0002126A">
      <w:pPr>
        <w:rPr>
          <w:szCs w:val="22"/>
          <w:lang w:val="fr-FR"/>
        </w:rPr>
      </w:pPr>
      <w:r>
        <w:rPr>
          <w:szCs w:val="22"/>
          <w:lang w:val="fr-FR"/>
        </w:rPr>
        <w:br w:type="page"/>
      </w:r>
    </w:p>
    <w:p w:rsidR="007738D3" w:rsidRPr="00656179" w:rsidRDefault="00D134CC" w:rsidP="0002126A">
      <w:pPr>
        <w:spacing w:after="200"/>
        <w:rPr>
          <w:rFonts w:eastAsiaTheme="minorHAnsi"/>
          <w:szCs w:val="22"/>
          <w:lang w:val="fr-FR" w:eastAsia="en-US"/>
        </w:rPr>
      </w:pPr>
      <w:r w:rsidRPr="0002126A">
        <w:rPr>
          <w:rFonts w:eastAsiaTheme="minorHAnsi"/>
          <w:szCs w:val="22"/>
          <w:lang w:val="fr-FR" w:eastAsia="en-US"/>
        </w:rPr>
        <w:lastRenderedPageBreak/>
        <w:t>En vertu de l</w:t>
      </w:r>
      <w:r w:rsidR="007738D3" w:rsidRPr="0002126A">
        <w:rPr>
          <w:rFonts w:eastAsiaTheme="minorHAnsi"/>
          <w:szCs w:val="22"/>
          <w:lang w:val="fr-FR" w:eastAsia="en-US"/>
        </w:rPr>
        <w:t>’</w:t>
      </w:r>
      <w:r w:rsidRPr="0002126A">
        <w:rPr>
          <w:rFonts w:eastAsiaTheme="minorHAnsi"/>
          <w:szCs w:val="22"/>
          <w:lang w:val="fr-FR" w:eastAsia="en-US"/>
        </w:rPr>
        <w:t>article</w:t>
      </w:r>
      <w:r w:rsidR="00D60B83" w:rsidRPr="0002126A">
        <w:rPr>
          <w:rFonts w:eastAsiaTheme="minorHAnsi"/>
          <w:szCs w:val="22"/>
          <w:lang w:val="fr-FR" w:eastAsia="en-US"/>
        </w:rPr>
        <w:t> </w:t>
      </w:r>
      <w:r w:rsidRPr="0002126A">
        <w:rPr>
          <w:rFonts w:eastAsiaTheme="minorHAnsi"/>
          <w:szCs w:val="22"/>
          <w:lang w:val="fr-FR" w:eastAsia="en-US"/>
        </w:rPr>
        <w:t>8.4) de l</w:t>
      </w:r>
      <w:r w:rsidR="007738D3" w:rsidRPr="0002126A">
        <w:rPr>
          <w:rFonts w:eastAsiaTheme="minorHAnsi"/>
          <w:szCs w:val="22"/>
          <w:lang w:val="fr-FR" w:eastAsia="en-US"/>
        </w:rPr>
        <w:t>’</w:t>
      </w:r>
      <w:r w:rsidRPr="0002126A">
        <w:rPr>
          <w:rFonts w:eastAsiaTheme="minorHAnsi"/>
          <w:szCs w:val="22"/>
          <w:lang w:val="fr-FR" w:eastAsia="en-US"/>
        </w:rPr>
        <w:t>Arrangement de Madrid, c</w:t>
      </w:r>
      <w:r w:rsidRPr="00656179">
        <w:rPr>
          <w:rFonts w:eastAsiaTheme="minorHAnsi"/>
          <w:color w:val="000000"/>
          <w:szCs w:val="22"/>
          <w:lang w:val="fr-FR" w:eastAsia="en-US"/>
        </w:rPr>
        <w:t>es excédents de recettes devraient être répartis entre les parties contractantes</w:t>
      </w:r>
      <w:r w:rsidRPr="00656179">
        <w:rPr>
          <w:rStyle w:val="FootnoteReference"/>
          <w:rFonts w:eastAsiaTheme="minorHAnsi"/>
          <w:color w:val="000000"/>
          <w:szCs w:val="22"/>
          <w:lang w:val="fr-FR" w:eastAsia="en-US"/>
        </w:rPr>
        <w:footnoteReference w:id="13"/>
      </w:r>
      <w:r w:rsidRPr="00656179">
        <w:rPr>
          <w:rFonts w:eastAsiaTheme="minorHAnsi"/>
          <w:color w:val="000000"/>
          <w:szCs w:val="22"/>
          <w:lang w:val="fr-FR" w:eastAsia="en-US"/>
        </w:rPr>
        <w:t>.</w:t>
      </w:r>
    </w:p>
    <w:p w:rsidR="007738D3" w:rsidRPr="00656179" w:rsidRDefault="00425156" w:rsidP="0002126A">
      <w:pPr>
        <w:spacing w:after="200"/>
        <w:rPr>
          <w:rFonts w:eastAsiaTheme="minorHAnsi"/>
          <w:szCs w:val="22"/>
          <w:lang w:val="fr-FR" w:eastAsia="en-US"/>
        </w:rPr>
      </w:pPr>
      <w:r w:rsidRPr="00656179">
        <w:rPr>
          <w:rFonts w:eastAsiaTheme="minorHAnsi"/>
          <w:color w:val="000000"/>
          <w:szCs w:val="22"/>
          <w:lang w:val="fr-FR" w:eastAsia="en-US"/>
        </w:rPr>
        <w:t xml:space="preserve">Enfin, une grande partie des montants censés entrer dans les </w:t>
      </w:r>
      <w:r w:rsidR="00D60B83" w:rsidRPr="00656179">
        <w:rPr>
          <w:rFonts w:eastAsiaTheme="minorHAnsi"/>
          <w:color w:val="000000"/>
          <w:szCs w:val="22"/>
          <w:lang w:val="fr-FR" w:eastAsia="en-US"/>
        </w:rPr>
        <w:t>“</w:t>
      </w:r>
      <w:r w:rsidRPr="00656179">
        <w:rPr>
          <w:rFonts w:eastAsiaTheme="minorHAnsi"/>
          <w:color w:val="000000"/>
          <w:szCs w:val="22"/>
          <w:lang w:val="fr-FR" w:eastAsia="en-US"/>
        </w:rPr>
        <w:t>recettes</w:t>
      </w:r>
      <w:r w:rsidR="00D60B83" w:rsidRPr="00656179">
        <w:rPr>
          <w:rFonts w:eastAsiaTheme="minorHAnsi"/>
          <w:color w:val="000000"/>
          <w:szCs w:val="22"/>
          <w:lang w:val="fr-FR" w:eastAsia="en-US"/>
        </w:rPr>
        <w:t>”</w:t>
      </w:r>
      <w:r w:rsidRPr="00656179">
        <w:rPr>
          <w:rFonts w:eastAsiaTheme="minorHAnsi"/>
          <w:color w:val="000000"/>
          <w:szCs w:val="22"/>
          <w:lang w:val="fr-FR" w:eastAsia="en-US"/>
        </w:rPr>
        <w:t xml:space="preserve"> de l</w:t>
      </w:r>
      <w:r w:rsidR="007738D3" w:rsidRPr="00656179">
        <w:rPr>
          <w:rFonts w:eastAsiaTheme="minorHAnsi"/>
          <w:color w:val="000000"/>
          <w:szCs w:val="22"/>
          <w:lang w:val="fr-FR" w:eastAsia="en-US"/>
        </w:rPr>
        <w:t>’</w:t>
      </w:r>
      <w:r w:rsidRPr="00656179">
        <w:rPr>
          <w:rFonts w:eastAsiaTheme="minorHAnsi"/>
          <w:color w:val="000000"/>
          <w:szCs w:val="22"/>
          <w:lang w:val="fr-FR" w:eastAsia="en-US"/>
        </w:rPr>
        <w:t xml:space="preserve">Union de Lisbonne ne provient pas des taxes mais de </w:t>
      </w:r>
      <w:r w:rsidR="00D60B83" w:rsidRPr="00656179">
        <w:rPr>
          <w:rFonts w:eastAsiaTheme="minorHAnsi"/>
          <w:color w:val="000000"/>
          <w:szCs w:val="22"/>
          <w:lang w:val="fr-FR" w:eastAsia="en-US"/>
        </w:rPr>
        <w:t>“</w:t>
      </w:r>
      <w:r w:rsidRPr="00656179">
        <w:rPr>
          <w:rFonts w:eastAsiaTheme="minorHAnsi"/>
          <w:color w:val="000000"/>
          <w:szCs w:val="22"/>
          <w:lang w:val="fr-FR" w:eastAsia="en-US"/>
        </w:rPr>
        <w:t>recettes diverses</w:t>
      </w:r>
      <w:r w:rsidR="00D60B83" w:rsidRPr="00656179">
        <w:rPr>
          <w:rFonts w:eastAsiaTheme="minorHAnsi"/>
          <w:color w:val="000000"/>
          <w:szCs w:val="22"/>
          <w:lang w:val="fr-FR" w:eastAsia="en-US"/>
        </w:rPr>
        <w:t>”.</w:t>
      </w:r>
      <w:r w:rsidR="00B707CF" w:rsidRPr="00656179">
        <w:rPr>
          <w:color w:val="000000"/>
          <w:szCs w:val="22"/>
          <w:lang w:val="fr-FR"/>
        </w:rPr>
        <w:t xml:space="preserve">  </w:t>
      </w:r>
      <w:r w:rsidRPr="00656179">
        <w:rPr>
          <w:rFonts w:eastAsiaTheme="minorHAnsi"/>
          <w:color w:val="000000"/>
          <w:szCs w:val="22"/>
          <w:lang w:val="fr-FR" w:eastAsia="en-US"/>
        </w:rPr>
        <w:t>Nous croyons comprendre que les recettes diverses sont pour la plupart issues des loyers versés par l</w:t>
      </w:r>
      <w:r w:rsidR="007738D3" w:rsidRPr="00656179">
        <w:rPr>
          <w:rFonts w:eastAsiaTheme="minorHAnsi"/>
          <w:color w:val="000000"/>
          <w:szCs w:val="22"/>
          <w:lang w:val="fr-FR" w:eastAsia="en-US"/>
        </w:rPr>
        <w:t>’</w:t>
      </w:r>
      <w:r w:rsidRPr="00656179">
        <w:rPr>
          <w:rFonts w:eastAsiaTheme="minorHAnsi"/>
          <w:color w:val="000000"/>
          <w:szCs w:val="22"/>
          <w:lang w:val="fr-FR" w:eastAsia="en-US"/>
        </w:rPr>
        <w:t>UPOV pour l</w:t>
      </w:r>
      <w:r w:rsidR="007738D3" w:rsidRPr="00656179">
        <w:rPr>
          <w:rFonts w:eastAsiaTheme="minorHAnsi"/>
          <w:color w:val="000000"/>
          <w:szCs w:val="22"/>
          <w:lang w:val="fr-FR" w:eastAsia="en-US"/>
        </w:rPr>
        <w:t>’</w:t>
      </w:r>
      <w:r w:rsidRPr="00656179">
        <w:rPr>
          <w:rFonts w:eastAsiaTheme="minorHAnsi"/>
          <w:color w:val="000000"/>
          <w:szCs w:val="22"/>
          <w:lang w:val="fr-FR" w:eastAsia="en-US"/>
        </w:rPr>
        <w:t>utilisation du bâtiment principal de l</w:t>
      </w:r>
      <w:r w:rsidR="007738D3" w:rsidRPr="00656179">
        <w:rPr>
          <w:rFonts w:eastAsiaTheme="minorHAnsi"/>
          <w:color w:val="000000"/>
          <w:szCs w:val="22"/>
          <w:lang w:val="fr-FR" w:eastAsia="en-US"/>
        </w:rPr>
        <w:t>’</w:t>
      </w:r>
      <w:r w:rsidRPr="00656179">
        <w:rPr>
          <w:rFonts w:eastAsiaTheme="minorHAnsi"/>
          <w:color w:val="000000"/>
          <w:szCs w:val="22"/>
          <w:lang w:val="fr-FR" w:eastAsia="en-US"/>
        </w:rPr>
        <w:t>OMPI.</w:t>
      </w:r>
      <w:r w:rsidR="00B707CF" w:rsidRPr="00656179">
        <w:rPr>
          <w:color w:val="000000"/>
          <w:szCs w:val="22"/>
          <w:lang w:val="fr-FR"/>
        </w:rPr>
        <w:t xml:space="preserve">  </w:t>
      </w:r>
      <w:r w:rsidRPr="00656179">
        <w:rPr>
          <w:rFonts w:eastAsiaTheme="minorHAnsi"/>
          <w:color w:val="000000"/>
          <w:szCs w:val="22"/>
          <w:lang w:val="fr-FR" w:eastAsia="en-US"/>
        </w:rPr>
        <w:t xml:space="preserve">Dans de nombreux rapports sur les propositions de programme et budget, le Secrétariat a divisé le montant de ces </w:t>
      </w:r>
      <w:r w:rsidR="00D60B83" w:rsidRPr="00656179">
        <w:rPr>
          <w:rFonts w:eastAsiaTheme="minorHAnsi"/>
          <w:color w:val="000000"/>
          <w:szCs w:val="22"/>
          <w:lang w:val="fr-FR" w:eastAsia="en-US"/>
        </w:rPr>
        <w:t>“</w:t>
      </w:r>
      <w:r w:rsidRPr="00656179">
        <w:rPr>
          <w:rFonts w:eastAsiaTheme="minorHAnsi"/>
          <w:color w:val="000000"/>
          <w:szCs w:val="22"/>
          <w:lang w:val="fr-FR" w:eastAsia="en-US"/>
        </w:rPr>
        <w:t>recettes</w:t>
      </w:r>
      <w:r w:rsidR="00D60B83" w:rsidRPr="00656179">
        <w:rPr>
          <w:rFonts w:eastAsiaTheme="minorHAnsi"/>
          <w:color w:val="000000"/>
          <w:szCs w:val="22"/>
          <w:lang w:val="fr-FR" w:eastAsia="en-US"/>
        </w:rPr>
        <w:t>”</w:t>
      </w:r>
      <w:r w:rsidRPr="00656179">
        <w:rPr>
          <w:rFonts w:eastAsiaTheme="minorHAnsi"/>
          <w:color w:val="000000"/>
          <w:szCs w:val="22"/>
          <w:lang w:val="fr-FR" w:eastAsia="en-US"/>
        </w:rPr>
        <w:t xml:space="preserve"> en parts égales entre toutes les unions</w:t>
      </w:r>
      <w:r w:rsidR="0078340D" w:rsidRPr="00656179">
        <w:rPr>
          <w:rFonts w:eastAsiaTheme="minorHAnsi"/>
          <w:color w:val="000000"/>
          <w:szCs w:val="22"/>
          <w:lang w:val="fr-FR" w:eastAsia="en-US"/>
        </w:rPr>
        <w:t xml:space="preserve">. </w:t>
      </w:r>
      <w:r w:rsidR="00B707CF" w:rsidRPr="00656179">
        <w:rPr>
          <w:rFonts w:eastAsiaTheme="minorHAnsi"/>
          <w:szCs w:val="22"/>
          <w:lang w:val="fr-FR" w:eastAsia="en-US"/>
        </w:rPr>
        <w:t xml:space="preserve"> </w:t>
      </w:r>
      <w:r w:rsidRPr="00656179">
        <w:rPr>
          <w:rFonts w:eastAsiaTheme="minorHAnsi"/>
          <w:color w:val="000000"/>
          <w:szCs w:val="22"/>
          <w:lang w:val="fr-FR" w:eastAsia="en-US"/>
        </w:rPr>
        <w:t>Nous contestons l</w:t>
      </w:r>
      <w:r w:rsidR="007738D3" w:rsidRPr="00656179">
        <w:rPr>
          <w:rFonts w:eastAsiaTheme="minorHAnsi"/>
          <w:color w:val="000000"/>
          <w:szCs w:val="22"/>
          <w:lang w:val="fr-FR" w:eastAsia="en-US"/>
        </w:rPr>
        <w:t>’</w:t>
      </w:r>
      <w:r w:rsidRPr="00656179">
        <w:rPr>
          <w:rFonts w:eastAsiaTheme="minorHAnsi"/>
          <w:color w:val="000000"/>
          <w:szCs w:val="22"/>
          <w:lang w:val="fr-FR" w:eastAsia="en-US"/>
        </w:rPr>
        <w:t>équité de cette répartition étant donné que le bâtiment qui génère ces recettes n</w:t>
      </w:r>
      <w:r w:rsidR="007738D3" w:rsidRPr="00656179">
        <w:rPr>
          <w:rFonts w:eastAsiaTheme="minorHAnsi"/>
          <w:color w:val="000000"/>
          <w:szCs w:val="22"/>
          <w:lang w:val="fr-FR" w:eastAsia="en-US"/>
        </w:rPr>
        <w:t>’</w:t>
      </w:r>
      <w:r w:rsidRPr="00656179">
        <w:rPr>
          <w:rFonts w:eastAsiaTheme="minorHAnsi"/>
          <w:color w:val="000000"/>
          <w:szCs w:val="22"/>
          <w:lang w:val="fr-FR" w:eastAsia="en-US"/>
        </w:rPr>
        <w:t>a pas été payé par l</w:t>
      </w:r>
      <w:r w:rsidR="007738D3" w:rsidRPr="00656179">
        <w:rPr>
          <w:rFonts w:eastAsiaTheme="minorHAnsi"/>
          <w:color w:val="000000"/>
          <w:szCs w:val="22"/>
          <w:lang w:val="fr-FR" w:eastAsia="en-US"/>
        </w:rPr>
        <w:t>’</w:t>
      </w:r>
      <w:r w:rsidRPr="00656179">
        <w:rPr>
          <w:rFonts w:eastAsiaTheme="minorHAnsi"/>
          <w:color w:val="000000"/>
          <w:szCs w:val="22"/>
          <w:lang w:val="fr-FR" w:eastAsia="en-US"/>
        </w:rPr>
        <w:t>Union de Lisbonne mais par l</w:t>
      </w:r>
      <w:r w:rsidR="007738D3" w:rsidRPr="00656179">
        <w:rPr>
          <w:rFonts w:eastAsiaTheme="minorHAnsi"/>
          <w:color w:val="000000"/>
          <w:szCs w:val="22"/>
          <w:lang w:val="fr-FR" w:eastAsia="en-US"/>
        </w:rPr>
        <w:t>’</w:t>
      </w:r>
      <w:r w:rsidRPr="00656179">
        <w:rPr>
          <w:rFonts w:eastAsiaTheme="minorHAnsi"/>
          <w:color w:val="000000"/>
          <w:szCs w:val="22"/>
          <w:lang w:val="fr-FR" w:eastAsia="en-US"/>
        </w:rPr>
        <w:t>Union</w:t>
      </w:r>
      <w:r w:rsidR="007738D3" w:rsidRPr="00656179">
        <w:rPr>
          <w:rFonts w:eastAsiaTheme="minorHAnsi"/>
          <w:color w:val="000000"/>
          <w:szCs w:val="22"/>
          <w:lang w:val="fr-FR" w:eastAsia="en-US"/>
        </w:rPr>
        <w:t xml:space="preserve"> du PCT</w:t>
      </w:r>
      <w:r w:rsidRPr="00656179">
        <w:rPr>
          <w:rFonts w:eastAsiaTheme="minorHAnsi"/>
          <w:color w:val="000000"/>
          <w:szCs w:val="22"/>
          <w:lang w:val="fr-FR" w:eastAsia="en-US"/>
        </w:rPr>
        <w:t xml:space="preserve"> et d</w:t>
      </w:r>
      <w:r w:rsidR="007738D3" w:rsidRPr="00656179">
        <w:rPr>
          <w:rFonts w:eastAsiaTheme="minorHAnsi"/>
          <w:color w:val="000000"/>
          <w:szCs w:val="22"/>
          <w:lang w:val="fr-FR" w:eastAsia="en-US"/>
        </w:rPr>
        <w:t>’</w:t>
      </w:r>
      <w:r w:rsidRPr="00656179">
        <w:rPr>
          <w:rFonts w:eastAsiaTheme="minorHAnsi"/>
          <w:color w:val="000000"/>
          <w:szCs w:val="22"/>
          <w:lang w:val="fr-FR" w:eastAsia="en-US"/>
        </w:rPr>
        <w:t xml:space="preserve">autres unions, </w:t>
      </w:r>
      <w:r w:rsidR="00774F78" w:rsidRPr="00656179">
        <w:rPr>
          <w:rFonts w:eastAsiaTheme="minorHAnsi"/>
          <w:color w:val="000000"/>
          <w:szCs w:val="22"/>
          <w:lang w:val="fr-FR" w:eastAsia="en-US"/>
        </w:rPr>
        <w:t>en</w:t>
      </w:r>
      <w:r w:rsidRPr="00656179">
        <w:rPr>
          <w:rFonts w:eastAsiaTheme="minorHAnsi"/>
          <w:color w:val="000000"/>
          <w:szCs w:val="22"/>
          <w:lang w:val="fr-FR" w:eastAsia="en-US"/>
        </w:rPr>
        <w:t xml:space="preserve"> part</w:t>
      </w:r>
      <w:r w:rsidR="00ED5219" w:rsidRPr="00656179">
        <w:rPr>
          <w:rFonts w:eastAsiaTheme="minorHAnsi"/>
          <w:color w:val="000000"/>
          <w:szCs w:val="22"/>
          <w:lang w:val="fr-FR" w:eastAsia="en-US"/>
        </w:rPr>
        <w:t xml:space="preserve">s </w:t>
      </w:r>
      <w:r w:rsidRPr="00656179">
        <w:rPr>
          <w:rFonts w:eastAsiaTheme="minorHAnsi"/>
          <w:color w:val="000000"/>
          <w:szCs w:val="22"/>
          <w:lang w:val="fr-FR" w:eastAsia="en-US"/>
        </w:rPr>
        <w:t>inégales.</w:t>
      </w:r>
      <w:r w:rsidR="00B707CF" w:rsidRPr="00656179">
        <w:rPr>
          <w:color w:val="000000"/>
          <w:szCs w:val="22"/>
          <w:lang w:val="fr-FR"/>
        </w:rPr>
        <w:t xml:space="preserve">  </w:t>
      </w:r>
      <w:r w:rsidR="001F4126" w:rsidRPr="00656179">
        <w:rPr>
          <w:rFonts w:eastAsiaTheme="minorHAnsi"/>
          <w:color w:val="000000"/>
          <w:szCs w:val="22"/>
          <w:lang w:val="fr-FR" w:eastAsia="en-US"/>
        </w:rPr>
        <w:t>Le fait que l</w:t>
      </w:r>
      <w:r w:rsidR="007738D3" w:rsidRPr="00656179">
        <w:rPr>
          <w:rFonts w:eastAsiaTheme="minorHAnsi"/>
          <w:color w:val="000000"/>
          <w:szCs w:val="22"/>
          <w:lang w:val="fr-FR" w:eastAsia="en-US"/>
        </w:rPr>
        <w:t>’</w:t>
      </w:r>
      <w:r w:rsidR="001F4126" w:rsidRPr="00656179">
        <w:rPr>
          <w:rFonts w:eastAsiaTheme="minorHAnsi"/>
          <w:color w:val="000000"/>
          <w:szCs w:val="22"/>
          <w:lang w:val="fr-FR" w:eastAsia="en-US"/>
        </w:rPr>
        <w:t xml:space="preserve">Union de Madrid reçoive une part plus importante des </w:t>
      </w:r>
      <w:r w:rsidR="00D60B83" w:rsidRPr="00656179">
        <w:rPr>
          <w:rFonts w:eastAsiaTheme="minorHAnsi"/>
          <w:color w:val="000000"/>
          <w:szCs w:val="22"/>
          <w:lang w:val="fr-FR" w:eastAsia="en-US"/>
        </w:rPr>
        <w:t>“</w:t>
      </w:r>
      <w:r w:rsidR="001F4126" w:rsidRPr="00656179">
        <w:rPr>
          <w:rFonts w:eastAsiaTheme="minorHAnsi"/>
          <w:color w:val="000000"/>
          <w:szCs w:val="22"/>
          <w:lang w:val="fr-FR" w:eastAsia="en-US"/>
        </w:rPr>
        <w:t>autres recettes</w:t>
      </w:r>
      <w:r w:rsidR="00D60B83" w:rsidRPr="00656179">
        <w:rPr>
          <w:rFonts w:eastAsiaTheme="minorHAnsi"/>
          <w:color w:val="000000"/>
          <w:szCs w:val="22"/>
          <w:lang w:val="fr-FR" w:eastAsia="en-US"/>
        </w:rPr>
        <w:t>”</w:t>
      </w:r>
      <w:r w:rsidR="001F4126" w:rsidRPr="00656179">
        <w:rPr>
          <w:rFonts w:eastAsiaTheme="minorHAnsi"/>
          <w:color w:val="000000"/>
          <w:szCs w:val="22"/>
          <w:lang w:val="fr-FR" w:eastAsia="en-US"/>
        </w:rPr>
        <w:t xml:space="preserve"> que les autres unions</w:t>
      </w:r>
      <w:r w:rsidR="00061B7C">
        <w:rPr>
          <w:rFonts w:eastAsiaTheme="minorHAnsi"/>
          <w:color w:val="000000"/>
          <w:szCs w:val="22"/>
          <w:lang w:val="fr-FR" w:eastAsia="en-US"/>
        </w:rPr>
        <w:t>,</w:t>
      </w:r>
      <w:r w:rsidR="001F4126" w:rsidRPr="00656179">
        <w:rPr>
          <w:rFonts w:eastAsiaTheme="minorHAnsi"/>
          <w:color w:val="000000"/>
          <w:szCs w:val="22"/>
          <w:lang w:val="fr-FR" w:eastAsia="en-US"/>
        </w:rPr>
        <w:t xml:space="preserve"> étant donné que ses fonds ont été utilisés pour acheter le bâtiment de Meyrin</w:t>
      </w:r>
      <w:r w:rsidR="00061B7C">
        <w:rPr>
          <w:rFonts w:eastAsiaTheme="minorHAnsi"/>
          <w:color w:val="000000"/>
          <w:szCs w:val="22"/>
          <w:lang w:val="fr-FR" w:eastAsia="en-US"/>
        </w:rPr>
        <w:t>,</w:t>
      </w:r>
      <w:r w:rsidR="001F4126" w:rsidRPr="00656179">
        <w:rPr>
          <w:rFonts w:eastAsiaTheme="minorHAnsi"/>
          <w:color w:val="000000"/>
          <w:szCs w:val="22"/>
          <w:lang w:val="fr-FR" w:eastAsia="en-US"/>
        </w:rPr>
        <w:t xml:space="preserve"> renforce le principe selon lequel les unions ne devraient pas recevoir des parts égales de ces </w:t>
      </w:r>
      <w:r w:rsidR="00D60B83" w:rsidRPr="00656179">
        <w:rPr>
          <w:rFonts w:eastAsiaTheme="minorHAnsi"/>
          <w:color w:val="000000"/>
          <w:szCs w:val="22"/>
          <w:lang w:val="fr-FR" w:eastAsia="en-US"/>
        </w:rPr>
        <w:t>“</w:t>
      </w:r>
      <w:r w:rsidR="001F4126" w:rsidRPr="00656179">
        <w:rPr>
          <w:rFonts w:eastAsiaTheme="minorHAnsi"/>
          <w:color w:val="000000"/>
          <w:szCs w:val="22"/>
          <w:lang w:val="fr-FR" w:eastAsia="en-US"/>
        </w:rPr>
        <w:t>autres recettes</w:t>
      </w:r>
      <w:r w:rsidR="00D60B83" w:rsidRPr="00656179">
        <w:rPr>
          <w:rFonts w:eastAsiaTheme="minorHAnsi"/>
          <w:color w:val="000000"/>
          <w:szCs w:val="22"/>
          <w:lang w:val="fr-FR" w:eastAsia="en-US"/>
        </w:rPr>
        <w:t>”</w:t>
      </w:r>
      <w:r w:rsidR="001F4126" w:rsidRPr="00656179">
        <w:rPr>
          <w:rFonts w:eastAsiaTheme="minorHAnsi"/>
          <w:color w:val="000000"/>
          <w:szCs w:val="22"/>
          <w:lang w:val="fr-FR" w:eastAsia="en-US"/>
        </w:rPr>
        <w:t>.</w:t>
      </w:r>
    </w:p>
    <w:p w:rsidR="007738D3" w:rsidRPr="00656179" w:rsidRDefault="009C2C86" w:rsidP="0002126A">
      <w:pPr>
        <w:spacing w:after="200"/>
        <w:rPr>
          <w:rFonts w:eastAsiaTheme="minorHAnsi"/>
          <w:szCs w:val="22"/>
          <w:lang w:val="fr-FR" w:eastAsia="en-US"/>
        </w:rPr>
      </w:pPr>
      <w:r w:rsidRPr="00656179">
        <w:rPr>
          <w:rFonts w:eastAsiaTheme="minorHAnsi"/>
          <w:color w:val="000000"/>
          <w:szCs w:val="22"/>
          <w:lang w:val="fr-FR" w:eastAsia="en-US"/>
        </w:rPr>
        <w:t>Lorsqu</w:t>
      </w:r>
      <w:r w:rsidR="007738D3" w:rsidRPr="00656179">
        <w:rPr>
          <w:rFonts w:eastAsiaTheme="minorHAnsi"/>
          <w:color w:val="000000"/>
          <w:szCs w:val="22"/>
          <w:lang w:val="fr-FR" w:eastAsia="en-US"/>
        </w:rPr>
        <w:t>’</w:t>
      </w:r>
      <w:r w:rsidR="001341F0" w:rsidRPr="00656179">
        <w:rPr>
          <w:rFonts w:eastAsiaTheme="minorHAnsi"/>
          <w:color w:val="000000"/>
          <w:szCs w:val="22"/>
          <w:lang w:val="fr-FR" w:eastAsia="en-US"/>
        </w:rPr>
        <w:t>une union qui génère des recettes est</w:t>
      </w:r>
      <w:r w:rsidRPr="00656179">
        <w:rPr>
          <w:rFonts w:eastAsiaTheme="minorHAnsi"/>
          <w:color w:val="000000"/>
          <w:szCs w:val="22"/>
          <w:lang w:val="fr-FR" w:eastAsia="en-US"/>
        </w:rPr>
        <w:t xml:space="preserve"> considérée par le Bureau international comme</w:t>
      </w:r>
      <w:r w:rsidR="001341F0" w:rsidRPr="00656179">
        <w:rPr>
          <w:rFonts w:eastAsiaTheme="minorHAnsi"/>
          <w:color w:val="000000"/>
          <w:szCs w:val="22"/>
          <w:lang w:val="fr-FR" w:eastAsia="en-US"/>
        </w:rPr>
        <w:t xml:space="preserve"> </w:t>
      </w:r>
      <w:r w:rsidRPr="00656179">
        <w:rPr>
          <w:rFonts w:eastAsiaTheme="minorHAnsi"/>
          <w:color w:val="000000"/>
          <w:szCs w:val="22"/>
          <w:lang w:val="fr-FR" w:eastAsia="en-US"/>
        </w:rPr>
        <w:t>étant dans l</w:t>
      </w:r>
      <w:r w:rsidR="007738D3" w:rsidRPr="00656179">
        <w:rPr>
          <w:rFonts w:eastAsiaTheme="minorHAnsi"/>
          <w:color w:val="000000"/>
          <w:szCs w:val="22"/>
          <w:lang w:val="fr-FR" w:eastAsia="en-US"/>
        </w:rPr>
        <w:t>’“</w:t>
      </w:r>
      <w:r w:rsidR="001341F0" w:rsidRPr="00656179">
        <w:rPr>
          <w:rFonts w:eastAsiaTheme="minorHAnsi"/>
          <w:color w:val="000000"/>
          <w:szCs w:val="22"/>
          <w:lang w:val="fr-FR" w:eastAsia="en-US"/>
        </w:rPr>
        <w:t>incapacité de payer</w:t>
      </w:r>
      <w:r w:rsidR="00D60B83" w:rsidRPr="00656179">
        <w:rPr>
          <w:rFonts w:eastAsiaTheme="minorHAnsi"/>
          <w:color w:val="000000"/>
          <w:szCs w:val="22"/>
          <w:lang w:val="fr-FR" w:eastAsia="en-US"/>
        </w:rPr>
        <w:t>”</w:t>
      </w:r>
      <w:r w:rsidR="001341F0" w:rsidRPr="00656179">
        <w:rPr>
          <w:rFonts w:eastAsiaTheme="minorHAnsi"/>
          <w:color w:val="000000"/>
          <w:szCs w:val="22"/>
          <w:lang w:val="fr-FR" w:eastAsia="en-US"/>
        </w:rPr>
        <w:t xml:space="preserve"> ses propres dépenses directes et indirectes</w:t>
      </w:r>
      <w:r w:rsidR="002461B1" w:rsidRPr="00656179">
        <w:rPr>
          <w:rFonts w:eastAsiaTheme="minorHAnsi"/>
          <w:color w:val="000000"/>
          <w:szCs w:val="22"/>
          <w:lang w:val="fr-FR" w:eastAsia="en-US"/>
        </w:rPr>
        <w:t xml:space="preserve"> du fait qu</w:t>
      </w:r>
      <w:r w:rsidR="007738D3" w:rsidRPr="00656179">
        <w:rPr>
          <w:rFonts w:eastAsiaTheme="minorHAnsi"/>
          <w:color w:val="000000"/>
          <w:szCs w:val="22"/>
          <w:lang w:val="fr-FR" w:eastAsia="en-US"/>
        </w:rPr>
        <w:t>’</w:t>
      </w:r>
      <w:r w:rsidR="002461B1" w:rsidRPr="00656179">
        <w:rPr>
          <w:rFonts w:eastAsiaTheme="minorHAnsi"/>
          <w:color w:val="000000"/>
          <w:szCs w:val="22"/>
          <w:lang w:val="fr-FR" w:eastAsia="en-US"/>
        </w:rPr>
        <w:t xml:space="preserve">elle refuse </w:t>
      </w:r>
      <w:r w:rsidR="001341F0" w:rsidRPr="00656179">
        <w:rPr>
          <w:rFonts w:eastAsiaTheme="minorHAnsi"/>
          <w:color w:val="000000"/>
          <w:szCs w:val="22"/>
          <w:lang w:val="fr-FR" w:eastAsia="en-US"/>
        </w:rPr>
        <w:t xml:space="preserve">de se conformer aux modalités financières prévues </w:t>
      </w:r>
      <w:r w:rsidR="00726D2E" w:rsidRPr="00656179">
        <w:rPr>
          <w:rFonts w:eastAsiaTheme="minorHAnsi"/>
          <w:color w:val="000000"/>
          <w:szCs w:val="22"/>
          <w:lang w:val="fr-FR" w:eastAsia="en-US"/>
        </w:rPr>
        <w:t>par</w:t>
      </w:r>
      <w:r w:rsidR="001341F0" w:rsidRPr="00656179">
        <w:rPr>
          <w:rFonts w:eastAsiaTheme="minorHAnsi"/>
          <w:color w:val="000000"/>
          <w:szCs w:val="22"/>
          <w:lang w:val="fr-FR" w:eastAsia="en-US"/>
        </w:rPr>
        <w:t xml:space="preserve"> son propre arrangement et que le Bureau international </w:t>
      </w:r>
      <w:r w:rsidR="00BD0F43" w:rsidRPr="00656179">
        <w:rPr>
          <w:rFonts w:eastAsiaTheme="minorHAnsi"/>
          <w:color w:val="000000"/>
          <w:szCs w:val="22"/>
          <w:lang w:val="fr-FR" w:eastAsia="en-US"/>
        </w:rPr>
        <w:t>ne parvient pas</w:t>
      </w:r>
      <w:r w:rsidR="001341F0" w:rsidRPr="00656179">
        <w:rPr>
          <w:rFonts w:eastAsiaTheme="minorHAnsi"/>
          <w:color w:val="000000"/>
          <w:szCs w:val="22"/>
          <w:lang w:val="fr-FR" w:eastAsia="en-US"/>
        </w:rPr>
        <w:t xml:space="preserve"> à gérer le budget de cette union, </w:t>
      </w:r>
      <w:r w:rsidR="00264FA1" w:rsidRPr="00656179">
        <w:rPr>
          <w:rFonts w:eastAsiaTheme="minorHAnsi"/>
          <w:color w:val="000000"/>
          <w:szCs w:val="22"/>
          <w:lang w:val="fr-FR" w:eastAsia="en-US"/>
        </w:rPr>
        <w:t>celle</w:t>
      </w:r>
      <w:r w:rsidR="00CD79CE" w:rsidRPr="00656179">
        <w:rPr>
          <w:rFonts w:eastAsiaTheme="minorHAnsi"/>
          <w:color w:val="000000"/>
          <w:szCs w:val="22"/>
          <w:lang w:val="fr-FR" w:eastAsia="en-US"/>
        </w:rPr>
        <w:noBreakHyphen/>
      </w:r>
      <w:r w:rsidR="00264FA1" w:rsidRPr="00656179">
        <w:rPr>
          <w:rFonts w:eastAsiaTheme="minorHAnsi"/>
          <w:color w:val="000000"/>
          <w:szCs w:val="22"/>
          <w:lang w:val="fr-FR" w:eastAsia="en-US"/>
        </w:rPr>
        <w:t>ci</w:t>
      </w:r>
      <w:r w:rsidR="001341F0" w:rsidRPr="00656179">
        <w:rPr>
          <w:rFonts w:eastAsiaTheme="minorHAnsi"/>
          <w:color w:val="000000"/>
          <w:szCs w:val="22"/>
          <w:lang w:val="fr-FR" w:eastAsia="en-US"/>
        </w:rPr>
        <w:t xml:space="preserve"> ne devrait pas recevoir </w:t>
      </w:r>
      <w:r w:rsidR="00AF1E47" w:rsidRPr="00656179">
        <w:rPr>
          <w:rFonts w:eastAsiaTheme="minorHAnsi"/>
          <w:color w:val="000000"/>
          <w:szCs w:val="22"/>
          <w:lang w:val="fr-FR" w:eastAsia="en-US"/>
        </w:rPr>
        <w:t>une part équivalente</w:t>
      </w:r>
      <w:r w:rsidR="001341F0" w:rsidRPr="00656179">
        <w:rPr>
          <w:rFonts w:eastAsiaTheme="minorHAnsi"/>
          <w:color w:val="000000"/>
          <w:szCs w:val="22"/>
          <w:lang w:val="fr-FR" w:eastAsia="en-US"/>
        </w:rPr>
        <w:t xml:space="preserve"> des recettes </w:t>
      </w:r>
      <w:r w:rsidR="00AF1E47" w:rsidRPr="00656179">
        <w:rPr>
          <w:rFonts w:eastAsiaTheme="minorHAnsi"/>
          <w:color w:val="000000"/>
          <w:szCs w:val="22"/>
          <w:lang w:val="fr-FR" w:eastAsia="en-US"/>
        </w:rPr>
        <w:t>que</w:t>
      </w:r>
      <w:r w:rsidR="001341F0" w:rsidRPr="00656179">
        <w:rPr>
          <w:rFonts w:eastAsiaTheme="minorHAnsi"/>
          <w:color w:val="000000"/>
          <w:szCs w:val="22"/>
          <w:lang w:val="fr-FR" w:eastAsia="en-US"/>
        </w:rPr>
        <w:t xml:space="preserve"> les autres unions</w:t>
      </w:r>
      <w:r w:rsidR="00AF1E47" w:rsidRPr="00656179">
        <w:rPr>
          <w:rFonts w:eastAsiaTheme="minorHAnsi"/>
          <w:color w:val="000000"/>
          <w:szCs w:val="22"/>
          <w:lang w:val="fr-FR" w:eastAsia="en-US"/>
        </w:rPr>
        <w:t xml:space="preserve"> ont généré et su gérer</w:t>
      </w:r>
      <w:r w:rsidR="001341F0" w:rsidRPr="00656179">
        <w:rPr>
          <w:rFonts w:eastAsiaTheme="minorHAnsi"/>
          <w:color w:val="000000"/>
          <w:szCs w:val="22"/>
          <w:lang w:val="fr-FR" w:eastAsia="en-US"/>
        </w:rPr>
        <w:t>.</w:t>
      </w:r>
      <w:r w:rsidR="00B707CF" w:rsidRPr="00656179">
        <w:rPr>
          <w:color w:val="000000"/>
          <w:szCs w:val="22"/>
          <w:lang w:val="fr-FR"/>
        </w:rPr>
        <w:t xml:space="preserve">  </w:t>
      </w:r>
      <w:r w:rsidR="001341F0" w:rsidRPr="00656179">
        <w:rPr>
          <w:rFonts w:eastAsiaTheme="minorHAnsi"/>
          <w:color w:val="000000"/>
          <w:szCs w:val="22"/>
          <w:lang w:val="fr-FR" w:eastAsia="en-US"/>
        </w:rPr>
        <w:t>En d</w:t>
      </w:r>
      <w:r w:rsidR="007738D3" w:rsidRPr="00656179">
        <w:rPr>
          <w:rFonts w:eastAsiaTheme="minorHAnsi"/>
          <w:color w:val="000000"/>
          <w:szCs w:val="22"/>
          <w:lang w:val="fr-FR" w:eastAsia="en-US"/>
        </w:rPr>
        <w:t>’</w:t>
      </w:r>
      <w:r w:rsidR="001341F0" w:rsidRPr="00656179">
        <w:rPr>
          <w:rFonts w:eastAsiaTheme="minorHAnsi"/>
          <w:color w:val="000000"/>
          <w:szCs w:val="22"/>
          <w:lang w:val="fr-FR" w:eastAsia="en-US"/>
        </w:rPr>
        <w:t>autres termes, si l</w:t>
      </w:r>
      <w:r w:rsidR="007738D3" w:rsidRPr="00656179">
        <w:rPr>
          <w:rFonts w:eastAsiaTheme="minorHAnsi"/>
          <w:color w:val="000000"/>
          <w:szCs w:val="22"/>
          <w:lang w:val="fr-FR" w:eastAsia="en-US"/>
        </w:rPr>
        <w:t>’</w:t>
      </w:r>
      <w:r w:rsidR="001341F0" w:rsidRPr="00656179">
        <w:rPr>
          <w:rFonts w:eastAsiaTheme="minorHAnsi"/>
          <w:color w:val="000000"/>
          <w:szCs w:val="22"/>
          <w:lang w:val="fr-FR" w:eastAsia="en-US"/>
        </w:rPr>
        <w:t xml:space="preserve">Arrangement de Lisbonne </w:t>
      </w:r>
      <w:r w:rsidR="00D60B83" w:rsidRPr="00656179">
        <w:rPr>
          <w:rFonts w:eastAsiaTheme="minorHAnsi"/>
          <w:color w:val="000000"/>
          <w:szCs w:val="22"/>
          <w:lang w:val="fr-FR" w:eastAsia="en-US"/>
        </w:rPr>
        <w:t>“</w:t>
      </w:r>
      <w:r w:rsidR="001341F0" w:rsidRPr="00656179">
        <w:rPr>
          <w:rFonts w:eastAsiaTheme="minorHAnsi"/>
          <w:color w:val="000000"/>
          <w:szCs w:val="22"/>
          <w:lang w:val="fr-FR" w:eastAsia="en-US"/>
        </w:rPr>
        <w:t>n</w:t>
      </w:r>
      <w:r w:rsidR="007738D3" w:rsidRPr="00656179">
        <w:rPr>
          <w:rFonts w:eastAsiaTheme="minorHAnsi"/>
          <w:color w:val="000000"/>
          <w:szCs w:val="22"/>
          <w:lang w:val="fr-FR" w:eastAsia="en-US"/>
        </w:rPr>
        <w:t>’</w:t>
      </w:r>
      <w:r w:rsidR="001341F0" w:rsidRPr="00656179">
        <w:rPr>
          <w:rFonts w:eastAsiaTheme="minorHAnsi"/>
          <w:color w:val="000000"/>
          <w:szCs w:val="22"/>
          <w:lang w:val="fr-FR" w:eastAsia="en-US"/>
        </w:rPr>
        <w:t>intéresse pas</w:t>
      </w:r>
      <w:r w:rsidR="00D60B83" w:rsidRPr="00656179">
        <w:rPr>
          <w:rFonts w:eastAsiaTheme="minorHAnsi"/>
          <w:color w:val="000000"/>
          <w:szCs w:val="22"/>
          <w:lang w:val="fr-FR" w:eastAsia="en-US"/>
        </w:rPr>
        <w:t>”</w:t>
      </w:r>
      <w:r w:rsidR="001341F0" w:rsidRPr="00656179">
        <w:rPr>
          <w:rFonts w:eastAsiaTheme="minorHAnsi"/>
          <w:color w:val="000000"/>
          <w:szCs w:val="22"/>
          <w:lang w:val="fr-FR" w:eastAsia="en-US"/>
        </w:rPr>
        <w:t xml:space="preserve"> les autres unions</w:t>
      </w:r>
      <w:r w:rsidR="007738D3" w:rsidRPr="00656179">
        <w:rPr>
          <w:rFonts w:eastAsiaTheme="minorHAnsi"/>
          <w:color w:val="000000"/>
          <w:szCs w:val="22"/>
          <w:lang w:val="fr-FR" w:eastAsia="en-US"/>
        </w:rPr>
        <w:t xml:space="preserve"> – </w:t>
      </w:r>
      <w:r w:rsidR="001341F0" w:rsidRPr="00656179">
        <w:rPr>
          <w:rFonts w:eastAsiaTheme="minorHAnsi"/>
          <w:color w:val="000000"/>
          <w:szCs w:val="22"/>
          <w:lang w:val="fr-FR" w:eastAsia="en-US"/>
        </w:rPr>
        <w:t xml:space="preserve">comme </w:t>
      </w:r>
      <w:r w:rsidR="00B83A50" w:rsidRPr="00656179">
        <w:rPr>
          <w:rFonts w:eastAsiaTheme="minorHAnsi"/>
          <w:color w:val="000000"/>
          <w:szCs w:val="22"/>
          <w:lang w:val="fr-FR" w:eastAsia="en-US"/>
        </w:rPr>
        <w:t>l</w:t>
      </w:r>
      <w:r w:rsidR="007738D3" w:rsidRPr="00656179">
        <w:rPr>
          <w:rFonts w:eastAsiaTheme="minorHAnsi"/>
          <w:color w:val="000000"/>
          <w:szCs w:val="22"/>
          <w:lang w:val="fr-FR" w:eastAsia="en-US"/>
        </w:rPr>
        <w:t>’</w:t>
      </w:r>
      <w:r w:rsidR="00B83A50" w:rsidRPr="00656179">
        <w:rPr>
          <w:rFonts w:eastAsiaTheme="minorHAnsi"/>
          <w:color w:val="000000"/>
          <w:szCs w:val="22"/>
          <w:lang w:val="fr-FR" w:eastAsia="en-US"/>
        </w:rPr>
        <w:t>ont</w:t>
      </w:r>
      <w:r w:rsidR="001341F0" w:rsidRPr="00656179">
        <w:rPr>
          <w:rFonts w:eastAsiaTheme="minorHAnsi"/>
          <w:color w:val="000000"/>
          <w:szCs w:val="22"/>
          <w:lang w:val="fr-FR" w:eastAsia="en-US"/>
        </w:rPr>
        <w:t xml:space="preserve"> expressément </w:t>
      </w:r>
      <w:r w:rsidR="00B83A50" w:rsidRPr="00656179">
        <w:rPr>
          <w:rFonts w:eastAsiaTheme="minorHAnsi"/>
          <w:color w:val="000000"/>
          <w:szCs w:val="22"/>
          <w:lang w:val="fr-FR" w:eastAsia="en-US"/>
        </w:rPr>
        <w:t>indiqué</w:t>
      </w:r>
      <w:r w:rsidR="001341F0" w:rsidRPr="00656179">
        <w:rPr>
          <w:rFonts w:eastAsiaTheme="minorHAnsi"/>
          <w:color w:val="000000"/>
          <w:szCs w:val="22"/>
          <w:lang w:val="fr-FR" w:eastAsia="en-US"/>
        </w:rPr>
        <w:t xml:space="preserve"> les membres de l</w:t>
      </w:r>
      <w:r w:rsidR="007738D3" w:rsidRPr="00656179">
        <w:rPr>
          <w:rFonts w:eastAsiaTheme="minorHAnsi"/>
          <w:color w:val="000000"/>
          <w:szCs w:val="22"/>
          <w:lang w:val="fr-FR" w:eastAsia="en-US"/>
        </w:rPr>
        <w:t>’</w:t>
      </w:r>
      <w:r w:rsidR="001341F0" w:rsidRPr="00656179">
        <w:rPr>
          <w:rFonts w:eastAsiaTheme="minorHAnsi"/>
          <w:color w:val="000000"/>
          <w:szCs w:val="22"/>
          <w:lang w:val="fr-FR" w:eastAsia="en-US"/>
        </w:rPr>
        <w:t>Union de Lisbonne en</w:t>
      </w:r>
      <w:r w:rsidR="00D60B83" w:rsidRPr="00656179">
        <w:rPr>
          <w:rFonts w:eastAsiaTheme="minorHAnsi"/>
          <w:color w:val="000000"/>
          <w:szCs w:val="22"/>
          <w:lang w:val="fr-FR" w:eastAsia="en-US"/>
        </w:rPr>
        <w:t> </w:t>
      </w:r>
      <w:r w:rsidR="001341F0" w:rsidRPr="00656179">
        <w:rPr>
          <w:rFonts w:eastAsiaTheme="minorHAnsi"/>
          <w:color w:val="000000"/>
          <w:szCs w:val="22"/>
          <w:lang w:val="fr-FR" w:eastAsia="en-US"/>
        </w:rPr>
        <w:t>2014 lorsqu</w:t>
      </w:r>
      <w:r w:rsidR="007738D3" w:rsidRPr="00656179">
        <w:rPr>
          <w:rFonts w:eastAsiaTheme="minorHAnsi"/>
          <w:color w:val="000000"/>
          <w:szCs w:val="22"/>
          <w:lang w:val="fr-FR" w:eastAsia="en-US"/>
        </w:rPr>
        <w:t>’</w:t>
      </w:r>
      <w:r w:rsidR="006B0FB9" w:rsidRPr="00656179">
        <w:rPr>
          <w:rFonts w:eastAsiaTheme="minorHAnsi"/>
          <w:color w:val="000000"/>
          <w:szCs w:val="22"/>
          <w:lang w:val="fr-FR" w:eastAsia="en-US"/>
        </w:rPr>
        <w:t>ils</w:t>
      </w:r>
      <w:r w:rsidR="00DE6E44" w:rsidRPr="00656179">
        <w:rPr>
          <w:rFonts w:eastAsiaTheme="minorHAnsi"/>
          <w:color w:val="000000"/>
          <w:szCs w:val="22"/>
          <w:lang w:val="fr-FR" w:eastAsia="en-US"/>
        </w:rPr>
        <w:t xml:space="preserve"> </w:t>
      </w:r>
      <w:r w:rsidR="001341F0" w:rsidRPr="00656179">
        <w:rPr>
          <w:rFonts w:eastAsiaTheme="minorHAnsi"/>
          <w:color w:val="000000"/>
          <w:szCs w:val="22"/>
          <w:lang w:val="fr-FR" w:eastAsia="en-US"/>
        </w:rPr>
        <w:t>ont décidé de tenir une conférence diplomatique fermée en nourrissant l</w:t>
      </w:r>
      <w:r w:rsidR="007738D3" w:rsidRPr="00656179">
        <w:rPr>
          <w:rFonts w:eastAsiaTheme="minorHAnsi"/>
          <w:color w:val="000000"/>
          <w:szCs w:val="22"/>
          <w:lang w:val="fr-FR" w:eastAsia="en-US"/>
        </w:rPr>
        <w:t>’</w:t>
      </w:r>
      <w:r w:rsidR="001341F0" w:rsidRPr="00656179">
        <w:rPr>
          <w:rFonts w:eastAsiaTheme="minorHAnsi"/>
          <w:color w:val="000000"/>
          <w:szCs w:val="22"/>
          <w:lang w:val="fr-FR" w:eastAsia="en-US"/>
        </w:rPr>
        <w:t>espoir déraisonnable que celle</w:t>
      </w:r>
      <w:r w:rsidR="00CD79CE" w:rsidRPr="00656179">
        <w:rPr>
          <w:rFonts w:eastAsiaTheme="minorHAnsi"/>
          <w:color w:val="000000"/>
          <w:szCs w:val="22"/>
          <w:lang w:val="fr-FR" w:eastAsia="en-US"/>
        </w:rPr>
        <w:noBreakHyphen/>
      </w:r>
      <w:r w:rsidR="001341F0" w:rsidRPr="00656179">
        <w:rPr>
          <w:rFonts w:eastAsiaTheme="minorHAnsi"/>
          <w:color w:val="000000"/>
          <w:szCs w:val="22"/>
          <w:lang w:val="fr-FR" w:eastAsia="en-US"/>
        </w:rPr>
        <w:t xml:space="preserve">ci </w:t>
      </w:r>
      <w:r w:rsidR="00DE6E44" w:rsidRPr="00656179">
        <w:rPr>
          <w:rFonts w:eastAsiaTheme="minorHAnsi"/>
          <w:color w:val="000000"/>
          <w:szCs w:val="22"/>
          <w:lang w:val="fr-FR" w:eastAsia="en-US"/>
        </w:rPr>
        <w:t>devrait</w:t>
      </w:r>
      <w:r w:rsidR="001341F0" w:rsidRPr="00656179">
        <w:rPr>
          <w:rFonts w:eastAsiaTheme="minorHAnsi"/>
          <w:color w:val="000000"/>
          <w:szCs w:val="22"/>
          <w:lang w:val="fr-FR" w:eastAsia="en-US"/>
        </w:rPr>
        <w:t xml:space="preserve"> néanmoins </w:t>
      </w:r>
      <w:r w:rsidR="00DE6E44" w:rsidRPr="00656179">
        <w:rPr>
          <w:rFonts w:eastAsiaTheme="minorHAnsi"/>
          <w:color w:val="000000"/>
          <w:szCs w:val="22"/>
          <w:lang w:val="fr-FR" w:eastAsia="en-US"/>
        </w:rPr>
        <w:t xml:space="preserve">être </w:t>
      </w:r>
      <w:r w:rsidR="001341F0" w:rsidRPr="00656179">
        <w:rPr>
          <w:rFonts w:eastAsiaTheme="minorHAnsi"/>
          <w:color w:val="000000"/>
          <w:szCs w:val="22"/>
          <w:lang w:val="fr-FR" w:eastAsia="en-US"/>
        </w:rPr>
        <w:t>financée par les budgets des autres unions</w:t>
      </w:r>
      <w:r w:rsidR="007738D3" w:rsidRPr="00656179">
        <w:rPr>
          <w:rFonts w:eastAsiaTheme="minorHAnsi"/>
          <w:color w:val="000000"/>
          <w:szCs w:val="22"/>
          <w:lang w:val="fr-FR" w:eastAsia="en-US"/>
        </w:rPr>
        <w:t xml:space="preserve"> – </w:t>
      </w:r>
      <w:r w:rsidR="001341F0" w:rsidRPr="00656179">
        <w:rPr>
          <w:rFonts w:eastAsiaTheme="minorHAnsi"/>
          <w:color w:val="000000"/>
          <w:szCs w:val="22"/>
          <w:lang w:val="fr-FR" w:eastAsia="en-US"/>
        </w:rPr>
        <w:t>les budgets de ces autres unions ne devraient donc plus être utilisés à l</w:t>
      </w:r>
      <w:r w:rsidR="007738D3" w:rsidRPr="00656179">
        <w:rPr>
          <w:rFonts w:eastAsiaTheme="minorHAnsi"/>
          <w:color w:val="000000"/>
          <w:szCs w:val="22"/>
          <w:lang w:val="fr-FR" w:eastAsia="en-US"/>
        </w:rPr>
        <w:t>’</w:t>
      </w:r>
      <w:r w:rsidR="001341F0" w:rsidRPr="00656179">
        <w:rPr>
          <w:rFonts w:eastAsiaTheme="minorHAnsi"/>
          <w:color w:val="000000"/>
          <w:szCs w:val="22"/>
          <w:lang w:val="fr-FR" w:eastAsia="en-US"/>
        </w:rPr>
        <w:t>avenir pour financer les activités de cette union.</w:t>
      </w:r>
      <w:r w:rsidR="00B707CF" w:rsidRPr="00656179">
        <w:rPr>
          <w:color w:val="000000"/>
          <w:szCs w:val="22"/>
          <w:lang w:val="fr-FR"/>
        </w:rPr>
        <w:t xml:space="preserve">  </w:t>
      </w:r>
    </w:p>
    <w:p w:rsidR="007738D3" w:rsidRPr="00656179" w:rsidRDefault="001341F0" w:rsidP="0002126A">
      <w:pPr>
        <w:spacing w:after="200"/>
        <w:ind w:left="5533"/>
        <w:rPr>
          <w:rFonts w:eastAsiaTheme="minorHAnsi"/>
          <w:i/>
          <w:szCs w:val="22"/>
          <w:lang w:val="fr-FR" w:eastAsia="en-US"/>
        </w:rPr>
      </w:pPr>
      <w:r w:rsidRPr="00656179">
        <w:rPr>
          <w:rFonts w:eastAsiaTheme="minorHAnsi"/>
          <w:i/>
          <w:szCs w:val="22"/>
          <w:lang w:val="fr-FR" w:eastAsia="en-US"/>
        </w:rPr>
        <w:t>L</w:t>
      </w:r>
      <w:r w:rsidR="007738D3" w:rsidRPr="00656179">
        <w:rPr>
          <w:rFonts w:eastAsiaTheme="minorHAnsi"/>
          <w:i/>
          <w:szCs w:val="22"/>
          <w:lang w:val="fr-FR" w:eastAsia="en-US"/>
        </w:rPr>
        <w:t>’</w:t>
      </w:r>
      <w:r w:rsidRPr="00656179">
        <w:rPr>
          <w:rFonts w:eastAsiaTheme="minorHAnsi"/>
          <w:i/>
          <w:szCs w:val="22"/>
          <w:lang w:val="fr-FR" w:eastAsia="en-US"/>
        </w:rPr>
        <w:t>Assemblée de l</w:t>
      </w:r>
      <w:r w:rsidR="007738D3" w:rsidRPr="00656179">
        <w:rPr>
          <w:rFonts w:eastAsiaTheme="minorHAnsi"/>
          <w:i/>
          <w:szCs w:val="22"/>
          <w:lang w:val="fr-FR" w:eastAsia="en-US"/>
        </w:rPr>
        <w:t>’</w:t>
      </w:r>
      <w:r w:rsidRPr="00656179">
        <w:rPr>
          <w:rFonts w:eastAsiaTheme="minorHAnsi"/>
          <w:i/>
          <w:szCs w:val="22"/>
          <w:lang w:val="fr-FR" w:eastAsia="en-US"/>
        </w:rPr>
        <w:t>Union de Madrid est invitée à décider que</w:t>
      </w:r>
      <w:r w:rsidR="00D60B83" w:rsidRPr="00656179">
        <w:rPr>
          <w:rFonts w:eastAsiaTheme="minorHAnsi"/>
          <w:i/>
          <w:szCs w:val="22"/>
          <w:lang w:val="fr-FR" w:eastAsia="en-US"/>
        </w:rPr>
        <w:t> </w:t>
      </w:r>
      <w:r w:rsidRPr="00656179">
        <w:rPr>
          <w:rFonts w:eastAsiaTheme="minorHAnsi"/>
          <w:i/>
          <w:szCs w:val="22"/>
          <w:lang w:val="fr-FR" w:eastAsia="en-US"/>
        </w:rPr>
        <w:t>:</w:t>
      </w:r>
    </w:p>
    <w:p w:rsidR="007738D3" w:rsidRPr="00656179" w:rsidRDefault="00CD79CE" w:rsidP="00FD7A70">
      <w:pPr>
        <w:tabs>
          <w:tab w:val="left" w:pos="6096"/>
        </w:tabs>
        <w:spacing w:after="200"/>
        <w:ind w:left="5533"/>
        <w:rPr>
          <w:rFonts w:eastAsiaTheme="minorHAnsi"/>
          <w:i/>
          <w:szCs w:val="22"/>
          <w:lang w:val="fr-FR" w:eastAsia="en-US"/>
        </w:rPr>
      </w:pPr>
      <w:r w:rsidRPr="00656179">
        <w:rPr>
          <w:rFonts w:eastAsiaTheme="minorHAnsi"/>
          <w:i/>
          <w:szCs w:val="22"/>
          <w:lang w:val="fr-FR" w:eastAsia="en-US"/>
        </w:rPr>
        <w:t>1)</w:t>
      </w:r>
      <w:r w:rsidRPr="00656179">
        <w:rPr>
          <w:rFonts w:eastAsiaTheme="minorHAnsi"/>
          <w:i/>
          <w:szCs w:val="22"/>
          <w:lang w:val="fr-FR" w:eastAsia="en-US"/>
        </w:rPr>
        <w:tab/>
        <w:t>l</w:t>
      </w:r>
      <w:r w:rsidR="003C5EF8" w:rsidRPr="00656179">
        <w:rPr>
          <w:rFonts w:eastAsiaTheme="minorHAnsi"/>
          <w:i/>
          <w:szCs w:val="22"/>
          <w:lang w:val="fr-FR" w:eastAsia="en-US"/>
        </w:rPr>
        <w:t>es recettes provenant des taxes et les réserves de l</w:t>
      </w:r>
      <w:r w:rsidR="007738D3" w:rsidRPr="00656179">
        <w:rPr>
          <w:rFonts w:eastAsiaTheme="minorHAnsi"/>
          <w:i/>
          <w:szCs w:val="22"/>
          <w:lang w:val="fr-FR" w:eastAsia="en-US"/>
        </w:rPr>
        <w:t>’</w:t>
      </w:r>
      <w:r w:rsidR="003C5EF8" w:rsidRPr="00656179">
        <w:rPr>
          <w:rFonts w:eastAsiaTheme="minorHAnsi"/>
          <w:i/>
          <w:szCs w:val="22"/>
          <w:lang w:val="fr-FR" w:eastAsia="en-US"/>
        </w:rPr>
        <w:t xml:space="preserve">Union de Madrid ne </w:t>
      </w:r>
      <w:r w:rsidR="003E7C0D" w:rsidRPr="00656179">
        <w:rPr>
          <w:rFonts w:eastAsiaTheme="minorHAnsi"/>
          <w:i/>
          <w:szCs w:val="22"/>
          <w:lang w:val="fr-FR" w:eastAsia="en-US"/>
        </w:rPr>
        <w:t xml:space="preserve">seront pas </w:t>
      </w:r>
      <w:r w:rsidR="003C5EF8" w:rsidRPr="00656179">
        <w:rPr>
          <w:rFonts w:eastAsiaTheme="minorHAnsi"/>
          <w:i/>
          <w:szCs w:val="22"/>
          <w:lang w:val="fr-FR" w:eastAsia="en-US"/>
        </w:rPr>
        <w:t>utilisées pour financer les dépenses directes ou indirectes de l</w:t>
      </w:r>
      <w:r w:rsidR="007738D3" w:rsidRPr="00656179">
        <w:rPr>
          <w:rFonts w:eastAsiaTheme="minorHAnsi"/>
          <w:i/>
          <w:szCs w:val="22"/>
          <w:lang w:val="fr-FR" w:eastAsia="en-US"/>
        </w:rPr>
        <w:t>’</w:t>
      </w:r>
      <w:r w:rsidR="003C5EF8" w:rsidRPr="00656179">
        <w:rPr>
          <w:rFonts w:eastAsiaTheme="minorHAnsi"/>
          <w:i/>
          <w:szCs w:val="22"/>
          <w:lang w:val="fr-FR" w:eastAsia="en-US"/>
        </w:rPr>
        <w:t>Union de Lisbonne sans l</w:t>
      </w:r>
      <w:r w:rsidR="007738D3" w:rsidRPr="00656179">
        <w:rPr>
          <w:rFonts w:eastAsiaTheme="minorHAnsi"/>
          <w:i/>
          <w:szCs w:val="22"/>
          <w:lang w:val="fr-FR" w:eastAsia="en-US"/>
        </w:rPr>
        <w:t>’</w:t>
      </w:r>
      <w:r w:rsidR="003C5EF8" w:rsidRPr="00656179">
        <w:rPr>
          <w:rFonts w:eastAsiaTheme="minorHAnsi"/>
          <w:i/>
          <w:szCs w:val="22"/>
          <w:lang w:val="fr-FR" w:eastAsia="en-US"/>
        </w:rPr>
        <w:t>accord de l</w:t>
      </w:r>
      <w:r w:rsidR="007738D3" w:rsidRPr="00656179">
        <w:rPr>
          <w:rFonts w:eastAsiaTheme="minorHAnsi"/>
          <w:i/>
          <w:szCs w:val="22"/>
          <w:lang w:val="fr-FR" w:eastAsia="en-US"/>
        </w:rPr>
        <w:t>’</w:t>
      </w:r>
      <w:r w:rsidR="003C5EF8" w:rsidRPr="00656179">
        <w:rPr>
          <w:rFonts w:eastAsiaTheme="minorHAnsi"/>
          <w:i/>
          <w:szCs w:val="22"/>
          <w:lang w:val="fr-FR" w:eastAsia="en-US"/>
        </w:rPr>
        <w:t>Union de Madrid;</w:t>
      </w:r>
      <w:r w:rsidRPr="00656179">
        <w:rPr>
          <w:rFonts w:eastAsiaTheme="minorHAnsi"/>
          <w:i/>
          <w:szCs w:val="22"/>
          <w:lang w:val="fr-FR" w:eastAsia="en-US"/>
        </w:rPr>
        <w:t xml:space="preserve">  et que</w:t>
      </w:r>
    </w:p>
    <w:p w:rsidR="007738D3" w:rsidRPr="00656179" w:rsidRDefault="003C5EF8" w:rsidP="00FD7A70">
      <w:pPr>
        <w:tabs>
          <w:tab w:val="left" w:pos="6096"/>
        </w:tabs>
        <w:spacing w:after="200"/>
        <w:ind w:left="5533"/>
        <w:rPr>
          <w:rFonts w:eastAsiaTheme="minorHAnsi"/>
          <w:i/>
          <w:szCs w:val="22"/>
          <w:lang w:val="fr-FR" w:eastAsia="en-US"/>
        </w:rPr>
      </w:pPr>
      <w:r w:rsidRPr="00656179">
        <w:rPr>
          <w:rFonts w:eastAsiaTheme="minorHAnsi"/>
          <w:i/>
          <w:szCs w:val="22"/>
          <w:lang w:val="fr-FR" w:eastAsia="en-US"/>
        </w:rPr>
        <w:t>2</w:t>
      </w:r>
      <w:r w:rsidR="00CD79CE" w:rsidRPr="00656179">
        <w:rPr>
          <w:rFonts w:eastAsiaTheme="minorHAnsi"/>
          <w:i/>
          <w:szCs w:val="22"/>
          <w:lang w:val="fr-FR" w:eastAsia="en-US"/>
        </w:rPr>
        <w:t>)</w:t>
      </w:r>
      <w:r w:rsidR="00CD79CE" w:rsidRPr="00656179">
        <w:rPr>
          <w:rFonts w:eastAsiaTheme="minorHAnsi"/>
          <w:i/>
          <w:szCs w:val="22"/>
          <w:lang w:val="fr-FR" w:eastAsia="en-US"/>
        </w:rPr>
        <w:tab/>
        <w:t>l</w:t>
      </w:r>
      <w:r w:rsidRPr="00656179">
        <w:rPr>
          <w:rFonts w:eastAsiaTheme="minorHAnsi"/>
          <w:i/>
          <w:szCs w:val="22"/>
          <w:lang w:val="fr-FR" w:eastAsia="en-US"/>
        </w:rPr>
        <w:t xml:space="preserve">e </w:t>
      </w:r>
      <w:r w:rsidR="000E2B5A" w:rsidRPr="00656179">
        <w:rPr>
          <w:rFonts w:eastAsiaTheme="minorHAnsi"/>
          <w:i/>
          <w:szCs w:val="22"/>
          <w:lang w:val="fr-FR" w:eastAsia="en-US"/>
        </w:rPr>
        <w:t>Bureau international de l</w:t>
      </w:r>
      <w:r w:rsidR="007738D3" w:rsidRPr="00656179">
        <w:rPr>
          <w:rFonts w:eastAsiaTheme="minorHAnsi"/>
          <w:i/>
          <w:szCs w:val="22"/>
          <w:lang w:val="fr-FR" w:eastAsia="en-US"/>
        </w:rPr>
        <w:t>’</w:t>
      </w:r>
      <w:r w:rsidR="000E2B5A" w:rsidRPr="00656179">
        <w:rPr>
          <w:rFonts w:eastAsiaTheme="minorHAnsi"/>
          <w:i/>
          <w:szCs w:val="22"/>
          <w:lang w:val="fr-FR" w:eastAsia="en-US"/>
        </w:rPr>
        <w:t xml:space="preserve">OMPI </w:t>
      </w:r>
      <w:r w:rsidRPr="00656179">
        <w:rPr>
          <w:rFonts w:eastAsiaTheme="minorHAnsi"/>
          <w:i/>
          <w:szCs w:val="22"/>
          <w:lang w:val="fr-FR" w:eastAsia="en-US"/>
        </w:rPr>
        <w:t>mettr</w:t>
      </w:r>
      <w:r w:rsidR="00DB18E7" w:rsidRPr="00656179">
        <w:rPr>
          <w:rFonts w:eastAsiaTheme="minorHAnsi"/>
          <w:i/>
          <w:szCs w:val="22"/>
          <w:lang w:val="fr-FR" w:eastAsia="en-US"/>
        </w:rPr>
        <w:t>a</w:t>
      </w:r>
      <w:r w:rsidRPr="00656179">
        <w:rPr>
          <w:rFonts w:eastAsiaTheme="minorHAnsi"/>
          <w:i/>
          <w:szCs w:val="22"/>
          <w:lang w:val="fr-FR" w:eastAsia="en-US"/>
        </w:rPr>
        <w:t xml:space="preserve"> </w:t>
      </w:r>
      <w:r w:rsidR="000E2B5A" w:rsidRPr="00656179">
        <w:rPr>
          <w:rFonts w:eastAsiaTheme="minorHAnsi"/>
          <w:i/>
          <w:szCs w:val="22"/>
          <w:lang w:val="fr-FR" w:eastAsia="en-US"/>
        </w:rPr>
        <w:t xml:space="preserve">dûment </w:t>
      </w:r>
      <w:r w:rsidRPr="00656179">
        <w:rPr>
          <w:rFonts w:eastAsiaTheme="minorHAnsi"/>
          <w:i/>
          <w:szCs w:val="22"/>
          <w:lang w:val="fr-FR" w:eastAsia="en-US"/>
        </w:rPr>
        <w:t xml:space="preserve">en </w:t>
      </w:r>
      <w:r w:rsidR="000E2B5A" w:rsidRPr="00656179">
        <w:rPr>
          <w:rFonts w:eastAsiaTheme="minorHAnsi"/>
          <w:i/>
          <w:szCs w:val="22"/>
          <w:lang w:val="fr-FR" w:eastAsia="en-US"/>
        </w:rPr>
        <w:t>œuvre</w:t>
      </w:r>
      <w:r w:rsidRPr="00656179">
        <w:rPr>
          <w:rFonts w:eastAsiaTheme="minorHAnsi"/>
          <w:i/>
          <w:szCs w:val="22"/>
          <w:lang w:val="fr-FR" w:eastAsia="en-US"/>
        </w:rPr>
        <w:t xml:space="preserve"> les modalités financières </w:t>
      </w:r>
      <w:r w:rsidR="00FC33BA" w:rsidRPr="00656179">
        <w:rPr>
          <w:rFonts w:eastAsiaTheme="minorHAnsi"/>
          <w:i/>
          <w:szCs w:val="22"/>
          <w:lang w:val="fr-FR" w:eastAsia="en-US"/>
        </w:rPr>
        <w:t>de</w:t>
      </w:r>
      <w:r w:rsidR="00D73596" w:rsidRPr="00656179">
        <w:rPr>
          <w:rFonts w:eastAsiaTheme="minorHAnsi"/>
          <w:i/>
          <w:szCs w:val="22"/>
          <w:lang w:val="fr-FR" w:eastAsia="en-US"/>
        </w:rPr>
        <w:t xml:space="preserve"> </w:t>
      </w:r>
      <w:r w:rsidRPr="00656179">
        <w:rPr>
          <w:rFonts w:eastAsiaTheme="minorHAnsi"/>
          <w:i/>
          <w:szCs w:val="22"/>
          <w:lang w:val="fr-FR" w:eastAsia="en-US"/>
        </w:rPr>
        <w:t>l</w:t>
      </w:r>
      <w:r w:rsidR="007738D3" w:rsidRPr="00656179">
        <w:rPr>
          <w:rFonts w:eastAsiaTheme="minorHAnsi"/>
          <w:i/>
          <w:szCs w:val="22"/>
          <w:lang w:val="fr-FR" w:eastAsia="en-US"/>
        </w:rPr>
        <w:t>’</w:t>
      </w:r>
      <w:r w:rsidRPr="00656179">
        <w:rPr>
          <w:rFonts w:eastAsiaTheme="minorHAnsi"/>
          <w:i/>
          <w:szCs w:val="22"/>
          <w:lang w:val="fr-FR" w:eastAsia="en-US"/>
        </w:rPr>
        <w:t xml:space="preserve">Arrangement de Madrid et du Protocole de Madrid selon lesquelles tout excédent de recettes doit </w:t>
      </w:r>
      <w:r w:rsidR="00814BE5" w:rsidRPr="00656179">
        <w:rPr>
          <w:rFonts w:eastAsiaTheme="minorHAnsi"/>
          <w:i/>
          <w:szCs w:val="22"/>
          <w:lang w:val="fr-FR" w:eastAsia="en-US"/>
        </w:rPr>
        <w:t xml:space="preserve">être </w:t>
      </w:r>
      <w:r w:rsidR="00570C4E" w:rsidRPr="00656179">
        <w:rPr>
          <w:rFonts w:eastAsiaTheme="minorHAnsi"/>
          <w:i/>
          <w:szCs w:val="22"/>
          <w:lang w:val="fr-FR" w:eastAsia="en-US"/>
        </w:rPr>
        <w:t>reversé</w:t>
      </w:r>
      <w:r w:rsidRPr="00656179">
        <w:rPr>
          <w:rFonts w:eastAsiaTheme="minorHAnsi"/>
          <w:i/>
          <w:szCs w:val="22"/>
          <w:lang w:val="fr-FR" w:eastAsia="en-US"/>
        </w:rPr>
        <w:t xml:space="preserve"> aux parties contractantes de </w:t>
      </w:r>
      <w:r w:rsidR="00D73596" w:rsidRPr="00656179">
        <w:rPr>
          <w:rFonts w:eastAsiaTheme="minorHAnsi"/>
          <w:i/>
          <w:szCs w:val="22"/>
          <w:lang w:val="fr-FR" w:eastAsia="en-US"/>
        </w:rPr>
        <w:t>l</w:t>
      </w:r>
      <w:r w:rsidR="007738D3" w:rsidRPr="00656179">
        <w:rPr>
          <w:rFonts w:eastAsiaTheme="minorHAnsi"/>
          <w:i/>
          <w:szCs w:val="22"/>
          <w:lang w:val="fr-FR" w:eastAsia="en-US"/>
        </w:rPr>
        <w:t>’</w:t>
      </w:r>
      <w:r w:rsidR="00D73596" w:rsidRPr="00656179">
        <w:rPr>
          <w:rFonts w:eastAsiaTheme="minorHAnsi"/>
          <w:i/>
          <w:szCs w:val="22"/>
          <w:lang w:val="fr-FR" w:eastAsia="en-US"/>
        </w:rPr>
        <w:t>accord</w:t>
      </w:r>
      <w:r w:rsidRPr="00656179">
        <w:rPr>
          <w:rFonts w:eastAsiaTheme="minorHAnsi"/>
          <w:i/>
          <w:szCs w:val="22"/>
          <w:lang w:val="fr-FR" w:eastAsia="en-US"/>
        </w:rPr>
        <w:t xml:space="preserve"> </w:t>
      </w:r>
      <w:r w:rsidR="000F4F9B" w:rsidRPr="00656179">
        <w:rPr>
          <w:rFonts w:eastAsiaTheme="minorHAnsi"/>
          <w:i/>
          <w:szCs w:val="22"/>
          <w:lang w:val="fr-FR" w:eastAsia="en-US"/>
        </w:rPr>
        <w:t>applicable.</w:t>
      </w:r>
    </w:p>
    <w:p w:rsidR="00081975" w:rsidRPr="00656179" w:rsidRDefault="00081975" w:rsidP="0002126A">
      <w:pPr>
        <w:pStyle w:val="Endofdocument-Annex"/>
        <w:rPr>
          <w:lang w:val="fr-FR" w:eastAsia="en-US"/>
        </w:rPr>
      </w:pPr>
    </w:p>
    <w:p w:rsidR="00CD79CE" w:rsidRPr="00656179" w:rsidRDefault="00CD79CE" w:rsidP="0002126A">
      <w:pPr>
        <w:pStyle w:val="Endofdocument-Annex"/>
        <w:rPr>
          <w:lang w:val="fr-FR" w:eastAsia="en-US"/>
        </w:rPr>
      </w:pPr>
    </w:p>
    <w:p w:rsidR="00081975" w:rsidRPr="00656179" w:rsidRDefault="008019C3" w:rsidP="0002126A">
      <w:pPr>
        <w:pStyle w:val="Endofdocument-Annex"/>
        <w:rPr>
          <w:rFonts w:eastAsiaTheme="minorHAnsi"/>
          <w:lang w:val="fr-FR" w:eastAsia="en-US"/>
        </w:rPr>
      </w:pPr>
      <w:r w:rsidRPr="00656179">
        <w:rPr>
          <w:lang w:val="fr-FR"/>
        </w:rPr>
        <w:t>[</w:t>
      </w:r>
      <w:r w:rsidR="004329A3" w:rsidRPr="00656179">
        <w:rPr>
          <w:lang w:val="fr-FR"/>
        </w:rPr>
        <w:t>Fin de l</w:t>
      </w:r>
      <w:r w:rsidR="007738D3" w:rsidRPr="00656179">
        <w:rPr>
          <w:lang w:val="fr-FR"/>
        </w:rPr>
        <w:t>’</w:t>
      </w:r>
      <w:r w:rsidR="004329A3" w:rsidRPr="00656179">
        <w:rPr>
          <w:lang w:val="fr-FR"/>
        </w:rPr>
        <w:t>annexe et du document</w:t>
      </w:r>
      <w:r w:rsidRPr="00656179">
        <w:rPr>
          <w:lang w:val="fr-FR"/>
        </w:rPr>
        <w:t>]</w:t>
      </w:r>
    </w:p>
    <w:sectPr w:rsidR="00081975" w:rsidRPr="00656179" w:rsidSect="0002126A">
      <w:footerReference w:type="default" r:id="rId14"/>
      <w:headerReference w:type="first" r:id="rId15"/>
      <w:footerReference w:type="first" r:id="rId16"/>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46D7" w:rsidRDefault="00CA46D7">
      <w:r>
        <w:separator/>
      </w:r>
    </w:p>
  </w:endnote>
  <w:endnote w:type="continuationSeparator" w:id="0">
    <w:p w:rsidR="00CA46D7" w:rsidRDefault="00CA46D7" w:rsidP="003B38C1">
      <w:r>
        <w:separator/>
      </w:r>
    </w:p>
    <w:p w:rsidR="00CA46D7" w:rsidRPr="003B38C1" w:rsidRDefault="00CA46D7" w:rsidP="003B38C1">
      <w:pPr>
        <w:spacing w:after="60"/>
        <w:rPr>
          <w:sz w:val="17"/>
        </w:rPr>
      </w:pPr>
      <w:r>
        <w:rPr>
          <w:sz w:val="17"/>
        </w:rPr>
        <w:t>[Endnote continued from previous page]</w:t>
      </w:r>
    </w:p>
  </w:endnote>
  <w:endnote w:type="continuationNotice" w:id="1">
    <w:p w:rsidR="00CA46D7" w:rsidRPr="003B38C1" w:rsidRDefault="00CA46D7"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6C47" w:rsidRDefault="00D86C47" w:rsidP="00D86C47">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311B" w:rsidRPr="00D86C47" w:rsidRDefault="0081311B" w:rsidP="0002126A">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126A" w:rsidRPr="00D86C47" w:rsidRDefault="0002126A" w:rsidP="0002126A">
    <w:pPr>
      <w:pStyle w:val="Footer"/>
      <w:jc w:val="center"/>
    </w:pPr>
    <w:r w:rsidRPr="005344DF">
      <w:rPr>
        <w:noProof/>
        <w:szCs w:val="22"/>
        <w:lang w:val="fr-CH"/>
      </w:rPr>
      <w:fldChar w:fldCharType="begin"/>
    </w:r>
    <w:r w:rsidRPr="005344DF">
      <w:rPr>
        <w:noProof/>
        <w:szCs w:val="22"/>
        <w:lang w:val="fr-CH"/>
      </w:rPr>
      <w:instrText xml:space="preserve"> </w:instrText>
    </w:r>
    <w:r>
      <w:rPr>
        <w:noProof/>
        <w:szCs w:val="22"/>
        <w:lang w:val="fr-CH"/>
      </w:rPr>
      <w:instrText>=</w:instrText>
    </w:r>
    <w:r>
      <w:rPr>
        <w:noProof/>
        <w:szCs w:val="22"/>
        <w:lang w:val="fr-CH"/>
      </w:rPr>
      <w:fldChar w:fldCharType="begin"/>
    </w:r>
    <w:r>
      <w:rPr>
        <w:noProof/>
        <w:szCs w:val="22"/>
        <w:lang w:val="fr-CH"/>
      </w:rPr>
      <w:instrText xml:space="preserve"> PAGE </w:instrText>
    </w:r>
    <w:r>
      <w:rPr>
        <w:noProof/>
        <w:szCs w:val="22"/>
        <w:lang w:val="fr-CH"/>
      </w:rPr>
      <w:fldChar w:fldCharType="separate"/>
    </w:r>
    <w:r w:rsidR="00FD7A70">
      <w:rPr>
        <w:noProof/>
        <w:szCs w:val="22"/>
        <w:lang w:val="fr-CH"/>
      </w:rPr>
      <w:instrText>5</w:instrText>
    </w:r>
    <w:r>
      <w:rPr>
        <w:noProof/>
        <w:szCs w:val="22"/>
        <w:lang w:val="fr-CH"/>
      </w:rPr>
      <w:fldChar w:fldCharType="end"/>
    </w:r>
    <w:r>
      <w:rPr>
        <w:noProof/>
        <w:szCs w:val="22"/>
        <w:lang w:val="fr-CH"/>
      </w:rPr>
      <w:instrText>-1</w:instrText>
    </w:r>
    <w:r w:rsidRPr="005344DF">
      <w:rPr>
        <w:noProof/>
        <w:szCs w:val="22"/>
        <w:lang w:val="fr-CH"/>
      </w:rPr>
      <w:instrText xml:space="preserve"> </w:instrText>
    </w:r>
    <w:r w:rsidRPr="005344DF">
      <w:rPr>
        <w:noProof/>
        <w:szCs w:val="22"/>
        <w:lang w:val="fr-CH"/>
      </w:rPr>
      <w:fldChar w:fldCharType="separate"/>
    </w:r>
    <w:r w:rsidR="00FD7A70">
      <w:rPr>
        <w:noProof/>
        <w:szCs w:val="22"/>
        <w:lang w:val="fr-CH"/>
      </w:rPr>
      <w:t>4</w:t>
    </w:r>
    <w:r w:rsidRPr="005344DF">
      <w:rPr>
        <w:noProof/>
        <w:szCs w:val="22"/>
        <w:lang w:val="fr-CH"/>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126A" w:rsidRPr="00D86C47" w:rsidRDefault="0002126A" w:rsidP="0002126A">
    <w:pPr>
      <w:pStyle w:val="Footer"/>
      <w:jc w:val="center"/>
    </w:pPr>
    <w:r w:rsidRPr="005344DF">
      <w:rPr>
        <w:noProof/>
        <w:szCs w:val="22"/>
        <w:lang w:val="fr-CH"/>
      </w:rPr>
      <w:fldChar w:fldCharType="begin"/>
    </w:r>
    <w:r w:rsidRPr="005344DF">
      <w:rPr>
        <w:noProof/>
        <w:szCs w:val="22"/>
        <w:lang w:val="fr-CH"/>
      </w:rPr>
      <w:instrText xml:space="preserve"> </w:instrText>
    </w:r>
    <w:r>
      <w:rPr>
        <w:noProof/>
        <w:szCs w:val="22"/>
        <w:lang w:val="fr-CH"/>
      </w:rPr>
      <w:instrText>=</w:instrText>
    </w:r>
    <w:r>
      <w:rPr>
        <w:noProof/>
        <w:szCs w:val="22"/>
        <w:lang w:val="fr-CH"/>
      </w:rPr>
      <w:fldChar w:fldCharType="begin"/>
    </w:r>
    <w:r>
      <w:rPr>
        <w:noProof/>
        <w:szCs w:val="22"/>
        <w:lang w:val="fr-CH"/>
      </w:rPr>
      <w:instrText xml:space="preserve"> PAGE </w:instrText>
    </w:r>
    <w:r>
      <w:rPr>
        <w:noProof/>
        <w:szCs w:val="22"/>
        <w:lang w:val="fr-CH"/>
      </w:rPr>
      <w:fldChar w:fldCharType="separate"/>
    </w:r>
    <w:r w:rsidR="00FD7A70">
      <w:rPr>
        <w:noProof/>
        <w:szCs w:val="22"/>
        <w:lang w:val="fr-CH"/>
      </w:rPr>
      <w:instrText>3</w:instrText>
    </w:r>
    <w:r>
      <w:rPr>
        <w:noProof/>
        <w:szCs w:val="22"/>
        <w:lang w:val="fr-CH"/>
      </w:rPr>
      <w:fldChar w:fldCharType="end"/>
    </w:r>
    <w:r>
      <w:rPr>
        <w:noProof/>
        <w:szCs w:val="22"/>
        <w:lang w:val="fr-CH"/>
      </w:rPr>
      <w:instrText>-1</w:instrText>
    </w:r>
    <w:r w:rsidRPr="005344DF">
      <w:rPr>
        <w:noProof/>
        <w:szCs w:val="22"/>
        <w:lang w:val="fr-CH"/>
      </w:rPr>
      <w:instrText xml:space="preserve"> </w:instrText>
    </w:r>
    <w:r w:rsidRPr="005344DF">
      <w:rPr>
        <w:noProof/>
        <w:szCs w:val="22"/>
        <w:lang w:val="fr-CH"/>
      </w:rPr>
      <w:fldChar w:fldCharType="separate"/>
    </w:r>
    <w:r w:rsidR="00FD7A70">
      <w:rPr>
        <w:noProof/>
        <w:szCs w:val="22"/>
        <w:lang w:val="fr-CH"/>
      </w:rPr>
      <w:t>2</w:t>
    </w:r>
    <w:r w:rsidRPr="005344DF">
      <w:rPr>
        <w:noProof/>
        <w:szCs w:val="22"/>
        <w:lang w:val="fr-CH"/>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46D7" w:rsidRDefault="00CA46D7">
      <w:r>
        <w:separator/>
      </w:r>
    </w:p>
  </w:footnote>
  <w:footnote w:type="continuationSeparator" w:id="0">
    <w:p w:rsidR="00CA46D7" w:rsidRDefault="00CA46D7" w:rsidP="008B60B2">
      <w:r>
        <w:separator/>
      </w:r>
    </w:p>
    <w:p w:rsidR="00CA46D7" w:rsidRPr="00ED77FB" w:rsidRDefault="00CA46D7" w:rsidP="008B60B2">
      <w:pPr>
        <w:spacing w:after="60"/>
        <w:rPr>
          <w:sz w:val="17"/>
          <w:szCs w:val="17"/>
        </w:rPr>
      </w:pPr>
      <w:r w:rsidRPr="00ED77FB">
        <w:rPr>
          <w:sz w:val="17"/>
          <w:szCs w:val="17"/>
        </w:rPr>
        <w:t>[Footnote continued from previous page]</w:t>
      </w:r>
    </w:p>
  </w:footnote>
  <w:footnote w:type="continuationNotice" w:id="1">
    <w:p w:rsidR="00CA46D7" w:rsidRPr="00ED77FB" w:rsidRDefault="00CA46D7" w:rsidP="008B60B2">
      <w:pPr>
        <w:spacing w:before="60"/>
        <w:jc w:val="right"/>
        <w:rPr>
          <w:sz w:val="17"/>
          <w:szCs w:val="17"/>
        </w:rPr>
      </w:pPr>
      <w:r w:rsidRPr="00ED77FB">
        <w:rPr>
          <w:sz w:val="17"/>
          <w:szCs w:val="17"/>
        </w:rPr>
        <w:t>[Footnote continued on next page]</w:t>
      </w:r>
    </w:p>
  </w:footnote>
  <w:footnote w:id="2">
    <w:p w:rsidR="00ED5219" w:rsidRPr="00ED5219" w:rsidRDefault="00ED5219" w:rsidP="0002126A">
      <w:pPr>
        <w:pStyle w:val="CommentText"/>
        <w:rPr>
          <w:rFonts w:asciiTheme="minorHAnsi" w:hAnsiTheme="minorHAnsi"/>
          <w:sz w:val="20"/>
          <w:lang w:val="fr-CH"/>
        </w:rPr>
      </w:pPr>
      <w:r w:rsidRPr="00740E7A">
        <w:rPr>
          <w:rStyle w:val="FootnoteReference"/>
          <w:rFonts w:asciiTheme="minorHAnsi" w:hAnsiTheme="minorHAnsi"/>
          <w:sz w:val="20"/>
          <w:lang w:val="fr-CH"/>
        </w:rPr>
        <w:footnoteRef/>
      </w:r>
      <w:r w:rsidRPr="00740E7A">
        <w:rPr>
          <w:rFonts w:asciiTheme="minorHAnsi" w:hAnsiTheme="minorHAnsi"/>
          <w:sz w:val="20"/>
          <w:lang w:val="fr-CH"/>
        </w:rPr>
        <w:t xml:space="preserve"> </w:t>
      </w:r>
      <w:r>
        <w:rPr>
          <w:rFonts w:asciiTheme="minorHAnsi" w:hAnsiTheme="minorHAnsi"/>
          <w:sz w:val="20"/>
          <w:lang w:val="fr-CH"/>
        </w:rPr>
        <w:tab/>
      </w:r>
      <w:r w:rsidRPr="00CD79CE">
        <w:rPr>
          <w:szCs w:val="18"/>
          <w:lang w:val="fr-CH"/>
        </w:rPr>
        <w:t xml:space="preserve">Voir, par exemple, </w:t>
      </w:r>
      <w:r w:rsidRPr="0078340D">
        <w:rPr>
          <w:szCs w:val="18"/>
          <w:lang w:val="fr-CH"/>
        </w:rPr>
        <w:t>l</w:t>
      </w:r>
      <w:r>
        <w:rPr>
          <w:szCs w:val="18"/>
          <w:lang w:val="fr-CH"/>
        </w:rPr>
        <w:t>’</w:t>
      </w:r>
      <w:r w:rsidR="0079234D">
        <w:rPr>
          <w:szCs w:val="18"/>
          <w:lang w:val="fr-CH"/>
        </w:rPr>
        <w:t>a</w:t>
      </w:r>
      <w:r w:rsidRPr="0078340D">
        <w:rPr>
          <w:szCs w:val="18"/>
          <w:lang w:val="fr-CH"/>
        </w:rPr>
        <w:t>nnexe</w:t>
      </w:r>
      <w:r>
        <w:rPr>
          <w:szCs w:val="18"/>
          <w:lang w:val="fr-CH"/>
        </w:rPr>
        <w:t> </w:t>
      </w:r>
      <w:r w:rsidRPr="0078340D">
        <w:rPr>
          <w:szCs w:val="18"/>
          <w:lang w:val="fr-CH"/>
        </w:rPr>
        <w:t>A du document AB/II/3 (1971) (page</w:t>
      </w:r>
      <w:r>
        <w:rPr>
          <w:szCs w:val="18"/>
          <w:lang w:val="fr-CH"/>
        </w:rPr>
        <w:t> </w:t>
      </w:r>
      <w:r w:rsidRPr="0078340D">
        <w:rPr>
          <w:szCs w:val="18"/>
          <w:lang w:val="fr-CH"/>
        </w:rPr>
        <w:t>15), (</w:t>
      </w:r>
      <w:hyperlink r:id="rId1" w:history="1">
        <w:r w:rsidRPr="0078340D">
          <w:rPr>
            <w:rStyle w:val="Hyperlink"/>
            <w:szCs w:val="18"/>
            <w:lang w:val="fr-CH"/>
          </w:rPr>
          <w:t>http://www.wipo.int/mdocsarchives/AB_II_1971/AB_II_3_F.pdf</w:t>
        </w:r>
      </w:hyperlink>
      <w:r w:rsidRPr="0078340D">
        <w:rPr>
          <w:rStyle w:val="Hyperlink"/>
          <w:szCs w:val="18"/>
          <w:lang w:val="fr-CH"/>
        </w:rPr>
        <w:t>)</w:t>
      </w:r>
      <w:r>
        <w:rPr>
          <w:szCs w:val="18"/>
          <w:lang w:val="fr-CH"/>
        </w:rPr>
        <w:t> : “</w:t>
      </w:r>
      <w:r w:rsidRPr="0078340D">
        <w:rPr>
          <w:szCs w:val="18"/>
          <w:lang w:val="fr-CH"/>
        </w:rPr>
        <w:t xml:space="preserve">Pour </w:t>
      </w:r>
      <w:r w:rsidRPr="0078340D">
        <w:rPr>
          <w:szCs w:val="18"/>
          <w:u w:val="single"/>
          <w:lang w:val="fr-CH"/>
        </w:rPr>
        <w:t>l</w:t>
      </w:r>
      <w:r>
        <w:rPr>
          <w:szCs w:val="18"/>
          <w:u w:val="single"/>
          <w:lang w:val="fr-CH"/>
        </w:rPr>
        <w:t>’</w:t>
      </w:r>
      <w:r w:rsidRPr="0078340D">
        <w:rPr>
          <w:szCs w:val="18"/>
          <w:u w:val="single"/>
          <w:lang w:val="fr-CH"/>
        </w:rPr>
        <w:t>Union de Lisbonne</w:t>
      </w:r>
      <w:r w:rsidRPr="0078340D">
        <w:rPr>
          <w:szCs w:val="18"/>
          <w:lang w:val="fr-CH"/>
        </w:rPr>
        <w:t>, le déficit accumulé au 31</w:t>
      </w:r>
      <w:r>
        <w:rPr>
          <w:szCs w:val="18"/>
          <w:lang w:val="fr-CH"/>
        </w:rPr>
        <w:t> </w:t>
      </w:r>
      <w:r w:rsidRPr="0078340D">
        <w:rPr>
          <w:szCs w:val="18"/>
          <w:lang w:val="fr-CH"/>
        </w:rPr>
        <w:t>décembre</w:t>
      </w:r>
      <w:r>
        <w:rPr>
          <w:szCs w:val="18"/>
          <w:lang w:val="fr-CH"/>
        </w:rPr>
        <w:t> </w:t>
      </w:r>
      <w:r w:rsidRPr="0078340D">
        <w:rPr>
          <w:szCs w:val="18"/>
          <w:lang w:val="fr-CH"/>
        </w:rPr>
        <w:t>1969 s</w:t>
      </w:r>
      <w:r>
        <w:rPr>
          <w:szCs w:val="18"/>
          <w:lang w:val="fr-CH"/>
        </w:rPr>
        <w:t>’</w:t>
      </w:r>
      <w:r w:rsidRPr="0078340D">
        <w:rPr>
          <w:szCs w:val="18"/>
          <w:lang w:val="fr-CH"/>
        </w:rPr>
        <w:t>élevait encore à… 15</w:t>
      </w:r>
      <w:r w:rsidR="0079234D">
        <w:rPr>
          <w:szCs w:val="18"/>
          <w:lang w:val="fr-CH"/>
        </w:rPr>
        <w:t>’</w:t>
      </w:r>
      <w:r w:rsidRPr="0078340D">
        <w:rPr>
          <w:szCs w:val="18"/>
          <w:lang w:val="fr-CH"/>
        </w:rPr>
        <w:t>261</w:t>
      </w:r>
      <w:r w:rsidR="0079234D">
        <w:rPr>
          <w:szCs w:val="18"/>
          <w:lang w:val="fr-CH"/>
        </w:rPr>
        <w:t>.</w:t>
      </w:r>
      <w:r w:rsidRPr="0078340D">
        <w:rPr>
          <w:szCs w:val="18"/>
          <w:lang w:val="fr-CH"/>
        </w:rPr>
        <w:t>32</w:t>
      </w:r>
      <w:r>
        <w:rPr>
          <w:szCs w:val="18"/>
          <w:lang w:val="fr-CH"/>
        </w:rPr>
        <w:t> </w:t>
      </w:r>
      <w:r w:rsidRPr="0078340D">
        <w:rPr>
          <w:szCs w:val="18"/>
          <w:lang w:val="fr-CH"/>
        </w:rPr>
        <w:t>francs</w:t>
      </w:r>
      <w:r>
        <w:rPr>
          <w:szCs w:val="18"/>
          <w:lang w:val="fr-CH"/>
        </w:rPr>
        <w:t>”</w:t>
      </w:r>
      <w:r w:rsidRPr="0078340D">
        <w:rPr>
          <w:szCs w:val="18"/>
          <w:lang w:val="fr-CH"/>
        </w:rPr>
        <w:t xml:space="preserve">, un montant qui était </w:t>
      </w:r>
      <w:r>
        <w:rPr>
          <w:szCs w:val="18"/>
          <w:lang w:val="fr-CH"/>
        </w:rPr>
        <w:t>“</w:t>
      </w:r>
      <w:r w:rsidRPr="0078340D">
        <w:rPr>
          <w:szCs w:val="18"/>
          <w:lang w:val="fr-CH"/>
        </w:rPr>
        <w:t>provisoirement couvert par l</w:t>
      </w:r>
      <w:r>
        <w:rPr>
          <w:szCs w:val="18"/>
          <w:lang w:val="fr-CH"/>
        </w:rPr>
        <w:t>’</w:t>
      </w:r>
      <w:r w:rsidRPr="0078340D">
        <w:rPr>
          <w:szCs w:val="18"/>
          <w:lang w:val="fr-CH"/>
        </w:rPr>
        <w:t>avance, sans intérêt, accordée par le Gouvernement suisse.</w:t>
      </w:r>
      <w:r>
        <w:rPr>
          <w:szCs w:val="18"/>
          <w:lang w:val="fr-CH"/>
        </w:rPr>
        <w:t xml:space="preserve">”; </w:t>
      </w:r>
      <w:r w:rsidRPr="0078340D">
        <w:rPr>
          <w:szCs w:val="18"/>
          <w:lang w:val="fr-CH"/>
        </w:rPr>
        <w:t xml:space="preserve"> le paragraphe</w:t>
      </w:r>
      <w:r>
        <w:rPr>
          <w:szCs w:val="18"/>
          <w:lang w:val="fr-CH"/>
        </w:rPr>
        <w:t> </w:t>
      </w:r>
      <w:r w:rsidRPr="0078340D">
        <w:rPr>
          <w:szCs w:val="18"/>
          <w:lang w:val="fr-CH"/>
        </w:rPr>
        <w:t>35 du document AB/IV/34 (1973) (page</w:t>
      </w:r>
      <w:r>
        <w:rPr>
          <w:szCs w:val="18"/>
          <w:lang w:val="fr-CH"/>
        </w:rPr>
        <w:t> </w:t>
      </w:r>
      <w:r w:rsidRPr="0078340D">
        <w:rPr>
          <w:szCs w:val="18"/>
          <w:lang w:val="fr-CH"/>
        </w:rPr>
        <w:t>6) (</w:t>
      </w:r>
      <w:hyperlink r:id="rId2" w:history="1">
        <w:r w:rsidRPr="0078340D">
          <w:rPr>
            <w:rStyle w:val="Hyperlink"/>
            <w:szCs w:val="18"/>
            <w:lang w:val="fr-CH"/>
          </w:rPr>
          <w:t>http://www.wipo.int/mdocsarchives/AB_IV_1973/AB_IV_34_F.pdf</w:t>
        </w:r>
      </w:hyperlink>
      <w:r w:rsidRPr="0078340D">
        <w:rPr>
          <w:rStyle w:val="Hyperlink"/>
          <w:szCs w:val="18"/>
          <w:lang w:val="fr-CH"/>
        </w:rPr>
        <w:t>)</w:t>
      </w:r>
      <w:r>
        <w:rPr>
          <w:szCs w:val="18"/>
          <w:lang w:val="fr-CH"/>
        </w:rPr>
        <w:t> : “</w:t>
      </w:r>
      <w:r w:rsidRPr="0078340D">
        <w:rPr>
          <w:szCs w:val="18"/>
          <w:lang w:val="fr-CH"/>
        </w:rPr>
        <w:t>en ce qui concernait le déficit de l</w:t>
      </w:r>
      <w:r>
        <w:rPr>
          <w:szCs w:val="18"/>
          <w:lang w:val="fr-CH"/>
        </w:rPr>
        <w:t>’</w:t>
      </w:r>
      <w:r w:rsidRPr="0078340D">
        <w:rPr>
          <w:szCs w:val="18"/>
          <w:lang w:val="fr-CH"/>
        </w:rPr>
        <w:t>Union de Lisbonne, les perspectives étaient moins brillantes du fait du nombre insignifiant des enregistrements mais, pour le moment, il était couvert par des avances du Gouvernement suisse…</w:t>
      </w:r>
      <w:r>
        <w:rPr>
          <w:szCs w:val="18"/>
          <w:lang w:val="fr-CH"/>
        </w:rPr>
        <w:t xml:space="preserve">”; </w:t>
      </w:r>
      <w:r w:rsidRPr="0078340D">
        <w:rPr>
          <w:szCs w:val="18"/>
          <w:lang w:val="fr-CH"/>
        </w:rPr>
        <w:t xml:space="preserve"> le paragraphe</w:t>
      </w:r>
      <w:r>
        <w:rPr>
          <w:szCs w:val="18"/>
          <w:lang w:val="fr-CH"/>
        </w:rPr>
        <w:t> </w:t>
      </w:r>
      <w:r w:rsidRPr="0078340D">
        <w:rPr>
          <w:szCs w:val="18"/>
          <w:lang w:val="fr-CH"/>
        </w:rPr>
        <w:t>9 du document AB/XX/2 (1989) (p</w:t>
      </w:r>
      <w:r w:rsidR="0079234D">
        <w:rPr>
          <w:szCs w:val="18"/>
          <w:lang w:val="fr-CH"/>
        </w:rPr>
        <w:t>ages</w:t>
      </w:r>
      <w:r>
        <w:rPr>
          <w:szCs w:val="18"/>
          <w:lang w:val="fr-CH"/>
        </w:rPr>
        <w:t> </w:t>
      </w:r>
      <w:r w:rsidRPr="0078340D">
        <w:rPr>
          <w:szCs w:val="18"/>
          <w:lang w:val="fr-CH"/>
        </w:rPr>
        <w:t>2</w:t>
      </w:r>
      <w:r>
        <w:rPr>
          <w:szCs w:val="18"/>
          <w:lang w:val="fr-CH"/>
        </w:rPr>
        <w:t xml:space="preserve"> et </w:t>
      </w:r>
      <w:r w:rsidRPr="0078340D">
        <w:rPr>
          <w:szCs w:val="18"/>
          <w:lang w:val="fr-CH"/>
        </w:rPr>
        <w:t>3) (</w:t>
      </w:r>
      <w:hyperlink r:id="rId3" w:history="1">
        <w:r w:rsidRPr="0078340D">
          <w:rPr>
            <w:rStyle w:val="Hyperlink"/>
            <w:szCs w:val="18"/>
            <w:lang w:val="fr-CH"/>
          </w:rPr>
          <w:t>http://www.wipo.int/mdocsarchives/AB_XX_1989/AB_XX_2_F.pdf</w:t>
        </w:r>
      </w:hyperlink>
      <w:r w:rsidRPr="0078340D">
        <w:rPr>
          <w:szCs w:val="18"/>
          <w:lang w:val="fr-CH"/>
        </w:rPr>
        <w:t>)</w:t>
      </w:r>
      <w:r>
        <w:rPr>
          <w:szCs w:val="18"/>
          <w:lang w:val="fr-CH"/>
        </w:rPr>
        <w:t> :</w:t>
      </w:r>
      <w:r w:rsidRPr="0078340D">
        <w:rPr>
          <w:szCs w:val="18"/>
          <w:lang w:val="fr-CH"/>
        </w:rPr>
        <w:t xml:space="preserve"> </w:t>
      </w:r>
      <w:r>
        <w:rPr>
          <w:szCs w:val="18"/>
          <w:lang w:val="fr-CH"/>
        </w:rPr>
        <w:t>“</w:t>
      </w:r>
      <w:r w:rsidRPr="0078340D">
        <w:rPr>
          <w:szCs w:val="18"/>
          <w:lang w:val="fr-CH"/>
        </w:rPr>
        <w:t>Comme par le passé, les très faibles recettes de l</w:t>
      </w:r>
      <w:r>
        <w:rPr>
          <w:szCs w:val="18"/>
          <w:lang w:val="fr-CH"/>
        </w:rPr>
        <w:t>’</w:t>
      </w:r>
      <w:r w:rsidRPr="0078340D">
        <w:rPr>
          <w:szCs w:val="18"/>
          <w:lang w:val="fr-CH"/>
        </w:rPr>
        <w:t>Union de Lisbonne… serviront à financer ses très faibles dépenses et tout excédent de dépenses sera reporté sur les futurs exercices budgétaires.</w:t>
      </w:r>
      <w:r>
        <w:rPr>
          <w:szCs w:val="18"/>
          <w:lang w:val="fr-CH"/>
        </w:rPr>
        <w:t xml:space="preserve">”; </w:t>
      </w:r>
      <w:r w:rsidRPr="0078340D">
        <w:rPr>
          <w:szCs w:val="18"/>
          <w:lang w:val="fr-CH"/>
        </w:rPr>
        <w:t xml:space="preserve"> et les paragraphes</w:t>
      </w:r>
      <w:r>
        <w:rPr>
          <w:szCs w:val="18"/>
          <w:lang w:val="fr-CH"/>
        </w:rPr>
        <w:t> 2 et </w:t>
      </w:r>
      <w:r w:rsidRPr="0078340D">
        <w:rPr>
          <w:szCs w:val="18"/>
          <w:lang w:val="fr-CH"/>
        </w:rPr>
        <w:t>4 du document LI/A/X/1 (1993) (p</w:t>
      </w:r>
      <w:r w:rsidR="0079234D">
        <w:rPr>
          <w:szCs w:val="18"/>
          <w:lang w:val="fr-CH"/>
        </w:rPr>
        <w:t>ages</w:t>
      </w:r>
      <w:r>
        <w:rPr>
          <w:szCs w:val="18"/>
          <w:lang w:val="fr-CH"/>
        </w:rPr>
        <w:t> </w:t>
      </w:r>
      <w:r w:rsidRPr="0078340D">
        <w:rPr>
          <w:szCs w:val="18"/>
          <w:lang w:val="fr-CH"/>
        </w:rPr>
        <w:t>1</w:t>
      </w:r>
      <w:r>
        <w:rPr>
          <w:szCs w:val="18"/>
          <w:lang w:val="fr-CH"/>
        </w:rPr>
        <w:t xml:space="preserve"> et </w:t>
      </w:r>
      <w:r w:rsidRPr="0078340D">
        <w:rPr>
          <w:szCs w:val="18"/>
          <w:lang w:val="fr-CH"/>
        </w:rPr>
        <w:t>2)</w:t>
      </w:r>
      <w:r>
        <w:rPr>
          <w:szCs w:val="18"/>
          <w:lang w:val="fr-CH"/>
        </w:rPr>
        <w:t> :</w:t>
      </w:r>
      <w:r w:rsidRPr="0078340D">
        <w:rPr>
          <w:szCs w:val="18"/>
          <w:lang w:val="fr-CH"/>
        </w:rPr>
        <w:t xml:space="preserve"> </w:t>
      </w:r>
      <w:r>
        <w:rPr>
          <w:szCs w:val="18"/>
          <w:lang w:val="fr-CH"/>
        </w:rPr>
        <w:t>“</w:t>
      </w:r>
      <w:r w:rsidRPr="0078340D">
        <w:rPr>
          <w:szCs w:val="18"/>
          <w:lang w:val="fr-CH"/>
        </w:rPr>
        <w:t>À la date du 31</w:t>
      </w:r>
      <w:r>
        <w:rPr>
          <w:szCs w:val="18"/>
          <w:lang w:val="fr-CH"/>
        </w:rPr>
        <w:t> </w:t>
      </w:r>
      <w:r w:rsidRPr="0078340D">
        <w:rPr>
          <w:szCs w:val="18"/>
          <w:lang w:val="fr-CH"/>
        </w:rPr>
        <w:t>décembre</w:t>
      </w:r>
      <w:r>
        <w:rPr>
          <w:szCs w:val="18"/>
          <w:lang w:val="fr-CH"/>
        </w:rPr>
        <w:t> </w:t>
      </w:r>
      <w:r w:rsidRPr="0078340D">
        <w:rPr>
          <w:szCs w:val="18"/>
          <w:lang w:val="fr-CH"/>
        </w:rPr>
        <w:t>1991, l</w:t>
      </w:r>
      <w:r>
        <w:rPr>
          <w:szCs w:val="18"/>
          <w:lang w:val="fr-CH"/>
        </w:rPr>
        <w:t>’</w:t>
      </w:r>
      <w:r w:rsidRPr="0078340D">
        <w:rPr>
          <w:szCs w:val="18"/>
          <w:lang w:val="fr-CH"/>
        </w:rPr>
        <w:t>Union de Lisbonne avait accumulé un déficit de 24</w:t>
      </w:r>
      <w:r w:rsidR="0079234D">
        <w:rPr>
          <w:szCs w:val="18"/>
          <w:lang w:val="fr-CH"/>
        </w:rPr>
        <w:t>.</w:t>
      </w:r>
      <w:r w:rsidRPr="0078340D">
        <w:rPr>
          <w:szCs w:val="18"/>
          <w:lang w:val="fr-CH"/>
        </w:rPr>
        <w:t>675</w:t>
      </w:r>
      <w:r>
        <w:rPr>
          <w:szCs w:val="18"/>
          <w:lang w:val="fr-CH"/>
        </w:rPr>
        <w:t> </w:t>
      </w:r>
      <w:r w:rsidRPr="0078340D">
        <w:rPr>
          <w:szCs w:val="18"/>
          <w:lang w:val="fr-CH"/>
        </w:rPr>
        <w:t>francs.</w:t>
      </w:r>
      <w:r>
        <w:rPr>
          <w:szCs w:val="18"/>
          <w:lang w:val="fr-CH"/>
        </w:rPr>
        <w:t xml:space="preserve"> </w:t>
      </w:r>
      <w:r w:rsidRPr="0078340D">
        <w:rPr>
          <w:szCs w:val="18"/>
          <w:lang w:val="fr-CH"/>
        </w:rPr>
        <w:t xml:space="preserve"> Ce déficit tenait au fait que les très faibles recettes de l</w:t>
      </w:r>
      <w:r>
        <w:rPr>
          <w:szCs w:val="18"/>
          <w:lang w:val="fr-CH"/>
        </w:rPr>
        <w:t>’</w:t>
      </w:r>
      <w:r w:rsidRPr="0078340D">
        <w:rPr>
          <w:szCs w:val="18"/>
          <w:lang w:val="fr-CH"/>
        </w:rPr>
        <w:t>union n</w:t>
      </w:r>
      <w:r>
        <w:rPr>
          <w:szCs w:val="18"/>
          <w:lang w:val="fr-CH"/>
        </w:rPr>
        <w:t>’</w:t>
      </w:r>
      <w:r w:rsidRPr="0078340D">
        <w:rPr>
          <w:szCs w:val="18"/>
          <w:lang w:val="fr-CH"/>
        </w:rPr>
        <w:t>avaient pas été suffisantes, au cours des derniers exercices biennaux, pour couvrir les dépenses… Le déficit de l</w:t>
      </w:r>
      <w:r>
        <w:rPr>
          <w:szCs w:val="18"/>
          <w:lang w:val="fr-CH"/>
        </w:rPr>
        <w:t>’</w:t>
      </w:r>
      <w:r w:rsidRPr="0078340D">
        <w:rPr>
          <w:szCs w:val="18"/>
          <w:lang w:val="fr-CH"/>
        </w:rPr>
        <w:t>Union de Lisbonne, qui était de 12</w:t>
      </w:r>
      <w:r w:rsidR="00061B7C">
        <w:rPr>
          <w:szCs w:val="18"/>
          <w:lang w:val="fr-CH"/>
        </w:rPr>
        <w:t>.</w:t>
      </w:r>
      <w:r w:rsidRPr="0078340D">
        <w:rPr>
          <w:szCs w:val="18"/>
          <w:lang w:val="fr-CH"/>
        </w:rPr>
        <w:t>316</w:t>
      </w:r>
      <w:r>
        <w:rPr>
          <w:szCs w:val="18"/>
          <w:lang w:val="fr-CH"/>
        </w:rPr>
        <w:t> </w:t>
      </w:r>
      <w:r w:rsidRPr="0078340D">
        <w:rPr>
          <w:szCs w:val="18"/>
          <w:lang w:val="fr-CH"/>
        </w:rPr>
        <w:t>francs à la fin de</w:t>
      </w:r>
      <w:r>
        <w:rPr>
          <w:szCs w:val="18"/>
          <w:lang w:val="fr-CH"/>
        </w:rPr>
        <w:t> </w:t>
      </w:r>
      <w:r w:rsidRPr="0078340D">
        <w:rPr>
          <w:szCs w:val="18"/>
          <w:lang w:val="fr-CH"/>
        </w:rPr>
        <w:t>1985, est passé à 15</w:t>
      </w:r>
      <w:r w:rsidR="00061B7C">
        <w:rPr>
          <w:szCs w:val="18"/>
          <w:lang w:val="fr-CH"/>
        </w:rPr>
        <w:t>.</w:t>
      </w:r>
      <w:r w:rsidRPr="0078340D">
        <w:rPr>
          <w:szCs w:val="18"/>
          <w:lang w:val="fr-CH"/>
        </w:rPr>
        <w:t>372</w:t>
      </w:r>
      <w:r>
        <w:rPr>
          <w:szCs w:val="18"/>
          <w:lang w:val="fr-CH"/>
        </w:rPr>
        <w:t> </w:t>
      </w:r>
      <w:r w:rsidRPr="0078340D">
        <w:rPr>
          <w:szCs w:val="18"/>
          <w:lang w:val="fr-CH"/>
        </w:rPr>
        <w:t>francs à la fin de</w:t>
      </w:r>
      <w:r>
        <w:rPr>
          <w:szCs w:val="18"/>
          <w:lang w:val="fr-CH"/>
        </w:rPr>
        <w:t> </w:t>
      </w:r>
      <w:r w:rsidRPr="0078340D">
        <w:rPr>
          <w:szCs w:val="18"/>
          <w:lang w:val="fr-CH"/>
        </w:rPr>
        <w:t>1987, à 20</w:t>
      </w:r>
      <w:r w:rsidR="00061B7C">
        <w:rPr>
          <w:szCs w:val="18"/>
          <w:lang w:val="fr-CH"/>
        </w:rPr>
        <w:t>.</w:t>
      </w:r>
      <w:r w:rsidRPr="0078340D">
        <w:rPr>
          <w:szCs w:val="18"/>
          <w:lang w:val="fr-CH"/>
        </w:rPr>
        <w:t>129</w:t>
      </w:r>
      <w:r>
        <w:rPr>
          <w:szCs w:val="18"/>
          <w:lang w:val="fr-CH"/>
        </w:rPr>
        <w:t> </w:t>
      </w:r>
      <w:r w:rsidRPr="0078340D">
        <w:rPr>
          <w:szCs w:val="18"/>
          <w:lang w:val="fr-CH"/>
        </w:rPr>
        <w:t>francs à la fin de</w:t>
      </w:r>
      <w:r>
        <w:rPr>
          <w:szCs w:val="18"/>
          <w:lang w:val="fr-CH"/>
        </w:rPr>
        <w:t> </w:t>
      </w:r>
      <w:r w:rsidRPr="0078340D">
        <w:rPr>
          <w:szCs w:val="18"/>
          <w:lang w:val="fr-CH"/>
        </w:rPr>
        <w:t>1989 et à 24</w:t>
      </w:r>
      <w:r w:rsidR="00061B7C">
        <w:rPr>
          <w:szCs w:val="18"/>
          <w:lang w:val="fr-CH"/>
        </w:rPr>
        <w:t>.</w:t>
      </w:r>
      <w:r w:rsidRPr="0078340D">
        <w:rPr>
          <w:szCs w:val="18"/>
          <w:lang w:val="fr-CH"/>
        </w:rPr>
        <w:t>675</w:t>
      </w:r>
      <w:r>
        <w:rPr>
          <w:szCs w:val="18"/>
          <w:lang w:val="fr-CH"/>
        </w:rPr>
        <w:t> </w:t>
      </w:r>
      <w:r w:rsidRPr="0078340D">
        <w:rPr>
          <w:szCs w:val="18"/>
          <w:lang w:val="fr-CH"/>
        </w:rPr>
        <w:t>francs à la fin de</w:t>
      </w:r>
      <w:r>
        <w:rPr>
          <w:szCs w:val="18"/>
          <w:lang w:val="fr-CH"/>
        </w:rPr>
        <w:t> </w:t>
      </w:r>
      <w:r w:rsidRPr="0078340D">
        <w:rPr>
          <w:szCs w:val="18"/>
          <w:lang w:val="fr-CH"/>
        </w:rPr>
        <w:t>1991.</w:t>
      </w:r>
      <w:r>
        <w:rPr>
          <w:szCs w:val="18"/>
          <w:lang w:val="fr-CH"/>
        </w:rPr>
        <w:t>”</w:t>
      </w:r>
      <w:r w:rsidRPr="0078340D">
        <w:rPr>
          <w:szCs w:val="18"/>
          <w:lang w:val="fr-CH"/>
        </w:rPr>
        <w:t xml:space="preserve"> (</w:t>
      </w:r>
      <w:r w:rsidR="00FD7A70">
        <w:fldChar w:fldCharType="begin"/>
      </w:r>
      <w:r w:rsidR="00FD7A70" w:rsidRPr="00FD7A70">
        <w:rPr>
          <w:lang w:val="fr-CH"/>
        </w:rPr>
        <w:instrText xml:space="preserve"> HYPERLINK "http://www.wipo.int/mdocsarchives/AB_XXIV_1993/LI_A_X_1_F.pdf" </w:instrText>
      </w:r>
      <w:r w:rsidR="00FD7A70">
        <w:fldChar w:fldCharType="separate"/>
      </w:r>
      <w:r w:rsidRPr="0078340D">
        <w:rPr>
          <w:rStyle w:val="Hyperlink"/>
          <w:szCs w:val="18"/>
          <w:lang w:val="fr-CH"/>
        </w:rPr>
        <w:t>http://www.wipo.int/mdocsarchives/AB_XXIV_1993/LI_A_X_1_F.pdf</w:t>
      </w:r>
      <w:r w:rsidR="00FD7A70">
        <w:rPr>
          <w:rStyle w:val="Hyperlink"/>
          <w:szCs w:val="18"/>
          <w:lang w:val="fr-CH"/>
        </w:rPr>
        <w:fldChar w:fldCharType="end"/>
      </w:r>
      <w:r w:rsidRPr="0078340D">
        <w:rPr>
          <w:rStyle w:val="Hyperlink"/>
          <w:szCs w:val="18"/>
          <w:lang w:val="fr-CH"/>
        </w:rPr>
        <w:t>)</w:t>
      </w:r>
      <w:r w:rsidRPr="0078340D">
        <w:rPr>
          <w:szCs w:val="18"/>
          <w:lang w:val="fr-CH"/>
        </w:rPr>
        <w:t>.</w:t>
      </w:r>
    </w:p>
  </w:footnote>
  <w:footnote w:id="3">
    <w:p w:rsidR="00ED5219" w:rsidRPr="00740E7A" w:rsidRDefault="00ED5219" w:rsidP="0002126A">
      <w:pPr>
        <w:rPr>
          <w:rFonts w:asciiTheme="minorHAnsi" w:hAnsiTheme="minorHAnsi"/>
          <w:sz w:val="20"/>
          <w:lang w:val="fr-CH"/>
        </w:rPr>
      </w:pPr>
      <w:r w:rsidRPr="00740E7A">
        <w:rPr>
          <w:rStyle w:val="FootnoteReference"/>
          <w:rFonts w:asciiTheme="minorHAnsi" w:hAnsiTheme="minorHAnsi"/>
          <w:sz w:val="20"/>
          <w:lang w:val="fr-CH"/>
        </w:rPr>
        <w:footnoteRef/>
      </w:r>
      <w:r w:rsidRPr="00740E7A">
        <w:rPr>
          <w:rFonts w:asciiTheme="minorHAnsi" w:hAnsiTheme="minorHAnsi"/>
          <w:sz w:val="20"/>
          <w:lang w:val="fr-CH"/>
        </w:rPr>
        <w:t xml:space="preserve"> </w:t>
      </w:r>
      <w:r>
        <w:rPr>
          <w:rFonts w:asciiTheme="minorHAnsi" w:hAnsiTheme="minorHAnsi"/>
          <w:sz w:val="20"/>
          <w:lang w:val="fr-CH"/>
        </w:rPr>
        <w:tab/>
      </w:r>
      <w:r w:rsidR="00C86427" w:rsidRPr="00CD79CE">
        <w:rPr>
          <w:sz w:val="18"/>
          <w:szCs w:val="18"/>
          <w:lang w:val="fr-CH"/>
        </w:rPr>
        <w:t>Voir, par exemple,</w:t>
      </w:r>
      <w:r w:rsidR="00C86427" w:rsidRPr="0078340D">
        <w:rPr>
          <w:i/>
          <w:sz w:val="18"/>
          <w:szCs w:val="18"/>
          <w:lang w:val="fr-CH"/>
        </w:rPr>
        <w:t xml:space="preserve"> </w:t>
      </w:r>
      <w:r w:rsidR="00C86427" w:rsidRPr="0078340D">
        <w:rPr>
          <w:sz w:val="18"/>
          <w:szCs w:val="18"/>
          <w:lang w:val="fr-CH"/>
        </w:rPr>
        <w:t>le paragraphe</w:t>
      </w:r>
      <w:r w:rsidR="00C86427">
        <w:rPr>
          <w:sz w:val="18"/>
          <w:szCs w:val="18"/>
          <w:lang w:val="fr-CH"/>
        </w:rPr>
        <w:t> </w:t>
      </w:r>
      <w:r w:rsidR="00C86427" w:rsidRPr="0078340D">
        <w:rPr>
          <w:sz w:val="18"/>
          <w:szCs w:val="18"/>
          <w:lang w:val="fr-CH"/>
        </w:rPr>
        <w:t>101 du document AB/VI/2 (1975) (page</w:t>
      </w:r>
      <w:r w:rsidR="00C86427">
        <w:rPr>
          <w:sz w:val="18"/>
          <w:szCs w:val="18"/>
          <w:lang w:val="fr-CH"/>
        </w:rPr>
        <w:t> </w:t>
      </w:r>
      <w:r w:rsidR="00C86427" w:rsidRPr="0078340D">
        <w:rPr>
          <w:sz w:val="18"/>
          <w:szCs w:val="18"/>
          <w:lang w:val="fr-CH"/>
        </w:rPr>
        <w:t>28) (</w:t>
      </w:r>
      <w:r w:rsidR="00FD7A70">
        <w:fldChar w:fldCharType="begin"/>
      </w:r>
      <w:r w:rsidR="00FD7A70" w:rsidRPr="00FD7A70">
        <w:rPr>
          <w:lang w:val="fr-CH"/>
        </w:rPr>
        <w:instrText xml:space="preserve"> HYPERLINK "htt</w:instrText>
      </w:r>
      <w:r w:rsidR="00FD7A70" w:rsidRPr="00FD7A70">
        <w:rPr>
          <w:lang w:val="fr-CH"/>
        </w:rPr>
        <w:instrText xml:space="preserve">p://www.wipo.int/mdocsarchives/AB_VI_1975/AB_VI_2_F.pdf" </w:instrText>
      </w:r>
      <w:r w:rsidR="00FD7A70">
        <w:fldChar w:fldCharType="separate"/>
      </w:r>
      <w:r w:rsidR="00C86427" w:rsidRPr="0078340D">
        <w:rPr>
          <w:rStyle w:val="Hyperlink"/>
          <w:sz w:val="18"/>
          <w:szCs w:val="18"/>
          <w:lang w:val="fr-CH"/>
        </w:rPr>
        <w:t>http://www.wipo.int/mdocsarchives/AB_VI_1975/AB_VI_2_F.pdf</w:t>
      </w:r>
      <w:r w:rsidR="00FD7A70">
        <w:rPr>
          <w:rStyle w:val="Hyperlink"/>
          <w:sz w:val="18"/>
          <w:szCs w:val="18"/>
          <w:lang w:val="fr-CH"/>
        </w:rPr>
        <w:fldChar w:fldCharType="end"/>
      </w:r>
      <w:r w:rsidR="00C86427" w:rsidRPr="0078340D">
        <w:rPr>
          <w:rStyle w:val="Hyperlink"/>
          <w:sz w:val="18"/>
          <w:szCs w:val="18"/>
          <w:lang w:val="fr-CH"/>
        </w:rPr>
        <w:t>)</w:t>
      </w:r>
      <w:r w:rsidR="00C86427">
        <w:rPr>
          <w:sz w:val="18"/>
          <w:szCs w:val="18"/>
          <w:lang w:val="fr-CH"/>
        </w:rPr>
        <w:t> :</w:t>
      </w:r>
      <w:r w:rsidR="00C86427" w:rsidRPr="0078340D">
        <w:rPr>
          <w:sz w:val="18"/>
          <w:szCs w:val="18"/>
          <w:lang w:val="fr-CH"/>
        </w:rPr>
        <w:t xml:space="preserve"> </w:t>
      </w:r>
      <w:r w:rsidR="00C86427">
        <w:rPr>
          <w:sz w:val="18"/>
          <w:szCs w:val="18"/>
          <w:lang w:val="fr-CH"/>
        </w:rPr>
        <w:t>“</w:t>
      </w:r>
      <w:r w:rsidR="00C86427" w:rsidRPr="0078340D">
        <w:rPr>
          <w:sz w:val="18"/>
          <w:szCs w:val="18"/>
          <w:lang w:val="fr-CH"/>
        </w:rPr>
        <w:t>Dépenses communes.  L</w:t>
      </w:r>
      <w:r w:rsidR="00C86427">
        <w:rPr>
          <w:sz w:val="18"/>
          <w:szCs w:val="18"/>
          <w:lang w:val="fr-CH"/>
        </w:rPr>
        <w:t>’</w:t>
      </w:r>
      <w:r w:rsidR="00C86427" w:rsidRPr="0078340D">
        <w:rPr>
          <w:sz w:val="18"/>
          <w:szCs w:val="18"/>
          <w:lang w:val="fr-CH"/>
        </w:rPr>
        <w:t>Union continuera de supporter un faible pourcentage des dépenses communes.</w:t>
      </w:r>
      <w:r w:rsidR="00C86427">
        <w:rPr>
          <w:sz w:val="18"/>
          <w:szCs w:val="18"/>
          <w:lang w:val="fr-CH"/>
        </w:rPr>
        <w:t xml:space="preserve"> </w:t>
      </w:r>
      <w:r w:rsidR="00C86427" w:rsidRPr="0078340D">
        <w:rPr>
          <w:sz w:val="18"/>
          <w:szCs w:val="18"/>
          <w:lang w:val="fr-CH"/>
        </w:rPr>
        <w:t xml:space="preserve"> Les sommes en cause sont cependant trop peu élevées pour figurer dans les tableaux DC (où les sommes sont arrondies au millier de francs le plus proche). </w:t>
      </w:r>
      <w:r w:rsidR="00C86427">
        <w:rPr>
          <w:sz w:val="18"/>
          <w:szCs w:val="18"/>
          <w:lang w:val="fr-CH"/>
        </w:rPr>
        <w:t xml:space="preserve"> </w:t>
      </w:r>
      <w:r w:rsidR="00C86427" w:rsidRPr="0078340D">
        <w:rPr>
          <w:sz w:val="18"/>
          <w:szCs w:val="18"/>
          <w:lang w:val="fr-CH"/>
        </w:rPr>
        <w:t>On estime que la contribution de l</w:t>
      </w:r>
      <w:r w:rsidR="00C86427">
        <w:rPr>
          <w:sz w:val="18"/>
          <w:szCs w:val="18"/>
          <w:lang w:val="fr-CH"/>
        </w:rPr>
        <w:t>’</w:t>
      </w:r>
      <w:r w:rsidR="00C86427" w:rsidRPr="0078340D">
        <w:rPr>
          <w:sz w:val="18"/>
          <w:szCs w:val="18"/>
          <w:lang w:val="fr-CH"/>
        </w:rPr>
        <w:t>Union aux dépenses communes atteindra 5</w:t>
      </w:r>
      <w:r w:rsidR="00061B7C">
        <w:rPr>
          <w:sz w:val="18"/>
          <w:szCs w:val="18"/>
          <w:lang w:val="fr-CH"/>
        </w:rPr>
        <w:t>.</w:t>
      </w:r>
      <w:r w:rsidR="00C86427" w:rsidRPr="0078340D">
        <w:rPr>
          <w:sz w:val="18"/>
          <w:szCs w:val="18"/>
          <w:lang w:val="fr-CH"/>
        </w:rPr>
        <w:t>000</w:t>
      </w:r>
      <w:r w:rsidR="00C86427">
        <w:rPr>
          <w:sz w:val="18"/>
          <w:szCs w:val="18"/>
          <w:lang w:val="fr-CH"/>
        </w:rPr>
        <w:t> </w:t>
      </w:r>
      <w:r w:rsidR="00C86427" w:rsidRPr="0078340D">
        <w:rPr>
          <w:sz w:val="18"/>
          <w:szCs w:val="18"/>
          <w:lang w:val="fr-CH"/>
        </w:rPr>
        <w:t>francs pour l</w:t>
      </w:r>
      <w:r w:rsidR="00C86427">
        <w:rPr>
          <w:sz w:val="18"/>
          <w:szCs w:val="18"/>
          <w:lang w:val="fr-CH"/>
        </w:rPr>
        <w:t>’</w:t>
      </w:r>
      <w:r w:rsidR="00C86427" w:rsidRPr="0078340D">
        <w:rPr>
          <w:sz w:val="18"/>
          <w:szCs w:val="18"/>
          <w:lang w:val="fr-CH"/>
        </w:rPr>
        <w:t xml:space="preserve">exercice 1976 et cette somme figure au poste DC.34 </w:t>
      </w:r>
      <w:r w:rsidR="00C86427">
        <w:rPr>
          <w:sz w:val="18"/>
          <w:szCs w:val="18"/>
          <w:lang w:val="fr-CH"/>
        </w:rPr>
        <w:t>“</w:t>
      </w:r>
      <w:r w:rsidR="00C86427" w:rsidRPr="0078340D">
        <w:rPr>
          <w:sz w:val="18"/>
          <w:szCs w:val="18"/>
          <w:lang w:val="fr-CH"/>
        </w:rPr>
        <w:t>Divers et imprévus.</w:t>
      </w:r>
      <w:r w:rsidR="00C86427">
        <w:rPr>
          <w:sz w:val="18"/>
          <w:szCs w:val="18"/>
          <w:lang w:val="fr-CH"/>
        </w:rPr>
        <w:t>”;</w:t>
      </w:r>
      <w:r w:rsidR="00C86427" w:rsidRPr="0078340D">
        <w:rPr>
          <w:sz w:val="18"/>
          <w:szCs w:val="18"/>
          <w:lang w:val="fr-CH"/>
        </w:rPr>
        <w:t xml:space="preserve">  et l</w:t>
      </w:r>
      <w:r w:rsidR="00C86427">
        <w:rPr>
          <w:sz w:val="18"/>
          <w:szCs w:val="18"/>
          <w:lang w:val="fr-CH"/>
        </w:rPr>
        <w:t>’</w:t>
      </w:r>
      <w:r w:rsidR="00C86427" w:rsidRPr="0078340D">
        <w:rPr>
          <w:sz w:val="18"/>
          <w:szCs w:val="18"/>
          <w:lang w:val="fr-CH"/>
        </w:rPr>
        <w:t>annexe</w:t>
      </w:r>
      <w:r w:rsidR="00C86427">
        <w:rPr>
          <w:sz w:val="18"/>
          <w:szCs w:val="18"/>
          <w:lang w:val="fr-CH"/>
        </w:rPr>
        <w:t> </w:t>
      </w:r>
      <w:r w:rsidR="00C86427" w:rsidRPr="0078340D">
        <w:rPr>
          <w:sz w:val="18"/>
          <w:szCs w:val="18"/>
          <w:lang w:val="fr-CH"/>
        </w:rPr>
        <w:t>A du document AB/XX/2 (page</w:t>
      </w:r>
      <w:r w:rsidR="00C86427">
        <w:rPr>
          <w:sz w:val="18"/>
          <w:szCs w:val="18"/>
          <w:lang w:val="fr-CH"/>
        </w:rPr>
        <w:t> </w:t>
      </w:r>
      <w:r w:rsidR="00C86427" w:rsidRPr="0078340D">
        <w:rPr>
          <w:sz w:val="18"/>
          <w:szCs w:val="18"/>
          <w:lang w:val="fr-CH"/>
        </w:rPr>
        <w:t>62) dont il ressort que l</w:t>
      </w:r>
      <w:r w:rsidR="00C86427">
        <w:rPr>
          <w:sz w:val="18"/>
          <w:szCs w:val="18"/>
          <w:lang w:val="fr-CH"/>
        </w:rPr>
        <w:t>’</w:t>
      </w:r>
      <w:r w:rsidR="00C86427" w:rsidRPr="0078340D">
        <w:rPr>
          <w:sz w:val="18"/>
          <w:szCs w:val="18"/>
          <w:lang w:val="fr-CH"/>
        </w:rPr>
        <w:t xml:space="preserve">Union de Lisbonne est financée par les budgets des Unions de Madrid et de </w:t>
      </w:r>
      <w:r w:rsidR="00C86427">
        <w:rPr>
          <w:sz w:val="18"/>
          <w:szCs w:val="18"/>
          <w:lang w:val="fr-CH"/>
        </w:rPr>
        <w:t>La Haye</w:t>
      </w:r>
      <w:r w:rsidR="00C86427" w:rsidRPr="0078340D">
        <w:rPr>
          <w:sz w:val="18"/>
          <w:szCs w:val="18"/>
          <w:lang w:val="fr-CH"/>
        </w:rPr>
        <w:t xml:space="preserve">, et que </w:t>
      </w:r>
      <w:r w:rsidR="00C86427">
        <w:rPr>
          <w:sz w:val="18"/>
          <w:szCs w:val="18"/>
          <w:lang w:val="fr-CH"/>
        </w:rPr>
        <w:t>“</w:t>
      </w:r>
      <w:r w:rsidR="00C86427" w:rsidRPr="0078340D">
        <w:rPr>
          <w:sz w:val="18"/>
          <w:szCs w:val="18"/>
          <w:lang w:val="fr-CH"/>
        </w:rPr>
        <w:t>[l]e volume des tâches prévues aux points</w:t>
      </w:r>
      <w:r w:rsidR="00C86427">
        <w:rPr>
          <w:sz w:val="18"/>
          <w:szCs w:val="18"/>
          <w:lang w:val="fr-CH"/>
        </w:rPr>
        <w:t> </w:t>
      </w:r>
      <w:r w:rsidR="00C86427" w:rsidRPr="0078340D">
        <w:rPr>
          <w:sz w:val="18"/>
          <w:szCs w:val="18"/>
          <w:lang w:val="fr-CH"/>
        </w:rPr>
        <w:t xml:space="preserve">c) [enregistrements au titre du système de Lisbonne] </w:t>
      </w:r>
      <w:r w:rsidR="00C86427">
        <w:rPr>
          <w:sz w:val="18"/>
          <w:szCs w:val="18"/>
          <w:lang w:val="fr-CH"/>
        </w:rPr>
        <w:t>et </w:t>
      </w:r>
      <w:r w:rsidR="00C86427" w:rsidRPr="0078340D">
        <w:rPr>
          <w:sz w:val="18"/>
          <w:szCs w:val="18"/>
          <w:lang w:val="fr-CH"/>
        </w:rPr>
        <w:t>d)</w:t>
      </w:r>
      <w:r w:rsidR="00C86427">
        <w:rPr>
          <w:sz w:val="18"/>
          <w:szCs w:val="18"/>
          <w:lang w:val="fr-CH"/>
        </w:rPr>
        <w:t> </w:t>
      </w:r>
      <w:r w:rsidR="00C86427" w:rsidRPr="0078340D">
        <w:rPr>
          <w:sz w:val="18"/>
          <w:szCs w:val="18"/>
          <w:lang w:val="fr-CH"/>
        </w:rPr>
        <w:t>[notifications en vertu de l</w:t>
      </w:r>
      <w:r w:rsidR="00C86427">
        <w:rPr>
          <w:sz w:val="18"/>
          <w:szCs w:val="18"/>
          <w:lang w:val="fr-CH"/>
        </w:rPr>
        <w:t>’</w:t>
      </w:r>
      <w:r w:rsidR="00C86427" w:rsidRPr="0078340D">
        <w:rPr>
          <w:sz w:val="18"/>
          <w:szCs w:val="18"/>
          <w:lang w:val="fr-CH"/>
        </w:rPr>
        <w:t>article</w:t>
      </w:r>
      <w:r w:rsidR="00C86427">
        <w:rPr>
          <w:sz w:val="18"/>
          <w:szCs w:val="18"/>
          <w:lang w:val="fr-CH"/>
        </w:rPr>
        <w:t> </w:t>
      </w:r>
      <w:r w:rsidR="00C86427" w:rsidRPr="0078340D">
        <w:rPr>
          <w:sz w:val="18"/>
          <w:szCs w:val="18"/>
          <w:lang w:val="fr-CH"/>
        </w:rPr>
        <w:t>6</w:t>
      </w:r>
      <w:r w:rsidR="00C86427" w:rsidRPr="00061B7C">
        <w:rPr>
          <w:sz w:val="18"/>
          <w:szCs w:val="18"/>
          <w:lang w:val="fr-CH"/>
        </w:rPr>
        <w:t>ter]</w:t>
      </w:r>
      <w:r w:rsidR="00C86427" w:rsidRPr="0078340D">
        <w:rPr>
          <w:sz w:val="18"/>
          <w:szCs w:val="18"/>
          <w:lang w:val="fr-CH"/>
        </w:rPr>
        <w:t xml:space="preserve"> est si faible que les Unions de Lisbonne et de Paris ne participent pas aux dépenses de ces services d</w:t>
      </w:r>
      <w:r w:rsidR="00C86427">
        <w:rPr>
          <w:sz w:val="18"/>
          <w:szCs w:val="18"/>
          <w:lang w:val="fr-CH"/>
        </w:rPr>
        <w:t>’</w:t>
      </w:r>
      <w:r w:rsidR="00C86427" w:rsidRPr="0078340D">
        <w:rPr>
          <w:sz w:val="18"/>
          <w:szCs w:val="18"/>
          <w:lang w:val="fr-CH"/>
        </w:rPr>
        <w:t>enregistrement</w:t>
      </w:r>
      <w:r w:rsidR="00C86427">
        <w:rPr>
          <w:sz w:val="18"/>
          <w:szCs w:val="18"/>
          <w:lang w:val="fr-CH"/>
        </w:rPr>
        <w:t>”.</w:t>
      </w:r>
    </w:p>
  </w:footnote>
  <w:footnote w:id="4">
    <w:p w:rsidR="00ED5219" w:rsidRPr="00826B9E" w:rsidRDefault="00ED5219" w:rsidP="0002126A">
      <w:pPr>
        <w:pStyle w:val="FootnoteText"/>
        <w:rPr>
          <w:rFonts w:asciiTheme="minorHAnsi" w:hAnsiTheme="minorHAnsi"/>
          <w:sz w:val="20"/>
          <w:lang w:val="fr-CH"/>
        </w:rPr>
      </w:pPr>
      <w:r w:rsidRPr="00740E7A">
        <w:rPr>
          <w:rStyle w:val="FootnoteReference"/>
          <w:rFonts w:asciiTheme="minorHAnsi" w:hAnsiTheme="minorHAnsi"/>
          <w:sz w:val="20"/>
          <w:lang w:val="fr-CH"/>
        </w:rPr>
        <w:footnoteRef/>
      </w:r>
      <w:r w:rsidRPr="00740E7A">
        <w:rPr>
          <w:rFonts w:asciiTheme="minorHAnsi" w:hAnsiTheme="minorHAnsi"/>
          <w:sz w:val="20"/>
          <w:lang w:val="fr-CH"/>
        </w:rPr>
        <w:t xml:space="preserve"> </w:t>
      </w:r>
      <w:r>
        <w:rPr>
          <w:rFonts w:asciiTheme="minorHAnsi" w:hAnsiTheme="minorHAnsi"/>
          <w:sz w:val="20"/>
          <w:lang w:val="fr-CH"/>
        </w:rPr>
        <w:tab/>
      </w:r>
      <w:r w:rsidR="00C86427" w:rsidRPr="00CD79CE">
        <w:rPr>
          <w:szCs w:val="18"/>
          <w:lang w:val="fr-CH"/>
        </w:rPr>
        <w:t>Voir, par exemple,</w:t>
      </w:r>
      <w:r w:rsidR="00C86427" w:rsidRPr="0078340D">
        <w:rPr>
          <w:i/>
          <w:szCs w:val="18"/>
          <w:lang w:val="fr-CH"/>
        </w:rPr>
        <w:t xml:space="preserve"> </w:t>
      </w:r>
      <w:r w:rsidR="00C86427" w:rsidRPr="0078340D">
        <w:rPr>
          <w:szCs w:val="18"/>
          <w:lang w:val="fr-CH"/>
        </w:rPr>
        <w:t>le tableau indiquant la quote</w:t>
      </w:r>
      <w:r w:rsidR="00C86427">
        <w:rPr>
          <w:szCs w:val="18"/>
          <w:lang w:val="fr-CH"/>
        </w:rPr>
        <w:t>-</w:t>
      </w:r>
      <w:r w:rsidR="00C86427" w:rsidRPr="0078340D">
        <w:rPr>
          <w:szCs w:val="18"/>
          <w:lang w:val="fr-CH"/>
        </w:rPr>
        <w:t>part de chaque État dans les diverses contributions pour chaque année de l</w:t>
      </w:r>
      <w:r w:rsidR="00C86427">
        <w:rPr>
          <w:szCs w:val="18"/>
          <w:lang w:val="fr-CH"/>
        </w:rPr>
        <w:t>’</w:t>
      </w:r>
      <w:r w:rsidR="00C86427" w:rsidRPr="0078340D">
        <w:rPr>
          <w:szCs w:val="18"/>
          <w:lang w:val="fr-CH"/>
        </w:rPr>
        <w:t>exercice biennal</w:t>
      </w:r>
      <w:r w:rsidR="00C86427">
        <w:rPr>
          <w:szCs w:val="18"/>
          <w:lang w:val="fr-CH"/>
        </w:rPr>
        <w:t> </w:t>
      </w:r>
      <w:r w:rsidR="00C86427" w:rsidRPr="0078340D">
        <w:rPr>
          <w:szCs w:val="18"/>
          <w:lang w:val="fr-CH"/>
        </w:rPr>
        <w:t>1990</w:t>
      </w:r>
      <w:r w:rsidR="00C86427">
        <w:rPr>
          <w:szCs w:val="18"/>
          <w:lang w:val="fr-CH"/>
        </w:rPr>
        <w:noBreakHyphen/>
      </w:r>
      <w:r w:rsidR="00C86427" w:rsidRPr="0078340D">
        <w:rPr>
          <w:szCs w:val="18"/>
          <w:lang w:val="fr-CH"/>
        </w:rPr>
        <w:t>1991, figurant dans l</w:t>
      </w:r>
      <w:r w:rsidR="00C86427">
        <w:rPr>
          <w:szCs w:val="18"/>
          <w:lang w:val="fr-CH"/>
        </w:rPr>
        <w:t>’</w:t>
      </w:r>
      <w:r w:rsidR="00C86427" w:rsidRPr="0078340D">
        <w:rPr>
          <w:szCs w:val="18"/>
          <w:lang w:val="fr-CH"/>
        </w:rPr>
        <w:t>annexe</w:t>
      </w:r>
      <w:r w:rsidR="00C86427">
        <w:rPr>
          <w:szCs w:val="18"/>
          <w:lang w:val="fr-CH"/>
        </w:rPr>
        <w:t> </w:t>
      </w:r>
      <w:r w:rsidR="00C86427" w:rsidRPr="0078340D">
        <w:rPr>
          <w:szCs w:val="18"/>
          <w:lang w:val="fr-CH"/>
        </w:rPr>
        <w:t>S du</w:t>
      </w:r>
      <w:r w:rsidR="00C86427" w:rsidRPr="0078340D">
        <w:rPr>
          <w:i/>
          <w:szCs w:val="18"/>
          <w:lang w:val="fr-CH"/>
        </w:rPr>
        <w:t xml:space="preserve"> </w:t>
      </w:r>
      <w:r w:rsidR="00C86427" w:rsidRPr="0078340D">
        <w:rPr>
          <w:szCs w:val="18"/>
          <w:lang w:val="fr-CH"/>
        </w:rPr>
        <w:t xml:space="preserve">document AB/XX/2, dans lequel sont énumérées les contributions des États membres aux unions de </w:t>
      </w:r>
      <w:r w:rsidR="00C86427">
        <w:rPr>
          <w:szCs w:val="18"/>
          <w:lang w:val="fr-CH"/>
        </w:rPr>
        <w:t>“</w:t>
      </w:r>
      <w:r w:rsidR="00C86427" w:rsidRPr="0078340D">
        <w:rPr>
          <w:szCs w:val="18"/>
          <w:lang w:val="fr-CH"/>
        </w:rPr>
        <w:t>programme</w:t>
      </w:r>
      <w:r w:rsidR="00C86427">
        <w:rPr>
          <w:szCs w:val="18"/>
          <w:lang w:val="fr-CH"/>
        </w:rPr>
        <w:t>”</w:t>
      </w:r>
      <w:r w:rsidR="00C86427" w:rsidRPr="0078340D">
        <w:rPr>
          <w:szCs w:val="18"/>
          <w:lang w:val="fr-CH"/>
        </w:rPr>
        <w:t xml:space="preserve"> (Paris, Berne, IPC, Nice, Locarno et Vienne) et à l</w:t>
      </w:r>
      <w:r w:rsidR="00C86427">
        <w:rPr>
          <w:szCs w:val="18"/>
          <w:lang w:val="fr-CH"/>
        </w:rPr>
        <w:t>’</w:t>
      </w:r>
      <w:r w:rsidR="00C86427" w:rsidRPr="0078340D">
        <w:rPr>
          <w:szCs w:val="18"/>
          <w:lang w:val="fr-CH"/>
        </w:rPr>
        <w:t>OMPI.  Les unions d</w:t>
      </w:r>
      <w:r w:rsidR="00C86427">
        <w:rPr>
          <w:szCs w:val="18"/>
          <w:lang w:val="fr-CH"/>
        </w:rPr>
        <w:t>’</w:t>
      </w:r>
      <w:r w:rsidR="00C86427" w:rsidRPr="0078340D">
        <w:rPr>
          <w:szCs w:val="18"/>
          <w:lang w:val="fr-CH"/>
        </w:rPr>
        <w:t>enregistrement sont examinées séparément mais il n</w:t>
      </w:r>
      <w:r w:rsidR="00C86427">
        <w:rPr>
          <w:szCs w:val="18"/>
          <w:lang w:val="fr-CH"/>
        </w:rPr>
        <w:t>’</w:t>
      </w:r>
      <w:r w:rsidR="00C86427" w:rsidRPr="0078340D">
        <w:rPr>
          <w:szCs w:val="18"/>
          <w:lang w:val="fr-CH"/>
        </w:rPr>
        <w:t>est nullement fait mention des contributions des membres de l</w:t>
      </w:r>
      <w:r w:rsidR="00C86427">
        <w:rPr>
          <w:szCs w:val="18"/>
          <w:lang w:val="fr-CH"/>
        </w:rPr>
        <w:t>’</w:t>
      </w:r>
      <w:r w:rsidR="00C86427" w:rsidRPr="0078340D">
        <w:rPr>
          <w:szCs w:val="18"/>
          <w:lang w:val="fr-CH"/>
        </w:rPr>
        <w:t>Union de Lisbonne.</w:t>
      </w:r>
    </w:p>
  </w:footnote>
  <w:footnote w:id="5">
    <w:p w:rsidR="00ED5219" w:rsidRPr="00826B9E" w:rsidRDefault="00ED5219" w:rsidP="0002126A">
      <w:pPr>
        <w:pStyle w:val="FootnoteText"/>
        <w:rPr>
          <w:lang w:val="fr-CH"/>
        </w:rPr>
      </w:pPr>
      <w:r>
        <w:rPr>
          <w:rStyle w:val="FootnoteReference"/>
        </w:rPr>
        <w:footnoteRef/>
      </w:r>
      <w:r w:rsidRPr="00586906">
        <w:rPr>
          <w:lang w:val="fr-CH"/>
        </w:rPr>
        <w:t xml:space="preserve"> </w:t>
      </w:r>
      <w:r>
        <w:rPr>
          <w:lang w:val="fr-CH"/>
        </w:rPr>
        <w:tab/>
      </w:r>
      <w:r w:rsidR="00826B9E" w:rsidRPr="00CD79CE">
        <w:rPr>
          <w:szCs w:val="18"/>
          <w:lang w:val="fr-CH"/>
        </w:rPr>
        <w:t>Voir, par exemple,</w:t>
      </w:r>
      <w:r w:rsidR="00826B9E" w:rsidRPr="0078340D">
        <w:rPr>
          <w:szCs w:val="18"/>
          <w:lang w:val="fr-CH"/>
        </w:rPr>
        <w:t xml:space="preserve"> le paragraphe</w:t>
      </w:r>
      <w:r w:rsidR="00826B9E">
        <w:rPr>
          <w:szCs w:val="18"/>
          <w:lang w:val="fr-CH"/>
        </w:rPr>
        <w:t> </w:t>
      </w:r>
      <w:r w:rsidR="00826B9E" w:rsidRPr="0078340D">
        <w:rPr>
          <w:szCs w:val="18"/>
          <w:lang w:val="fr-CH"/>
        </w:rPr>
        <w:t>3.6.5 de l</w:t>
      </w:r>
      <w:r w:rsidR="00826B9E">
        <w:rPr>
          <w:szCs w:val="18"/>
          <w:lang w:val="fr-CH"/>
        </w:rPr>
        <w:t>’</w:t>
      </w:r>
      <w:r w:rsidR="00826B9E" w:rsidRPr="0078340D">
        <w:rPr>
          <w:szCs w:val="18"/>
          <w:lang w:val="fr-CH"/>
        </w:rPr>
        <w:t>annexe</w:t>
      </w:r>
      <w:r w:rsidR="00826B9E">
        <w:rPr>
          <w:szCs w:val="18"/>
          <w:lang w:val="fr-CH"/>
        </w:rPr>
        <w:t> </w:t>
      </w:r>
      <w:r w:rsidR="00826B9E" w:rsidRPr="0078340D">
        <w:rPr>
          <w:szCs w:val="18"/>
          <w:lang w:val="fr-CH"/>
        </w:rPr>
        <w:t>A du document AB/II/3 (page</w:t>
      </w:r>
      <w:r w:rsidR="00826B9E">
        <w:rPr>
          <w:szCs w:val="18"/>
          <w:lang w:val="fr-CH"/>
        </w:rPr>
        <w:t> </w:t>
      </w:r>
      <w:r w:rsidR="00826B9E" w:rsidRPr="0078340D">
        <w:rPr>
          <w:szCs w:val="18"/>
          <w:lang w:val="fr-CH"/>
        </w:rPr>
        <w:t xml:space="preserve">20), </w:t>
      </w:r>
      <w:r w:rsidR="00826B9E">
        <w:rPr>
          <w:szCs w:val="18"/>
          <w:lang w:val="fr-CH"/>
        </w:rPr>
        <w:t>“</w:t>
      </w:r>
      <w:r w:rsidR="00826B9E" w:rsidRPr="0078340D">
        <w:rPr>
          <w:szCs w:val="18"/>
          <w:lang w:val="fr-CH"/>
        </w:rPr>
        <w:t xml:space="preserve">[Les unions de </w:t>
      </w:r>
      <w:r w:rsidR="00826B9E">
        <w:rPr>
          <w:szCs w:val="18"/>
          <w:lang w:val="fr-CH"/>
        </w:rPr>
        <w:t>La Haye</w:t>
      </w:r>
      <w:r w:rsidR="00826B9E" w:rsidRPr="0078340D">
        <w:rPr>
          <w:szCs w:val="18"/>
          <w:lang w:val="fr-CH"/>
        </w:rPr>
        <w:t xml:space="preserve"> et de Lisbonne] ne disposent pas de fonds de réserve.</w:t>
      </w:r>
      <w:r w:rsidR="00826B9E">
        <w:rPr>
          <w:szCs w:val="18"/>
          <w:lang w:val="fr-CH"/>
        </w:rPr>
        <w:t xml:space="preserve">”; </w:t>
      </w:r>
      <w:r w:rsidR="00826B9E" w:rsidRPr="0078340D">
        <w:rPr>
          <w:szCs w:val="18"/>
          <w:lang w:val="fr-CH"/>
        </w:rPr>
        <w:t xml:space="preserve"> et le paragraphe</w:t>
      </w:r>
      <w:r w:rsidR="00826B9E">
        <w:rPr>
          <w:szCs w:val="18"/>
          <w:lang w:val="fr-CH"/>
        </w:rPr>
        <w:t> </w:t>
      </w:r>
      <w:r w:rsidR="00826B9E" w:rsidRPr="0078340D">
        <w:rPr>
          <w:szCs w:val="18"/>
          <w:lang w:val="fr-CH"/>
        </w:rPr>
        <w:t>28 du document AB/7/6 (1976) (page</w:t>
      </w:r>
      <w:r w:rsidR="00826B9E">
        <w:rPr>
          <w:szCs w:val="18"/>
          <w:lang w:val="fr-CH"/>
        </w:rPr>
        <w:t> </w:t>
      </w:r>
      <w:r w:rsidR="00826B9E" w:rsidRPr="0078340D">
        <w:rPr>
          <w:szCs w:val="18"/>
          <w:lang w:val="fr-CH"/>
        </w:rPr>
        <w:t>6), (</w:t>
      </w:r>
      <w:r w:rsidR="00FD7A70">
        <w:fldChar w:fldCharType="begin"/>
      </w:r>
      <w:r w:rsidR="00FD7A70" w:rsidRPr="00FD7A70">
        <w:rPr>
          <w:lang w:val="fr-CH"/>
        </w:rPr>
        <w:instrText xml:space="preserve"> HYPERLINK "http://www.wipo.int/mdocsarchives/AB_VII_1976/AB_VII_6_E.pdf" </w:instrText>
      </w:r>
      <w:r w:rsidR="00FD7A70">
        <w:fldChar w:fldCharType="separate"/>
      </w:r>
      <w:r w:rsidR="00826B9E" w:rsidRPr="00E842DE">
        <w:rPr>
          <w:rStyle w:val="Hyperlink"/>
          <w:szCs w:val="18"/>
          <w:lang w:val="fr-CH"/>
        </w:rPr>
        <w:t>http://www.wipo.int/mdocsarchives/AB_VII_1976/AB_VII_6_E.pdf</w:t>
      </w:r>
      <w:r w:rsidR="00FD7A70">
        <w:rPr>
          <w:rStyle w:val="Hyperlink"/>
          <w:szCs w:val="18"/>
          <w:lang w:val="fr-CH"/>
        </w:rPr>
        <w:fldChar w:fldCharType="end"/>
      </w:r>
      <w:r w:rsidR="00826B9E" w:rsidRPr="0078340D">
        <w:rPr>
          <w:rStyle w:val="Hyperlink"/>
          <w:color w:val="auto"/>
          <w:szCs w:val="18"/>
          <w:lang w:val="fr-CH"/>
        </w:rPr>
        <w:t>)</w:t>
      </w:r>
      <w:r w:rsidR="00826B9E">
        <w:rPr>
          <w:szCs w:val="18"/>
          <w:lang w:val="fr-CH"/>
        </w:rPr>
        <w:t> :</w:t>
      </w:r>
      <w:r w:rsidR="00826B9E" w:rsidRPr="0078340D">
        <w:rPr>
          <w:szCs w:val="18"/>
          <w:lang w:val="fr-CH"/>
        </w:rPr>
        <w:t xml:space="preserve"> </w:t>
      </w:r>
      <w:r w:rsidR="00826B9E">
        <w:rPr>
          <w:szCs w:val="18"/>
          <w:lang w:val="fr-CH"/>
        </w:rPr>
        <w:t>“</w:t>
      </w:r>
      <w:r w:rsidR="00826B9E" w:rsidRPr="0078340D">
        <w:rPr>
          <w:szCs w:val="18"/>
          <w:u w:val="single"/>
          <w:lang w:val="fr-CH"/>
        </w:rPr>
        <w:t>Union de Lisbonne</w:t>
      </w:r>
      <w:r w:rsidR="00826B9E" w:rsidRPr="0078340D">
        <w:rPr>
          <w:szCs w:val="18"/>
          <w:lang w:val="fr-CH"/>
        </w:rPr>
        <w:t xml:space="preserve">. </w:t>
      </w:r>
      <w:r w:rsidR="00826B9E">
        <w:rPr>
          <w:szCs w:val="18"/>
          <w:lang w:val="fr-CH"/>
        </w:rPr>
        <w:t xml:space="preserve"> </w:t>
      </w:r>
      <w:r w:rsidR="00826B9E" w:rsidRPr="0078340D">
        <w:rPr>
          <w:szCs w:val="18"/>
          <w:lang w:val="fr-CH"/>
        </w:rPr>
        <w:t>L</w:t>
      </w:r>
      <w:r w:rsidR="00826B9E">
        <w:rPr>
          <w:szCs w:val="18"/>
          <w:lang w:val="fr-CH"/>
        </w:rPr>
        <w:t>’</w:t>
      </w:r>
      <w:r w:rsidR="00826B9E" w:rsidRPr="0078340D">
        <w:rPr>
          <w:szCs w:val="18"/>
          <w:lang w:val="fr-CH"/>
        </w:rPr>
        <w:t>article</w:t>
      </w:r>
      <w:r w:rsidR="00826B9E">
        <w:rPr>
          <w:szCs w:val="18"/>
          <w:lang w:val="fr-CH"/>
        </w:rPr>
        <w:t> </w:t>
      </w:r>
      <w:r w:rsidR="00826B9E" w:rsidRPr="0078340D">
        <w:rPr>
          <w:szCs w:val="18"/>
          <w:lang w:val="fr-CH"/>
        </w:rPr>
        <w:t>11.7) de l</w:t>
      </w:r>
      <w:r w:rsidR="00826B9E">
        <w:rPr>
          <w:szCs w:val="18"/>
          <w:lang w:val="fr-CH"/>
        </w:rPr>
        <w:t>’</w:t>
      </w:r>
      <w:r w:rsidR="00826B9E" w:rsidRPr="0078340D">
        <w:rPr>
          <w:szCs w:val="18"/>
          <w:lang w:val="fr-CH"/>
        </w:rPr>
        <w:t>Acte de Stockholm de l</w:t>
      </w:r>
      <w:r w:rsidR="00826B9E">
        <w:rPr>
          <w:szCs w:val="18"/>
          <w:lang w:val="fr-CH"/>
        </w:rPr>
        <w:t>’</w:t>
      </w:r>
      <w:r w:rsidR="00826B9E" w:rsidRPr="0078340D">
        <w:rPr>
          <w:szCs w:val="18"/>
          <w:lang w:val="fr-CH"/>
        </w:rPr>
        <w:t>Arrangement de Lisbonne prévoit la création d</w:t>
      </w:r>
      <w:r w:rsidR="00826B9E">
        <w:rPr>
          <w:szCs w:val="18"/>
          <w:lang w:val="fr-CH"/>
        </w:rPr>
        <w:t>’</w:t>
      </w:r>
      <w:r w:rsidR="00826B9E" w:rsidRPr="0078340D">
        <w:rPr>
          <w:szCs w:val="18"/>
          <w:lang w:val="fr-CH"/>
        </w:rPr>
        <w:t xml:space="preserve">un fonds de roulement. </w:t>
      </w:r>
      <w:r w:rsidR="00826B9E">
        <w:rPr>
          <w:szCs w:val="18"/>
          <w:lang w:val="fr-CH"/>
        </w:rPr>
        <w:t xml:space="preserve"> </w:t>
      </w:r>
      <w:r w:rsidR="00826B9E" w:rsidRPr="0078340D">
        <w:rPr>
          <w:szCs w:val="18"/>
          <w:lang w:val="fr-CH"/>
        </w:rPr>
        <w:t>Toutefois, le budget annuel de cette Union étant insignifiant (8</w:t>
      </w:r>
      <w:r w:rsidR="00061B7C">
        <w:rPr>
          <w:szCs w:val="18"/>
          <w:lang w:val="fr-CH"/>
        </w:rPr>
        <w:t>.</w:t>
      </w:r>
      <w:r w:rsidR="00826B9E" w:rsidRPr="0078340D">
        <w:rPr>
          <w:szCs w:val="18"/>
          <w:lang w:val="fr-CH"/>
        </w:rPr>
        <w:t>000</w:t>
      </w:r>
      <w:r w:rsidR="00826B9E">
        <w:rPr>
          <w:szCs w:val="18"/>
          <w:lang w:val="fr-CH"/>
        </w:rPr>
        <w:t> </w:t>
      </w:r>
      <w:r w:rsidR="00826B9E" w:rsidRPr="0078340D">
        <w:rPr>
          <w:szCs w:val="18"/>
          <w:lang w:val="fr-CH"/>
        </w:rPr>
        <w:t>francs environ en</w:t>
      </w:r>
      <w:r w:rsidR="00826B9E">
        <w:rPr>
          <w:szCs w:val="18"/>
          <w:lang w:val="fr-CH"/>
        </w:rPr>
        <w:t> </w:t>
      </w:r>
      <w:r w:rsidR="00826B9E" w:rsidRPr="0078340D">
        <w:rPr>
          <w:szCs w:val="18"/>
          <w:lang w:val="fr-CH"/>
        </w:rPr>
        <w:t>1976), la création d</w:t>
      </w:r>
      <w:r w:rsidR="00826B9E">
        <w:rPr>
          <w:szCs w:val="18"/>
          <w:lang w:val="fr-CH"/>
        </w:rPr>
        <w:t>’</w:t>
      </w:r>
      <w:r w:rsidR="00826B9E" w:rsidRPr="0078340D">
        <w:rPr>
          <w:szCs w:val="18"/>
          <w:lang w:val="fr-CH"/>
        </w:rPr>
        <w:t>un fonds de roulement serait plus gênante qu</w:t>
      </w:r>
      <w:r w:rsidR="00826B9E">
        <w:rPr>
          <w:szCs w:val="18"/>
          <w:lang w:val="fr-CH"/>
        </w:rPr>
        <w:t>’</w:t>
      </w:r>
      <w:r w:rsidR="00826B9E" w:rsidRPr="0078340D">
        <w:rPr>
          <w:szCs w:val="18"/>
          <w:lang w:val="fr-CH"/>
        </w:rPr>
        <w:t>utile;</w:t>
      </w:r>
      <w:r w:rsidR="00826B9E">
        <w:rPr>
          <w:szCs w:val="18"/>
          <w:lang w:val="fr-CH"/>
        </w:rPr>
        <w:t xml:space="preserve"> </w:t>
      </w:r>
      <w:r w:rsidR="00826B9E" w:rsidRPr="0078340D">
        <w:rPr>
          <w:szCs w:val="18"/>
          <w:lang w:val="fr-CH"/>
        </w:rPr>
        <w:t xml:space="preserve"> par conséquent, le Directeur général n</w:t>
      </w:r>
      <w:r w:rsidR="00826B9E">
        <w:rPr>
          <w:szCs w:val="18"/>
          <w:lang w:val="fr-CH"/>
        </w:rPr>
        <w:t>’</w:t>
      </w:r>
      <w:r w:rsidR="00826B9E" w:rsidRPr="0078340D">
        <w:rPr>
          <w:szCs w:val="18"/>
          <w:lang w:val="fr-CH"/>
        </w:rPr>
        <w:t>entend revenir sur ce problème que si le budget de l</w:t>
      </w:r>
      <w:r w:rsidR="00826B9E">
        <w:rPr>
          <w:szCs w:val="18"/>
          <w:lang w:val="fr-CH"/>
        </w:rPr>
        <w:t>’</w:t>
      </w:r>
      <w:r w:rsidR="00826B9E" w:rsidRPr="0078340D">
        <w:rPr>
          <w:szCs w:val="18"/>
          <w:lang w:val="fr-CH"/>
        </w:rPr>
        <w:t>Union venait à augmenter dans des proportions considérables.</w:t>
      </w:r>
      <w:r w:rsidR="00826B9E">
        <w:rPr>
          <w:szCs w:val="18"/>
          <w:lang w:val="fr-CH"/>
        </w:rPr>
        <w:t>”</w:t>
      </w:r>
    </w:p>
  </w:footnote>
  <w:footnote w:id="6">
    <w:p w:rsidR="00ED5219" w:rsidRPr="00826B9E" w:rsidRDefault="00ED5219" w:rsidP="0002126A">
      <w:pPr>
        <w:pStyle w:val="FootnoteText"/>
        <w:rPr>
          <w:rFonts w:asciiTheme="minorHAnsi" w:hAnsiTheme="minorHAnsi"/>
          <w:sz w:val="20"/>
          <w:lang w:val="fr-CH"/>
        </w:rPr>
      </w:pPr>
      <w:r w:rsidRPr="00D9794C">
        <w:rPr>
          <w:rStyle w:val="FootnoteReference"/>
          <w:rFonts w:asciiTheme="minorHAnsi" w:hAnsiTheme="minorHAnsi"/>
          <w:sz w:val="20"/>
          <w:lang w:val="fr-CH"/>
        </w:rPr>
        <w:footnoteRef/>
      </w:r>
      <w:r w:rsidRPr="00D9794C">
        <w:rPr>
          <w:rFonts w:asciiTheme="minorHAnsi" w:hAnsiTheme="minorHAnsi"/>
          <w:sz w:val="20"/>
          <w:lang w:val="fr-CH"/>
        </w:rPr>
        <w:t xml:space="preserve"> </w:t>
      </w:r>
      <w:r>
        <w:rPr>
          <w:rFonts w:asciiTheme="minorHAnsi" w:hAnsiTheme="minorHAnsi"/>
          <w:sz w:val="20"/>
          <w:lang w:val="fr-CH"/>
        </w:rPr>
        <w:tab/>
      </w:r>
      <w:r w:rsidR="00826B9E" w:rsidRPr="00CD79CE">
        <w:rPr>
          <w:szCs w:val="18"/>
          <w:lang w:val="fr-CH"/>
        </w:rPr>
        <w:t>Voir, par exemple,</w:t>
      </w:r>
      <w:r w:rsidR="00826B9E" w:rsidRPr="0078340D">
        <w:rPr>
          <w:szCs w:val="18"/>
          <w:lang w:val="fr-CH"/>
        </w:rPr>
        <w:t xml:space="preserve"> les annexes</w:t>
      </w:r>
      <w:r w:rsidR="00826B9E">
        <w:rPr>
          <w:szCs w:val="18"/>
          <w:lang w:val="fr-CH"/>
        </w:rPr>
        <w:t> </w:t>
      </w:r>
      <w:r w:rsidR="00826B9E" w:rsidRPr="0078340D">
        <w:rPr>
          <w:szCs w:val="18"/>
          <w:lang w:val="fr-CH"/>
        </w:rPr>
        <w:t>V – W du document AB/XX/2 (1989).</w:t>
      </w:r>
    </w:p>
  </w:footnote>
  <w:footnote w:id="7">
    <w:p w:rsidR="00ED5219" w:rsidRPr="00826B9E" w:rsidRDefault="00ED5219" w:rsidP="0002126A">
      <w:pPr>
        <w:pStyle w:val="FootnoteText"/>
        <w:rPr>
          <w:rFonts w:asciiTheme="minorHAnsi" w:hAnsiTheme="minorHAnsi"/>
          <w:sz w:val="20"/>
          <w:lang w:val="fr-CH"/>
        </w:rPr>
      </w:pPr>
      <w:r w:rsidRPr="00D9794C">
        <w:rPr>
          <w:rStyle w:val="FootnoteReference"/>
          <w:rFonts w:asciiTheme="minorHAnsi" w:hAnsiTheme="minorHAnsi"/>
          <w:sz w:val="20"/>
          <w:lang w:val="fr-CH"/>
        </w:rPr>
        <w:footnoteRef/>
      </w:r>
      <w:r w:rsidRPr="00D9794C">
        <w:rPr>
          <w:rFonts w:asciiTheme="minorHAnsi" w:hAnsiTheme="minorHAnsi"/>
          <w:sz w:val="20"/>
          <w:lang w:val="fr-CH"/>
        </w:rPr>
        <w:t xml:space="preserve"> </w:t>
      </w:r>
      <w:r>
        <w:rPr>
          <w:rFonts w:asciiTheme="minorHAnsi" w:hAnsiTheme="minorHAnsi"/>
          <w:sz w:val="20"/>
          <w:lang w:val="fr-CH"/>
        </w:rPr>
        <w:tab/>
      </w:r>
      <w:r w:rsidR="00826B9E" w:rsidRPr="0078340D">
        <w:rPr>
          <w:szCs w:val="18"/>
          <w:lang w:val="fr-CH"/>
        </w:rPr>
        <w:t>Voir le paragraphe</w:t>
      </w:r>
      <w:r w:rsidR="00826B9E">
        <w:rPr>
          <w:szCs w:val="18"/>
          <w:lang w:val="fr-CH"/>
        </w:rPr>
        <w:t> </w:t>
      </w:r>
      <w:r w:rsidR="00826B9E" w:rsidRPr="0078340D">
        <w:rPr>
          <w:szCs w:val="18"/>
          <w:lang w:val="fr-CH"/>
        </w:rPr>
        <w:t>10 du document LI/A/31/2 (2014) (page</w:t>
      </w:r>
      <w:r w:rsidR="00826B9E">
        <w:rPr>
          <w:szCs w:val="18"/>
          <w:lang w:val="fr-CH"/>
        </w:rPr>
        <w:t> </w:t>
      </w:r>
      <w:r w:rsidR="00826B9E" w:rsidRPr="0078340D">
        <w:rPr>
          <w:szCs w:val="18"/>
          <w:lang w:val="fr-CH"/>
        </w:rPr>
        <w:t>3) (http://www.wipo.int/edocs/mdocs/govbody/en/li_a_31/li_a_31_2.pdf).</w:t>
      </w:r>
    </w:p>
  </w:footnote>
  <w:footnote w:id="8">
    <w:p w:rsidR="00443B42" w:rsidRPr="0078340D" w:rsidRDefault="00443B42" w:rsidP="0002126A">
      <w:pPr>
        <w:pStyle w:val="FootnoteText"/>
        <w:rPr>
          <w:szCs w:val="18"/>
          <w:lang w:val="fr-CH"/>
        </w:rPr>
      </w:pPr>
      <w:r w:rsidRPr="0078340D">
        <w:rPr>
          <w:rStyle w:val="FootnoteReference"/>
          <w:szCs w:val="18"/>
        </w:rPr>
        <w:footnoteRef/>
      </w:r>
      <w:r w:rsidRPr="0078340D">
        <w:rPr>
          <w:szCs w:val="18"/>
          <w:lang w:val="fr-CH"/>
        </w:rPr>
        <w:t xml:space="preserve"> </w:t>
      </w:r>
      <w:r w:rsidR="00E842DE">
        <w:rPr>
          <w:szCs w:val="18"/>
          <w:lang w:val="fr-CH"/>
        </w:rPr>
        <w:tab/>
      </w:r>
      <w:r w:rsidRPr="0078340D">
        <w:rPr>
          <w:szCs w:val="18"/>
          <w:lang w:val="fr-CH"/>
        </w:rPr>
        <w:t>Voir, par exemple, l</w:t>
      </w:r>
      <w:r w:rsidR="0078340D">
        <w:rPr>
          <w:szCs w:val="18"/>
          <w:lang w:val="fr-CH"/>
        </w:rPr>
        <w:t>’</w:t>
      </w:r>
      <w:r w:rsidRPr="0078340D">
        <w:rPr>
          <w:szCs w:val="18"/>
          <w:lang w:val="fr-CH"/>
        </w:rPr>
        <w:t>annexe</w:t>
      </w:r>
      <w:r w:rsidR="00C12DFC">
        <w:rPr>
          <w:szCs w:val="18"/>
          <w:lang w:val="fr-CH"/>
        </w:rPr>
        <w:t> </w:t>
      </w:r>
      <w:r w:rsidRPr="0078340D">
        <w:rPr>
          <w:szCs w:val="18"/>
          <w:lang w:val="fr-CH"/>
        </w:rPr>
        <w:t>A du document AB/XX/2 (page</w:t>
      </w:r>
      <w:r w:rsidR="00C12DFC">
        <w:rPr>
          <w:szCs w:val="18"/>
          <w:lang w:val="fr-CH"/>
        </w:rPr>
        <w:t> </w:t>
      </w:r>
      <w:r w:rsidRPr="0078340D">
        <w:rPr>
          <w:szCs w:val="18"/>
          <w:lang w:val="fr-CH"/>
        </w:rPr>
        <w:t>61), dans laquelle sont énumérées les activités d</w:t>
      </w:r>
      <w:r w:rsidR="0078340D">
        <w:rPr>
          <w:szCs w:val="18"/>
          <w:lang w:val="fr-CH"/>
        </w:rPr>
        <w:t>’</w:t>
      </w:r>
      <w:r w:rsidRPr="0078340D">
        <w:rPr>
          <w:szCs w:val="18"/>
          <w:lang w:val="fr-CH"/>
        </w:rPr>
        <w:t xml:space="preserve">enregistrement sous la section </w:t>
      </w:r>
      <w:r w:rsidR="00C12DFC">
        <w:rPr>
          <w:szCs w:val="18"/>
          <w:lang w:val="fr-CH"/>
        </w:rPr>
        <w:t>“</w:t>
      </w:r>
      <w:r w:rsidRPr="0078340D">
        <w:rPr>
          <w:szCs w:val="18"/>
          <w:lang w:val="fr-CH"/>
        </w:rPr>
        <w:t>SERVICES D</w:t>
      </w:r>
      <w:r w:rsidR="0078340D">
        <w:rPr>
          <w:szCs w:val="18"/>
          <w:lang w:val="fr-CH"/>
        </w:rPr>
        <w:t>’</w:t>
      </w:r>
      <w:r w:rsidRPr="0078340D">
        <w:rPr>
          <w:szCs w:val="18"/>
          <w:lang w:val="fr-CH"/>
        </w:rPr>
        <w:t>ENREGISTREMENT INTERNATIONAL DES MARQUES ET DES DESSINS ET MODÈLES INDUSTRIELS</w:t>
      </w:r>
      <w:r w:rsidR="00C12DFC">
        <w:rPr>
          <w:szCs w:val="18"/>
          <w:lang w:val="fr-CH"/>
        </w:rPr>
        <w:t>”</w:t>
      </w:r>
      <w:r w:rsidRPr="0078340D">
        <w:rPr>
          <w:szCs w:val="18"/>
          <w:lang w:val="fr-CH"/>
        </w:rPr>
        <w:t xml:space="preserve"> qui sont </w:t>
      </w:r>
      <w:r w:rsidR="00C12DFC">
        <w:rPr>
          <w:szCs w:val="18"/>
          <w:lang w:val="fr-CH"/>
        </w:rPr>
        <w:t>“</w:t>
      </w:r>
      <w:r w:rsidRPr="0078340D">
        <w:rPr>
          <w:szCs w:val="18"/>
          <w:lang w:val="fr-CH"/>
        </w:rPr>
        <w:t xml:space="preserve">[financées] par les budgets des Unions de Madrid et de </w:t>
      </w:r>
      <w:r w:rsidR="0078340D">
        <w:rPr>
          <w:szCs w:val="18"/>
          <w:lang w:val="fr-CH"/>
        </w:rPr>
        <w:t>La Haye</w:t>
      </w:r>
      <w:r w:rsidR="00C12DFC">
        <w:rPr>
          <w:szCs w:val="18"/>
          <w:lang w:val="fr-CH"/>
        </w:rPr>
        <w:t>”.</w:t>
      </w:r>
      <w:r w:rsidRPr="0078340D">
        <w:rPr>
          <w:szCs w:val="18"/>
          <w:lang w:val="fr-CH"/>
        </w:rPr>
        <w:t xml:space="preserve">  </w:t>
      </w:r>
    </w:p>
  </w:footnote>
  <w:footnote w:id="9">
    <w:p w:rsidR="00443B42" w:rsidRPr="0078340D" w:rsidRDefault="00443B42" w:rsidP="0002126A">
      <w:pPr>
        <w:pStyle w:val="FootnoteText"/>
        <w:rPr>
          <w:szCs w:val="18"/>
          <w:lang w:val="fr-CH"/>
        </w:rPr>
      </w:pPr>
      <w:r w:rsidRPr="0078340D">
        <w:rPr>
          <w:rStyle w:val="FootnoteReference"/>
          <w:szCs w:val="18"/>
        </w:rPr>
        <w:footnoteRef/>
      </w:r>
      <w:r w:rsidRPr="0078340D">
        <w:rPr>
          <w:szCs w:val="18"/>
          <w:lang w:val="fr-CH"/>
        </w:rPr>
        <w:t xml:space="preserve"> </w:t>
      </w:r>
      <w:r w:rsidR="00E842DE">
        <w:rPr>
          <w:szCs w:val="18"/>
          <w:lang w:val="fr-CH"/>
        </w:rPr>
        <w:tab/>
      </w:r>
      <w:r w:rsidRPr="0078340D">
        <w:rPr>
          <w:szCs w:val="18"/>
          <w:lang w:val="fr-CH"/>
        </w:rPr>
        <w:t>Ce point a été confirmé par le Contrôleur de l</w:t>
      </w:r>
      <w:r w:rsidR="0078340D">
        <w:rPr>
          <w:szCs w:val="18"/>
          <w:lang w:val="fr-CH"/>
        </w:rPr>
        <w:t>’</w:t>
      </w:r>
      <w:r w:rsidRPr="0078340D">
        <w:rPr>
          <w:szCs w:val="18"/>
          <w:lang w:val="fr-CH"/>
        </w:rPr>
        <w:t xml:space="preserve">OMPI lors de la </w:t>
      </w:r>
      <w:r w:rsidR="00E842DE">
        <w:rPr>
          <w:szCs w:val="18"/>
          <w:lang w:val="fr-CH"/>
        </w:rPr>
        <w:t>c</w:t>
      </w:r>
      <w:r w:rsidRPr="0078340D">
        <w:rPr>
          <w:szCs w:val="18"/>
          <w:lang w:val="fr-CH"/>
        </w:rPr>
        <w:t>onférence diplomatique consacrée à l</w:t>
      </w:r>
      <w:r w:rsidR="0078340D">
        <w:rPr>
          <w:szCs w:val="18"/>
          <w:lang w:val="fr-CH"/>
        </w:rPr>
        <w:t>’</w:t>
      </w:r>
      <w:r w:rsidRPr="0078340D">
        <w:rPr>
          <w:szCs w:val="18"/>
          <w:lang w:val="fr-CH"/>
        </w:rPr>
        <w:t xml:space="preserve">Arrangement de Lisbonne tenue en </w:t>
      </w:r>
      <w:r w:rsidR="0078340D" w:rsidRPr="0078340D">
        <w:rPr>
          <w:szCs w:val="18"/>
          <w:lang w:val="fr-CH"/>
        </w:rPr>
        <w:t>mai</w:t>
      </w:r>
      <w:r w:rsidR="0078340D">
        <w:rPr>
          <w:szCs w:val="18"/>
          <w:lang w:val="fr-CH"/>
        </w:rPr>
        <w:t> </w:t>
      </w:r>
      <w:r w:rsidR="0078340D" w:rsidRPr="0078340D">
        <w:rPr>
          <w:szCs w:val="18"/>
          <w:lang w:val="fr-CH"/>
        </w:rPr>
        <w:t>20</w:t>
      </w:r>
      <w:r w:rsidRPr="0078340D">
        <w:rPr>
          <w:szCs w:val="18"/>
          <w:lang w:val="fr-CH"/>
        </w:rPr>
        <w:t>15.</w:t>
      </w:r>
    </w:p>
  </w:footnote>
  <w:footnote w:id="10">
    <w:p w:rsidR="00605C18" w:rsidRPr="0078340D" w:rsidRDefault="00605C18" w:rsidP="0002126A">
      <w:pPr>
        <w:pStyle w:val="FootnoteText"/>
        <w:rPr>
          <w:szCs w:val="18"/>
          <w:lang w:val="fr-CH"/>
        </w:rPr>
      </w:pPr>
      <w:r w:rsidRPr="0078340D">
        <w:rPr>
          <w:rStyle w:val="FootnoteReference"/>
          <w:szCs w:val="18"/>
        </w:rPr>
        <w:footnoteRef/>
      </w:r>
      <w:r w:rsidRPr="0078340D">
        <w:rPr>
          <w:szCs w:val="18"/>
          <w:lang w:val="fr-CH"/>
        </w:rPr>
        <w:t xml:space="preserve"> </w:t>
      </w:r>
      <w:r w:rsidR="00CD79CE">
        <w:rPr>
          <w:szCs w:val="18"/>
          <w:lang w:val="fr-CH"/>
        </w:rPr>
        <w:tab/>
      </w:r>
      <w:r w:rsidRPr="0078340D">
        <w:rPr>
          <w:szCs w:val="18"/>
          <w:lang w:val="fr-CH"/>
        </w:rPr>
        <w:t>Voir l</w:t>
      </w:r>
      <w:r w:rsidR="0078340D">
        <w:rPr>
          <w:szCs w:val="18"/>
          <w:lang w:val="fr-CH"/>
        </w:rPr>
        <w:t>’</w:t>
      </w:r>
      <w:r w:rsidRPr="0078340D">
        <w:rPr>
          <w:szCs w:val="18"/>
          <w:lang w:val="fr-CH"/>
        </w:rPr>
        <w:t>annexe</w:t>
      </w:r>
      <w:r w:rsidR="00C12DFC">
        <w:rPr>
          <w:szCs w:val="18"/>
          <w:lang w:val="fr-CH"/>
        </w:rPr>
        <w:t> </w:t>
      </w:r>
      <w:r w:rsidRPr="0078340D">
        <w:rPr>
          <w:szCs w:val="18"/>
          <w:lang w:val="fr-CH"/>
        </w:rPr>
        <w:t xml:space="preserve">III du </w:t>
      </w:r>
      <w:r w:rsidR="00DB18E7" w:rsidRPr="0078340D">
        <w:rPr>
          <w:szCs w:val="18"/>
          <w:lang w:val="fr-CH"/>
        </w:rPr>
        <w:t>rapport sur le p</w:t>
      </w:r>
      <w:r w:rsidRPr="0078340D">
        <w:rPr>
          <w:szCs w:val="18"/>
          <w:lang w:val="fr-CH"/>
        </w:rPr>
        <w:t>rogramme et budget proposé pour l</w:t>
      </w:r>
      <w:r w:rsidR="0078340D">
        <w:rPr>
          <w:szCs w:val="18"/>
          <w:lang w:val="fr-CH"/>
        </w:rPr>
        <w:t>’</w:t>
      </w:r>
      <w:r w:rsidRPr="0078340D">
        <w:rPr>
          <w:szCs w:val="18"/>
          <w:lang w:val="fr-CH"/>
        </w:rPr>
        <w:t>exercice 2016</w:t>
      </w:r>
      <w:r w:rsidR="00CD79CE">
        <w:rPr>
          <w:szCs w:val="18"/>
          <w:lang w:val="fr-CH"/>
        </w:rPr>
        <w:noBreakHyphen/>
      </w:r>
      <w:r w:rsidRPr="0078340D">
        <w:rPr>
          <w:szCs w:val="18"/>
          <w:lang w:val="fr-CH"/>
        </w:rPr>
        <w:t xml:space="preserve">2017.  Pour une explication quant aux </w:t>
      </w:r>
      <w:r w:rsidR="00C12DFC">
        <w:rPr>
          <w:szCs w:val="18"/>
          <w:lang w:val="fr-CH"/>
        </w:rPr>
        <w:t>“</w:t>
      </w:r>
      <w:r w:rsidRPr="0078340D">
        <w:rPr>
          <w:szCs w:val="18"/>
          <w:lang w:val="fr-CH"/>
        </w:rPr>
        <w:t>dépenses directes</w:t>
      </w:r>
      <w:r w:rsidR="00C12DFC">
        <w:rPr>
          <w:szCs w:val="18"/>
          <w:lang w:val="fr-CH"/>
        </w:rPr>
        <w:t>”</w:t>
      </w:r>
      <w:r w:rsidRPr="0078340D">
        <w:rPr>
          <w:szCs w:val="18"/>
          <w:lang w:val="fr-CH"/>
        </w:rPr>
        <w:t xml:space="preserve"> et </w:t>
      </w:r>
      <w:r w:rsidR="00C12DFC">
        <w:rPr>
          <w:szCs w:val="18"/>
          <w:lang w:val="fr-CH"/>
        </w:rPr>
        <w:t>“</w:t>
      </w:r>
      <w:r w:rsidRPr="0078340D">
        <w:rPr>
          <w:szCs w:val="18"/>
          <w:lang w:val="fr-CH"/>
        </w:rPr>
        <w:t>dépenses indirectes</w:t>
      </w:r>
      <w:r w:rsidR="00C12DFC">
        <w:rPr>
          <w:szCs w:val="18"/>
          <w:lang w:val="fr-CH"/>
        </w:rPr>
        <w:t>”</w:t>
      </w:r>
      <w:r w:rsidRPr="0078340D">
        <w:rPr>
          <w:szCs w:val="18"/>
          <w:lang w:val="fr-CH"/>
        </w:rPr>
        <w:t xml:space="preserve"> des unions, </w:t>
      </w:r>
      <w:proofErr w:type="spellStart"/>
      <w:r w:rsidRPr="0078340D">
        <w:rPr>
          <w:szCs w:val="18"/>
          <w:lang w:val="fr-CH"/>
        </w:rPr>
        <w:t>veuillez vous</w:t>
      </w:r>
      <w:proofErr w:type="spellEnd"/>
      <w:r w:rsidRPr="0078340D">
        <w:rPr>
          <w:szCs w:val="18"/>
          <w:lang w:val="fr-CH"/>
        </w:rPr>
        <w:t xml:space="preserve"> reporter aux paragraphes</w:t>
      </w:r>
      <w:r w:rsidR="00C12DFC">
        <w:rPr>
          <w:szCs w:val="18"/>
          <w:lang w:val="fr-CH"/>
        </w:rPr>
        <w:t> </w:t>
      </w:r>
      <w:r w:rsidR="00CD79CE">
        <w:rPr>
          <w:szCs w:val="18"/>
          <w:lang w:val="fr-CH"/>
        </w:rPr>
        <w:t>3 et </w:t>
      </w:r>
      <w:r w:rsidRPr="0078340D">
        <w:rPr>
          <w:szCs w:val="18"/>
          <w:lang w:val="fr-CH"/>
        </w:rPr>
        <w:t>4 (p</w:t>
      </w:r>
      <w:r w:rsidR="00061B7C">
        <w:rPr>
          <w:szCs w:val="18"/>
          <w:lang w:val="fr-CH"/>
        </w:rPr>
        <w:t>ages</w:t>
      </w:r>
      <w:r w:rsidR="00C12DFC">
        <w:rPr>
          <w:szCs w:val="18"/>
          <w:lang w:val="fr-CH"/>
        </w:rPr>
        <w:t> </w:t>
      </w:r>
      <w:r w:rsidRPr="0078340D">
        <w:rPr>
          <w:szCs w:val="18"/>
          <w:lang w:val="fr-CH"/>
        </w:rPr>
        <w:t>179 et 180) du rapport sur le programme et budget proposé pour l</w:t>
      </w:r>
      <w:r w:rsidR="0078340D">
        <w:rPr>
          <w:szCs w:val="18"/>
          <w:lang w:val="fr-CH"/>
        </w:rPr>
        <w:t>’</w:t>
      </w:r>
      <w:r w:rsidRPr="0078340D">
        <w:rPr>
          <w:szCs w:val="18"/>
          <w:lang w:val="fr-CH"/>
        </w:rPr>
        <w:t>exercice biennal</w:t>
      </w:r>
      <w:r w:rsidR="00C12DFC">
        <w:rPr>
          <w:szCs w:val="18"/>
          <w:lang w:val="fr-CH"/>
        </w:rPr>
        <w:t> </w:t>
      </w:r>
      <w:r w:rsidRPr="0078340D">
        <w:rPr>
          <w:szCs w:val="18"/>
          <w:lang w:val="fr-CH"/>
        </w:rPr>
        <w:t>2016</w:t>
      </w:r>
      <w:r w:rsidR="00CD79CE">
        <w:rPr>
          <w:szCs w:val="18"/>
          <w:lang w:val="fr-CH"/>
        </w:rPr>
        <w:noBreakHyphen/>
      </w:r>
      <w:r w:rsidRPr="0078340D">
        <w:rPr>
          <w:szCs w:val="18"/>
          <w:lang w:val="fr-CH"/>
        </w:rPr>
        <w:t>2017.</w:t>
      </w:r>
    </w:p>
  </w:footnote>
  <w:footnote w:id="11">
    <w:p w:rsidR="00D6321F" w:rsidRPr="0078340D" w:rsidRDefault="00D6321F" w:rsidP="0002126A">
      <w:pPr>
        <w:pStyle w:val="FootnoteText"/>
        <w:rPr>
          <w:szCs w:val="18"/>
          <w:lang w:val="fr-CH"/>
        </w:rPr>
      </w:pPr>
      <w:r w:rsidRPr="0078340D">
        <w:rPr>
          <w:rStyle w:val="FootnoteReference"/>
          <w:szCs w:val="18"/>
        </w:rPr>
        <w:footnoteRef/>
      </w:r>
      <w:r w:rsidRPr="0078340D">
        <w:rPr>
          <w:szCs w:val="18"/>
          <w:lang w:val="fr-CH"/>
        </w:rPr>
        <w:t xml:space="preserve"> </w:t>
      </w:r>
      <w:r w:rsidR="00CD79CE">
        <w:rPr>
          <w:szCs w:val="18"/>
          <w:lang w:val="fr-CH"/>
        </w:rPr>
        <w:tab/>
      </w:r>
      <w:r w:rsidRPr="0078340D">
        <w:rPr>
          <w:szCs w:val="18"/>
          <w:lang w:val="fr-CH"/>
        </w:rPr>
        <w:t>Incorporé par renvoi dans l</w:t>
      </w:r>
      <w:r w:rsidR="0078340D">
        <w:rPr>
          <w:szCs w:val="18"/>
          <w:lang w:val="fr-CH"/>
        </w:rPr>
        <w:t>’</w:t>
      </w:r>
      <w:r w:rsidRPr="0078340D">
        <w:rPr>
          <w:szCs w:val="18"/>
          <w:lang w:val="fr-CH"/>
        </w:rPr>
        <w:t>article</w:t>
      </w:r>
      <w:r w:rsidR="00C12DFC">
        <w:rPr>
          <w:szCs w:val="18"/>
          <w:lang w:val="fr-CH"/>
        </w:rPr>
        <w:t> </w:t>
      </w:r>
      <w:r w:rsidRPr="0078340D">
        <w:rPr>
          <w:szCs w:val="18"/>
          <w:lang w:val="fr-CH"/>
        </w:rPr>
        <w:t>12 du Protocole de Madrid, l</w:t>
      </w:r>
      <w:r w:rsidR="0078340D">
        <w:rPr>
          <w:szCs w:val="18"/>
          <w:lang w:val="fr-CH"/>
        </w:rPr>
        <w:t>’</w:t>
      </w:r>
      <w:r w:rsidRPr="0078340D">
        <w:rPr>
          <w:szCs w:val="18"/>
          <w:lang w:val="fr-CH"/>
        </w:rPr>
        <w:t>article</w:t>
      </w:r>
      <w:r w:rsidR="00C12DFC">
        <w:rPr>
          <w:szCs w:val="18"/>
          <w:lang w:val="fr-CH"/>
        </w:rPr>
        <w:t> </w:t>
      </w:r>
      <w:r w:rsidRPr="0078340D">
        <w:rPr>
          <w:szCs w:val="18"/>
          <w:lang w:val="fr-CH"/>
        </w:rPr>
        <w:t>12.1) de l</w:t>
      </w:r>
      <w:r w:rsidR="0078340D">
        <w:rPr>
          <w:szCs w:val="18"/>
          <w:lang w:val="fr-CH"/>
        </w:rPr>
        <w:t>’</w:t>
      </w:r>
      <w:r w:rsidRPr="0078340D">
        <w:rPr>
          <w:szCs w:val="18"/>
          <w:lang w:val="fr-CH"/>
        </w:rPr>
        <w:t>Arrangement de Madrid prévoit ce qui suit</w:t>
      </w:r>
      <w:r w:rsidR="00C12DFC">
        <w:rPr>
          <w:szCs w:val="18"/>
          <w:lang w:val="fr-CH"/>
        </w:rPr>
        <w:t> </w:t>
      </w:r>
      <w:r w:rsidRPr="0078340D">
        <w:rPr>
          <w:szCs w:val="18"/>
          <w:lang w:val="fr-CH"/>
        </w:rPr>
        <w:t xml:space="preserve">: </w:t>
      </w:r>
    </w:p>
    <w:p w:rsidR="00D6321F" w:rsidRPr="0078340D" w:rsidRDefault="00CD79CE" w:rsidP="0002126A">
      <w:pPr>
        <w:pStyle w:val="FootnoteText"/>
        <w:ind w:left="567"/>
        <w:rPr>
          <w:szCs w:val="18"/>
          <w:lang w:val="fr-CH"/>
        </w:rPr>
      </w:pPr>
      <w:r>
        <w:rPr>
          <w:szCs w:val="18"/>
          <w:lang w:val="fr-CH"/>
        </w:rPr>
        <w:t>a)</w:t>
      </w:r>
      <w:r>
        <w:rPr>
          <w:szCs w:val="18"/>
          <w:lang w:val="fr-CH"/>
        </w:rPr>
        <w:tab/>
      </w:r>
      <w:r w:rsidR="00D6321F" w:rsidRPr="0078340D">
        <w:rPr>
          <w:szCs w:val="18"/>
          <w:lang w:val="fr-CH"/>
        </w:rPr>
        <w:t>L</w:t>
      </w:r>
      <w:r w:rsidR="0078340D">
        <w:rPr>
          <w:szCs w:val="18"/>
          <w:lang w:val="fr-CH"/>
        </w:rPr>
        <w:t>’</w:t>
      </w:r>
      <w:r w:rsidR="00D6321F" w:rsidRPr="0078340D">
        <w:rPr>
          <w:szCs w:val="18"/>
          <w:lang w:val="fr-CH"/>
        </w:rPr>
        <w:t xml:space="preserve">Union particulière </w:t>
      </w:r>
      <w:proofErr w:type="gramStart"/>
      <w:r w:rsidR="00D6321F" w:rsidRPr="0078340D">
        <w:rPr>
          <w:szCs w:val="18"/>
          <w:lang w:val="fr-CH"/>
        </w:rPr>
        <w:t>a</w:t>
      </w:r>
      <w:proofErr w:type="gramEnd"/>
      <w:r w:rsidR="00D6321F" w:rsidRPr="0078340D">
        <w:rPr>
          <w:szCs w:val="18"/>
          <w:lang w:val="fr-CH"/>
        </w:rPr>
        <w:t xml:space="preserve"> un budget.</w:t>
      </w:r>
    </w:p>
    <w:p w:rsidR="00D6321F" w:rsidRPr="0078340D" w:rsidRDefault="00CD79CE" w:rsidP="0002126A">
      <w:pPr>
        <w:pStyle w:val="FootnoteText"/>
        <w:ind w:left="567"/>
        <w:rPr>
          <w:szCs w:val="18"/>
          <w:lang w:val="fr-CH"/>
        </w:rPr>
      </w:pPr>
      <w:r>
        <w:rPr>
          <w:szCs w:val="18"/>
          <w:lang w:val="fr-CH"/>
        </w:rPr>
        <w:t>b)</w:t>
      </w:r>
      <w:r>
        <w:rPr>
          <w:szCs w:val="18"/>
          <w:lang w:val="fr-CH"/>
        </w:rPr>
        <w:tab/>
      </w:r>
      <w:r w:rsidR="00D6321F" w:rsidRPr="0078340D">
        <w:rPr>
          <w:szCs w:val="18"/>
          <w:lang w:val="fr-CH"/>
        </w:rPr>
        <w:t>Le budget de l</w:t>
      </w:r>
      <w:r w:rsidR="0078340D">
        <w:rPr>
          <w:szCs w:val="18"/>
          <w:lang w:val="fr-CH"/>
        </w:rPr>
        <w:t>’</w:t>
      </w:r>
      <w:r w:rsidR="00D6321F" w:rsidRPr="0078340D">
        <w:rPr>
          <w:szCs w:val="18"/>
          <w:lang w:val="fr-CH"/>
        </w:rPr>
        <w:t>Union particulière comprend les recettes et les dépenses propres à l</w:t>
      </w:r>
      <w:r w:rsidR="0078340D">
        <w:rPr>
          <w:szCs w:val="18"/>
          <w:lang w:val="fr-CH"/>
        </w:rPr>
        <w:t>’</w:t>
      </w:r>
      <w:r w:rsidR="00D6321F" w:rsidRPr="0078340D">
        <w:rPr>
          <w:szCs w:val="18"/>
          <w:lang w:val="fr-CH"/>
        </w:rPr>
        <w:t>Union particulière, sa contribution au budget des dépenses communes aux Unions, ainsi que, le cas échéant, la somme mise à la disposition du budget de la Conférence de l</w:t>
      </w:r>
      <w:r w:rsidR="0078340D">
        <w:rPr>
          <w:szCs w:val="18"/>
          <w:lang w:val="fr-CH"/>
        </w:rPr>
        <w:t>’</w:t>
      </w:r>
      <w:r w:rsidR="00D6321F" w:rsidRPr="0078340D">
        <w:rPr>
          <w:szCs w:val="18"/>
          <w:lang w:val="fr-CH"/>
        </w:rPr>
        <w:t>Organisation.</w:t>
      </w:r>
    </w:p>
    <w:p w:rsidR="00D6321F" w:rsidRPr="0078340D" w:rsidRDefault="00CD79CE" w:rsidP="0002126A">
      <w:pPr>
        <w:pStyle w:val="FootnoteText"/>
        <w:ind w:left="567"/>
        <w:rPr>
          <w:szCs w:val="18"/>
          <w:lang w:val="fr-CH"/>
        </w:rPr>
      </w:pPr>
      <w:r>
        <w:rPr>
          <w:szCs w:val="18"/>
          <w:lang w:val="fr-CH"/>
        </w:rPr>
        <w:t>c)</w:t>
      </w:r>
      <w:r>
        <w:rPr>
          <w:szCs w:val="18"/>
          <w:lang w:val="fr-CH"/>
        </w:rPr>
        <w:tab/>
      </w:r>
      <w:r w:rsidR="00D6321F" w:rsidRPr="0078340D">
        <w:rPr>
          <w:szCs w:val="18"/>
          <w:lang w:val="fr-CH"/>
        </w:rPr>
        <w:t>Sont considérées comme dépenses communes aux Unions les dépenses qui ne sont pas attribuées exclusivement à l</w:t>
      </w:r>
      <w:r w:rsidR="0078340D">
        <w:rPr>
          <w:szCs w:val="18"/>
          <w:lang w:val="fr-CH"/>
        </w:rPr>
        <w:t>’</w:t>
      </w:r>
      <w:r w:rsidR="00D6321F" w:rsidRPr="0078340D">
        <w:rPr>
          <w:szCs w:val="18"/>
          <w:lang w:val="fr-CH"/>
        </w:rPr>
        <w:t>Union particulière mais également à une ou plusieurs autres Unions administrées par l</w:t>
      </w:r>
      <w:r w:rsidR="0078340D">
        <w:rPr>
          <w:szCs w:val="18"/>
          <w:lang w:val="fr-CH"/>
        </w:rPr>
        <w:t>’</w:t>
      </w:r>
      <w:r w:rsidR="00D6321F" w:rsidRPr="0078340D">
        <w:rPr>
          <w:szCs w:val="18"/>
          <w:lang w:val="fr-CH"/>
        </w:rPr>
        <w:t xml:space="preserve">Organisation. </w:t>
      </w:r>
      <w:r w:rsidR="00C12DFC">
        <w:rPr>
          <w:szCs w:val="18"/>
          <w:lang w:val="fr-CH"/>
        </w:rPr>
        <w:t xml:space="preserve"> </w:t>
      </w:r>
      <w:r w:rsidR="00D6321F" w:rsidRPr="0078340D">
        <w:rPr>
          <w:szCs w:val="18"/>
          <w:lang w:val="fr-CH"/>
        </w:rPr>
        <w:t>La part de l</w:t>
      </w:r>
      <w:r w:rsidR="0078340D">
        <w:rPr>
          <w:szCs w:val="18"/>
          <w:lang w:val="fr-CH"/>
        </w:rPr>
        <w:t>’</w:t>
      </w:r>
      <w:r w:rsidR="00D6321F" w:rsidRPr="0078340D">
        <w:rPr>
          <w:szCs w:val="18"/>
          <w:lang w:val="fr-CH"/>
        </w:rPr>
        <w:t>Union particulière dans ces dépenses communes est proportionnelle à l</w:t>
      </w:r>
      <w:r w:rsidR="0078340D">
        <w:rPr>
          <w:szCs w:val="18"/>
          <w:lang w:val="fr-CH"/>
        </w:rPr>
        <w:t>’</w:t>
      </w:r>
      <w:r w:rsidR="00D6321F" w:rsidRPr="0078340D">
        <w:rPr>
          <w:szCs w:val="18"/>
          <w:lang w:val="fr-CH"/>
        </w:rPr>
        <w:t>intérêt que ces dépenses présentent pour elle.</w:t>
      </w:r>
    </w:p>
  </w:footnote>
  <w:footnote w:id="12">
    <w:p w:rsidR="00BF093B" w:rsidRPr="0078340D" w:rsidRDefault="00BF093B" w:rsidP="0002126A">
      <w:pPr>
        <w:pStyle w:val="FootnoteText"/>
        <w:rPr>
          <w:szCs w:val="18"/>
          <w:lang w:val="fr-CH"/>
        </w:rPr>
      </w:pPr>
      <w:r w:rsidRPr="0078340D">
        <w:rPr>
          <w:rStyle w:val="FootnoteReference"/>
          <w:szCs w:val="18"/>
        </w:rPr>
        <w:footnoteRef/>
      </w:r>
      <w:r w:rsidR="00084AA3" w:rsidRPr="0078340D">
        <w:rPr>
          <w:szCs w:val="18"/>
          <w:lang w:val="fr-CH"/>
        </w:rPr>
        <w:t xml:space="preserve"> </w:t>
      </w:r>
      <w:r w:rsidR="00CD79CE">
        <w:rPr>
          <w:szCs w:val="18"/>
          <w:lang w:val="fr-CH"/>
        </w:rPr>
        <w:tab/>
      </w:r>
      <w:r w:rsidR="00084AA3" w:rsidRPr="0078340D">
        <w:rPr>
          <w:szCs w:val="18"/>
          <w:lang w:val="fr-CH"/>
        </w:rPr>
        <w:t xml:space="preserve">Voir le rapport de la </w:t>
      </w:r>
      <w:r w:rsidRPr="0078340D">
        <w:rPr>
          <w:szCs w:val="18"/>
          <w:lang w:val="fr-CH"/>
        </w:rPr>
        <w:t>soixante</w:t>
      </w:r>
      <w:r w:rsidR="00CD79CE">
        <w:rPr>
          <w:szCs w:val="18"/>
          <w:lang w:val="fr-CH"/>
        </w:rPr>
        <w:noBreakHyphen/>
      </w:r>
      <w:r w:rsidRPr="0078340D">
        <w:rPr>
          <w:szCs w:val="18"/>
          <w:lang w:val="fr-CH"/>
        </w:rPr>
        <w:t>dixième</w:t>
      </w:r>
      <w:r w:rsidR="00C12DFC">
        <w:rPr>
          <w:szCs w:val="18"/>
          <w:lang w:val="fr-CH"/>
        </w:rPr>
        <w:t> </w:t>
      </w:r>
      <w:r w:rsidR="00CD79CE">
        <w:rPr>
          <w:szCs w:val="18"/>
          <w:lang w:val="fr-CH"/>
        </w:rPr>
        <w:t>session (45</w:t>
      </w:r>
      <w:r w:rsidR="00CD79CE" w:rsidRPr="00CD79CE">
        <w:rPr>
          <w:szCs w:val="18"/>
          <w:vertAlign w:val="superscript"/>
          <w:lang w:val="fr-CH"/>
        </w:rPr>
        <w:t>e</w:t>
      </w:r>
      <w:r w:rsidR="00CD79CE">
        <w:rPr>
          <w:szCs w:val="18"/>
          <w:lang w:val="fr-CH"/>
        </w:rPr>
        <w:t> </w:t>
      </w:r>
      <w:r w:rsidRPr="0078340D">
        <w:rPr>
          <w:szCs w:val="18"/>
          <w:lang w:val="fr-CH"/>
        </w:rPr>
        <w:t>session ordinaire)</w:t>
      </w:r>
      <w:r w:rsidR="00084AA3" w:rsidRPr="0078340D">
        <w:rPr>
          <w:szCs w:val="18"/>
          <w:lang w:val="fr-CH"/>
        </w:rPr>
        <w:t xml:space="preserve"> du Comité de coordination de l</w:t>
      </w:r>
      <w:r w:rsidR="0078340D">
        <w:rPr>
          <w:szCs w:val="18"/>
          <w:lang w:val="fr-CH"/>
        </w:rPr>
        <w:t>’</w:t>
      </w:r>
      <w:r w:rsidR="00084AA3" w:rsidRPr="0078340D">
        <w:rPr>
          <w:szCs w:val="18"/>
          <w:lang w:val="fr-CH"/>
        </w:rPr>
        <w:t xml:space="preserve">OMPI tenue à </w:t>
      </w:r>
      <w:r w:rsidR="00144754" w:rsidRPr="0078340D">
        <w:rPr>
          <w:szCs w:val="18"/>
          <w:lang w:val="fr-CH"/>
        </w:rPr>
        <w:t>Genève</w:t>
      </w:r>
      <w:r w:rsidR="00084AA3" w:rsidRPr="0078340D">
        <w:rPr>
          <w:szCs w:val="18"/>
          <w:lang w:val="fr-CH"/>
        </w:rPr>
        <w:t xml:space="preserve"> du</w:t>
      </w:r>
      <w:r w:rsidRPr="0078340D">
        <w:rPr>
          <w:szCs w:val="18"/>
          <w:lang w:val="fr-CH"/>
        </w:rPr>
        <w:t xml:space="preserve"> 22 </w:t>
      </w:r>
      <w:r w:rsidR="00084AA3" w:rsidRPr="0078340D">
        <w:rPr>
          <w:szCs w:val="18"/>
          <w:lang w:val="fr-CH"/>
        </w:rPr>
        <w:t xml:space="preserve">au </w:t>
      </w:r>
      <w:r w:rsidRPr="0078340D">
        <w:rPr>
          <w:szCs w:val="18"/>
          <w:lang w:val="fr-CH"/>
        </w:rPr>
        <w:t>3</w:t>
      </w:r>
      <w:r w:rsidR="0078340D" w:rsidRPr="0078340D">
        <w:rPr>
          <w:szCs w:val="18"/>
          <w:lang w:val="fr-CH"/>
        </w:rPr>
        <w:t>0</w:t>
      </w:r>
      <w:r w:rsidR="0078340D">
        <w:rPr>
          <w:szCs w:val="18"/>
          <w:lang w:val="fr-CH"/>
        </w:rPr>
        <w:t> </w:t>
      </w:r>
      <w:r w:rsidR="0078340D" w:rsidRPr="0078340D">
        <w:rPr>
          <w:szCs w:val="18"/>
          <w:lang w:val="fr-CH"/>
        </w:rPr>
        <w:t>septembre</w:t>
      </w:r>
      <w:r w:rsidR="0078340D">
        <w:rPr>
          <w:szCs w:val="18"/>
          <w:lang w:val="fr-CH"/>
        </w:rPr>
        <w:t> </w:t>
      </w:r>
      <w:r w:rsidR="0078340D" w:rsidRPr="0078340D">
        <w:rPr>
          <w:szCs w:val="18"/>
          <w:lang w:val="fr-CH"/>
        </w:rPr>
        <w:t>20</w:t>
      </w:r>
      <w:r w:rsidRPr="0078340D">
        <w:rPr>
          <w:szCs w:val="18"/>
          <w:lang w:val="fr-CH"/>
        </w:rPr>
        <w:t xml:space="preserve">14 </w:t>
      </w:r>
      <w:r w:rsidR="00084AA3" w:rsidRPr="0078340D">
        <w:rPr>
          <w:szCs w:val="18"/>
          <w:lang w:val="fr-CH"/>
        </w:rPr>
        <w:t>(</w:t>
      </w:r>
      <w:r w:rsidR="003E039E" w:rsidRPr="0078340D">
        <w:rPr>
          <w:szCs w:val="18"/>
          <w:lang w:val="fr-CH"/>
        </w:rPr>
        <w:t xml:space="preserve">document </w:t>
      </w:r>
      <w:r w:rsidRPr="0078340D">
        <w:rPr>
          <w:szCs w:val="18"/>
          <w:lang w:val="fr-CH"/>
        </w:rPr>
        <w:t>WO/CC/70/5), paragraphes</w:t>
      </w:r>
      <w:r w:rsidR="00C12DFC">
        <w:rPr>
          <w:szCs w:val="18"/>
          <w:lang w:val="fr-CH"/>
        </w:rPr>
        <w:t> </w:t>
      </w:r>
      <w:r w:rsidRPr="0078340D">
        <w:rPr>
          <w:szCs w:val="18"/>
          <w:lang w:val="fr-CH"/>
        </w:rPr>
        <w:t>42</w:t>
      </w:r>
      <w:r w:rsidR="00CD79CE">
        <w:rPr>
          <w:szCs w:val="18"/>
          <w:lang w:val="fr-CH"/>
        </w:rPr>
        <w:t xml:space="preserve"> à </w:t>
      </w:r>
      <w:r w:rsidRPr="0078340D">
        <w:rPr>
          <w:szCs w:val="18"/>
          <w:lang w:val="fr-CH"/>
        </w:rPr>
        <w:t xml:space="preserve">65, </w:t>
      </w:r>
      <w:r w:rsidR="0078340D">
        <w:rPr>
          <w:szCs w:val="18"/>
          <w:lang w:val="fr-CH"/>
        </w:rPr>
        <w:t>y compris</w:t>
      </w:r>
      <w:r w:rsidRPr="0078340D">
        <w:rPr>
          <w:szCs w:val="18"/>
          <w:lang w:val="fr-CH"/>
        </w:rPr>
        <w:t xml:space="preserve"> l</w:t>
      </w:r>
      <w:r w:rsidR="0078340D">
        <w:rPr>
          <w:szCs w:val="18"/>
          <w:lang w:val="fr-CH"/>
        </w:rPr>
        <w:t>’</w:t>
      </w:r>
      <w:r w:rsidRPr="0078340D">
        <w:rPr>
          <w:szCs w:val="18"/>
          <w:lang w:val="fr-CH"/>
        </w:rPr>
        <w:t>intervention de la délégation de la République tchèque au nom du groupe des pays d</w:t>
      </w:r>
      <w:r w:rsidR="0078340D">
        <w:rPr>
          <w:szCs w:val="18"/>
          <w:lang w:val="fr-CH"/>
        </w:rPr>
        <w:t>’</w:t>
      </w:r>
      <w:r w:rsidRPr="0078340D">
        <w:rPr>
          <w:szCs w:val="18"/>
          <w:lang w:val="fr-CH"/>
        </w:rPr>
        <w:t>Europe centrale et des États baltes</w:t>
      </w:r>
      <w:r w:rsidR="004A6521" w:rsidRPr="0078340D">
        <w:rPr>
          <w:szCs w:val="18"/>
          <w:lang w:val="fr-CH"/>
        </w:rPr>
        <w:t>, notamment les paragraphes</w:t>
      </w:r>
      <w:r w:rsidR="00C12DFC">
        <w:rPr>
          <w:szCs w:val="18"/>
          <w:lang w:val="fr-CH"/>
        </w:rPr>
        <w:t> </w:t>
      </w:r>
      <w:r w:rsidR="004A6521" w:rsidRPr="0078340D">
        <w:rPr>
          <w:szCs w:val="18"/>
          <w:lang w:val="fr-CH"/>
        </w:rPr>
        <w:t>58</w:t>
      </w:r>
      <w:r w:rsidR="00C12DFC">
        <w:rPr>
          <w:szCs w:val="18"/>
          <w:lang w:val="fr-CH"/>
        </w:rPr>
        <w:t> :</w:t>
      </w:r>
      <w:r w:rsidRPr="0078340D">
        <w:rPr>
          <w:szCs w:val="18"/>
          <w:lang w:val="fr-CH"/>
        </w:rPr>
        <w:t xml:space="preserve"> </w:t>
      </w:r>
      <w:r w:rsidR="00C12DFC">
        <w:rPr>
          <w:szCs w:val="18"/>
          <w:lang w:val="fr-CH"/>
        </w:rPr>
        <w:t>“</w:t>
      </w:r>
      <w:r w:rsidRPr="0078340D">
        <w:rPr>
          <w:szCs w:val="18"/>
          <w:lang w:val="fr-CH"/>
        </w:rPr>
        <w:t>Les membres de l</w:t>
      </w:r>
      <w:r w:rsidR="0078340D">
        <w:rPr>
          <w:szCs w:val="18"/>
          <w:lang w:val="fr-CH"/>
        </w:rPr>
        <w:t>’</w:t>
      </w:r>
      <w:r w:rsidRPr="0078340D">
        <w:rPr>
          <w:szCs w:val="18"/>
          <w:lang w:val="fr-CH"/>
        </w:rPr>
        <w:t>Assemblée de l</w:t>
      </w:r>
      <w:r w:rsidR="0078340D">
        <w:rPr>
          <w:szCs w:val="18"/>
          <w:lang w:val="fr-CH"/>
        </w:rPr>
        <w:t>’</w:t>
      </w:r>
      <w:r w:rsidRPr="0078340D">
        <w:rPr>
          <w:szCs w:val="18"/>
          <w:lang w:val="fr-CH"/>
        </w:rPr>
        <w:t>Union de Lisbonne considéraient que l</w:t>
      </w:r>
      <w:r w:rsidR="0078340D">
        <w:rPr>
          <w:szCs w:val="18"/>
          <w:lang w:val="fr-CH"/>
        </w:rPr>
        <w:t>’</w:t>
      </w:r>
      <w:r w:rsidRPr="0078340D">
        <w:rPr>
          <w:szCs w:val="18"/>
          <w:lang w:val="fr-CH"/>
        </w:rPr>
        <w:t>article</w:t>
      </w:r>
      <w:r w:rsidR="00C12DFC">
        <w:rPr>
          <w:szCs w:val="18"/>
          <w:lang w:val="fr-CH"/>
        </w:rPr>
        <w:t> </w:t>
      </w:r>
      <w:r w:rsidRPr="0078340D">
        <w:rPr>
          <w:szCs w:val="18"/>
          <w:lang w:val="fr-CH"/>
        </w:rPr>
        <w:t>9.2)b) de l</w:t>
      </w:r>
      <w:r w:rsidR="0078340D">
        <w:rPr>
          <w:szCs w:val="18"/>
          <w:lang w:val="fr-CH"/>
        </w:rPr>
        <w:t>’</w:t>
      </w:r>
      <w:r w:rsidRPr="0078340D">
        <w:rPr>
          <w:szCs w:val="18"/>
          <w:lang w:val="fr-CH"/>
        </w:rPr>
        <w:t>Arrangement de Lisbonne n</w:t>
      </w:r>
      <w:r w:rsidR="0078340D">
        <w:rPr>
          <w:szCs w:val="18"/>
          <w:lang w:val="fr-CH"/>
        </w:rPr>
        <w:t>’</w:t>
      </w:r>
      <w:r w:rsidRPr="0078340D">
        <w:rPr>
          <w:szCs w:val="18"/>
          <w:lang w:val="fr-CH"/>
        </w:rPr>
        <w:t>était pas applicable, étant donné que la décision n</w:t>
      </w:r>
      <w:r w:rsidR="0078340D">
        <w:rPr>
          <w:szCs w:val="18"/>
          <w:lang w:val="fr-CH"/>
        </w:rPr>
        <w:t>’</w:t>
      </w:r>
      <w:r w:rsidRPr="0078340D">
        <w:rPr>
          <w:szCs w:val="18"/>
          <w:lang w:val="fr-CH"/>
        </w:rPr>
        <w:t>intéressait pas les autres unions a</w:t>
      </w:r>
      <w:r w:rsidR="004A6521" w:rsidRPr="0078340D">
        <w:rPr>
          <w:szCs w:val="18"/>
          <w:lang w:val="fr-CH"/>
        </w:rPr>
        <w:t>dministrées par l</w:t>
      </w:r>
      <w:r w:rsidR="0078340D">
        <w:rPr>
          <w:szCs w:val="18"/>
          <w:lang w:val="fr-CH"/>
        </w:rPr>
        <w:t>’</w:t>
      </w:r>
      <w:r w:rsidR="004A6521" w:rsidRPr="0078340D">
        <w:rPr>
          <w:szCs w:val="18"/>
          <w:lang w:val="fr-CH"/>
        </w:rPr>
        <w:t>Organisation</w:t>
      </w:r>
      <w:r w:rsidR="00C12DFC">
        <w:rPr>
          <w:szCs w:val="18"/>
          <w:lang w:val="fr-CH"/>
        </w:rPr>
        <w:t xml:space="preserve">”; </w:t>
      </w:r>
      <w:r w:rsidR="004A6521" w:rsidRPr="0078340D">
        <w:rPr>
          <w:szCs w:val="18"/>
          <w:lang w:val="fr-CH"/>
        </w:rPr>
        <w:t xml:space="preserve"> </w:t>
      </w:r>
      <w:r w:rsidR="00CD79CE">
        <w:rPr>
          <w:szCs w:val="18"/>
          <w:lang w:val="fr-CH"/>
        </w:rPr>
        <w:t>et </w:t>
      </w:r>
      <w:r w:rsidR="004A6521" w:rsidRPr="0078340D">
        <w:rPr>
          <w:szCs w:val="18"/>
          <w:lang w:val="fr-CH"/>
        </w:rPr>
        <w:t xml:space="preserve">46 : </w:t>
      </w:r>
      <w:r w:rsidR="00C12DFC">
        <w:rPr>
          <w:szCs w:val="18"/>
          <w:lang w:val="fr-CH"/>
        </w:rPr>
        <w:t>“</w:t>
      </w:r>
      <w:r w:rsidRPr="0078340D">
        <w:rPr>
          <w:szCs w:val="18"/>
          <w:lang w:val="fr-CH"/>
        </w:rPr>
        <w:t>La délégation de la Hongrie a appuyé les déclarations faites par les délégations de la France et de l</w:t>
      </w:r>
      <w:r w:rsidR="0078340D">
        <w:rPr>
          <w:szCs w:val="18"/>
          <w:lang w:val="fr-CH"/>
        </w:rPr>
        <w:t>’</w:t>
      </w:r>
      <w:r w:rsidRPr="0078340D">
        <w:rPr>
          <w:szCs w:val="18"/>
          <w:lang w:val="fr-CH"/>
        </w:rPr>
        <w:t>Italie et a pris note de la proposition de la délégation des États</w:t>
      </w:r>
      <w:r w:rsidR="00CD79CE">
        <w:rPr>
          <w:szCs w:val="18"/>
          <w:lang w:val="fr-CH"/>
        </w:rPr>
        <w:noBreakHyphen/>
      </w:r>
      <w:r w:rsidRPr="0078340D">
        <w:rPr>
          <w:szCs w:val="18"/>
          <w:lang w:val="fr-CH"/>
        </w:rPr>
        <w:t>Unis d</w:t>
      </w:r>
      <w:r w:rsidR="0078340D">
        <w:rPr>
          <w:szCs w:val="18"/>
          <w:lang w:val="fr-CH"/>
        </w:rPr>
        <w:t>’</w:t>
      </w:r>
      <w:r w:rsidRPr="0078340D">
        <w:rPr>
          <w:szCs w:val="18"/>
          <w:lang w:val="fr-CH"/>
        </w:rPr>
        <w:t>Amérique tendant à ajouter un point à l</w:t>
      </w:r>
      <w:r w:rsidR="0078340D">
        <w:rPr>
          <w:szCs w:val="18"/>
          <w:lang w:val="fr-CH"/>
        </w:rPr>
        <w:t>’</w:t>
      </w:r>
      <w:r w:rsidRPr="0078340D">
        <w:rPr>
          <w:szCs w:val="18"/>
          <w:lang w:val="fr-CH"/>
        </w:rPr>
        <w:t xml:space="preserve">ordre du jour. </w:t>
      </w:r>
      <w:r w:rsidR="00C12DFC">
        <w:rPr>
          <w:szCs w:val="18"/>
          <w:lang w:val="fr-CH"/>
        </w:rPr>
        <w:t xml:space="preserve"> </w:t>
      </w:r>
      <w:r w:rsidRPr="0078340D">
        <w:rPr>
          <w:szCs w:val="18"/>
          <w:lang w:val="fr-CH"/>
        </w:rPr>
        <w:t>Pour autant, elle a précisé que l</w:t>
      </w:r>
      <w:r w:rsidR="0078340D">
        <w:rPr>
          <w:szCs w:val="18"/>
          <w:lang w:val="fr-CH"/>
        </w:rPr>
        <w:t>’</w:t>
      </w:r>
      <w:r w:rsidRPr="0078340D">
        <w:rPr>
          <w:szCs w:val="18"/>
          <w:lang w:val="fr-CH"/>
        </w:rPr>
        <w:t>inscription de ce point à l</w:t>
      </w:r>
      <w:r w:rsidR="0078340D">
        <w:rPr>
          <w:szCs w:val="18"/>
          <w:lang w:val="fr-CH"/>
        </w:rPr>
        <w:t>’</w:t>
      </w:r>
      <w:r w:rsidRPr="0078340D">
        <w:rPr>
          <w:szCs w:val="18"/>
          <w:lang w:val="fr-CH"/>
        </w:rPr>
        <w:t>ordre du jour ne signifiait en rien que la délégation de la Hongrie souscrivait à l</w:t>
      </w:r>
      <w:r w:rsidR="0078340D">
        <w:rPr>
          <w:szCs w:val="18"/>
          <w:lang w:val="fr-CH"/>
        </w:rPr>
        <w:t>’</w:t>
      </w:r>
      <w:r w:rsidRPr="0078340D">
        <w:rPr>
          <w:szCs w:val="18"/>
          <w:lang w:val="fr-CH"/>
        </w:rPr>
        <w:t>idée selon laquelle le Comité de coordination devait donner son avis sur la question, étant donné qu</w:t>
      </w:r>
      <w:r w:rsidR="0078340D">
        <w:rPr>
          <w:szCs w:val="18"/>
          <w:lang w:val="fr-CH"/>
        </w:rPr>
        <w:t>’</w:t>
      </w:r>
      <w:r w:rsidRPr="0078340D">
        <w:rPr>
          <w:szCs w:val="18"/>
          <w:lang w:val="fr-CH"/>
        </w:rPr>
        <w:t xml:space="preserve">elle pensait exactement le contraire. </w:t>
      </w:r>
      <w:r w:rsidR="00C12DFC">
        <w:rPr>
          <w:szCs w:val="18"/>
          <w:lang w:val="fr-CH"/>
        </w:rPr>
        <w:t xml:space="preserve"> </w:t>
      </w:r>
      <w:r w:rsidRPr="0078340D">
        <w:rPr>
          <w:szCs w:val="18"/>
          <w:lang w:val="fr-CH"/>
        </w:rPr>
        <w:t>La délégation a rappelé que l</w:t>
      </w:r>
      <w:r w:rsidR="0078340D">
        <w:rPr>
          <w:szCs w:val="18"/>
          <w:lang w:val="fr-CH"/>
        </w:rPr>
        <w:t>’</w:t>
      </w:r>
      <w:r w:rsidRPr="0078340D">
        <w:rPr>
          <w:szCs w:val="18"/>
          <w:lang w:val="fr-CH"/>
        </w:rPr>
        <w:t>Assemblée de l</w:t>
      </w:r>
      <w:r w:rsidR="0078340D">
        <w:rPr>
          <w:szCs w:val="18"/>
          <w:lang w:val="fr-CH"/>
        </w:rPr>
        <w:t>’</w:t>
      </w:r>
      <w:r w:rsidRPr="0078340D">
        <w:rPr>
          <w:szCs w:val="18"/>
          <w:lang w:val="fr-CH"/>
        </w:rPr>
        <w:t>Union de Lisbonne avait pris valablement la décision de convoquer une conférence diplomatique en</w:t>
      </w:r>
      <w:r w:rsidR="00C12DFC">
        <w:rPr>
          <w:szCs w:val="18"/>
          <w:lang w:val="fr-CH"/>
        </w:rPr>
        <w:t> </w:t>
      </w:r>
      <w:r w:rsidRPr="0078340D">
        <w:rPr>
          <w:szCs w:val="18"/>
          <w:lang w:val="fr-CH"/>
        </w:rPr>
        <w:t>2015.</w:t>
      </w:r>
      <w:r w:rsidR="00C12DFC">
        <w:rPr>
          <w:szCs w:val="18"/>
          <w:lang w:val="fr-CH"/>
        </w:rPr>
        <w:t xml:space="preserve"> </w:t>
      </w:r>
      <w:r w:rsidRPr="0078340D">
        <w:rPr>
          <w:szCs w:val="18"/>
          <w:lang w:val="fr-CH"/>
        </w:rPr>
        <w:t xml:space="preserve"> Lors de l</w:t>
      </w:r>
      <w:r w:rsidR="0078340D">
        <w:rPr>
          <w:szCs w:val="18"/>
          <w:lang w:val="fr-CH"/>
        </w:rPr>
        <w:t>’</w:t>
      </w:r>
      <w:r w:rsidRPr="0078340D">
        <w:rPr>
          <w:szCs w:val="18"/>
          <w:lang w:val="fr-CH"/>
        </w:rPr>
        <w:t>adoption de cette décision, les membres de l</w:t>
      </w:r>
      <w:r w:rsidR="0078340D">
        <w:rPr>
          <w:szCs w:val="18"/>
          <w:lang w:val="fr-CH"/>
        </w:rPr>
        <w:t>’</w:t>
      </w:r>
      <w:r w:rsidRPr="0078340D">
        <w:rPr>
          <w:szCs w:val="18"/>
          <w:lang w:val="fr-CH"/>
        </w:rPr>
        <w:t xml:space="preserve">Union de Lisbonne, </w:t>
      </w:r>
      <w:r w:rsidR="0078340D">
        <w:rPr>
          <w:szCs w:val="18"/>
          <w:lang w:val="fr-CH"/>
        </w:rPr>
        <w:t>y compris</w:t>
      </w:r>
      <w:r w:rsidRPr="0078340D">
        <w:rPr>
          <w:szCs w:val="18"/>
          <w:lang w:val="fr-CH"/>
        </w:rPr>
        <w:t xml:space="preserve"> la délégation de la Hongrie, avaient estimé que les intérêts des autres unions administrées par l</w:t>
      </w:r>
      <w:r w:rsidR="0078340D">
        <w:rPr>
          <w:szCs w:val="18"/>
          <w:lang w:val="fr-CH"/>
        </w:rPr>
        <w:t>’</w:t>
      </w:r>
      <w:r w:rsidRPr="0078340D">
        <w:rPr>
          <w:szCs w:val="18"/>
          <w:lang w:val="fr-CH"/>
        </w:rPr>
        <w:t>OMPI ne seraient pas affectés et que, par voie de conséquence, l</w:t>
      </w:r>
      <w:r w:rsidR="0078340D">
        <w:rPr>
          <w:szCs w:val="18"/>
          <w:lang w:val="fr-CH"/>
        </w:rPr>
        <w:t>’</w:t>
      </w:r>
      <w:r w:rsidRPr="0078340D">
        <w:rPr>
          <w:szCs w:val="18"/>
          <w:lang w:val="fr-CH"/>
        </w:rPr>
        <w:t>article</w:t>
      </w:r>
      <w:r w:rsidR="00C12DFC">
        <w:rPr>
          <w:szCs w:val="18"/>
          <w:lang w:val="fr-CH"/>
        </w:rPr>
        <w:t> </w:t>
      </w:r>
      <w:r w:rsidRPr="0078340D">
        <w:rPr>
          <w:szCs w:val="18"/>
          <w:lang w:val="fr-CH"/>
        </w:rPr>
        <w:t>9.2)b) de l</w:t>
      </w:r>
      <w:r w:rsidR="0078340D">
        <w:rPr>
          <w:szCs w:val="18"/>
          <w:lang w:val="fr-CH"/>
        </w:rPr>
        <w:t>’</w:t>
      </w:r>
      <w:r w:rsidRPr="0078340D">
        <w:rPr>
          <w:szCs w:val="18"/>
          <w:lang w:val="fr-CH"/>
        </w:rPr>
        <w:t>Arrangement de Lisbonne ne serait pas applicable et que l</w:t>
      </w:r>
      <w:r w:rsidR="0078340D">
        <w:rPr>
          <w:szCs w:val="18"/>
          <w:lang w:val="fr-CH"/>
        </w:rPr>
        <w:t>’</w:t>
      </w:r>
      <w:r w:rsidRPr="0078340D">
        <w:rPr>
          <w:szCs w:val="18"/>
          <w:lang w:val="fr-CH"/>
        </w:rPr>
        <w:t>avis du Comité de coordination ne serait pas nécessaire</w:t>
      </w:r>
      <w:r w:rsidR="00C12DFC">
        <w:rPr>
          <w:szCs w:val="18"/>
          <w:lang w:val="fr-CH"/>
        </w:rPr>
        <w:t xml:space="preserve">”. </w:t>
      </w:r>
      <w:r w:rsidRPr="0078340D">
        <w:rPr>
          <w:szCs w:val="18"/>
          <w:lang w:val="fr-CH"/>
        </w:rPr>
        <w:t xml:space="preserve"> Document consulté à l</w:t>
      </w:r>
      <w:r w:rsidR="0078340D">
        <w:rPr>
          <w:szCs w:val="18"/>
          <w:lang w:val="fr-CH"/>
        </w:rPr>
        <w:t>’</w:t>
      </w:r>
      <w:r w:rsidRPr="0078340D">
        <w:rPr>
          <w:szCs w:val="18"/>
          <w:lang w:val="fr-CH"/>
        </w:rPr>
        <w:t xml:space="preserve">adresse </w:t>
      </w:r>
      <w:r w:rsidR="00FD7A70">
        <w:fldChar w:fldCharType="begin"/>
      </w:r>
      <w:r w:rsidR="00FD7A70" w:rsidRPr="00FD7A70">
        <w:rPr>
          <w:lang w:val="fr-CH"/>
        </w:rPr>
        <w:instrText xml:space="preserve"> HYPERLINK "http://www.wipo.int/edocs/mdocs/govbody/fr/wo_cc_70/wo_cc_70_5.pdf" </w:instrText>
      </w:r>
      <w:r w:rsidR="00FD7A70">
        <w:fldChar w:fldCharType="separate"/>
      </w:r>
      <w:r w:rsidRPr="00CD79CE">
        <w:rPr>
          <w:rStyle w:val="Hyperlink"/>
          <w:szCs w:val="18"/>
          <w:lang w:val="fr-CH"/>
        </w:rPr>
        <w:t>http://www.wipo.int/edocs/mdocs/govbody/fr/wo_cc_70/wo_cc_70_5.pdf</w:t>
      </w:r>
      <w:r w:rsidR="00FD7A70">
        <w:rPr>
          <w:rStyle w:val="Hyperlink"/>
          <w:szCs w:val="18"/>
          <w:lang w:val="fr-CH"/>
        </w:rPr>
        <w:fldChar w:fldCharType="end"/>
      </w:r>
      <w:r w:rsidR="00CD79CE">
        <w:rPr>
          <w:szCs w:val="18"/>
          <w:lang w:val="fr-CH"/>
        </w:rPr>
        <w:t>.</w:t>
      </w:r>
    </w:p>
  </w:footnote>
  <w:footnote w:id="13">
    <w:p w:rsidR="00D134CC" w:rsidRPr="0078340D" w:rsidRDefault="00D134CC" w:rsidP="0002126A">
      <w:pPr>
        <w:pStyle w:val="FootnoteText"/>
        <w:rPr>
          <w:szCs w:val="18"/>
          <w:lang w:val="fr-CH"/>
        </w:rPr>
      </w:pPr>
      <w:r w:rsidRPr="0078340D">
        <w:rPr>
          <w:rStyle w:val="FootnoteReference"/>
          <w:szCs w:val="18"/>
        </w:rPr>
        <w:footnoteRef/>
      </w:r>
      <w:r w:rsidR="00CA62B8" w:rsidRPr="0078340D">
        <w:rPr>
          <w:szCs w:val="18"/>
          <w:lang w:val="fr-CH"/>
        </w:rPr>
        <w:t xml:space="preserve"> </w:t>
      </w:r>
      <w:r w:rsidR="00CD79CE">
        <w:rPr>
          <w:szCs w:val="18"/>
          <w:lang w:val="fr-CH"/>
        </w:rPr>
        <w:tab/>
      </w:r>
      <w:r w:rsidRPr="0078340D">
        <w:rPr>
          <w:szCs w:val="18"/>
          <w:lang w:val="fr-CH"/>
        </w:rPr>
        <w:t>L</w:t>
      </w:r>
      <w:r w:rsidR="0078340D">
        <w:rPr>
          <w:szCs w:val="18"/>
          <w:lang w:val="fr-CH"/>
        </w:rPr>
        <w:t>’</w:t>
      </w:r>
      <w:r w:rsidRPr="0078340D">
        <w:rPr>
          <w:szCs w:val="18"/>
          <w:lang w:val="fr-CH"/>
        </w:rPr>
        <w:t>article</w:t>
      </w:r>
      <w:r w:rsidR="00C12DFC">
        <w:rPr>
          <w:szCs w:val="18"/>
          <w:lang w:val="fr-CH"/>
        </w:rPr>
        <w:t> </w:t>
      </w:r>
      <w:r w:rsidRPr="0078340D">
        <w:rPr>
          <w:szCs w:val="18"/>
          <w:lang w:val="fr-CH"/>
        </w:rPr>
        <w:t>8.4), incorporé par renvoi dans l</w:t>
      </w:r>
      <w:r w:rsidR="0078340D">
        <w:rPr>
          <w:szCs w:val="18"/>
          <w:lang w:val="fr-CH"/>
        </w:rPr>
        <w:t>’</w:t>
      </w:r>
      <w:r w:rsidRPr="0078340D">
        <w:rPr>
          <w:szCs w:val="18"/>
          <w:lang w:val="fr-CH"/>
        </w:rPr>
        <w:t>article</w:t>
      </w:r>
      <w:r w:rsidR="00C12DFC">
        <w:rPr>
          <w:szCs w:val="18"/>
          <w:lang w:val="fr-CH"/>
        </w:rPr>
        <w:t> </w:t>
      </w:r>
      <w:r w:rsidRPr="0078340D">
        <w:rPr>
          <w:szCs w:val="18"/>
          <w:lang w:val="fr-CH"/>
        </w:rPr>
        <w:t xml:space="preserve">12 du Protocole de Madrid, dispose que </w:t>
      </w:r>
      <w:r w:rsidR="00C12DFC">
        <w:rPr>
          <w:szCs w:val="18"/>
          <w:lang w:val="fr-CH"/>
        </w:rPr>
        <w:t>“</w:t>
      </w:r>
      <w:r w:rsidRPr="0078340D">
        <w:rPr>
          <w:szCs w:val="18"/>
          <w:lang w:val="fr-CH"/>
        </w:rPr>
        <w:t>[l]e produit annuel des diverses recettes de l</w:t>
      </w:r>
      <w:r w:rsidR="0078340D">
        <w:rPr>
          <w:szCs w:val="18"/>
          <w:lang w:val="fr-CH"/>
        </w:rPr>
        <w:t>’</w:t>
      </w:r>
      <w:r w:rsidRPr="0078340D">
        <w:rPr>
          <w:szCs w:val="18"/>
          <w:lang w:val="fr-CH"/>
        </w:rPr>
        <w:t>enregistrement international, à l</w:t>
      </w:r>
      <w:r w:rsidR="0078340D">
        <w:rPr>
          <w:szCs w:val="18"/>
          <w:lang w:val="fr-CH"/>
        </w:rPr>
        <w:t>’</w:t>
      </w:r>
      <w:r w:rsidRPr="0078340D">
        <w:rPr>
          <w:szCs w:val="18"/>
          <w:lang w:val="fr-CH"/>
        </w:rPr>
        <w:t>excepti</w:t>
      </w:r>
      <w:r w:rsidR="00CD79CE">
        <w:rPr>
          <w:szCs w:val="18"/>
          <w:lang w:val="fr-CH"/>
        </w:rPr>
        <w:t>on de celles prévues sous b) et </w:t>
      </w:r>
      <w:r w:rsidRPr="0078340D">
        <w:rPr>
          <w:szCs w:val="18"/>
          <w:lang w:val="fr-CH"/>
        </w:rPr>
        <w:t>c)</w:t>
      </w:r>
      <w:r w:rsidR="00CD79CE">
        <w:rPr>
          <w:szCs w:val="18"/>
          <w:lang w:val="fr-CH"/>
        </w:rPr>
        <w:t xml:space="preserve"> </w:t>
      </w:r>
      <w:r w:rsidRPr="0078340D">
        <w:rPr>
          <w:szCs w:val="18"/>
          <w:lang w:val="fr-CH"/>
        </w:rPr>
        <w:t>de l</w:t>
      </w:r>
      <w:r w:rsidR="0078340D">
        <w:rPr>
          <w:szCs w:val="18"/>
          <w:lang w:val="fr-CH"/>
        </w:rPr>
        <w:t>’</w:t>
      </w:r>
      <w:r w:rsidRPr="0078340D">
        <w:rPr>
          <w:szCs w:val="18"/>
          <w:lang w:val="fr-CH"/>
        </w:rPr>
        <w:t>alinéa</w:t>
      </w:r>
      <w:r w:rsidR="00C12DFC">
        <w:rPr>
          <w:szCs w:val="18"/>
          <w:lang w:val="fr-CH"/>
        </w:rPr>
        <w:t> </w:t>
      </w:r>
      <w:r w:rsidRPr="0078340D">
        <w:rPr>
          <w:szCs w:val="18"/>
          <w:lang w:val="fr-CH"/>
        </w:rPr>
        <w:t>2), sera réparti par parts égales entre les pays parties au présent Acte par les soins du Bureau international, après déduction des frais et charges nécessités par l</w:t>
      </w:r>
      <w:r w:rsidR="0078340D">
        <w:rPr>
          <w:szCs w:val="18"/>
          <w:lang w:val="fr-CH"/>
        </w:rPr>
        <w:t>’</w:t>
      </w:r>
      <w:r w:rsidRPr="0078340D">
        <w:rPr>
          <w:szCs w:val="18"/>
          <w:lang w:val="fr-CH"/>
        </w:rPr>
        <w:t>exécution dudit Acte</w:t>
      </w:r>
      <w:r w:rsidR="00C12DFC">
        <w:rPr>
          <w:szCs w:val="18"/>
          <w:lang w:val="fr-CH"/>
        </w:rPr>
        <w:t>”</w:t>
      </w:r>
      <w:r w:rsidRPr="0078340D">
        <w:rPr>
          <w:szCs w:val="18"/>
          <w:lang w:val="fr-CH"/>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07CF" w:rsidRPr="005344DF" w:rsidRDefault="00656179" w:rsidP="00477D6B">
    <w:pPr>
      <w:jc w:val="right"/>
      <w:rPr>
        <w:noProof/>
        <w:szCs w:val="22"/>
        <w:lang w:val="fr-CH"/>
      </w:rPr>
    </w:pPr>
    <w:r>
      <w:rPr>
        <w:caps/>
        <w:noProof/>
        <w:szCs w:val="22"/>
        <w:lang w:val="fr-CH"/>
      </w:rPr>
      <w:t>MM</w:t>
    </w:r>
    <w:r w:rsidR="00B707CF" w:rsidRPr="005344DF">
      <w:rPr>
        <w:caps/>
        <w:noProof/>
        <w:szCs w:val="22"/>
        <w:lang w:val="fr-CH"/>
      </w:rPr>
      <w:t>/A/4</w:t>
    </w:r>
    <w:r>
      <w:rPr>
        <w:caps/>
        <w:noProof/>
        <w:szCs w:val="22"/>
        <w:lang w:val="fr-CH"/>
      </w:rPr>
      <w:t>9</w:t>
    </w:r>
    <w:r w:rsidR="00B707CF" w:rsidRPr="005344DF">
      <w:rPr>
        <w:caps/>
        <w:noProof/>
        <w:szCs w:val="22"/>
        <w:lang w:val="fr-CH"/>
      </w:rPr>
      <w:t>/</w:t>
    </w:r>
    <w:r>
      <w:rPr>
        <w:caps/>
        <w:noProof/>
        <w:szCs w:val="22"/>
        <w:lang w:val="fr-CH"/>
      </w:rPr>
      <w:t>4</w:t>
    </w:r>
  </w:p>
  <w:p w:rsidR="00B707CF" w:rsidRPr="005344DF" w:rsidRDefault="00B707CF" w:rsidP="00477D6B">
    <w:pPr>
      <w:jc w:val="right"/>
      <w:rPr>
        <w:noProof/>
        <w:szCs w:val="22"/>
        <w:lang w:val="fr-CH"/>
      </w:rPr>
    </w:pPr>
    <w:r w:rsidRPr="005344DF">
      <w:rPr>
        <w:noProof/>
        <w:szCs w:val="22"/>
        <w:lang w:val="fr-CH"/>
      </w:rPr>
      <w:t>Annex</w:t>
    </w:r>
    <w:r w:rsidR="00282D7A" w:rsidRPr="005344DF">
      <w:rPr>
        <w:noProof/>
        <w:szCs w:val="22"/>
        <w:lang w:val="fr-CH"/>
      </w:rPr>
      <w:t>e</w:t>
    </w:r>
    <w:r w:rsidRPr="005344DF">
      <w:rPr>
        <w:noProof/>
        <w:szCs w:val="22"/>
        <w:lang w:val="fr-CH"/>
      </w:rPr>
      <w:t xml:space="preserve">, page </w:t>
    </w:r>
    <w:r w:rsidRPr="005344DF">
      <w:rPr>
        <w:noProof/>
        <w:szCs w:val="22"/>
        <w:lang w:val="fr-CH"/>
      </w:rPr>
      <w:fldChar w:fldCharType="begin"/>
    </w:r>
    <w:r w:rsidRPr="005344DF">
      <w:rPr>
        <w:noProof/>
        <w:szCs w:val="22"/>
        <w:lang w:val="fr-CH"/>
      </w:rPr>
      <w:instrText xml:space="preserve"> PAGE  \* MERGEFORMAT </w:instrText>
    </w:r>
    <w:r w:rsidRPr="005344DF">
      <w:rPr>
        <w:noProof/>
        <w:szCs w:val="22"/>
        <w:lang w:val="fr-CH"/>
      </w:rPr>
      <w:fldChar w:fldCharType="separate"/>
    </w:r>
    <w:r w:rsidR="002E7524">
      <w:rPr>
        <w:noProof/>
        <w:szCs w:val="22"/>
        <w:lang w:val="fr-CH"/>
      </w:rPr>
      <w:t>8</w:t>
    </w:r>
    <w:r w:rsidRPr="005344DF">
      <w:rPr>
        <w:noProof/>
        <w:szCs w:val="22"/>
        <w:lang w:val="fr-CH"/>
      </w:rPr>
      <w:fldChar w:fldCharType="end"/>
    </w:r>
  </w:p>
  <w:p w:rsidR="00B707CF" w:rsidRPr="005344DF" w:rsidRDefault="00B707CF" w:rsidP="00477D6B">
    <w:pPr>
      <w:jc w:val="right"/>
      <w:rPr>
        <w:noProof/>
        <w:lang w:val="fr-CH"/>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6C47" w:rsidRPr="005344DF" w:rsidRDefault="00D86C47" w:rsidP="00477D6B">
    <w:pPr>
      <w:jc w:val="right"/>
      <w:rPr>
        <w:noProof/>
        <w:szCs w:val="22"/>
        <w:lang w:val="fr-CH"/>
      </w:rPr>
    </w:pPr>
    <w:r>
      <w:rPr>
        <w:caps/>
        <w:noProof/>
        <w:szCs w:val="22"/>
        <w:lang w:val="fr-CH"/>
      </w:rPr>
      <w:t>MM/A/49/4</w:t>
    </w:r>
  </w:p>
  <w:p w:rsidR="00D86C47" w:rsidRPr="005344DF" w:rsidRDefault="00D86C47" w:rsidP="00477D6B">
    <w:pPr>
      <w:jc w:val="right"/>
      <w:rPr>
        <w:noProof/>
        <w:szCs w:val="22"/>
        <w:lang w:val="fr-CH"/>
      </w:rPr>
    </w:pPr>
    <w:r w:rsidRPr="005344DF">
      <w:rPr>
        <w:noProof/>
        <w:szCs w:val="22"/>
        <w:lang w:val="fr-CH"/>
      </w:rPr>
      <w:t xml:space="preserve">Annexe, page </w:t>
    </w:r>
    <w:r w:rsidRPr="005344DF">
      <w:rPr>
        <w:noProof/>
        <w:szCs w:val="22"/>
        <w:lang w:val="fr-CH"/>
      </w:rPr>
      <w:fldChar w:fldCharType="begin"/>
    </w:r>
    <w:r w:rsidRPr="005344DF">
      <w:rPr>
        <w:noProof/>
        <w:szCs w:val="22"/>
        <w:lang w:val="fr-CH"/>
      </w:rPr>
      <w:instrText xml:space="preserve"> PAGE  \* MERGEFORMAT </w:instrText>
    </w:r>
    <w:r w:rsidRPr="005344DF">
      <w:rPr>
        <w:noProof/>
        <w:szCs w:val="22"/>
        <w:lang w:val="fr-CH"/>
      </w:rPr>
      <w:fldChar w:fldCharType="separate"/>
    </w:r>
    <w:r w:rsidR="00FD7A70">
      <w:rPr>
        <w:noProof/>
        <w:szCs w:val="22"/>
        <w:lang w:val="fr-CH"/>
      </w:rPr>
      <w:t>5</w:t>
    </w:r>
    <w:r w:rsidRPr="005344DF">
      <w:rPr>
        <w:noProof/>
        <w:szCs w:val="22"/>
        <w:lang w:val="fr-CH"/>
      </w:rPr>
      <w:fldChar w:fldCharType="end"/>
    </w:r>
  </w:p>
  <w:p w:rsidR="00D86C47" w:rsidRPr="005344DF" w:rsidRDefault="00D86C47" w:rsidP="00477D6B">
    <w:pPr>
      <w:jc w:val="right"/>
      <w:rPr>
        <w:noProof/>
        <w:lang w:val="fr-CH"/>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508B" w:rsidRPr="008019C3" w:rsidRDefault="0037508B" w:rsidP="00B14F03">
    <w:pPr>
      <w:pStyle w:val="Header"/>
      <w:jc w:val="right"/>
      <w:rPr>
        <w:lang w:val="fr-CH"/>
      </w:rPr>
    </w:pPr>
    <w:r w:rsidRPr="008019C3">
      <w:rPr>
        <w:lang w:val="fr-CH"/>
      </w:rPr>
      <w:t>MM/A/49/</w:t>
    </w:r>
    <w:r w:rsidR="00D86C47">
      <w:rPr>
        <w:lang w:val="fr-CH"/>
      </w:rPr>
      <w:t>4</w:t>
    </w:r>
  </w:p>
  <w:p w:rsidR="0037508B" w:rsidRPr="00821F9A" w:rsidRDefault="00D86C47" w:rsidP="008019C3">
    <w:pPr>
      <w:pStyle w:val="Header"/>
      <w:jc w:val="right"/>
      <w:rPr>
        <w:lang w:val="fr-CH"/>
      </w:rPr>
    </w:pPr>
    <w:r>
      <w:rPr>
        <w:lang w:val="fr-CH"/>
      </w:rPr>
      <w:t>ANNEXE</w:t>
    </w:r>
  </w:p>
  <w:p w:rsidR="0037508B" w:rsidRPr="008019C3" w:rsidRDefault="0037508B" w:rsidP="00B14F03">
    <w:pPr>
      <w:pStyle w:val="Header"/>
      <w:jc w:val="right"/>
      <w:rPr>
        <w:lang w:val="fr-CH"/>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126A" w:rsidRPr="008019C3" w:rsidRDefault="0002126A" w:rsidP="00B14F03">
    <w:pPr>
      <w:pStyle w:val="Header"/>
      <w:jc w:val="right"/>
      <w:rPr>
        <w:lang w:val="fr-CH"/>
      </w:rPr>
    </w:pPr>
    <w:r w:rsidRPr="008019C3">
      <w:rPr>
        <w:lang w:val="fr-CH"/>
      </w:rPr>
      <w:t>MM/A/49/</w:t>
    </w:r>
    <w:r>
      <w:rPr>
        <w:lang w:val="fr-CH"/>
      </w:rPr>
      <w:t>4</w:t>
    </w:r>
  </w:p>
  <w:p w:rsidR="0002126A" w:rsidRPr="00821F9A" w:rsidRDefault="0002126A" w:rsidP="008019C3">
    <w:pPr>
      <w:pStyle w:val="Header"/>
      <w:jc w:val="right"/>
      <w:rPr>
        <w:lang w:val="fr-CH"/>
      </w:rPr>
    </w:pPr>
    <w:r>
      <w:rPr>
        <w:lang w:val="fr-CH"/>
      </w:rPr>
      <w:t xml:space="preserve">Annexe, page </w:t>
    </w:r>
    <w:r w:rsidRPr="0002126A">
      <w:rPr>
        <w:lang w:val="fr-CH"/>
      </w:rPr>
      <w:fldChar w:fldCharType="begin"/>
    </w:r>
    <w:r w:rsidRPr="0002126A">
      <w:rPr>
        <w:lang w:val="fr-CH"/>
      </w:rPr>
      <w:instrText>PAGE   \* MERGEFORMAT</w:instrText>
    </w:r>
    <w:r w:rsidRPr="0002126A">
      <w:rPr>
        <w:lang w:val="fr-CH"/>
      </w:rPr>
      <w:fldChar w:fldCharType="separate"/>
    </w:r>
    <w:r w:rsidR="00FD7A70">
      <w:rPr>
        <w:noProof/>
        <w:lang w:val="fr-CH"/>
      </w:rPr>
      <w:t>3</w:t>
    </w:r>
    <w:r w:rsidRPr="0002126A">
      <w:rPr>
        <w:lang w:val="fr-CH"/>
      </w:rPr>
      <w:fldChar w:fldCharType="end"/>
    </w:r>
  </w:p>
  <w:p w:rsidR="0002126A" w:rsidRPr="008019C3" w:rsidRDefault="0002126A" w:rsidP="00B14F03">
    <w:pPr>
      <w:pStyle w:val="Header"/>
      <w:jc w:val="right"/>
      <w:rPr>
        <w:lang w:val="fr-CH"/>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21BE3EA3"/>
    <w:multiLevelType w:val="hybridMultilevel"/>
    <w:tmpl w:val="35C89D2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2ED7586"/>
    <w:multiLevelType w:val="hybridMultilevel"/>
    <w:tmpl w:val="4832F836"/>
    <w:lvl w:ilvl="0" w:tplc="3C10978C">
      <w:start w:val="5"/>
      <w:numFmt w:val="bullet"/>
      <w:lvlText w:val="–"/>
      <w:lvlJc w:val="left"/>
      <w:pPr>
        <w:ind w:left="1134" w:hanging="567"/>
      </w:pPr>
      <w:rPr>
        <w:rFonts w:ascii="Arial" w:eastAsiaTheme="minorHAnsi"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6"/>
  </w:num>
  <w:num w:numId="3">
    <w:abstractNumId w:val="0"/>
  </w:num>
  <w:num w:numId="4">
    <w:abstractNumId w:val="7"/>
  </w:num>
  <w:num w:numId="5">
    <w:abstractNumId w:val="1"/>
  </w:num>
  <w:num w:numId="6">
    <w:abstractNumId w:val="3"/>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55297"/>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fra"/>
    <w:docVar w:name="TermBases" w:val="WIPONew|TRADTERM"/>
    <w:docVar w:name="TermBaseURL" w:val="empty"/>
    <w:docVar w:name="TextBases" w:val="TextBase TMs\WorkspaceFTS\EN-FR\ACE|TextBase TMs\WorkspaceFTS\EN-FR\Administratif|TextBase TMs\WorkspaceFTS\EN-FR\AMC|TextBase TMs\WorkspaceFTS\EN-FR\Assemblées|TextBase TMs\WorkspaceFTS\EN-FR\Budapest|TextBase TMs\WorkspaceFTS\EN-FR\CDIP|TextBase TMs\WorkspaceFTS\EN-FR\CWS|TextBase TMs\WorkspaceFTS\EN-FR\Divers|TextBase TMs\WorkspaceFTS\EN-FR\GRTKF|TextBase TMs\WorkspaceFTS\EN-FR\Hague|TextBase TMs\WorkspaceFTS\EN-FR\IPC|TextBase TMs\WorkspaceFTS\EN-FR\Lisbonne|TextBase TMs\WorkspaceFTS\EN-FR\Madrid|TextBase TMs\WorkspaceFTS\EN-FR\PCT|TextBase TMs\WorkspaceFTS\EN-FR\PLT|TextBase TMs\WorkspaceFTS\EN-FR\SCCR|TextBase TMs\WorkspaceFTS\EN-FR\SCP|TextBase TMs\WorkspaceFTS\EN-FR\SCT|TextBase TMs\WorkspaceFTS\EN-FR\UPOV|TextBase TMs\WorkspaceFTS\EN-FR\WO_CC|TextBase TMs\WorkspaceFTS\EN-FR\WO_GA|TextBase TMs\WorkspaceFTS\EN-FR\WO_PBC|TextBase TMs\Treaties\Model Laws|TextBase TMs\Treaties\Other Laws and Agreements|TextBase TMs\Treaties\WIPO-administered|TextBase TMs\Budget and Finance\Meetings|TextBase TMs\Budget and Finance\Other|TextBase TMs\Budget and Finance\Publications|TextBase TMs\Administrative\Meetings|TextBase TMs\Administrative\Other|TextBase TMs\Administrative\Publications|TextBase TMs\Copyright\Meetings|TextBase TMs\Copyright\Other|TextBase TMs\Copyright\Publications|TextBase TMs\Glossaries\EN-FR|TextBase TMs\IP in General\Academy|TextBase TMs\IP in General\Arbitration and Mediation|TextBase TMs\IP in General\Meetings|TextBase TMs\IP in General\Other|TextBase TMs\IP in General\Press Room|TextBase TMs\IP in General\Publications|TextBase TMs\IP in General\SpeechDG2014|TextBase TMs\Patents\Meetings|TextBase TMs\Patents\Other|TextBase TMs\Patents\Publications|TextBase TMs\Trademarks\Meetings|TextBase TMs\Trademarks\Other|TextBase TMs\Trademarks\Publications"/>
    <w:docVar w:name="TextBaseURL" w:val="empty"/>
    <w:docVar w:name="UILng" w:val="en"/>
  </w:docVars>
  <w:rsids>
    <w:rsidRoot w:val="00CA46D7"/>
    <w:rsid w:val="00002012"/>
    <w:rsid w:val="00005EB4"/>
    <w:rsid w:val="0002126A"/>
    <w:rsid w:val="00026AB3"/>
    <w:rsid w:val="00040D6D"/>
    <w:rsid w:val="0004167F"/>
    <w:rsid w:val="00042478"/>
    <w:rsid w:val="00043CAA"/>
    <w:rsid w:val="00061B7C"/>
    <w:rsid w:val="00075432"/>
    <w:rsid w:val="0007779A"/>
    <w:rsid w:val="00081975"/>
    <w:rsid w:val="00084AA3"/>
    <w:rsid w:val="00090E81"/>
    <w:rsid w:val="000968ED"/>
    <w:rsid w:val="000A289C"/>
    <w:rsid w:val="000C01D6"/>
    <w:rsid w:val="000D2554"/>
    <w:rsid w:val="000E2B5A"/>
    <w:rsid w:val="000F4DB4"/>
    <w:rsid w:val="000F4F9B"/>
    <w:rsid w:val="000F5E56"/>
    <w:rsid w:val="00100B7C"/>
    <w:rsid w:val="00110C9C"/>
    <w:rsid w:val="00133651"/>
    <w:rsid w:val="001341F0"/>
    <w:rsid w:val="001362EE"/>
    <w:rsid w:val="00144754"/>
    <w:rsid w:val="001540C6"/>
    <w:rsid w:val="00154D18"/>
    <w:rsid w:val="00166A9C"/>
    <w:rsid w:val="001832A6"/>
    <w:rsid w:val="00195C9D"/>
    <w:rsid w:val="001C75BE"/>
    <w:rsid w:val="001F05FE"/>
    <w:rsid w:val="001F2622"/>
    <w:rsid w:val="001F3CD6"/>
    <w:rsid w:val="001F4126"/>
    <w:rsid w:val="00206D58"/>
    <w:rsid w:val="00213E01"/>
    <w:rsid w:val="00216FB5"/>
    <w:rsid w:val="00223AE8"/>
    <w:rsid w:val="00226DB6"/>
    <w:rsid w:val="002461B1"/>
    <w:rsid w:val="0025206F"/>
    <w:rsid w:val="002634C4"/>
    <w:rsid w:val="00264FA1"/>
    <w:rsid w:val="00270915"/>
    <w:rsid w:val="002814B4"/>
    <w:rsid w:val="00282D7A"/>
    <w:rsid w:val="002928D3"/>
    <w:rsid w:val="002B5B4C"/>
    <w:rsid w:val="002E61CB"/>
    <w:rsid w:val="002E7513"/>
    <w:rsid w:val="002E7524"/>
    <w:rsid w:val="002F1FE6"/>
    <w:rsid w:val="002F4E68"/>
    <w:rsid w:val="00312F7F"/>
    <w:rsid w:val="003228B7"/>
    <w:rsid w:val="00332199"/>
    <w:rsid w:val="00334D1F"/>
    <w:rsid w:val="00346166"/>
    <w:rsid w:val="00350838"/>
    <w:rsid w:val="0036302C"/>
    <w:rsid w:val="003673CF"/>
    <w:rsid w:val="0037508B"/>
    <w:rsid w:val="003800C0"/>
    <w:rsid w:val="00382A49"/>
    <w:rsid w:val="003845C1"/>
    <w:rsid w:val="00391695"/>
    <w:rsid w:val="003A0A12"/>
    <w:rsid w:val="003A2872"/>
    <w:rsid w:val="003A410F"/>
    <w:rsid w:val="003A6F89"/>
    <w:rsid w:val="003B38C1"/>
    <w:rsid w:val="003C04D2"/>
    <w:rsid w:val="003C5EF8"/>
    <w:rsid w:val="003D1D47"/>
    <w:rsid w:val="003E039E"/>
    <w:rsid w:val="003E7C0D"/>
    <w:rsid w:val="003F0E19"/>
    <w:rsid w:val="003F3EBC"/>
    <w:rsid w:val="00420387"/>
    <w:rsid w:val="00423E3E"/>
    <w:rsid w:val="00425156"/>
    <w:rsid w:val="00427AF4"/>
    <w:rsid w:val="004329A3"/>
    <w:rsid w:val="00434E5F"/>
    <w:rsid w:val="004400E2"/>
    <w:rsid w:val="00443B42"/>
    <w:rsid w:val="004449AF"/>
    <w:rsid w:val="00452F93"/>
    <w:rsid w:val="004546BC"/>
    <w:rsid w:val="004647DA"/>
    <w:rsid w:val="004718F1"/>
    <w:rsid w:val="00474062"/>
    <w:rsid w:val="00477D6B"/>
    <w:rsid w:val="0048762C"/>
    <w:rsid w:val="00494CCF"/>
    <w:rsid w:val="004A552F"/>
    <w:rsid w:val="004A6521"/>
    <w:rsid w:val="004B2500"/>
    <w:rsid w:val="004D0DDA"/>
    <w:rsid w:val="004D1654"/>
    <w:rsid w:val="004D665A"/>
    <w:rsid w:val="004E3BFD"/>
    <w:rsid w:val="004E7FF4"/>
    <w:rsid w:val="00504014"/>
    <w:rsid w:val="00520948"/>
    <w:rsid w:val="0053057A"/>
    <w:rsid w:val="005344DF"/>
    <w:rsid w:val="00552484"/>
    <w:rsid w:val="00560A29"/>
    <w:rsid w:val="00570C4E"/>
    <w:rsid w:val="005769E5"/>
    <w:rsid w:val="00577E4E"/>
    <w:rsid w:val="005A2409"/>
    <w:rsid w:val="005E11D3"/>
    <w:rsid w:val="005E774E"/>
    <w:rsid w:val="005F0B9D"/>
    <w:rsid w:val="00605827"/>
    <w:rsid w:val="00605C18"/>
    <w:rsid w:val="00646050"/>
    <w:rsid w:val="00650B61"/>
    <w:rsid w:val="00652FD1"/>
    <w:rsid w:val="00656179"/>
    <w:rsid w:val="006713CA"/>
    <w:rsid w:val="00676C5C"/>
    <w:rsid w:val="006B0FB9"/>
    <w:rsid w:val="006D1ABE"/>
    <w:rsid w:val="006D2997"/>
    <w:rsid w:val="006E73D6"/>
    <w:rsid w:val="007058FB"/>
    <w:rsid w:val="00726D2E"/>
    <w:rsid w:val="007353BB"/>
    <w:rsid w:val="00735664"/>
    <w:rsid w:val="00743CD3"/>
    <w:rsid w:val="00745806"/>
    <w:rsid w:val="00754545"/>
    <w:rsid w:val="007738D3"/>
    <w:rsid w:val="00774F78"/>
    <w:rsid w:val="0078340D"/>
    <w:rsid w:val="0079234D"/>
    <w:rsid w:val="007B374F"/>
    <w:rsid w:val="007B6A58"/>
    <w:rsid w:val="007D1613"/>
    <w:rsid w:val="007D5013"/>
    <w:rsid w:val="007E03E2"/>
    <w:rsid w:val="008019C3"/>
    <w:rsid w:val="0081311B"/>
    <w:rsid w:val="00813695"/>
    <w:rsid w:val="00814BE5"/>
    <w:rsid w:val="00821F9A"/>
    <w:rsid w:val="00826B9E"/>
    <w:rsid w:val="00850020"/>
    <w:rsid w:val="008702FE"/>
    <w:rsid w:val="008B2CC1"/>
    <w:rsid w:val="008B60B2"/>
    <w:rsid w:val="008E2E49"/>
    <w:rsid w:val="0090731E"/>
    <w:rsid w:val="009146C4"/>
    <w:rsid w:val="00916D34"/>
    <w:rsid w:val="00916EE2"/>
    <w:rsid w:val="00937F96"/>
    <w:rsid w:val="00942519"/>
    <w:rsid w:val="00960D2E"/>
    <w:rsid w:val="00966A22"/>
    <w:rsid w:val="0096722F"/>
    <w:rsid w:val="009801B4"/>
    <w:rsid w:val="00980843"/>
    <w:rsid w:val="0098718F"/>
    <w:rsid w:val="00997888"/>
    <w:rsid w:val="009A67C9"/>
    <w:rsid w:val="009B0F66"/>
    <w:rsid w:val="009B3236"/>
    <w:rsid w:val="009C2C86"/>
    <w:rsid w:val="009D4E5A"/>
    <w:rsid w:val="009E2791"/>
    <w:rsid w:val="009E3F6F"/>
    <w:rsid w:val="009F499F"/>
    <w:rsid w:val="00A00EBC"/>
    <w:rsid w:val="00A05B4F"/>
    <w:rsid w:val="00A42DAF"/>
    <w:rsid w:val="00A45BD8"/>
    <w:rsid w:val="00A72CE2"/>
    <w:rsid w:val="00A85B8E"/>
    <w:rsid w:val="00AC205C"/>
    <w:rsid w:val="00AC6C12"/>
    <w:rsid w:val="00AD1A2E"/>
    <w:rsid w:val="00AE4B17"/>
    <w:rsid w:val="00AF1E47"/>
    <w:rsid w:val="00AF63A6"/>
    <w:rsid w:val="00B05A69"/>
    <w:rsid w:val="00B14F03"/>
    <w:rsid w:val="00B342EE"/>
    <w:rsid w:val="00B47859"/>
    <w:rsid w:val="00B53D85"/>
    <w:rsid w:val="00B707CF"/>
    <w:rsid w:val="00B77AD1"/>
    <w:rsid w:val="00B83A50"/>
    <w:rsid w:val="00B9734B"/>
    <w:rsid w:val="00BA4BB2"/>
    <w:rsid w:val="00BA5E86"/>
    <w:rsid w:val="00BA63DD"/>
    <w:rsid w:val="00BD0F43"/>
    <w:rsid w:val="00BD30F8"/>
    <w:rsid w:val="00BD69A8"/>
    <w:rsid w:val="00BF093B"/>
    <w:rsid w:val="00BF2874"/>
    <w:rsid w:val="00C11BFE"/>
    <w:rsid w:val="00C12DFC"/>
    <w:rsid w:val="00C40FB8"/>
    <w:rsid w:val="00C86427"/>
    <w:rsid w:val="00C94629"/>
    <w:rsid w:val="00CA46D7"/>
    <w:rsid w:val="00CA62B8"/>
    <w:rsid w:val="00CA7D4A"/>
    <w:rsid w:val="00CC05B2"/>
    <w:rsid w:val="00CC5ED6"/>
    <w:rsid w:val="00CD79CE"/>
    <w:rsid w:val="00D134CC"/>
    <w:rsid w:val="00D24FF4"/>
    <w:rsid w:val="00D45252"/>
    <w:rsid w:val="00D5432D"/>
    <w:rsid w:val="00D571C6"/>
    <w:rsid w:val="00D60B83"/>
    <w:rsid w:val="00D6321F"/>
    <w:rsid w:val="00D71B4D"/>
    <w:rsid w:val="00D73596"/>
    <w:rsid w:val="00D86C47"/>
    <w:rsid w:val="00D93D55"/>
    <w:rsid w:val="00DA2CA5"/>
    <w:rsid w:val="00DB18E7"/>
    <w:rsid w:val="00DB3C7A"/>
    <w:rsid w:val="00DC1A86"/>
    <w:rsid w:val="00DC409E"/>
    <w:rsid w:val="00DC4340"/>
    <w:rsid w:val="00DE6E44"/>
    <w:rsid w:val="00DF13D3"/>
    <w:rsid w:val="00DF5218"/>
    <w:rsid w:val="00DF5431"/>
    <w:rsid w:val="00E01BB1"/>
    <w:rsid w:val="00E335FE"/>
    <w:rsid w:val="00E35771"/>
    <w:rsid w:val="00E41697"/>
    <w:rsid w:val="00E425FB"/>
    <w:rsid w:val="00E5021F"/>
    <w:rsid w:val="00E66EFF"/>
    <w:rsid w:val="00E80AA8"/>
    <w:rsid w:val="00E812E8"/>
    <w:rsid w:val="00E842DE"/>
    <w:rsid w:val="00E90DF2"/>
    <w:rsid w:val="00E9788A"/>
    <w:rsid w:val="00EA525F"/>
    <w:rsid w:val="00EC4E49"/>
    <w:rsid w:val="00ED15BA"/>
    <w:rsid w:val="00ED5219"/>
    <w:rsid w:val="00ED77FB"/>
    <w:rsid w:val="00F021A6"/>
    <w:rsid w:val="00F11D73"/>
    <w:rsid w:val="00F559DD"/>
    <w:rsid w:val="00F611B0"/>
    <w:rsid w:val="00F66152"/>
    <w:rsid w:val="00F839F9"/>
    <w:rsid w:val="00F9519D"/>
    <w:rsid w:val="00F95E31"/>
    <w:rsid w:val="00FA5C37"/>
    <w:rsid w:val="00FB03B6"/>
    <w:rsid w:val="00FC33BA"/>
    <w:rsid w:val="00FC52F7"/>
    <w:rsid w:val="00FD16B3"/>
    <w:rsid w:val="00FD7A70"/>
    <w:rsid w:val="00FE104E"/>
    <w:rsid w:val="00FF5D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footnote reference" w:uiPriority="99"/>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link w:val="SignatureChar"/>
    <w:rsid w:val="00676C5C"/>
    <w:pPr>
      <w:ind w:left="5250"/>
    </w:pPr>
  </w:style>
  <w:style w:type="paragraph" w:styleId="BalloonText">
    <w:name w:val="Balloon Text"/>
    <w:basedOn w:val="Normal"/>
    <w:link w:val="BalloonTextChar"/>
    <w:rsid w:val="00F11D73"/>
    <w:rPr>
      <w:rFonts w:ascii="Tahoma" w:hAnsi="Tahoma" w:cs="Tahoma"/>
      <w:sz w:val="16"/>
      <w:szCs w:val="16"/>
    </w:rPr>
  </w:style>
  <w:style w:type="character" w:customStyle="1" w:styleId="BalloonTextChar">
    <w:name w:val="Balloon Text Char"/>
    <w:basedOn w:val="DefaultParagraphFont"/>
    <w:link w:val="BalloonText"/>
    <w:rsid w:val="00F11D73"/>
    <w:rPr>
      <w:rFonts w:ascii="Tahoma" w:eastAsia="SimSun" w:hAnsi="Tahoma" w:cs="Tahoma"/>
      <w:sz w:val="16"/>
      <w:szCs w:val="16"/>
    </w:rPr>
  </w:style>
  <w:style w:type="character" w:customStyle="1" w:styleId="HeaderChar">
    <w:name w:val="Header Char"/>
    <w:basedOn w:val="DefaultParagraphFont"/>
    <w:link w:val="Header"/>
    <w:uiPriority w:val="99"/>
    <w:rsid w:val="00B14F03"/>
    <w:rPr>
      <w:rFonts w:ascii="Arial" w:eastAsia="SimSun" w:hAnsi="Arial" w:cs="Arial"/>
      <w:sz w:val="22"/>
    </w:rPr>
  </w:style>
  <w:style w:type="character" w:customStyle="1" w:styleId="Heading1Char">
    <w:name w:val="Heading 1 Char"/>
    <w:link w:val="Heading1"/>
    <w:rsid w:val="00B14F03"/>
    <w:rPr>
      <w:rFonts w:ascii="Arial" w:eastAsia="SimSun" w:hAnsi="Arial" w:cs="Arial"/>
      <w:b/>
      <w:bCs/>
      <w:caps/>
      <w:kern w:val="32"/>
      <w:sz w:val="22"/>
      <w:szCs w:val="32"/>
    </w:rPr>
  </w:style>
  <w:style w:type="character" w:customStyle="1" w:styleId="Heading3Char">
    <w:name w:val="Heading 3 Char"/>
    <w:link w:val="Heading3"/>
    <w:rsid w:val="00B14F03"/>
    <w:rPr>
      <w:rFonts w:ascii="Arial" w:eastAsia="SimSun" w:hAnsi="Arial" w:cs="Arial"/>
      <w:bCs/>
      <w:sz w:val="22"/>
      <w:szCs w:val="26"/>
      <w:u w:val="single"/>
    </w:rPr>
  </w:style>
  <w:style w:type="paragraph" w:styleId="ListParagraph">
    <w:name w:val="List Paragraph"/>
    <w:basedOn w:val="Normal"/>
    <w:uiPriority w:val="34"/>
    <w:qFormat/>
    <w:rsid w:val="00B14F03"/>
    <w:pPr>
      <w:ind w:left="720"/>
      <w:contextualSpacing/>
    </w:pPr>
  </w:style>
  <w:style w:type="character" w:styleId="CommentReference">
    <w:name w:val="annotation reference"/>
    <w:basedOn w:val="DefaultParagraphFont"/>
    <w:rsid w:val="00DC409E"/>
    <w:rPr>
      <w:sz w:val="16"/>
      <w:szCs w:val="16"/>
    </w:rPr>
  </w:style>
  <w:style w:type="character" w:customStyle="1" w:styleId="FooterChar">
    <w:name w:val="Footer Char"/>
    <w:basedOn w:val="DefaultParagraphFont"/>
    <w:link w:val="Footer"/>
    <w:rsid w:val="009D4E5A"/>
    <w:rPr>
      <w:rFonts w:ascii="Arial" w:eastAsia="SimSun" w:hAnsi="Arial" w:cs="Arial"/>
      <w:sz w:val="22"/>
    </w:rPr>
  </w:style>
  <w:style w:type="character" w:customStyle="1" w:styleId="FootnoteTextChar">
    <w:name w:val="Footnote Text Char"/>
    <w:basedOn w:val="DefaultParagraphFont"/>
    <w:link w:val="FootnoteText"/>
    <w:semiHidden/>
    <w:rsid w:val="00B707CF"/>
    <w:rPr>
      <w:rFonts w:ascii="Arial" w:eastAsia="SimSun" w:hAnsi="Arial" w:cs="Arial"/>
      <w:sz w:val="18"/>
    </w:rPr>
  </w:style>
  <w:style w:type="character" w:styleId="FootnoteReference">
    <w:name w:val="footnote reference"/>
    <w:uiPriority w:val="99"/>
    <w:rsid w:val="00B707CF"/>
    <w:rPr>
      <w:vertAlign w:val="superscript"/>
    </w:rPr>
  </w:style>
  <w:style w:type="character" w:styleId="Hyperlink">
    <w:name w:val="Hyperlink"/>
    <w:rsid w:val="00B707CF"/>
    <w:rPr>
      <w:color w:val="0000FF"/>
      <w:u w:val="single"/>
    </w:rPr>
  </w:style>
  <w:style w:type="paragraph" w:customStyle="1" w:styleId="Default">
    <w:name w:val="Default"/>
    <w:rsid w:val="00B707CF"/>
    <w:pPr>
      <w:autoSpaceDE w:val="0"/>
      <w:autoSpaceDN w:val="0"/>
      <w:adjustRightInd w:val="0"/>
    </w:pPr>
    <w:rPr>
      <w:rFonts w:ascii="Arial" w:hAnsi="Arial" w:cs="Arial"/>
      <w:color w:val="000000"/>
      <w:sz w:val="24"/>
      <w:szCs w:val="24"/>
      <w:lang w:eastAsia="en-US"/>
    </w:rPr>
  </w:style>
  <w:style w:type="paragraph" w:styleId="Revision">
    <w:name w:val="Revision"/>
    <w:hidden/>
    <w:uiPriority w:val="99"/>
    <w:semiHidden/>
    <w:rsid w:val="0078340D"/>
    <w:rPr>
      <w:rFonts w:ascii="Arial" w:eastAsia="SimSun" w:hAnsi="Arial" w:cs="Arial"/>
      <w:sz w:val="22"/>
    </w:rPr>
  </w:style>
  <w:style w:type="character" w:customStyle="1" w:styleId="CommentTextChar">
    <w:name w:val="Comment Text Char"/>
    <w:basedOn w:val="DefaultParagraphFont"/>
    <w:link w:val="CommentText"/>
    <w:semiHidden/>
    <w:rsid w:val="00ED5219"/>
    <w:rPr>
      <w:rFonts w:ascii="Arial" w:eastAsia="SimSun" w:hAnsi="Arial" w:cs="Arial"/>
      <w:sz w:val="18"/>
    </w:rPr>
  </w:style>
  <w:style w:type="character" w:customStyle="1" w:styleId="SignatureChar">
    <w:name w:val="Signature Char"/>
    <w:basedOn w:val="DefaultParagraphFont"/>
    <w:link w:val="Signature"/>
    <w:rsid w:val="00826B9E"/>
    <w:rPr>
      <w:rFonts w:ascii="Arial" w:eastAsia="SimSun" w:hAnsi="Arial" w:cs="Arial"/>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footnote reference" w:uiPriority="99"/>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link w:val="SignatureChar"/>
    <w:rsid w:val="00676C5C"/>
    <w:pPr>
      <w:ind w:left="5250"/>
    </w:pPr>
  </w:style>
  <w:style w:type="paragraph" w:styleId="BalloonText">
    <w:name w:val="Balloon Text"/>
    <w:basedOn w:val="Normal"/>
    <w:link w:val="BalloonTextChar"/>
    <w:rsid w:val="00F11D73"/>
    <w:rPr>
      <w:rFonts w:ascii="Tahoma" w:hAnsi="Tahoma" w:cs="Tahoma"/>
      <w:sz w:val="16"/>
      <w:szCs w:val="16"/>
    </w:rPr>
  </w:style>
  <w:style w:type="character" w:customStyle="1" w:styleId="BalloonTextChar">
    <w:name w:val="Balloon Text Char"/>
    <w:basedOn w:val="DefaultParagraphFont"/>
    <w:link w:val="BalloonText"/>
    <w:rsid w:val="00F11D73"/>
    <w:rPr>
      <w:rFonts w:ascii="Tahoma" w:eastAsia="SimSun" w:hAnsi="Tahoma" w:cs="Tahoma"/>
      <w:sz w:val="16"/>
      <w:szCs w:val="16"/>
    </w:rPr>
  </w:style>
  <w:style w:type="character" w:customStyle="1" w:styleId="HeaderChar">
    <w:name w:val="Header Char"/>
    <w:basedOn w:val="DefaultParagraphFont"/>
    <w:link w:val="Header"/>
    <w:uiPriority w:val="99"/>
    <w:rsid w:val="00B14F03"/>
    <w:rPr>
      <w:rFonts w:ascii="Arial" w:eastAsia="SimSun" w:hAnsi="Arial" w:cs="Arial"/>
      <w:sz w:val="22"/>
    </w:rPr>
  </w:style>
  <w:style w:type="character" w:customStyle="1" w:styleId="Heading1Char">
    <w:name w:val="Heading 1 Char"/>
    <w:link w:val="Heading1"/>
    <w:rsid w:val="00B14F03"/>
    <w:rPr>
      <w:rFonts w:ascii="Arial" w:eastAsia="SimSun" w:hAnsi="Arial" w:cs="Arial"/>
      <w:b/>
      <w:bCs/>
      <w:caps/>
      <w:kern w:val="32"/>
      <w:sz w:val="22"/>
      <w:szCs w:val="32"/>
    </w:rPr>
  </w:style>
  <w:style w:type="character" w:customStyle="1" w:styleId="Heading3Char">
    <w:name w:val="Heading 3 Char"/>
    <w:link w:val="Heading3"/>
    <w:rsid w:val="00B14F03"/>
    <w:rPr>
      <w:rFonts w:ascii="Arial" w:eastAsia="SimSun" w:hAnsi="Arial" w:cs="Arial"/>
      <w:bCs/>
      <w:sz w:val="22"/>
      <w:szCs w:val="26"/>
      <w:u w:val="single"/>
    </w:rPr>
  </w:style>
  <w:style w:type="paragraph" w:styleId="ListParagraph">
    <w:name w:val="List Paragraph"/>
    <w:basedOn w:val="Normal"/>
    <w:uiPriority w:val="34"/>
    <w:qFormat/>
    <w:rsid w:val="00B14F03"/>
    <w:pPr>
      <w:ind w:left="720"/>
      <w:contextualSpacing/>
    </w:pPr>
  </w:style>
  <w:style w:type="character" w:styleId="CommentReference">
    <w:name w:val="annotation reference"/>
    <w:basedOn w:val="DefaultParagraphFont"/>
    <w:rsid w:val="00DC409E"/>
    <w:rPr>
      <w:sz w:val="16"/>
      <w:szCs w:val="16"/>
    </w:rPr>
  </w:style>
  <w:style w:type="character" w:customStyle="1" w:styleId="FooterChar">
    <w:name w:val="Footer Char"/>
    <w:basedOn w:val="DefaultParagraphFont"/>
    <w:link w:val="Footer"/>
    <w:rsid w:val="009D4E5A"/>
    <w:rPr>
      <w:rFonts w:ascii="Arial" w:eastAsia="SimSun" w:hAnsi="Arial" w:cs="Arial"/>
      <w:sz w:val="22"/>
    </w:rPr>
  </w:style>
  <w:style w:type="character" w:customStyle="1" w:styleId="FootnoteTextChar">
    <w:name w:val="Footnote Text Char"/>
    <w:basedOn w:val="DefaultParagraphFont"/>
    <w:link w:val="FootnoteText"/>
    <w:semiHidden/>
    <w:rsid w:val="00B707CF"/>
    <w:rPr>
      <w:rFonts w:ascii="Arial" w:eastAsia="SimSun" w:hAnsi="Arial" w:cs="Arial"/>
      <w:sz w:val="18"/>
    </w:rPr>
  </w:style>
  <w:style w:type="character" w:styleId="FootnoteReference">
    <w:name w:val="footnote reference"/>
    <w:uiPriority w:val="99"/>
    <w:rsid w:val="00B707CF"/>
    <w:rPr>
      <w:vertAlign w:val="superscript"/>
    </w:rPr>
  </w:style>
  <w:style w:type="character" w:styleId="Hyperlink">
    <w:name w:val="Hyperlink"/>
    <w:rsid w:val="00B707CF"/>
    <w:rPr>
      <w:color w:val="0000FF"/>
      <w:u w:val="single"/>
    </w:rPr>
  </w:style>
  <w:style w:type="paragraph" w:customStyle="1" w:styleId="Default">
    <w:name w:val="Default"/>
    <w:rsid w:val="00B707CF"/>
    <w:pPr>
      <w:autoSpaceDE w:val="0"/>
      <w:autoSpaceDN w:val="0"/>
      <w:adjustRightInd w:val="0"/>
    </w:pPr>
    <w:rPr>
      <w:rFonts w:ascii="Arial" w:hAnsi="Arial" w:cs="Arial"/>
      <w:color w:val="000000"/>
      <w:sz w:val="24"/>
      <w:szCs w:val="24"/>
      <w:lang w:eastAsia="en-US"/>
    </w:rPr>
  </w:style>
  <w:style w:type="paragraph" w:styleId="Revision">
    <w:name w:val="Revision"/>
    <w:hidden/>
    <w:uiPriority w:val="99"/>
    <w:semiHidden/>
    <w:rsid w:val="0078340D"/>
    <w:rPr>
      <w:rFonts w:ascii="Arial" w:eastAsia="SimSun" w:hAnsi="Arial" w:cs="Arial"/>
      <w:sz w:val="22"/>
    </w:rPr>
  </w:style>
  <w:style w:type="character" w:customStyle="1" w:styleId="CommentTextChar">
    <w:name w:val="Comment Text Char"/>
    <w:basedOn w:val="DefaultParagraphFont"/>
    <w:link w:val="CommentText"/>
    <w:semiHidden/>
    <w:rsid w:val="00ED5219"/>
    <w:rPr>
      <w:rFonts w:ascii="Arial" w:eastAsia="SimSun" w:hAnsi="Arial" w:cs="Arial"/>
      <w:sz w:val="18"/>
    </w:rPr>
  </w:style>
  <w:style w:type="character" w:customStyle="1" w:styleId="SignatureChar">
    <w:name w:val="Signature Char"/>
    <w:basedOn w:val="DefaultParagraphFont"/>
    <w:link w:val="Signature"/>
    <w:rsid w:val="00826B9E"/>
    <w:rPr>
      <w:rFonts w:ascii="Arial" w:eastAsia="SimSun" w:hAnsi="Arial" w:cs="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3" Type="http://schemas.openxmlformats.org/officeDocument/2006/relationships/hyperlink" Target="http://www.wipo.int/mdocsarchives/AB_XX_1989/AB_XX_2_F.pdf" TargetMode="External"/><Relationship Id="rId2" Type="http://schemas.openxmlformats.org/officeDocument/2006/relationships/hyperlink" Target="http://www.wipo.int/mdocsarchives/AB_IV_1973/AB_IV_34_F.pdf" TargetMode="External"/><Relationship Id="rId1" Type="http://schemas.openxmlformats.org/officeDocument/2006/relationships/hyperlink" Target="http://www.wipo.int/mdocsarchives/AB_II_1971/AB_II_3_F.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MM%20A%2049%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MM A 49 (E).dotm</Template>
  <TotalTime>67</TotalTime>
  <Pages>6</Pages>
  <Words>2002</Words>
  <Characters>11080</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MM/A/49/</vt:lpstr>
    </vt:vector>
  </TitlesOfParts>
  <Company>WIPO</Company>
  <LinksUpToDate>false</LinksUpToDate>
  <CharactersWithSpaces>13056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MM/A/49/</dc:title>
  <dc:creator>DIAZ Natacha</dc:creator>
  <cp:keywords>NR/TA/ko</cp:keywords>
  <cp:lastModifiedBy>MARIN-CUDRAZ DAVI Nicoletta</cp:lastModifiedBy>
  <cp:revision>17</cp:revision>
  <cp:lastPrinted>2015-09-09T11:31:00Z</cp:lastPrinted>
  <dcterms:created xsi:type="dcterms:W3CDTF">2015-09-09T06:43:00Z</dcterms:created>
  <dcterms:modified xsi:type="dcterms:W3CDTF">2015-09-14T09:35:00Z</dcterms:modified>
</cp:coreProperties>
</file>