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715BB" w:rsidRPr="008B2CC1" w:rsidTr="00AD423D">
        <w:tc>
          <w:tcPr>
            <w:tcW w:w="4513" w:type="dxa"/>
            <w:tcBorders>
              <w:bottom w:val="single" w:sz="4" w:space="0" w:color="auto"/>
            </w:tcBorders>
            <w:tcMar>
              <w:bottom w:w="170" w:type="dxa"/>
            </w:tcMar>
          </w:tcPr>
          <w:p w:rsidR="008715BB" w:rsidRPr="008B2CC1" w:rsidRDefault="008715BB" w:rsidP="00DF647B"/>
        </w:tc>
        <w:tc>
          <w:tcPr>
            <w:tcW w:w="4337" w:type="dxa"/>
            <w:tcBorders>
              <w:bottom w:val="single" w:sz="4" w:space="0" w:color="auto"/>
            </w:tcBorders>
            <w:tcMar>
              <w:left w:w="0" w:type="dxa"/>
              <w:right w:w="0" w:type="dxa"/>
            </w:tcMar>
          </w:tcPr>
          <w:p w:rsidR="008715BB" w:rsidRPr="008B2CC1" w:rsidRDefault="000C61B3" w:rsidP="00DF647B">
            <w:r>
              <w:rPr>
                <w:noProof/>
                <w:lang w:val="en-US" w:eastAsia="en-US"/>
              </w:rPr>
              <w:drawing>
                <wp:inline distT="0" distB="0" distL="0" distR="0">
                  <wp:extent cx="1854835" cy="1326515"/>
                  <wp:effectExtent l="0" t="0" r="0" b="0"/>
                  <wp:docPr id="2"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715BB" w:rsidRPr="008B2CC1" w:rsidRDefault="008715BB" w:rsidP="00DF647B">
            <w:pPr>
              <w:jc w:val="right"/>
            </w:pPr>
            <w:r>
              <w:rPr>
                <w:b/>
                <w:sz w:val="40"/>
                <w:szCs w:val="40"/>
              </w:rPr>
              <w:t>F</w:t>
            </w:r>
          </w:p>
        </w:tc>
      </w:tr>
      <w:tr w:rsidR="008715BB" w:rsidRPr="001832A6" w:rsidTr="00DF647B">
        <w:trPr>
          <w:trHeight w:hRule="exact" w:val="340"/>
        </w:trPr>
        <w:tc>
          <w:tcPr>
            <w:tcW w:w="9356" w:type="dxa"/>
            <w:gridSpan w:val="3"/>
            <w:tcBorders>
              <w:top w:val="single" w:sz="4" w:space="0" w:color="auto"/>
            </w:tcBorders>
            <w:tcMar>
              <w:top w:w="170" w:type="dxa"/>
              <w:left w:w="0" w:type="dxa"/>
              <w:right w:w="0" w:type="dxa"/>
            </w:tcMar>
            <w:vAlign w:val="bottom"/>
          </w:tcPr>
          <w:p w:rsidR="008715BB" w:rsidRPr="0090731E" w:rsidRDefault="008715BB" w:rsidP="008715BB">
            <w:pPr>
              <w:jc w:val="right"/>
              <w:rPr>
                <w:rFonts w:ascii="Arial Black" w:hAnsi="Arial Black"/>
                <w:caps/>
                <w:sz w:val="15"/>
              </w:rPr>
            </w:pPr>
            <w:r>
              <w:rPr>
                <w:rFonts w:ascii="Arial Black" w:hAnsi="Arial Black"/>
                <w:caps/>
                <w:sz w:val="15"/>
              </w:rPr>
              <w:t>MM/A/49/</w:t>
            </w:r>
            <w:bookmarkStart w:id="0" w:name="Code"/>
            <w:bookmarkEnd w:id="0"/>
            <w:r>
              <w:rPr>
                <w:rFonts w:ascii="Arial Black" w:hAnsi="Arial Black"/>
                <w:caps/>
                <w:sz w:val="15"/>
              </w:rPr>
              <w:t>2</w:t>
            </w:r>
          </w:p>
        </w:tc>
      </w:tr>
      <w:tr w:rsidR="008715BB" w:rsidRPr="001832A6" w:rsidTr="00DF647B">
        <w:trPr>
          <w:trHeight w:hRule="exact" w:val="170"/>
        </w:trPr>
        <w:tc>
          <w:tcPr>
            <w:tcW w:w="9356" w:type="dxa"/>
            <w:gridSpan w:val="3"/>
            <w:noWrap/>
            <w:tcMar>
              <w:left w:w="0" w:type="dxa"/>
              <w:right w:w="0" w:type="dxa"/>
            </w:tcMar>
            <w:vAlign w:val="bottom"/>
          </w:tcPr>
          <w:p w:rsidR="008715BB" w:rsidRPr="0090731E" w:rsidRDefault="008715BB" w:rsidP="00DF647B">
            <w:pPr>
              <w:jc w:val="right"/>
              <w:rPr>
                <w:rFonts w:ascii="Arial Black" w:hAnsi="Arial Black"/>
                <w:caps/>
                <w:sz w:val="15"/>
              </w:rPr>
            </w:pPr>
            <w:r w:rsidRPr="0090731E">
              <w:rPr>
                <w:rFonts w:ascii="Arial Black" w:hAnsi="Arial Black"/>
                <w:caps/>
                <w:sz w:val="15"/>
              </w:rPr>
              <w:t>ORIGINAL</w:t>
            </w:r>
            <w:r w:rsidR="00724870">
              <w:rPr>
                <w:rFonts w:ascii="Arial Black" w:hAnsi="Arial Black"/>
                <w:caps/>
                <w:sz w:val="15"/>
              </w:rPr>
              <w:t> </w:t>
            </w:r>
            <w:r w:rsidRPr="0090731E">
              <w:rPr>
                <w:rFonts w:ascii="Arial Black" w:hAnsi="Arial Black"/>
                <w:caps/>
                <w:sz w:val="15"/>
              </w:rPr>
              <w:t>:</w:t>
            </w:r>
            <w:r>
              <w:rPr>
                <w:rFonts w:ascii="Arial Black" w:hAnsi="Arial Black"/>
                <w:caps/>
                <w:sz w:val="15"/>
              </w:rPr>
              <w:t xml:space="preserve"> ANGLAIS </w:t>
            </w:r>
            <w:bookmarkStart w:id="1" w:name="Original"/>
            <w:bookmarkEnd w:id="1"/>
          </w:p>
        </w:tc>
      </w:tr>
      <w:tr w:rsidR="008715BB" w:rsidRPr="001832A6" w:rsidTr="00DF647B">
        <w:trPr>
          <w:trHeight w:hRule="exact" w:val="198"/>
        </w:trPr>
        <w:tc>
          <w:tcPr>
            <w:tcW w:w="9356" w:type="dxa"/>
            <w:gridSpan w:val="3"/>
            <w:tcMar>
              <w:left w:w="0" w:type="dxa"/>
              <w:right w:w="0" w:type="dxa"/>
            </w:tcMar>
            <w:vAlign w:val="bottom"/>
          </w:tcPr>
          <w:p w:rsidR="008715BB" w:rsidRPr="0090731E" w:rsidRDefault="008715BB" w:rsidP="00DF647B">
            <w:pPr>
              <w:jc w:val="right"/>
              <w:rPr>
                <w:rFonts w:ascii="Arial Black" w:hAnsi="Arial Black"/>
                <w:caps/>
                <w:sz w:val="15"/>
              </w:rPr>
            </w:pPr>
            <w:r w:rsidRPr="0090731E">
              <w:rPr>
                <w:rFonts w:ascii="Arial Black" w:hAnsi="Arial Black"/>
                <w:caps/>
                <w:sz w:val="15"/>
              </w:rPr>
              <w:t>DATE</w:t>
            </w:r>
            <w:r w:rsidR="00724870">
              <w:rPr>
                <w:rFonts w:ascii="Arial Black" w:hAnsi="Arial Black"/>
                <w:caps/>
                <w:sz w:val="15"/>
              </w:rPr>
              <w:t> </w:t>
            </w:r>
            <w:r w:rsidRPr="0090731E">
              <w:rPr>
                <w:rFonts w:ascii="Arial Black" w:hAnsi="Arial Black"/>
                <w:caps/>
                <w:sz w:val="15"/>
              </w:rPr>
              <w:t>:</w:t>
            </w:r>
            <w:r>
              <w:rPr>
                <w:rFonts w:ascii="Arial Black" w:hAnsi="Arial Black"/>
                <w:caps/>
                <w:sz w:val="15"/>
              </w:rPr>
              <w:t xml:space="preserve"> 7 JUILLET 2015 </w:t>
            </w:r>
            <w:bookmarkStart w:id="2" w:name="Date"/>
            <w:bookmarkEnd w:id="2"/>
          </w:p>
        </w:tc>
      </w:tr>
    </w:tbl>
    <w:p w:rsidR="008715BB" w:rsidRPr="008B2CC1" w:rsidRDefault="008715BB" w:rsidP="008715BB"/>
    <w:p w:rsidR="008715BB" w:rsidRPr="008B2CC1" w:rsidRDefault="008715BB" w:rsidP="008715BB"/>
    <w:p w:rsidR="008715BB" w:rsidRPr="008B2CC1" w:rsidRDefault="008715BB" w:rsidP="008715BB"/>
    <w:p w:rsidR="008715BB" w:rsidRPr="008B2CC1" w:rsidRDefault="008715BB" w:rsidP="008715BB"/>
    <w:p w:rsidR="008715BB" w:rsidRPr="008B2CC1" w:rsidRDefault="008715BB" w:rsidP="008715BB"/>
    <w:p w:rsidR="008715BB" w:rsidRPr="003845C1" w:rsidRDefault="008715BB" w:rsidP="008715BB">
      <w:pPr>
        <w:rPr>
          <w:b/>
          <w:sz w:val="28"/>
          <w:szCs w:val="28"/>
        </w:rPr>
      </w:pPr>
      <w:r w:rsidRPr="00F80BBC">
        <w:rPr>
          <w:b/>
          <w:sz w:val="28"/>
          <w:szCs w:val="28"/>
        </w:rPr>
        <w:t>Union particulière pour l</w:t>
      </w:r>
      <w:r w:rsidR="005B4F02">
        <w:rPr>
          <w:b/>
          <w:sz w:val="28"/>
          <w:szCs w:val="28"/>
        </w:rPr>
        <w:t>’</w:t>
      </w:r>
      <w:r w:rsidRPr="00F80BBC">
        <w:rPr>
          <w:b/>
          <w:sz w:val="28"/>
          <w:szCs w:val="28"/>
        </w:rPr>
        <w:t>enregistrement international des marques (Union de Madrid)</w:t>
      </w:r>
    </w:p>
    <w:p w:rsidR="008715BB" w:rsidRDefault="008715BB" w:rsidP="008715BB"/>
    <w:p w:rsidR="008715BB" w:rsidRDefault="008715BB" w:rsidP="008715BB"/>
    <w:p w:rsidR="008715BB" w:rsidRPr="00C40E15" w:rsidRDefault="008715BB" w:rsidP="008715BB">
      <w:pPr>
        <w:rPr>
          <w:b/>
          <w:sz w:val="28"/>
          <w:szCs w:val="28"/>
        </w:rPr>
      </w:pPr>
      <w:r>
        <w:rPr>
          <w:b/>
          <w:sz w:val="28"/>
          <w:szCs w:val="28"/>
        </w:rPr>
        <w:t>Assemblée</w:t>
      </w:r>
    </w:p>
    <w:p w:rsidR="008715BB" w:rsidRDefault="008715BB" w:rsidP="008715BB"/>
    <w:p w:rsidR="008715BB" w:rsidRDefault="008715BB" w:rsidP="008715BB"/>
    <w:p w:rsidR="008715BB" w:rsidRPr="00F80BBC" w:rsidRDefault="008715BB" w:rsidP="008715BB">
      <w:pPr>
        <w:rPr>
          <w:b/>
          <w:sz w:val="24"/>
          <w:szCs w:val="24"/>
        </w:rPr>
      </w:pPr>
      <w:r w:rsidRPr="00F80BBC">
        <w:rPr>
          <w:b/>
          <w:sz w:val="24"/>
          <w:szCs w:val="24"/>
        </w:rPr>
        <w:t>Quarante</w:t>
      </w:r>
      <w:r w:rsidR="00AD423D">
        <w:rPr>
          <w:b/>
          <w:sz w:val="24"/>
          <w:szCs w:val="24"/>
        </w:rPr>
        <w:noBreakHyphen/>
      </w:r>
      <w:r w:rsidRPr="00F80BBC">
        <w:rPr>
          <w:b/>
          <w:sz w:val="24"/>
          <w:szCs w:val="24"/>
        </w:rPr>
        <w:t>neuvième</w:t>
      </w:r>
      <w:r w:rsidR="00724870">
        <w:rPr>
          <w:b/>
          <w:sz w:val="24"/>
          <w:szCs w:val="24"/>
        </w:rPr>
        <w:t> </w:t>
      </w:r>
      <w:r w:rsidRPr="00F80BBC">
        <w:rPr>
          <w:b/>
          <w:sz w:val="24"/>
          <w:szCs w:val="24"/>
        </w:rPr>
        <w:t>session (21</w:t>
      </w:r>
      <w:r w:rsidRPr="008C280F">
        <w:rPr>
          <w:b/>
          <w:sz w:val="24"/>
          <w:szCs w:val="24"/>
          <w:vertAlign w:val="superscript"/>
        </w:rPr>
        <w:t>e</w:t>
      </w:r>
      <w:r>
        <w:rPr>
          <w:b/>
          <w:sz w:val="24"/>
          <w:szCs w:val="24"/>
        </w:rPr>
        <w:t xml:space="preserve"> </w:t>
      </w:r>
      <w:r w:rsidRPr="00F80BBC">
        <w:rPr>
          <w:b/>
          <w:sz w:val="24"/>
          <w:szCs w:val="24"/>
        </w:rPr>
        <w:t>session ordinaire)</w:t>
      </w:r>
    </w:p>
    <w:p w:rsidR="008715BB" w:rsidRPr="003845C1" w:rsidRDefault="008715BB" w:rsidP="008715BB">
      <w:pPr>
        <w:rPr>
          <w:b/>
          <w:sz w:val="24"/>
          <w:szCs w:val="24"/>
        </w:rPr>
      </w:pPr>
      <w:r w:rsidRPr="00F80BBC">
        <w:rPr>
          <w:b/>
          <w:sz w:val="24"/>
          <w:szCs w:val="24"/>
        </w:rPr>
        <w:t>Genève, 5 – 1</w:t>
      </w:r>
      <w:r w:rsidR="005B4F02" w:rsidRPr="00F80BBC">
        <w:rPr>
          <w:b/>
          <w:sz w:val="24"/>
          <w:szCs w:val="24"/>
        </w:rPr>
        <w:t>4</w:t>
      </w:r>
      <w:r w:rsidR="005B4F02">
        <w:rPr>
          <w:b/>
          <w:sz w:val="24"/>
          <w:szCs w:val="24"/>
        </w:rPr>
        <w:t> </w:t>
      </w:r>
      <w:r w:rsidR="005B4F02" w:rsidRPr="00F80BBC">
        <w:rPr>
          <w:b/>
          <w:sz w:val="24"/>
          <w:szCs w:val="24"/>
        </w:rPr>
        <w:t>octobre</w:t>
      </w:r>
      <w:r w:rsidR="005B4F02">
        <w:rPr>
          <w:b/>
          <w:sz w:val="24"/>
          <w:szCs w:val="24"/>
        </w:rPr>
        <w:t> </w:t>
      </w:r>
      <w:r w:rsidR="005B4F02" w:rsidRPr="00F80BBC">
        <w:rPr>
          <w:b/>
          <w:sz w:val="24"/>
          <w:szCs w:val="24"/>
        </w:rPr>
        <w:t>20</w:t>
      </w:r>
      <w:r w:rsidRPr="00F80BBC">
        <w:rPr>
          <w:b/>
          <w:sz w:val="24"/>
          <w:szCs w:val="24"/>
        </w:rPr>
        <w:t>15</w:t>
      </w:r>
    </w:p>
    <w:p w:rsidR="0095383E" w:rsidRDefault="0095383E" w:rsidP="00F66F07"/>
    <w:p w:rsidR="0095383E" w:rsidRDefault="0095383E" w:rsidP="00F66F07"/>
    <w:p w:rsidR="0095383E" w:rsidRDefault="0095383E" w:rsidP="00F66F07"/>
    <w:p w:rsidR="0095383E" w:rsidRPr="00DE4A73" w:rsidRDefault="00E059A2" w:rsidP="00E059A2">
      <w:pPr>
        <w:rPr>
          <w:caps/>
          <w:sz w:val="24"/>
        </w:rPr>
      </w:pPr>
      <w:bookmarkStart w:id="3" w:name="TitleOfDoc"/>
      <w:bookmarkEnd w:id="3"/>
      <w:r w:rsidRPr="00DE4A73">
        <w:rPr>
          <w:caps/>
          <w:color w:val="000000"/>
          <w:sz w:val="24"/>
        </w:rPr>
        <w:t>Rapport sur l</w:t>
      </w:r>
      <w:r w:rsidR="005B4F02">
        <w:rPr>
          <w:caps/>
          <w:color w:val="000000"/>
          <w:sz w:val="24"/>
        </w:rPr>
        <w:t>’</w:t>
      </w:r>
      <w:r w:rsidRPr="00DE4A73">
        <w:rPr>
          <w:caps/>
          <w:color w:val="000000"/>
          <w:sz w:val="24"/>
        </w:rPr>
        <w:t>état d</w:t>
      </w:r>
      <w:r w:rsidR="005B4F02">
        <w:rPr>
          <w:caps/>
          <w:color w:val="000000"/>
          <w:sz w:val="24"/>
        </w:rPr>
        <w:t>’</w:t>
      </w:r>
      <w:r w:rsidRPr="00DE4A73">
        <w:rPr>
          <w:caps/>
          <w:color w:val="000000"/>
          <w:sz w:val="24"/>
        </w:rPr>
        <w:t>avancemen</w:t>
      </w:r>
      <w:r w:rsidR="00155803">
        <w:rPr>
          <w:caps/>
          <w:color w:val="000000"/>
          <w:sz w:val="24"/>
        </w:rPr>
        <w:t>t de la base de données sur les </w:t>
      </w:r>
      <w:r w:rsidRPr="00DE4A73">
        <w:rPr>
          <w:caps/>
          <w:color w:val="000000"/>
          <w:sz w:val="24"/>
        </w:rPr>
        <w:t>produits et services du système de Madrid</w:t>
      </w:r>
    </w:p>
    <w:p w:rsidR="0095383E" w:rsidRPr="00DE4A73" w:rsidRDefault="0095383E" w:rsidP="00F66F07"/>
    <w:p w:rsidR="0095383E" w:rsidRPr="00DE4A73" w:rsidRDefault="00E059A2" w:rsidP="00E059A2">
      <w:pPr>
        <w:rPr>
          <w:i/>
        </w:rPr>
      </w:pPr>
      <w:bookmarkStart w:id="4" w:name="Prepared"/>
      <w:bookmarkEnd w:id="4"/>
      <w:proofErr w:type="gramStart"/>
      <w:r w:rsidRPr="00CE7F8D">
        <w:rPr>
          <w:i/>
        </w:rPr>
        <w:t>établi</w:t>
      </w:r>
      <w:proofErr w:type="gramEnd"/>
      <w:r w:rsidRPr="00CE7F8D">
        <w:rPr>
          <w:i/>
        </w:rPr>
        <w:t xml:space="preserve"> par le Bureau international</w:t>
      </w:r>
    </w:p>
    <w:p w:rsidR="0095383E" w:rsidRPr="00DE4A73" w:rsidRDefault="0095383E"/>
    <w:p w:rsidR="0095383E" w:rsidRPr="00DE4A73" w:rsidRDefault="0095383E"/>
    <w:p w:rsidR="0095383E" w:rsidRPr="00DE4A73" w:rsidRDefault="0095383E"/>
    <w:p w:rsidR="0095383E" w:rsidRPr="00DE4A73" w:rsidRDefault="00E059A2" w:rsidP="00E059A2">
      <w:pPr>
        <w:pStyle w:val="Heading1"/>
      </w:pPr>
      <w:r w:rsidRPr="00CE7F8D">
        <w:t>Introduction</w:t>
      </w:r>
    </w:p>
    <w:p w:rsidR="0095383E" w:rsidRPr="00DE4A73" w:rsidRDefault="0095383E" w:rsidP="00F66F07"/>
    <w:p w:rsidR="005B4F02" w:rsidRDefault="00E059A2" w:rsidP="00F07F78">
      <w:pPr>
        <w:pStyle w:val="ONUMFS"/>
      </w:pPr>
      <w:r w:rsidRPr="00CE7F8D">
        <w:t>Le présent document a pour objet de présenter un rapport sur l</w:t>
      </w:r>
      <w:r w:rsidR="005B4F02">
        <w:t>’</w:t>
      </w:r>
      <w:r w:rsidRPr="00CE7F8D">
        <w:t>état d</w:t>
      </w:r>
      <w:r w:rsidR="005B4F02">
        <w:t>’</w:t>
      </w:r>
      <w:r w:rsidRPr="00CE7F8D">
        <w:t>avancement de l</w:t>
      </w:r>
      <w:r w:rsidR="005B4F02">
        <w:t>’</w:t>
      </w:r>
      <w:r w:rsidRPr="00CE7F8D">
        <w:t>élaboration de la base de données contenant les indications acceptables des produits et des services aux fins des procédures applicables en vertu du système de Madrid (ci</w:t>
      </w:r>
      <w:r w:rsidR="00AD423D">
        <w:noBreakHyphen/>
      </w:r>
      <w:r w:rsidRPr="00CE7F8D">
        <w:t xml:space="preserve">après dénommée </w:t>
      </w:r>
      <w:r w:rsidR="00CE7F8D" w:rsidRPr="00CE7F8D">
        <w:t>“</w:t>
      </w:r>
      <w:r w:rsidRPr="00CE7F8D">
        <w:t>base de données des produits et services du système de Madrid</w:t>
      </w:r>
      <w:r w:rsidR="00CE7F8D" w:rsidRPr="00CE7F8D">
        <w:t>”</w:t>
      </w:r>
      <w:r w:rsidRPr="00CE7F8D">
        <w:t xml:space="preserve"> ou </w:t>
      </w:r>
      <w:r w:rsidR="00CE7F8D" w:rsidRPr="00CE7F8D">
        <w:t>“</w:t>
      </w:r>
      <w:r w:rsidRPr="00CE7F8D">
        <w:t>base de données MGS</w:t>
      </w:r>
      <w:r w:rsidR="00CE7F8D" w:rsidRPr="00CE7F8D">
        <w:t>”</w:t>
      </w:r>
      <w:r w:rsidRPr="00CE7F8D">
        <w:t>).</w:t>
      </w:r>
    </w:p>
    <w:p w:rsidR="0095383E" w:rsidRPr="00DE4A73" w:rsidRDefault="00E059A2" w:rsidP="00F07F78">
      <w:pPr>
        <w:pStyle w:val="ONUMFS"/>
      </w:pPr>
      <w:r w:rsidRPr="00CE7F8D">
        <w:t xml:space="preserve">En </w:t>
      </w:r>
      <w:r w:rsidR="005B4F02" w:rsidRPr="00CE7F8D">
        <w:t>septembre</w:t>
      </w:r>
      <w:r w:rsidR="005B4F02">
        <w:t> </w:t>
      </w:r>
      <w:r w:rsidR="005B4F02" w:rsidRPr="00CE7F8D">
        <w:t>20</w:t>
      </w:r>
      <w:r w:rsidRPr="00CE7F8D">
        <w:t>09, l</w:t>
      </w:r>
      <w:r w:rsidR="005B4F02">
        <w:t>’</w:t>
      </w:r>
      <w:r w:rsidRPr="00CE7F8D">
        <w:t>Assemblée de l</w:t>
      </w:r>
      <w:r w:rsidR="005B4F02">
        <w:t>’</w:t>
      </w:r>
      <w:r w:rsidRPr="00CE7F8D">
        <w:t>Union de Madrid a approuvé un projet d</w:t>
      </w:r>
      <w:r w:rsidR="005B4F02">
        <w:t>’</w:t>
      </w:r>
      <w:r w:rsidRPr="00CE7F8D">
        <w:t>une durée de deux</w:t>
      </w:r>
      <w:r w:rsidR="00724870">
        <w:t> </w:t>
      </w:r>
      <w:r w:rsidRPr="00CE7F8D">
        <w:t>ans visant à construire la base de données MGS, comme indiqué dans le document MM/A/42/3, ainsi qu</w:t>
      </w:r>
      <w:r w:rsidR="005B4F02">
        <w:t>’</w:t>
      </w:r>
      <w:r w:rsidRPr="00CE7F8D">
        <w:t>un financement d</w:t>
      </w:r>
      <w:r w:rsidR="005B4F02">
        <w:t>’</w:t>
      </w:r>
      <w:r w:rsidRPr="00CE7F8D">
        <w:t>un montant de 1,2</w:t>
      </w:r>
      <w:r w:rsidR="00724870">
        <w:t> </w:t>
      </w:r>
      <w:r w:rsidRPr="00CE7F8D">
        <w:t>million de francs suisses prélevé sur le fonds de réserve de l</w:t>
      </w:r>
      <w:r w:rsidR="005B4F02">
        <w:t>’</w:t>
      </w:r>
      <w:r w:rsidRPr="00CE7F8D">
        <w:t>Union de Madrid pour sa mise en œuvre prévue durant l</w:t>
      </w:r>
      <w:r w:rsidR="005B4F02">
        <w:t>’</w:t>
      </w:r>
      <w:r w:rsidRPr="00CE7F8D">
        <w:t>exercice biennal</w:t>
      </w:r>
      <w:r w:rsidR="00724870">
        <w:t> </w:t>
      </w:r>
      <w:r w:rsidRPr="00CE7F8D">
        <w:t>2010</w:t>
      </w:r>
      <w:r w:rsidR="00AD423D">
        <w:noBreakHyphen/>
      </w:r>
      <w:r w:rsidRPr="00CE7F8D">
        <w:t>2011 (voir le paragraphe</w:t>
      </w:r>
      <w:r w:rsidR="00724870">
        <w:t> </w:t>
      </w:r>
      <w:r w:rsidRPr="00CE7F8D">
        <w:t>28 du document MM/A/42/4).</w:t>
      </w:r>
      <w:r w:rsidR="00F66F07" w:rsidRPr="00DE4A73">
        <w:t xml:space="preserve">  </w:t>
      </w:r>
      <w:r w:rsidRPr="00AD423D">
        <w:t>Six</w:t>
      </w:r>
      <w:r w:rsidR="00724870">
        <w:t> </w:t>
      </w:r>
      <w:r w:rsidRPr="00CE7F8D">
        <w:t>rapports sur l</w:t>
      </w:r>
      <w:r w:rsidR="005B4F02">
        <w:t>’</w:t>
      </w:r>
      <w:r w:rsidRPr="00CE7F8D">
        <w:t>état d</w:t>
      </w:r>
      <w:r w:rsidR="005B4F02">
        <w:t>’</w:t>
      </w:r>
      <w:r w:rsidRPr="00CE7F8D">
        <w:t>avancement des travaux ont déjà été présentés à l</w:t>
      </w:r>
      <w:r w:rsidR="005B4F02">
        <w:t>’</w:t>
      </w:r>
      <w:r w:rsidRPr="00CE7F8D">
        <w:t>Assemblée de l</w:t>
      </w:r>
      <w:r w:rsidR="005B4F02">
        <w:t>’</w:t>
      </w:r>
      <w:r w:rsidRPr="00CE7F8D">
        <w:t>Union de Madrid (voir les documents MM/A/42/3, MM/A/43/2, MM/A/44/3, MM/A/45/2</w:t>
      </w:r>
      <w:r w:rsidRPr="00DE4A73">
        <w:rPr>
          <w:color w:val="000000"/>
        </w:rPr>
        <w:t>, MM/A/46/2</w:t>
      </w:r>
      <w:r w:rsidRPr="00CE7F8D">
        <w:t xml:space="preserve"> et MM/A/48/2).</w:t>
      </w:r>
    </w:p>
    <w:p w:rsidR="0095383E" w:rsidRPr="00DE4A73" w:rsidRDefault="00E059A2" w:rsidP="00F07F78">
      <w:pPr>
        <w:pStyle w:val="ONUMFS"/>
      </w:pPr>
      <w:r w:rsidRPr="00CE7F8D">
        <w:t>Le 1</w:t>
      </w:r>
      <w:r w:rsidRPr="00CE7F8D">
        <w:rPr>
          <w:vertAlign w:val="superscript"/>
        </w:rPr>
        <w:t>er</w:t>
      </w:r>
      <w:r w:rsidR="00AC1B0A" w:rsidRPr="00CE7F8D">
        <w:t> </w:t>
      </w:r>
      <w:r w:rsidR="005B4F02" w:rsidRPr="00CE7F8D">
        <w:t>janvier</w:t>
      </w:r>
      <w:r w:rsidR="005B4F02">
        <w:t> </w:t>
      </w:r>
      <w:r w:rsidR="005B4F02" w:rsidRPr="00CE7F8D">
        <w:t>20</w:t>
      </w:r>
      <w:r w:rsidRPr="00CE7F8D">
        <w:t>12, le projet de base de données MGS est passé en mode opérationnel, ce qui signifie que l</w:t>
      </w:r>
      <w:r w:rsidR="005B4F02">
        <w:t>’</w:t>
      </w:r>
      <w:r w:rsidRPr="00CE7F8D">
        <w:t>appui opérationnel permanent est depuis lors financé par le budget ordinaire.</w:t>
      </w:r>
    </w:p>
    <w:p w:rsidR="005B4F02" w:rsidRDefault="00E059A2" w:rsidP="00F07F78">
      <w:pPr>
        <w:pStyle w:val="ONUMFS"/>
      </w:pPr>
      <w:r w:rsidRPr="00CE7F8D">
        <w:lastRenderedPageBreak/>
        <w:t>Le présent document fait le point sur l</w:t>
      </w:r>
      <w:r w:rsidR="005B4F02">
        <w:t>’</w:t>
      </w:r>
      <w:r w:rsidRPr="00CE7F8D">
        <w:t xml:space="preserve">évolution de la base de données MGS depuis le précédent rapport sur cette question (voir le document MM/A/48/2), </w:t>
      </w:r>
      <w:r w:rsidR="005B4F02">
        <w:t>à savoir</w:t>
      </w:r>
      <w:r w:rsidRPr="00CE7F8D">
        <w:t xml:space="preserve"> pendant la période comprise entre le 1</w:t>
      </w:r>
      <w:r w:rsidRPr="00CE7F8D">
        <w:rPr>
          <w:vertAlign w:val="superscript"/>
        </w:rPr>
        <w:t>er</w:t>
      </w:r>
      <w:r w:rsidR="009D1B58" w:rsidRPr="00CE7F8D">
        <w:t> </w:t>
      </w:r>
      <w:r w:rsidR="005B4F02" w:rsidRPr="00CE7F8D">
        <w:t>juin</w:t>
      </w:r>
      <w:r w:rsidR="005B4F02">
        <w:t> </w:t>
      </w:r>
      <w:r w:rsidR="005B4F02" w:rsidRPr="00CE7F8D">
        <w:t>20</w:t>
      </w:r>
      <w:r w:rsidRPr="00CE7F8D">
        <w:t>14 et le 3</w:t>
      </w:r>
      <w:r w:rsidR="005B4F02" w:rsidRPr="00CE7F8D">
        <w:t>0</w:t>
      </w:r>
      <w:r w:rsidR="005B4F02">
        <w:t> </w:t>
      </w:r>
      <w:r w:rsidR="005B4F02" w:rsidRPr="00CE7F8D">
        <w:t>mai</w:t>
      </w:r>
      <w:r w:rsidR="005B4F02">
        <w:t> </w:t>
      </w:r>
      <w:r w:rsidR="005B4F02" w:rsidRPr="00DE4A73">
        <w:rPr>
          <w:color w:val="000000"/>
        </w:rPr>
        <w:t>20</w:t>
      </w:r>
      <w:r w:rsidRPr="00DE4A73">
        <w:rPr>
          <w:color w:val="000000"/>
        </w:rPr>
        <w:t>15.</w:t>
      </w:r>
    </w:p>
    <w:p w:rsidR="0095383E" w:rsidRPr="00DE4A73" w:rsidRDefault="00E059A2" w:rsidP="0038288E">
      <w:pPr>
        <w:pStyle w:val="Heading1"/>
        <w:spacing w:after="0"/>
      </w:pPr>
      <w:r w:rsidRPr="00CE7F8D">
        <w:t>Résultats obtenus</w:t>
      </w:r>
    </w:p>
    <w:p w:rsidR="0095383E" w:rsidRPr="00DE4A73" w:rsidRDefault="0095383E" w:rsidP="00F66F07"/>
    <w:p w:rsidR="0095383E" w:rsidRPr="00DE4A73" w:rsidRDefault="00E059A2" w:rsidP="00F07F78">
      <w:pPr>
        <w:pStyle w:val="ONUMFS"/>
      </w:pPr>
      <w:r w:rsidRPr="00DE4A73">
        <w:rPr>
          <w:color w:val="000000"/>
        </w:rPr>
        <w:t>Il est rappelé que, le 1</w:t>
      </w:r>
      <w:r w:rsidRPr="00AC1B0A">
        <w:rPr>
          <w:color w:val="000000"/>
          <w:vertAlign w:val="superscript"/>
        </w:rPr>
        <w:t>er</w:t>
      </w:r>
      <w:r w:rsidR="00AC1B0A">
        <w:rPr>
          <w:color w:val="000000"/>
        </w:rPr>
        <w:t> </w:t>
      </w:r>
      <w:r w:rsidRPr="00DE4A73">
        <w:rPr>
          <w:color w:val="000000"/>
        </w:rPr>
        <w:t xml:space="preserve">juin 2014, le </w:t>
      </w:r>
      <w:r w:rsidRPr="00CE7F8D">
        <w:t xml:space="preserve">gestionnaire de la base de données sur les produits et services du système de Madrid </w:t>
      </w:r>
      <w:r w:rsidRPr="00DE4A73">
        <w:rPr>
          <w:color w:val="000000"/>
        </w:rPr>
        <w:t>(</w:t>
      </w:r>
      <w:r w:rsidRPr="00CE7F8D">
        <w:t>gestionnaire MGS</w:t>
      </w:r>
      <w:r w:rsidRPr="00DE4A73">
        <w:rPr>
          <w:color w:val="000000"/>
        </w:rPr>
        <w:t xml:space="preserve">) a été mis à disposition sur le site Web public de </w:t>
      </w:r>
      <w:r w:rsidRPr="00CE7F8D">
        <w:t>l</w:t>
      </w:r>
      <w:r w:rsidR="005B4F02">
        <w:t>’</w:t>
      </w:r>
      <w:r w:rsidRPr="00CE7F8D">
        <w:t>Organisation Mondiale de la Propriété Intellectuelle</w:t>
      </w:r>
      <w:r w:rsidRPr="00DE4A73">
        <w:rPr>
          <w:color w:val="000000"/>
        </w:rPr>
        <w:t xml:space="preserve"> (</w:t>
      </w:r>
      <w:r w:rsidRPr="00CE7F8D">
        <w:t>OMPI</w:t>
      </w:r>
      <w:r w:rsidRPr="00DE4A73">
        <w:rPr>
          <w:color w:val="000000"/>
        </w:rPr>
        <w:t xml:space="preserve">), avec les </w:t>
      </w:r>
      <w:r w:rsidR="00E852D5">
        <w:rPr>
          <w:color w:val="000000"/>
        </w:rPr>
        <w:t>caractéristiques</w:t>
      </w:r>
      <w:r w:rsidRPr="00DE4A73">
        <w:rPr>
          <w:color w:val="000000"/>
        </w:rPr>
        <w:t xml:space="preserve"> suivantes :</w:t>
      </w:r>
    </w:p>
    <w:p w:rsidR="0095383E" w:rsidRPr="00DE4A73" w:rsidRDefault="00E059A2" w:rsidP="00BC316C">
      <w:pPr>
        <w:pStyle w:val="ONUMFS"/>
        <w:numPr>
          <w:ilvl w:val="0"/>
          <w:numId w:val="22"/>
        </w:numPr>
        <w:ind w:left="1134" w:hanging="567"/>
      </w:pPr>
      <w:r w:rsidRPr="00155803">
        <w:t>16 i</w:t>
      </w:r>
      <w:r w:rsidRPr="00DE4A73">
        <w:t xml:space="preserve">nterfaces linguistiques, </w:t>
      </w:r>
      <w:r w:rsidR="005B4F02">
        <w:t>à savoir</w:t>
      </w:r>
      <w:r w:rsidRPr="00DE4A73">
        <w:t xml:space="preserve"> </w:t>
      </w:r>
      <w:r w:rsidR="008715BB" w:rsidRPr="00DE4A73">
        <w:t>allemand</w:t>
      </w:r>
      <w:r w:rsidR="008715BB">
        <w:t xml:space="preserve">, </w:t>
      </w:r>
      <w:r w:rsidR="008715BB" w:rsidRPr="00DE4A73">
        <w:t>anglais</w:t>
      </w:r>
      <w:r w:rsidR="008715BB">
        <w:t xml:space="preserve">, </w:t>
      </w:r>
      <w:r w:rsidR="008715BB" w:rsidRPr="00DE4A73">
        <w:t>arabe</w:t>
      </w:r>
      <w:r w:rsidR="008715BB">
        <w:t xml:space="preserve">, </w:t>
      </w:r>
      <w:r w:rsidR="008715BB" w:rsidRPr="00DE4A73">
        <w:t>chinois</w:t>
      </w:r>
      <w:r w:rsidR="008715BB">
        <w:t xml:space="preserve">, </w:t>
      </w:r>
      <w:r w:rsidR="008715BB" w:rsidRPr="00DE4A73">
        <w:t>coréen</w:t>
      </w:r>
      <w:r w:rsidR="008715BB">
        <w:t xml:space="preserve">, espagnol, </w:t>
      </w:r>
      <w:r w:rsidR="008715BB" w:rsidRPr="00DE4A73">
        <w:t>français</w:t>
      </w:r>
      <w:r w:rsidR="008715BB">
        <w:t xml:space="preserve">, </w:t>
      </w:r>
      <w:r w:rsidR="008715BB" w:rsidRPr="00DE4A73">
        <w:t>hébreu</w:t>
      </w:r>
      <w:r w:rsidR="008715BB">
        <w:t xml:space="preserve">, </w:t>
      </w:r>
      <w:r w:rsidR="008715BB" w:rsidRPr="00DE4A73">
        <w:t>italien</w:t>
      </w:r>
      <w:r w:rsidR="008715BB">
        <w:t xml:space="preserve">, </w:t>
      </w:r>
      <w:r w:rsidR="008715BB" w:rsidRPr="00DE4A73">
        <w:t>japonais</w:t>
      </w:r>
      <w:r w:rsidR="008715BB">
        <w:t xml:space="preserve">, </w:t>
      </w:r>
      <w:r w:rsidR="008715BB" w:rsidRPr="00DE4A73">
        <w:t>néerlandais</w:t>
      </w:r>
      <w:r w:rsidR="008715BB">
        <w:t xml:space="preserve">, </w:t>
      </w:r>
      <w:r w:rsidR="008715BB" w:rsidRPr="00DE4A73">
        <w:t>norvégie</w:t>
      </w:r>
      <w:r w:rsidR="008715BB">
        <w:t>n, portugais, russe</w:t>
      </w:r>
      <w:r w:rsidR="00155803">
        <w:t>, serbe</w:t>
      </w:r>
      <w:r w:rsidR="008715BB">
        <w:t xml:space="preserve"> et </w:t>
      </w:r>
      <w:r w:rsidR="008715BB" w:rsidRPr="00DE4A73">
        <w:t>turc</w:t>
      </w:r>
      <w:r w:rsidRPr="00DE4A73">
        <w:t>;  et</w:t>
      </w:r>
    </w:p>
    <w:p w:rsidR="0095383E" w:rsidRPr="00DE4A73" w:rsidRDefault="007767F3" w:rsidP="00BC316C">
      <w:pPr>
        <w:pStyle w:val="ONUMFS"/>
        <w:numPr>
          <w:ilvl w:val="0"/>
          <w:numId w:val="22"/>
        </w:numPr>
        <w:ind w:left="1134" w:hanging="567"/>
      </w:pPr>
      <w:r w:rsidRPr="00DE4A73">
        <w:t xml:space="preserve">présence de 19 offices </w:t>
      </w:r>
      <w:r w:rsidR="009D1B58" w:rsidRPr="00DE4A73">
        <w:t xml:space="preserve">de </w:t>
      </w:r>
      <w:r w:rsidR="009D1B58" w:rsidRPr="00CE7F8D">
        <w:t>propriété intellectuelle</w:t>
      </w:r>
      <w:r w:rsidR="009D1B58" w:rsidRPr="00DE4A73">
        <w:t xml:space="preserve"> </w:t>
      </w:r>
      <w:r w:rsidRPr="00DE4A73">
        <w:t xml:space="preserve">nationaux ou régionaux participants dans la fonction exclusive intitulée </w:t>
      </w:r>
      <w:r w:rsidR="00CE7F8D">
        <w:t>“</w:t>
      </w:r>
      <w:r w:rsidR="00B21362">
        <w:t>Vérifier acceptation par Partie Contractante désignée (</w:t>
      </w:r>
      <w:proofErr w:type="spellStart"/>
      <w:r w:rsidR="00B21362">
        <w:t>PCd</w:t>
      </w:r>
      <w:proofErr w:type="spellEnd"/>
      <w:r w:rsidR="00B21362">
        <w:t>)</w:t>
      </w:r>
      <w:r w:rsidR="00CE7F8D">
        <w:t>”</w:t>
      </w:r>
      <w:r w:rsidRPr="00DE4A73">
        <w:t xml:space="preserve">, avec des </w:t>
      </w:r>
      <w:r w:rsidR="00E852D5">
        <w:t>données</w:t>
      </w:r>
      <w:r w:rsidRPr="00DE4A73">
        <w:t xml:space="preserve"> partielles au moins sur l</w:t>
      </w:r>
      <w:r w:rsidR="005B4F02">
        <w:t>’</w:t>
      </w:r>
      <w:r w:rsidRPr="00DE4A73">
        <w:t>acc</w:t>
      </w:r>
      <w:r w:rsidR="00DE4A73">
        <w:t>epta</w:t>
      </w:r>
      <w:r w:rsidRPr="00DE4A73">
        <w:t>tion communiquées par les offices des parties suivantes</w:t>
      </w:r>
      <w:r w:rsidR="00724870">
        <w:t> </w:t>
      </w:r>
      <w:r w:rsidRPr="00DE4A73">
        <w:t xml:space="preserve">: </w:t>
      </w:r>
      <w:r w:rsidR="00B842B0" w:rsidRPr="00CE7F8D">
        <w:t>Allemagne</w:t>
      </w:r>
      <w:r w:rsidR="00B842B0">
        <w:t xml:space="preserve">, </w:t>
      </w:r>
      <w:r w:rsidR="00B842B0" w:rsidRPr="00CE7F8D">
        <w:t>Autriche</w:t>
      </w:r>
      <w:r w:rsidR="00B842B0">
        <w:t xml:space="preserve">, </w:t>
      </w:r>
      <w:r w:rsidR="00B842B0" w:rsidRPr="00CE7F8D">
        <w:t>Bélarus</w:t>
      </w:r>
      <w:r w:rsidR="00B842B0">
        <w:t xml:space="preserve">, </w:t>
      </w:r>
      <w:r w:rsidR="00B842B0" w:rsidRPr="00DE4A73">
        <w:t>Benelux</w:t>
      </w:r>
      <w:r w:rsidR="00B842B0">
        <w:t xml:space="preserve">, </w:t>
      </w:r>
      <w:r w:rsidR="00B842B0" w:rsidRPr="00CE7F8D">
        <w:t>Chine</w:t>
      </w:r>
      <w:r w:rsidR="00B842B0">
        <w:t xml:space="preserve">, </w:t>
      </w:r>
      <w:r w:rsidR="00B842B0" w:rsidRPr="00CE7F8D">
        <w:t>États</w:t>
      </w:r>
      <w:r w:rsidR="00AD423D">
        <w:noBreakHyphen/>
      </w:r>
      <w:r w:rsidR="00B842B0" w:rsidRPr="00CE7F8D">
        <w:t>Unis d</w:t>
      </w:r>
      <w:r w:rsidR="005B4F02">
        <w:t>’</w:t>
      </w:r>
      <w:r w:rsidR="00B842B0" w:rsidRPr="00CE7F8D">
        <w:t>Amérique</w:t>
      </w:r>
      <w:r w:rsidR="00B842B0">
        <w:t xml:space="preserve">, </w:t>
      </w:r>
      <w:r w:rsidR="00B842B0" w:rsidRPr="00CE7F8D">
        <w:t>Fédération de Russie</w:t>
      </w:r>
      <w:r w:rsidR="00B842B0">
        <w:t xml:space="preserve">, </w:t>
      </w:r>
      <w:r w:rsidR="00B842B0" w:rsidRPr="00CE7F8D">
        <w:t>Israël</w:t>
      </w:r>
      <w:r w:rsidR="00B842B0">
        <w:t xml:space="preserve">, </w:t>
      </w:r>
      <w:r w:rsidR="00B842B0" w:rsidRPr="00CE7F8D">
        <w:t>Italie</w:t>
      </w:r>
      <w:r w:rsidR="00B842B0">
        <w:t xml:space="preserve">, </w:t>
      </w:r>
      <w:r w:rsidR="00B842B0" w:rsidRPr="00CE7F8D">
        <w:t>Japon</w:t>
      </w:r>
      <w:r w:rsidR="00B842B0">
        <w:t xml:space="preserve">, </w:t>
      </w:r>
      <w:r w:rsidR="00B842B0" w:rsidRPr="00CE7F8D">
        <w:t>Norvège</w:t>
      </w:r>
      <w:r w:rsidR="00B842B0">
        <w:t xml:space="preserve">, </w:t>
      </w:r>
      <w:r w:rsidR="00B842B0" w:rsidRPr="00CE7F8D">
        <w:t>Portugal</w:t>
      </w:r>
      <w:r w:rsidR="00B842B0">
        <w:t xml:space="preserve">, </w:t>
      </w:r>
      <w:r w:rsidR="00B842B0" w:rsidRPr="00CE7F8D">
        <w:t>République de Corée</w:t>
      </w:r>
      <w:r w:rsidR="00B842B0">
        <w:t xml:space="preserve">, </w:t>
      </w:r>
      <w:r w:rsidR="00B842B0" w:rsidRPr="00DE4A73">
        <w:t>République de Serbie</w:t>
      </w:r>
      <w:r w:rsidR="00B842B0">
        <w:t xml:space="preserve">, </w:t>
      </w:r>
      <w:r w:rsidR="00B842B0" w:rsidRPr="00CE7F8D">
        <w:t>Singapour</w:t>
      </w:r>
      <w:r w:rsidR="00B842B0">
        <w:t xml:space="preserve">, </w:t>
      </w:r>
      <w:r w:rsidR="00B842B0" w:rsidRPr="00CE7F8D">
        <w:t>Suisse</w:t>
      </w:r>
      <w:r w:rsidR="00B842B0">
        <w:t xml:space="preserve">, </w:t>
      </w:r>
      <w:r w:rsidR="00B842B0" w:rsidRPr="00CE7F8D">
        <w:t>Turquie</w:t>
      </w:r>
      <w:r w:rsidR="00B842B0">
        <w:t xml:space="preserve">, </w:t>
      </w:r>
      <w:r w:rsidR="00B842B0" w:rsidRPr="00CE7F8D">
        <w:t>Ukraine</w:t>
      </w:r>
      <w:r w:rsidR="00B842B0">
        <w:t xml:space="preserve"> et </w:t>
      </w:r>
      <w:r w:rsidR="00B842B0" w:rsidRPr="00CE7F8D">
        <w:t>Union européenne</w:t>
      </w:r>
      <w:r w:rsidR="00B842B0">
        <w:t>,</w:t>
      </w:r>
    </w:p>
    <w:p w:rsidR="0095383E" w:rsidRPr="00DE4A73" w:rsidRDefault="007767F3" w:rsidP="00F07F78">
      <w:pPr>
        <w:pStyle w:val="ONUMFS"/>
      </w:pPr>
      <w:r w:rsidRPr="00CE7F8D">
        <w:t>Le 1</w:t>
      </w:r>
      <w:r w:rsidRPr="00CE7F8D">
        <w:rPr>
          <w:vertAlign w:val="superscript"/>
        </w:rPr>
        <w:t>er</w:t>
      </w:r>
      <w:r w:rsidR="00F50577" w:rsidRPr="00CE7F8D">
        <w:t> </w:t>
      </w:r>
      <w:r w:rsidR="005B4F02" w:rsidRPr="00CE7F8D">
        <w:t>janvier</w:t>
      </w:r>
      <w:r w:rsidR="005B4F02">
        <w:t> </w:t>
      </w:r>
      <w:r w:rsidR="005B4F02" w:rsidRPr="00CE7F8D">
        <w:t>20</w:t>
      </w:r>
      <w:r w:rsidRPr="00CE7F8D">
        <w:t xml:space="preserve">15, la base de données MGS a été </w:t>
      </w:r>
      <w:r w:rsidRPr="00DE4A73">
        <w:rPr>
          <w:color w:val="000000"/>
        </w:rPr>
        <w:t>alignée sur la</w:t>
      </w:r>
      <w:r w:rsidRPr="00CE7F8D">
        <w:t xml:space="preserve"> version</w:t>
      </w:r>
      <w:r w:rsidR="00AD423D">
        <w:rPr>
          <w:color w:val="000000"/>
        </w:rPr>
        <w:t> </w:t>
      </w:r>
      <w:r w:rsidRPr="00DE4A73">
        <w:rPr>
          <w:color w:val="000000"/>
        </w:rPr>
        <w:t>2015 de la dixième édition de la classification de Nice.</w:t>
      </w:r>
      <w:r w:rsidR="00073835" w:rsidRPr="00AD423D">
        <w:rPr>
          <w:color w:val="000000"/>
        </w:rPr>
        <w:t xml:space="preserve">  </w:t>
      </w:r>
      <w:r w:rsidRPr="00CE7F8D">
        <w:t xml:space="preserve">Les mises à jour ont été intégrées dans les </w:t>
      </w:r>
      <w:r w:rsidRPr="00155803">
        <w:t>16</w:t>
      </w:r>
      <w:r w:rsidR="00F50577" w:rsidRPr="00155803">
        <w:t> </w:t>
      </w:r>
      <w:r w:rsidRPr="00155803">
        <w:t>langues</w:t>
      </w:r>
      <w:r w:rsidRPr="00CE7F8D">
        <w:t xml:space="preserve"> disponibles en ligne à ce stade.</w:t>
      </w:r>
    </w:p>
    <w:p w:rsidR="0095383E" w:rsidRPr="00DE4A73" w:rsidRDefault="00BC316C" w:rsidP="0038288E">
      <w:pPr>
        <w:pStyle w:val="Heading2"/>
        <w:spacing w:after="0"/>
      </w:pPr>
      <w:r w:rsidRPr="00CE7F8D">
        <w:t>Coopération</w:t>
      </w:r>
    </w:p>
    <w:p w:rsidR="0095383E" w:rsidRPr="00DE4A73" w:rsidRDefault="0095383E" w:rsidP="00607C24"/>
    <w:p w:rsidR="005B4F02" w:rsidRDefault="007767F3" w:rsidP="00F07F78">
      <w:pPr>
        <w:pStyle w:val="ONUMFS"/>
      </w:pPr>
      <w:r w:rsidRPr="00DE4A73">
        <w:t xml:space="preserve">En janvier 2015, le </w:t>
      </w:r>
      <w:r w:rsidRPr="00CE7F8D">
        <w:t>Mexique</w:t>
      </w:r>
      <w:r w:rsidRPr="00DE4A73">
        <w:t xml:space="preserve"> a été ajouté à la liste pays participant à la fonction </w:t>
      </w:r>
      <w:r w:rsidR="00CE7F8D">
        <w:t>“</w:t>
      </w:r>
      <w:r w:rsidR="00B21362">
        <w:t>Vérifier acceptation par Partie Contractante désignée (</w:t>
      </w:r>
      <w:proofErr w:type="spellStart"/>
      <w:r w:rsidR="00B21362">
        <w:t>PCd</w:t>
      </w:r>
      <w:proofErr w:type="spellEnd"/>
      <w:r w:rsidR="00B21362">
        <w:t>)</w:t>
      </w:r>
      <w:r w:rsidR="00CE7F8D">
        <w:t>”</w:t>
      </w:r>
      <w:r w:rsidRPr="00DE4A73">
        <w:t xml:space="preserve"> suite à la </w:t>
      </w:r>
      <w:r w:rsidR="00DE4A73" w:rsidRPr="00DE4A73">
        <w:t>coopération</w:t>
      </w:r>
      <w:r w:rsidRPr="00DE4A73">
        <w:t xml:space="preserve"> établie avec l</w:t>
      </w:r>
      <w:r w:rsidR="005B4F02">
        <w:t>’</w:t>
      </w:r>
      <w:r w:rsidRPr="00DE4A73">
        <w:t>Institut mexicain de la propriété industrielle (IMPI).</w:t>
      </w:r>
    </w:p>
    <w:p w:rsidR="0095383E" w:rsidRPr="00DE4A73" w:rsidRDefault="007767F3" w:rsidP="00F07F78">
      <w:pPr>
        <w:pStyle w:val="ONUMFS"/>
      </w:pPr>
      <w:r w:rsidRPr="00DE4A73">
        <w:t xml:space="preserve">En </w:t>
      </w:r>
      <w:r w:rsidR="005B4F02" w:rsidRPr="00DE4A73">
        <w:t>février</w:t>
      </w:r>
      <w:r w:rsidR="005B4F02">
        <w:t> </w:t>
      </w:r>
      <w:r w:rsidR="005B4F02" w:rsidRPr="00DE4A73">
        <w:t>20</w:t>
      </w:r>
      <w:r w:rsidRPr="00DE4A73">
        <w:t>15, grâce à la coopération établie avec le Service d</w:t>
      </w:r>
      <w:r w:rsidR="005B4F02">
        <w:t>’</w:t>
      </w:r>
      <w:r w:rsidR="00DE4A73" w:rsidRPr="00DE4A73">
        <w:t>État</w:t>
      </w:r>
      <w:r w:rsidRPr="00DE4A73">
        <w:t xml:space="preserve"> de la </w:t>
      </w:r>
      <w:r w:rsidRPr="00CE7F8D">
        <w:t>propriété intellectuelle</w:t>
      </w:r>
      <w:r w:rsidRPr="00DE4A73">
        <w:t xml:space="preserve"> de l</w:t>
      </w:r>
      <w:r w:rsidR="005B4F02">
        <w:t>’</w:t>
      </w:r>
      <w:r w:rsidRPr="00CE7F8D">
        <w:t>Ukraine</w:t>
      </w:r>
      <w:r w:rsidRPr="00DE4A73">
        <w:t xml:space="preserve"> (SIPS), l</w:t>
      </w:r>
      <w:r w:rsidR="005B4F02">
        <w:t>’</w:t>
      </w:r>
      <w:r w:rsidRPr="00DE4A73">
        <w:t xml:space="preserve">interface en ukrainien a été mise en </w:t>
      </w:r>
      <w:r w:rsidR="00DE4A73" w:rsidRPr="00DE4A73">
        <w:t>œuvre</w:t>
      </w:r>
      <w:r w:rsidRPr="00DE4A73">
        <w:t xml:space="preserve"> dans le </w:t>
      </w:r>
      <w:r w:rsidRPr="00CE7F8D">
        <w:t>gestionnaire MGS, portant à 17 le nombre de langues disponibles en ligne</w:t>
      </w:r>
      <w:r w:rsidRPr="00DE4A73">
        <w:t>.</w:t>
      </w:r>
      <w:r w:rsidR="00BA6026" w:rsidRPr="00AD423D">
        <w:t xml:space="preserve"> </w:t>
      </w:r>
      <w:r w:rsidR="00C57AB0" w:rsidRPr="00AD423D">
        <w:t xml:space="preserve"> </w:t>
      </w:r>
      <w:r w:rsidRPr="00DE4A73">
        <w:t>Pour l</w:t>
      </w:r>
      <w:r w:rsidR="005B4F02">
        <w:t>’</w:t>
      </w:r>
      <w:r w:rsidRPr="00DE4A73">
        <w:t xml:space="preserve">heure, cette interface donne accès uniquement à la traduction en ukrainien de la liste alphabétique de la </w:t>
      </w:r>
      <w:r w:rsidRPr="00CE7F8D">
        <w:t>classification de Nice</w:t>
      </w:r>
      <w:r w:rsidRPr="00DE4A73">
        <w:t>, mais</w:t>
      </w:r>
      <w:r w:rsidR="005B4F02" w:rsidRPr="00DE4A73">
        <w:t xml:space="preserve"> le</w:t>
      </w:r>
      <w:r w:rsidR="005B4F02">
        <w:t> </w:t>
      </w:r>
      <w:r w:rsidR="005B4F02" w:rsidRPr="00DE4A73">
        <w:t>SIP</w:t>
      </w:r>
      <w:r w:rsidRPr="00DE4A73">
        <w:t xml:space="preserve">S a fait part de sa volonté de poursuivre la traduction du reste de la base de données MGS </w:t>
      </w:r>
      <w:r w:rsidRPr="00CE7F8D">
        <w:t>afin de</w:t>
      </w:r>
      <w:r w:rsidRPr="00DE4A73">
        <w:t xml:space="preserve"> renforcer son utilité pour les déposants ukrainiens.</w:t>
      </w:r>
    </w:p>
    <w:p w:rsidR="0095383E" w:rsidRPr="00DE4A73" w:rsidRDefault="002C057A" w:rsidP="00F07F78">
      <w:pPr>
        <w:pStyle w:val="ONUMFS"/>
      </w:pPr>
      <w:r w:rsidRPr="00DE4A73">
        <w:t>En</w:t>
      </w:r>
      <w:r w:rsidR="00724870">
        <w:t> </w:t>
      </w:r>
      <w:r w:rsidRPr="00DE4A73">
        <w:t>2015, l</w:t>
      </w:r>
      <w:r w:rsidR="005B4F02">
        <w:t>’</w:t>
      </w:r>
      <w:r w:rsidRPr="00DE4A73">
        <w:t xml:space="preserve">Office de la </w:t>
      </w:r>
      <w:r w:rsidRPr="00CE7F8D">
        <w:t>propriété intellectuelle</w:t>
      </w:r>
      <w:r w:rsidRPr="00DE4A73">
        <w:t xml:space="preserve"> de la </w:t>
      </w:r>
      <w:r w:rsidRPr="00CE7F8D">
        <w:t xml:space="preserve">République de Serbie </w:t>
      </w:r>
      <w:r w:rsidRPr="00DE4A73">
        <w:t>a commencé à traduire et à vérifier l</w:t>
      </w:r>
      <w:r w:rsidR="005B4F02">
        <w:t>’</w:t>
      </w:r>
      <w:r w:rsidRPr="00DE4A73">
        <w:t xml:space="preserve">acceptation du reste de la base de données </w:t>
      </w:r>
      <w:r w:rsidRPr="00CE7F8D">
        <w:t>MGS</w:t>
      </w:r>
      <w:r w:rsidRPr="00DE4A73">
        <w:t xml:space="preserve">, suite à la mise en </w:t>
      </w:r>
      <w:r w:rsidR="00DE4A73" w:rsidRPr="00DE4A73">
        <w:t>œuvre</w:t>
      </w:r>
      <w:r w:rsidRPr="00DE4A73">
        <w:t xml:space="preserve"> l</w:t>
      </w:r>
      <w:r w:rsidR="005B4F02">
        <w:t>’</w:t>
      </w:r>
      <w:r w:rsidRPr="00DE4A73">
        <w:t>année précédente de l</w:t>
      </w:r>
      <w:r w:rsidR="005B4F02">
        <w:t>’</w:t>
      </w:r>
      <w:r w:rsidRPr="00DE4A73">
        <w:t xml:space="preserve">interface en </w:t>
      </w:r>
      <w:r w:rsidR="00E852D5">
        <w:t xml:space="preserve">langue </w:t>
      </w:r>
      <w:r w:rsidRPr="00DE4A73">
        <w:t>serbe qui couvrait à l</w:t>
      </w:r>
      <w:r w:rsidR="005B4F02">
        <w:t>’</w:t>
      </w:r>
      <w:r w:rsidRPr="00DE4A73">
        <w:t xml:space="preserve">origine </w:t>
      </w:r>
      <w:r w:rsidR="00DE4A73" w:rsidRPr="00DE4A73">
        <w:t>uniquement</w:t>
      </w:r>
      <w:r w:rsidRPr="00DE4A73">
        <w:t xml:space="preserve"> la liste alphabétique de la </w:t>
      </w:r>
      <w:r w:rsidRPr="00CE7F8D">
        <w:t>classification de Nice</w:t>
      </w:r>
      <w:r w:rsidRPr="00DE4A73">
        <w:t>.</w:t>
      </w:r>
    </w:p>
    <w:p w:rsidR="0095383E" w:rsidRPr="00DE4A73" w:rsidRDefault="00CF39DB" w:rsidP="00F07F78">
      <w:pPr>
        <w:pStyle w:val="ONUMFS"/>
      </w:pPr>
      <w:r w:rsidRPr="00DE4A73">
        <w:t>En avril 2015, des contacts ont été pris avec plusieurs offices nationaux européens et non européens en vue d</w:t>
      </w:r>
      <w:r w:rsidR="005B4F02">
        <w:t>’</w:t>
      </w:r>
      <w:r w:rsidRPr="00DE4A73">
        <w:t xml:space="preserve">étoffer la liste des parties contractantes désignées dans le </w:t>
      </w:r>
      <w:r w:rsidRPr="00CE7F8D">
        <w:t>gestionnaire MGS</w:t>
      </w:r>
      <w:r w:rsidRPr="00DE4A73">
        <w:t>.  L</w:t>
      </w:r>
      <w:r w:rsidR="005B4F02">
        <w:t>’</w:t>
      </w:r>
      <w:r w:rsidRPr="00DE4A73">
        <w:t xml:space="preserve">intégration des parties contractantes correspondantes dans la fonction </w:t>
      </w:r>
      <w:r w:rsidR="00CE7F8D">
        <w:t>“</w:t>
      </w:r>
      <w:r w:rsidR="00AC1B0A">
        <w:t>Vérifier acceptation par Partie Contractante désignée (</w:t>
      </w:r>
      <w:proofErr w:type="spellStart"/>
      <w:r w:rsidR="00AC1B0A">
        <w:t>PCd</w:t>
      </w:r>
      <w:proofErr w:type="spellEnd"/>
      <w:r w:rsidR="00AC1B0A">
        <w:t>)</w:t>
      </w:r>
      <w:r w:rsidR="00CE7F8D">
        <w:t>”</w:t>
      </w:r>
      <w:r w:rsidRPr="00DE4A73">
        <w:t xml:space="preserve"> est imminente et aura pour effet </w:t>
      </w:r>
      <w:r w:rsidR="00E852D5">
        <w:t>d</w:t>
      </w:r>
      <w:r w:rsidR="005B4F02">
        <w:t>’</w:t>
      </w:r>
      <w:r w:rsidR="00E852D5">
        <w:t>enrichir</w:t>
      </w:r>
      <w:r w:rsidRPr="00DE4A73">
        <w:t xml:space="preserve"> le</w:t>
      </w:r>
      <w:r w:rsidR="00E852D5">
        <w:t>s</w:t>
      </w:r>
      <w:r w:rsidRPr="00DE4A73">
        <w:t xml:space="preserve"> informations précieuses mises à la disposition des </w:t>
      </w:r>
      <w:r w:rsidR="00E852D5">
        <w:t>déposants</w:t>
      </w:r>
      <w:r w:rsidRPr="00DE4A73">
        <w:t xml:space="preserve"> courant 2015.</w:t>
      </w:r>
    </w:p>
    <w:p w:rsidR="0095383E" w:rsidRPr="00DE4A73" w:rsidRDefault="00CF39DB" w:rsidP="00F07F78">
      <w:pPr>
        <w:pStyle w:val="ONUMFS"/>
      </w:pPr>
      <w:r w:rsidRPr="00DE4A73">
        <w:t>Depuis janvier 2015, l</w:t>
      </w:r>
      <w:r w:rsidR="005B4F02">
        <w:t>’</w:t>
      </w:r>
      <w:r w:rsidRPr="00CE7F8D">
        <w:t>Office des brevets du Japon</w:t>
      </w:r>
      <w:r w:rsidRPr="00DE4A73">
        <w:t xml:space="preserve"> (</w:t>
      </w:r>
      <w:r w:rsidRPr="00CE7F8D">
        <w:t>JPO</w:t>
      </w:r>
      <w:r w:rsidRPr="00DE4A73">
        <w:t>) communique à l</w:t>
      </w:r>
      <w:r w:rsidR="005B4F02">
        <w:t>’</w:t>
      </w:r>
      <w:r w:rsidRPr="00CE7F8D">
        <w:t>OMPI</w:t>
      </w:r>
      <w:r w:rsidRPr="00DE4A73">
        <w:t xml:space="preserve"> des codes particuliers dénommés </w:t>
      </w:r>
      <w:r w:rsidR="00CE7F8D">
        <w:t>“</w:t>
      </w:r>
      <w:r w:rsidRPr="00DE4A73">
        <w:t>codes de groupes similaires</w:t>
      </w:r>
      <w:r w:rsidR="00CE7F8D">
        <w:t>”</w:t>
      </w:r>
      <w:r w:rsidRPr="00DE4A73">
        <w:t xml:space="preserve"> pour la majeure partie de la base de données MGS.</w:t>
      </w:r>
      <w:r w:rsidR="00297407" w:rsidRPr="00AD423D">
        <w:t xml:space="preserve"> </w:t>
      </w:r>
      <w:r w:rsidR="00355304" w:rsidRPr="00AD423D">
        <w:t xml:space="preserve"> </w:t>
      </w:r>
      <w:r w:rsidRPr="00DE4A73">
        <w:t>L</w:t>
      </w:r>
      <w:r w:rsidR="005B4F02">
        <w:t>’</w:t>
      </w:r>
      <w:r w:rsidRPr="00CE7F8D">
        <w:t>Office coréen de la propriété intellectuelle</w:t>
      </w:r>
      <w:r w:rsidRPr="00DE4A73">
        <w:t xml:space="preserve"> (</w:t>
      </w:r>
      <w:r w:rsidRPr="00CE7F8D">
        <w:t>KIPO</w:t>
      </w:r>
      <w:r w:rsidRPr="00DE4A73">
        <w:t xml:space="preserve">) a aussi commencé à envoyer les </w:t>
      </w:r>
      <w:r w:rsidR="00CE7F8D">
        <w:t>“</w:t>
      </w:r>
      <w:r w:rsidRPr="00DE4A73">
        <w:t>codes de groupes similaires</w:t>
      </w:r>
      <w:r w:rsidR="00CE7F8D">
        <w:t>”</w:t>
      </w:r>
      <w:r w:rsidRPr="00DE4A73">
        <w:t xml:space="preserve"> utilisés en </w:t>
      </w:r>
      <w:r w:rsidRPr="00CE7F8D">
        <w:t>République de Corée</w:t>
      </w:r>
      <w:r w:rsidRPr="00DE4A73">
        <w:t>.</w:t>
      </w:r>
      <w:r w:rsidR="0029064B" w:rsidRPr="00AD423D">
        <w:t xml:space="preserve"> </w:t>
      </w:r>
      <w:r w:rsidR="00297407" w:rsidRPr="00AD423D">
        <w:t xml:space="preserve"> </w:t>
      </w:r>
      <w:r w:rsidR="009B5851" w:rsidRPr="00DE4A73">
        <w:t xml:space="preserve">Ces codes japonais </w:t>
      </w:r>
      <w:r w:rsidR="009B5851" w:rsidRPr="00DE4A73">
        <w:lastRenderedPageBreak/>
        <w:t>et coréens définissent deux</w:t>
      </w:r>
      <w:r w:rsidR="00724870">
        <w:t> </w:t>
      </w:r>
      <w:r w:rsidR="009B5851" w:rsidRPr="00DE4A73">
        <w:t>taxonomies de granularité différente associées aux groupes de produits ou de services qui sont réputés similaires entre eux lors de l</w:t>
      </w:r>
      <w:r w:rsidR="005B4F02">
        <w:t>’</w:t>
      </w:r>
      <w:r w:rsidR="009B5851" w:rsidRPr="00DE4A73">
        <w:t>examen des demandes d</w:t>
      </w:r>
      <w:r w:rsidR="005B4F02">
        <w:t>’</w:t>
      </w:r>
      <w:r w:rsidR="00DE4A73" w:rsidRPr="00DE4A73">
        <w:t>enregistrement</w:t>
      </w:r>
      <w:r w:rsidR="009B5851" w:rsidRPr="00DE4A73">
        <w:t>.</w:t>
      </w:r>
      <w:r w:rsidR="0029064B" w:rsidRPr="00AD423D">
        <w:t xml:space="preserve"> </w:t>
      </w:r>
      <w:r w:rsidR="00297407" w:rsidRPr="00AD423D">
        <w:t xml:space="preserve"> </w:t>
      </w:r>
      <w:r w:rsidR="00D34561" w:rsidRPr="00DE4A73">
        <w:t xml:space="preserve">Les déposants du </w:t>
      </w:r>
      <w:r w:rsidR="00D34561" w:rsidRPr="00CE7F8D">
        <w:t>Japon</w:t>
      </w:r>
      <w:r w:rsidR="00D34561" w:rsidRPr="00DE4A73">
        <w:t xml:space="preserve"> et de la </w:t>
      </w:r>
      <w:r w:rsidR="00D34561" w:rsidRPr="00CE7F8D">
        <w:t>République de Corée</w:t>
      </w:r>
      <w:r w:rsidR="00D34561" w:rsidRPr="00DE4A73">
        <w:t xml:space="preserve"> sont encouragés à se rapporter à ces codes avant de déposer une demande d</w:t>
      </w:r>
      <w:r w:rsidR="005B4F02">
        <w:t>’</w:t>
      </w:r>
      <w:r w:rsidR="00D34561" w:rsidRPr="00DE4A73">
        <w:t>enregistrement de marque afin de détecter l</w:t>
      </w:r>
      <w:r w:rsidR="005B4F02">
        <w:t>’</w:t>
      </w:r>
      <w:r w:rsidR="00D34561" w:rsidRPr="00DE4A73">
        <w:t>existence de marques enregistrées similaires.</w:t>
      </w:r>
      <w:r w:rsidR="00EC5D7D" w:rsidRPr="00AD423D">
        <w:t xml:space="preserve"> </w:t>
      </w:r>
      <w:r w:rsidR="00297407" w:rsidRPr="00AD423D">
        <w:t xml:space="preserve"> </w:t>
      </w:r>
      <w:r w:rsidR="00D34561" w:rsidRPr="00DE4A73">
        <w:t>Ces codes seront disponibles dans la base de données MGS courant 2015.</w:t>
      </w:r>
    </w:p>
    <w:p w:rsidR="0095383E" w:rsidRPr="00DE4A73" w:rsidRDefault="00DE4A73" w:rsidP="0038288E">
      <w:pPr>
        <w:pStyle w:val="Heading2"/>
        <w:spacing w:after="0"/>
      </w:pPr>
      <w:r w:rsidRPr="00DE4A73">
        <w:rPr>
          <w:color w:val="000000"/>
        </w:rPr>
        <w:t xml:space="preserve">CONTENU DE LA </w:t>
      </w:r>
      <w:r w:rsidRPr="00CE7F8D">
        <w:t>BASE DE DONNÉES MGS</w:t>
      </w:r>
    </w:p>
    <w:p w:rsidR="0095383E" w:rsidRPr="00DE4A73" w:rsidRDefault="0095383E" w:rsidP="00BC316C"/>
    <w:p w:rsidR="0095383E" w:rsidRPr="00DE4A73" w:rsidRDefault="00D34561" w:rsidP="00F07F78">
      <w:pPr>
        <w:pStyle w:val="ONUMFS"/>
      </w:pPr>
      <w:r w:rsidRPr="00DE4A73">
        <w:rPr>
          <w:color w:val="000000"/>
        </w:rPr>
        <w:t>Il est rappelé que l</w:t>
      </w:r>
      <w:r w:rsidR="005B4F02">
        <w:rPr>
          <w:color w:val="000000"/>
        </w:rPr>
        <w:t>’</w:t>
      </w:r>
      <w:r w:rsidRPr="00DE4A73">
        <w:rPr>
          <w:color w:val="000000"/>
        </w:rPr>
        <w:t xml:space="preserve">enrichissement de la </w:t>
      </w:r>
      <w:r w:rsidRPr="00CE7F8D">
        <w:t>base de données MGS, au moyen d</w:t>
      </w:r>
      <w:r w:rsidR="005B4F02">
        <w:t>’</w:t>
      </w:r>
      <w:r w:rsidRPr="00CE7F8D">
        <w:t>une part des traductions dans des langues autres que les langues du système de Madrid et d</w:t>
      </w:r>
      <w:r w:rsidR="005B4F02">
        <w:t>’</w:t>
      </w:r>
      <w:r w:rsidRPr="00CE7F8D">
        <w:t xml:space="preserve">autre part des </w:t>
      </w:r>
      <w:r w:rsidR="005B3981" w:rsidRPr="00CE7F8D">
        <w:t>données</w:t>
      </w:r>
      <w:r w:rsidRPr="00CE7F8D">
        <w:t xml:space="preserve"> sur les </w:t>
      </w:r>
      <w:r w:rsidR="005B3981" w:rsidRPr="00CE7F8D">
        <w:t>indications</w:t>
      </w:r>
      <w:r w:rsidRPr="00CE7F8D">
        <w:t xml:space="preserve"> accepté</w:t>
      </w:r>
      <w:r w:rsidR="005B3981" w:rsidRPr="00CE7F8D">
        <w:t>e</w:t>
      </w:r>
      <w:r w:rsidRPr="00CE7F8D">
        <w:t xml:space="preserve">s, dépend </w:t>
      </w:r>
      <w:r w:rsidR="005B3981" w:rsidRPr="00CE7F8D">
        <w:t>de l</w:t>
      </w:r>
      <w:r w:rsidR="005B4F02">
        <w:t>’</w:t>
      </w:r>
      <w:r w:rsidR="005B3981" w:rsidRPr="00CE7F8D">
        <w:t>état d</w:t>
      </w:r>
      <w:r w:rsidR="005B4F02">
        <w:t>’</w:t>
      </w:r>
      <w:r w:rsidR="005B3981" w:rsidRPr="00CE7F8D">
        <w:t xml:space="preserve">avancement du </w:t>
      </w:r>
      <w:r w:rsidRPr="00CE7F8D">
        <w:t>processus de traduction ou de vérification de l</w:t>
      </w:r>
      <w:r w:rsidR="005B4F02">
        <w:t>’</w:t>
      </w:r>
      <w:r w:rsidRPr="00CE7F8D">
        <w:t>acceptation par les offices nationaux coopérants</w:t>
      </w:r>
      <w:r w:rsidRPr="00DE4A73">
        <w:rPr>
          <w:color w:val="000000"/>
        </w:rPr>
        <w:t>.</w:t>
      </w:r>
    </w:p>
    <w:p w:rsidR="0095383E" w:rsidRPr="00DE4A73" w:rsidRDefault="00D34561" w:rsidP="00F07F78">
      <w:pPr>
        <w:pStyle w:val="ONUMFS"/>
      </w:pPr>
      <w:r w:rsidRPr="00DE4A73">
        <w:t>L</w:t>
      </w:r>
      <w:r w:rsidR="005B4F02">
        <w:t>’</w:t>
      </w:r>
      <w:r w:rsidRPr="00DE4A73">
        <w:t>annexe</w:t>
      </w:r>
      <w:r w:rsidR="00724870">
        <w:t> </w:t>
      </w:r>
      <w:r w:rsidRPr="00DE4A73">
        <w:t>I présente le contenu de la base de données MGS en termes de volume de données par langue, telle qu</w:t>
      </w:r>
      <w:r w:rsidR="005B4F02">
        <w:t>’</w:t>
      </w:r>
      <w:r w:rsidRPr="00DE4A73">
        <w:t xml:space="preserve">elle était publiée en </w:t>
      </w:r>
      <w:r w:rsidR="005B4F02" w:rsidRPr="00DE4A73">
        <w:t>mai</w:t>
      </w:r>
      <w:r w:rsidR="005B4F02">
        <w:t> </w:t>
      </w:r>
      <w:r w:rsidR="005B4F02" w:rsidRPr="00DE4A73">
        <w:t>20</w:t>
      </w:r>
      <w:r w:rsidRPr="00DE4A73">
        <w:t>15 sur le site Web de l</w:t>
      </w:r>
      <w:r w:rsidR="005B4F02">
        <w:t>’</w:t>
      </w:r>
      <w:r w:rsidRPr="00DE4A73">
        <w:t>OMPI.</w:t>
      </w:r>
    </w:p>
    <w:p w:rsidR="0095383E" w:rsidRPr="00DE4A73" w:rsidRDefault="00D34561" w:rsidP="00F07F78">
      <w:pPr>
        <w:pStyle w:val="ONUMFS"/>
      </w:pPr>
      <w:r w:rsidRPr="00DE4A73">
        <w:t>L</w:t>
      </w:r>
      <w:r w:rsidR="005B4F02">
        <w:t>’</w:t>
      </w:r>
      <w:r w:rsidRPr="00DE4A73">
        <w:t xml:space="preserve">annexe II donne un aperçu de la part relative </w:t>
      </w:r>
      <w:r w:rsidR="00F50577" w:rsidRPr="00DE4A73">
        <w:t>des traductions</w:t>
      </w:r>
      <w:r w:rsidRPr="00DE4A73">
        <w:t xml:space="preserve"> dans les différentes langues de la base de données.</w:t>
      </w:r>
    </w:p>
    <w:p w:rsidR="0095383E" w:rsidRPr="00DE4A73" w:rsidRDefault="00D34561" w:rsidP="00F07F78">
      <w:pPr>
        <w:pStyle w:val="ONUMFS"/>
      </w:pPr>
      <w:r w:rsidRPr="00DE4A73">
        <w:t>L</w:t>
      </w:r>
      <w:r w:rsidR="005B4F02">
        <w:t>’</w:t>
      </w:r>
      <w:r w:rsidRPr="00DE4A73">
        <w:t xml:space="preserve">annexe III présente le contenu relatif de la </w:t>
      </w:r>
      <w:r w:rsidRPr="00CE7F8D">
        <w:t xml:space="preserve">base de données MGS </w:t>
      </w:r>
      <w:r w:rsidRPr="00DE4A73">
        <w:t xml:space="preserve">en ce qui concerne les </w:t>
      </w:r>
      <w:r w:rsidR="005B3981">
        <w:t>données sur les indications</w:t>
      </w:r>
      <w:r w:rsidRPr="00DE4A73">
        <w:t xml:space="preserve"> accepté</w:t>
      </w:r>
      <w:r w:rsidR="005B3981">
        <w:t>e</w:t>
      </w:r>
      <w:r w:rsidRPr="00DE4A73">
        <w:t xml:space="preserve">s par les </w:t>
      </w:r>
      <w:r w:rsidR="00DE4A73">
        <w:t>p</w:t>
      </w:r>
      <w:r w:rsidRPr="00DE4A73">
        <w:t xml:space="preserve">arties </w:t>
      </w:r>
      <w:r w:rsidR="00DE4A73">
        <w:t xml:space="preserve">contractantes </w:t>
      </w:r>
      <w:r w:rsidRPr="00DE4A73">
        <w:t>accessibles par l</w:t>
      </w:r>
      <w:r w:rsidR="005B4F02">
        <w:t>’</w:t>
      </w:r>
      <w:r w:rsidRPr="00DE4A73">
        <w:t xml:space="preserve">intermédiaire de la fonction </w:t>
      </w:r>
      <w:r w:rsidR="00CE7F8D">
        <w:t>“</w:t>
      </w:r>
      <w:r w:rsidR="00B21362">
        <w:t>Vérifier acceptation par Partie Contractante désignée (</w:t>
      </w:r>
      <w:proofErr w:type="spellStart"/>
      <w:r w:rsidR="00B21362">
        <w:t>PCd</w:t>
      </w:r>
      <w:proofErr w:type="spellEnd"/>
      <w:r w:rsidR="00B21362">
        <w:t>)</w:t>
      </w:r>
      <w:r w:rsidR="00CE7F8D">
        <w:t>”</w:t>
      </w:r>
      <w:r w:rsidRPr="00DE4A73">
        <w:t>.</w:t>
      </w:r>
    </w:p>
    <w:p w:rsidR="0095383E" w:rsidRPr="00DE4A73" w:rsidRDefault="00DE4A73" w:rsidP="0038288E">
      <w:pPr>
        <w:pStyle w:val="Heading2"/>
        <w:spacing w:after="0"/>
      </w:pPr>
      <w:r w:rsidRPr="00CE7F8D">
        <w:t xml:space="preserve">FONCTION </w:t>
      </w:r>
      <w:r w:rsidRPr="00DE4A73">
        <w:t>EXCLUSIVE DE L</w:t>
      </w:r>
      <w:r w:rsidR="005B4F02">
        <w:t>’</w:t>
      </w:r>
      <w:r w:rsidRPr="00DE4A73">
        <w:t xml:space="preserve">OMPI INTITULÉE </w:t>
      </w:r>
      <w:r w:rsidR="00CE7F8D">
        <w:t>“</w:t>
      </w:r>
      <w:r w:rsidR="00B21362">
        <w:t>VÉRIFIER ACCEP</w:t>
      </w:r>
      <w:r w:rsidR="00DF342D">
        <w:t>T</w:t>
      </w:r>
      <w:r w:rsidR="00B21362">
        <w:t>ATION PA</w:t>
      </w:r>
      <w:r w:rsidR="005B3981">
        <w:t>R PARTIE CONTRACTANTE DÉSIGNÉE</w:t>
      </w:r>
      <w:r w:rsidR="00CE7F8D">
        <w:t>”</w:t>
      </w:r>
    </w:p>
    <w:p w:rsidR="0095383E" w:rsidRPr="00DE4A73" w:rsidRDefault="0095383E" w:rsidP="00607C24">
      <w:pPr>
        <w:tabs>
          <w:tab w:val="left" w:pos="550"/>
        </w:tabs>
      </w:pPr>
    </w:p>
    <w:p w:rsidR="0095383E" w:rsidRPr="00DE4A73" w:rsidRDefault="00772D35" w:rsidP="00F07F78">
      <w:pPr>
        <w:pStyle w:val="ONUMFS"/>
        <w:rPr>
          <w:szCs w:val="22"/>
        </w:rPr>
      </w:pPr>
      <w:r w:rsidRPr="00DE4A73">
        <w:t xml:space="preserve">Il est rappelé que les </w:t>
      </w:r>
      <w:r w:rsidR="005B3981">
        <w:t xml:space="preserve">données sur les termes acceptés pour décrire </w:t>
      </w:r>
      <w:r w:rsidRPr="00DE4A73">
        <w:t xml:space="preserve">les produits </w:t>
      </w:r>
      <w:r w:rsidR="005B3981">
        <w:t xml:space="preserve">et </w:t>
      </w:r>
      <w:r w:rsidRPr="00DE4A73">
        <w:t>services (ci</w:t>
      </w:r>
      <w:r w:rsidR="00AD423D">
        <w:noBreakHyphen/>
      </w:r>
      <w:r w:rsidRPr="00DE4A73">
        <w:t xml:space="preserve">après dénommés </w:t>
      </w:r>
      <w:r w:rsidR="00CE7F8D">
        <w:t>“</w:t>
      </w:r>
      <w:r w:rsidRPr="00DE4A73">
        <w:t>termes</w:t>
      </w:r>
      <w:r w:rsidR="00CE7F8D">
        <w:t>”</w:t>
      </w:r>
      <w:r w:rsidRPr="00DE4A73">
        <w:t>) accessibles au moyen de la fonction exclusive de l</w:t>
      </w:r>
      <w:r w:rsidR="005B4F02">
        <w:t>’</w:t>
      </w:r>
      <w:r w:rsidRPr="00DE4A73">
        <w:t xml:space="preserve">OMPI intitulée </w:t>
      </w:r>
      <w:r w:rsidR="00CE7F8D">
        <w:t>“</w:t>
      </w:r>
      <w:r w:rsidR="005B3981" w:rsidRPr="00CE7F8D">
        <w:t>V</w:t>
      </w:r>
      <w:r w:rsidRPr="00CE7F8D">
        <w:t>érifi</w:t>
      </w:r>
      <w:r w:rsidR="005B3981" w:rsidRPr="00CE7F8D">
        <w:t xml:space="preserve">er </w:t>
      </w:r>
      <w:r w:rsidRPr="00CE7F8D">
        <w:t xml:space="preserve">acceptation par </w:t>
      </w:r>
      <w:r w:rsidR="005B3981" w:rsidRPr="00CE7F8D">
        <w:t>P</w:t>
      </w:r>
      <w:r w:rsidRPr="00CE7F8D">
        <w:t xml:space="preserve">artie </w:t>
      </w:r>
      <w:r w:rsidR="005B3981" w:rsidRPr="00CE7F8D">
        <w:t>C</w:t>
      </w:r>
      <w:r w:rsidRPr="00CE7F8D">
        <w:t>ontractante désignée</w:t>
      </w:r>
      <w:r w:rsidR="005B3981" w:rsidRPr="00CE7F8D">
        <w:t xml:space="preserve"> (</w:t>
      </w:r>
      <w:proofErr w:type="spellStart"/>
      <w:r w:rsidR="005B3981" w:rsidRPr="00CE7F8D">
        <w:t>PCd</w:t>
      </w:r>
      <w:proofErr w:type="spellEnd"/>
      <w:r w:rsidR="005B3981" w:rsidRPr="00CE7F8D">
        <w:t>)</w:t>
      </w:r>
      <w:r w:rsidR="00CE7F8D">
        <w:t>”</w:t>
      </w:r>
      <w:r w:rsidRPr="00DE4A73">
        <w:t xml:space="preserve"> permet aux déposants de savoir non seulement qu</w:t>
      </w:r>
      <w:r w:rsidR="005B4F02">
        <w:t>’</w:t>
      </w:r>
      <w:r w:rsidRPr="00DE4A73">
        <w:t xml:space="preserve">un terme accepté par le </w:t>
      </w:r>
      <w:r w:rsidRPr="00CE7F8D">
        <w:t>Bureau international</w:t>
      </w:r>
      <w:r w:rsidRPr="00DE4A73">
        <w:t xml:space="preserve"> sera accepté dans une </w:t>
      </w:r>
      <w:r w:rsidRPr="00CE7F8D">
        <w:t>partie contractante désignée</w:t>
      </w:r>
      <w:r w:rsidRPr="00DE4A73">
        <w:t xml:space="preserve"> mais, ce qui est plus important, que certains termes sont rejetés par certaines parties contractantes et entraîneront la </w:t>
      </w:r>
      <w:r w:rsidRPr="00CE7F8D">
        <w:t>communication</w:t>
      </w:r>
      <w:r w:rsidRPr="00DE4A73">
        <w:t xml:space="preserve"> d</w:t>
      </w:r>
      <w:r w:rsidR="005B4F02">
        <w:t>’</w:t>
      </w:r>
      <w:r w:rsidRPr="00DE4A73">
        <w:t xml:space="preserve">un </w:t>
      </w:r>
      <w:r w:rsidRPr="00CE7F8D">
        <w:t>refus provisoire</w:t>
      </w:r>
      <w:r w:rsidR="005B3981">
        <w:t xml:space="preserve"> de leur</w:t>
      </w:r>
      <w:r w:rsidRPr="00DE4A73">
        <w:t xml:space="preserve"> part.</w:t>
      </w:r>
    </w:p>
    <w:p w:rsidR="0095383E" w:rsidRPr="00DE4A73" w:rsidRDefault="007F1407" w:rsidP="00F07F78">
      <w:pPr>
        <w:pStyle w:val="ONUMFS"/>
      </w:pPr>
      <w:r w:rsidRPr="00DE4A73">
        <w:t>Il convient de noter que, compte tenu de la couverture mo</w:t>
      </w:r>
      <w:r w:rsidR="00C06ABB">
        <w:t>ndiale du système de Madrid, et </w:t>
      </w:r>
      <w:r w:rsidRPr="00DE4A73">
        <w:t>bien que l</w:t>
      </w:r>
      <w:r w:rsidR="005B4F02">
        <w:t>’</w:t>
      </w:r>
      <w:r w:rsidRPr="00DE4A73">
        <w:t>utilisation accrue de la base de données MGS soit censée faciliter, à terme, l</w:t>
      </w:r>
      <w:r w:rsidR="005B4F02">
        <w:t>’</w:t>
      </w:r>
      <w:r w:rsidRPr="00DE4A73">
        <w:t xml:space="preserve">harmonisation des pratiques en matière de classement des </w:t>
      </w:r>
      <w:r w:rsidRPr="00CE7F8D">
        <w:t>marques</w:t>
      </w:r>
      <w:r w:rsidRPr="00DE4A73">
        <w:t xml:space="preserve"> entre les </w:t>
      </w:r>
      <w:r w:rsidRPr="00CE7F8D">
        <w:t>États membres</w:t>
      </w:r>
      <w:r w:rsidRPr="00DE4A73">
        <w:t xml:space="preserve">, il existe des raisons de ne pas accepter certains termes dans toutes les parties contractantes possibles du système de Madrid, </w:t>
      </w:r>
      <w:r w:rsidR="002E36F6">
        <w:t>par exemple</w:t>
      </w:r>
      <w:r w:rsidRPr="00DE4A73">
        <w:t xml:space="preserve"> des exigences en matière de </w:t>
      </w:r>
      <w:r w:rsidR="002E36F6">
        <w:t>degré de précision</w:t>
      </w:r>
      <w:r w:rsidRPr="00DE4A73">
        <w:t xml:space="preserve"> du vocabulaire utilisé pour décrire les produits et services dans certains ressorts juridiques ou </w:t>
      </w:r>
      <w:r w:rsidR="002E36F6">
        <w:t xml:space="preserve">encore </w:t>
      </w:r>
      <w:r w:rsidRPr="00DE4A73">
        <w:t>l</w:t>
      </w:r>
      <w:r w:rsidR="005B4F02">
        <w:t>’</w:t>
      </w:r>
      <w:r w:rsidRPr="00DE4A73">
        <w:t>existence d</w:t>
      </w:r>
      <w:r w:rsidR="005B4F02">
        <w:t>’</w:t>
      </w:r>
      <w:r w:rsidRPr="00DE4A73">
        <w:t>une législation nationale particulière ou d</w:t>
      </w:r>
      <w:r w:rsidR="005B4F02">
        <w:t>’</w:t>
      </w:r>
      <w:r w:rsidRPr="00DE4A73">
        <w:t>accords bilatéraux entre pays qui les empêchent de protéger certains produits.</w:t>
      </w:r>
    </w:p>
    <w:p w:rsidR="0095383E" w:rsidRPr="00DE4A73" w:rsidRDefault="004F418D" w:rsidP="00F07F78">
      <w:pPr>
        <w:pStyle w:val="ONUMFS"/>
      </w:pPr>
      <w:r w:rsidRPr="00DE4A73">
        <w:t>L</w:t>
      </w:r>
      <w:r w:rsidR="005B4F02">
        <w:t>’</w:t>
      </w:r>
      <w:r w:rsidR="00A14A83">
        <w:t xml:space="preserve">importance des données sur les </w:t>
      </w:r>
      <w:r w:rsidRPr="00DE4A73">
        <w:t>termes rejetés a été illustrée à l</w:t>
      </w:r>
      <w:r w:rsidR="005B4F02">
        <w:t>’</w:t>
      </w:r>
      <w:r w:rsidRPr="00DE4A73">
        <w:t>issue des travaux d</w:t>
      </w:r>
      <w:r w:rsidR="005B4F02">
        <w:t>’</w:t>
      </w:r>
      <w:r w:rsidRPr="00DE4A73">
        <w:t>harmonisation effectués entre offices européens sur l</w:t>
      </w:r>
      <w:r w:rsidR="005B4F02">
        <w:t>’</w:t>
      </w:r>
      <w:r w:rsidRPr="00DE4A73">
        <w:t xml:space="preserve">acceptabilité des </w:t>
      </w:r>
      <w:r w:rsidR="00CE7F8D">
        <w:t>“</w:t>
      </w:r>
      <w:r w:rsidRPr="00DE4A73">
        <w:t>indications générales</w:t>
      </w:r>
      <w:r w:rsidR="00CE7F8D">
        <w:t>”</w:t>
      </w:r>
      <w:r w:rsidRPr="00DE4A73">
        <w:t xml:space="preserve"> extraites des intitulés de</w:t>
      </w:r>
      <w:r w:rsidR="00A14A83">
        <w:t>s</w:t>
      </w:r>
      <w:r w:rsidRPr="00DE4A73">
        <w:t xml:space="preserve"> classes de la </w:t>
      </w:r>
      <w:r w:rsidRPr="00CE7F8D">
        <w:t>classification de Nice</w:t>
      </w:r>
      <w:r w:rsidRPr="00DE4A73">
        <w:t>.</w:t>
      </w:r>
      <w:r w:rsidR="00964435" w:rsidRPr="00AD423D">
        <w:t xml:space="preserve"> </w:t>
      </w:r>
      <w:r w:rsidR="00297407" w:rsidRPr="00AD423D">
        <w:t xml:space="preserve"> </w:t>
      </w:r>
      <w:r w:rsidRPr="00CE7F8D">
        <w:t xml:space="preserve">La base de données MGS est le seul outil dans lequel le rejet de ces </w:t>
      </w:r>
      <w:r w:rsidRPr="00DE4A73">
        <w:t xml:space="preserve">11 </w:t>
      </w:r>
      <w:r w:rsidR="00CE7F8D">
        <w:t>“</w:t>
      </w:r>
      <w:r w:rsidRPr="00DE4A73">
        <w:t>indications générales</w:t>
      </w:r>
      <w:r w:rsidR="00CE7F8D">
        <w:t>”</w:t>
      </w:r>
      <w:r w:rsidRPr="00DE4A73">
        <w:t xml:space="preserve"> s</w:t>
      </w:r>
      <w:r w:rsidR="005B4F02">
        <w:t>’</w:t>
      </w:r>
      <w:r w:rsidRPr="00DE4A73">
        <w:t>affiche pour informer les déposants que ces termes entraîneraient l</w:t>
      </w:r>
      <w:r w:rsidR="005B4F02">
        <w:t>’</w:t>
      </w:r>
      <w:r w:rsidRPr="00DE4A73">
        <w:t>émission d</w:t>
      </w:r>
      <w:r w:rsidR="005B4F02">
        <w:t>’</w:t>
      </w:r>
      <w:r w:rsidRPr="00DE4A73">
        <w:t xml:space="preserve">un </w:t>
      </w:r>
      <w:r w:rsidRPr="00CE7F8D">
        <w:t>refus provisoire</w:t>
      </w:r>
      <w:r w:rsidRPr="00DE4A73">
        <w:t xml:space="preserve"> (pour défaut de précision) pour toute </w:t>
      </w:r>
      <w:r w:rsidRPr="00CE7F8D">
        <w:t>partie contractante désignée</w:t>
      </w:r>
      <w:r w:rsidRPr="00DE4A73">
        <w:t xml:space="preserve"> européenne.</w:t>
      </w:r>
    </w:p>
    <w:p w:rsidR="0095383E" w:rsidRPr="00DE4A73" w:rsidRDefault="004F418D" w:rsidP="00CF4907">
      <w:pPr>
        <w:pStyle w:val="ONUMFS"/>
        <w:keepLines/>
      </w:pPr>
      <w:r w:rsidRPr="00DE4A73">
        <w:lastRenderedPageBreak/>
        <w:t xml:space="preserve">Pour une raison différente, un terme tel que </w:t>
      </w:r>
      <w:r w:rsidR="00CE7F8D">
        <w:t>“</w:t>
      </w:r>
      <w:r w:rsidRPr="00DE4A73">
        <w:t>amontillado</w:t>
      </w:r>
      <w:r w:rsidR="00CE7F8D">
        <w:t>”</w:t>
      </w:r>
      <w:r w:rsidRPr="00DE4A73">
        <w:t xml:space="preserve">, qui décrit une spécialité espagnole, ne pourrait pas être intégré dans une base de </w:t>
      </w:r>
      <w:r w:rsidRPr="00CE7F8D">
        <w:t>données</w:t>
      </w:r>
      <w:r w:rsidRPr="00DE4A73">
        <w:t xml:space="preserve"> harmonisée telle que la base de données européenne étant donné que ce terme n</w:t>
      </w:r>
      <w:r w:rsidR="005B4F02">
        <w:t>’</w:t>
      </w:r>
      <w:r w:rsidRPr="00DE4A73">
        <w:t>est pas accepté dans les listes de produits déposées en E</w:t>
      </w:r>
      <w:r w:rsidRPr="00CE7F8D">
        <w:t>spagne</w:t>
      </w:r>
      <w:r w:rsidRPr="00DE4A73">
        <w:t>.</w:t>
      </w:r>
      <w:r w:rsidR="0054627C" w:rsidRPr="00AD423D">
        <w:t xml:space="preserve"> </w:t>
      </w:r>
      <w:r w:rsidR="00724870">
        <w:t xml:space="preserve"> </w:t>
      </w:r>
      <w:r w:rsidRPr="00DE4A73">
        <w:t>La base de données MGS permet aux déposants de savoir quels pa</w:t>
      </w:r>
      <w:r w:rsidR="00925EF5">
        <w:t xml:space="preserve">ys accepteraient ce terme et </w:t>
      </w:r>
      <w:r w:rsidRPr="00DE4A73">
        <w:t xml:space="preserve">quels </w:t>
      </w:r>
      <w:r w:rsidR="00925EF5">
        <w:t xml:space="preserve">pays </w:t>
      </w:r>
      <w:r w:rsidRPr="00DE4A73">
        <w:t>le rejetteraient.</w:t>
      </w:r>
    </w:p>
    <w:p w:rsidR="0095383E" w:rsidRPr="00DE4A73" w:rsidRDefault="004F418D" w:rsidP="00F07F78">
      <w:pPr>
        <w:pStyle w:val="ONUMFS"/>
      </w:pPr>
      <w:r w:rsidRPr="008420E6">
        <w:t>L</w:t>
      </w:r>
      <w:r w:rsidR="005B4F02">
        <w:t>’</w:t>
      </w:r>
      <w:r w:rsidRPr="008420E6">
        <w:t>annexe</w:t>
      </w:r>
      <w:r w:rsidR="00724870">
        <w:t> </w:t>
      </w:r>
      <w:r w:rsidRPr="008420E6">
        <w:t>IV</w:t>
      </w:r>
      <w:r w:rsidRPr="00DE4A73">
        <w:t xml:space="preserve"> présente des </w:t>
      </w:r>
      <w:r w:rsidR="00DE4A73" w:rsidRPr="00DE4A73">
        <w:t>exemples</w:t>
      </w:r>
      <w:r w:rsidRPr="00DE4A73">
        <w:t xml:space="preserve"> de termes qui sont actuellement rejetés, pour diverses raisons, par certaines des parties contractantes les plus fréquemment désignées dans les classes</w:t>
      </w:r>
      <w:r w:rsidR="00724870">
        <w:t> </w:t>
      </w:r>
      <w:r w:rsidRPr="00DE4A73">
        <w:t>7, 33 et 45.</w:t>
      </w:r>
    </w:p>
    <w:p w:rsidR="0095383E" w:rsidRPr="00DE4A73" w:rsidRDefault="008420E6" w:rsidP="0038288E">
      <w:pPr>
        <w:pStyle w:val="Heading2"/>
        <w:spacing w:after="0"/>
      </w:pPr>
      <w:r w:rsidRPr="00DE4A73">
        <w:rPr>
          <w:color w:val="000000"/>
        </w:rPr>
        <w:t xml:space="preserve">MISES À JOUR DE LA </w:t>
      </w:r>
      <w:r w:rsidRPr="00CE7F8D">
        <w:t>BASE DE DONNÉES MGS</w:t>
      </w:r>
    </w:p>
    <w:p w:rsidR="0095383E" w:rsidRPr="00DE4A73" w:rsidRDefault="0095383E" w:rsidP="00BC316C"/>
    <w:p w:rsidR="0095383E" w:rsidRPr="00DE4A73" w:rsidRDefault="00C64227" w:rsidP="00F07F78">
      <w:pPr>
        <w:pStyle w:val="ONUMFS"/>
      </w:pPr>
      <w:r w:rsidRPr="00CE7F8D">
        <w:t xml:space="preserve">Il </w:t>
      </w:r>
      <w:r w:rsidRPr="00DE4A73">
        <w:rPr>
          <w:color w:val="000000"/>
        </w:rPr>
        <w:t xml:space="preserve">est rappelé que </w:t>
      </w:r>
      <w:r w:rsidRPr="00CE7F8D">
        <w:t xml:space="preserve">les </w:t>
      </w:r>
      <w:r w:rsidR="00925EF5" w:rsidRPr="00CE7F8D">
        <w:t xml:space="preserve">données sur les </w:t>
      </w:r>
      <w:r w:rsidRPr="00CE7F8D">
        <w:t xml:space="preserve">indications acceptées ou non par </w:t>
      </w:r>
      <w:r w:rsidRPr="00DE4A73">
        <w:rPr>
          <w:color w:val="000000"/>
        </w:rPr>
        <w:t xml:space="preserve">chacune des </w:t>
      </w:r>
      <w:r w:rsidRPr="00CE7F8D">
        <w:t>parties contractantes participantes proviennent de diverses sources</w:t>
      </w:r>
      <w:r w:rsidR="00724870">
        <w:t> </w:t>
      </w:r>
      <w:r w:rsidRPr="00CE7F8D">
        <w:t>:</w:t>
      </w:r>
    </w:p>
    <w:p w:rsidR="00BC316C" w:rsidRDefault="00AA401D" w:rsidP="00BC316C">
      <w:pPr>
        <w:pStyle w:val="ONUMFS"/>
        <w:numPr>
          <w:ilvl w:val="0"/>
          <w:numId w:val="24"/>
        </w:numPr>
        <w:ind w:left="1134" w:hanging="567"/>
      </w:pPr>
      <w:r w:rsidRPr="00DE4A73">
        <w:t>les données communiquées directement par les offices nationaux qui ont traduit</w:t>
      </w:r>
      <w:r w:rsidR="00925EF5">
        <w:t xml:space="preserve"> la base de données ou vérifié</w:t>
      </w:r>
      <w:r w:rsidRPr="00DE4A73">
        <w:t xml:space="preserve"> l</w:t>
      </w:r>
      <w:r w:rsidR="005B4F02">
        <w:t>’</w:t>
      </w:r>
      <w:r w:rsidRPr="00DE4A73">
        <w:t>acceptation ou le rejet du contenu en anglais;</w:t>
      </w:r>
    </w:p>
    <w:p w:rsidR="00BC316C" w:rsidRDefault="00AA401D" w:rsidP="00BC316C">
      <w:pPr>
        <w:pStyle w:val="ONUMFS"/>
        <w:numPr>
          <w:ilvl w:val="0"/>
          <w:numId w:val="24"/>
        </w:numPr>
        <w:ind w:left="1134" w:hanging="567"/>
      </w:pPr>
      <w:r w:rsidRPr="00DE4A73">
        <w:t>la liste harmonisée des produits et services TM5 – ID, à laquelle contribuent les cinq</w:t>
      </w:r>
      <w:r w:rsidR="00724870">
        <w:t> </w:t>
      </w:r>
      <w:r w:rsidRPr="00DE4A73">
        <w:t>offices suivants</w:t>
      </w:r>
      <w:r w:rsidR="00724870">
        <w:t> </w:t>
      </w:r>
      <w:r w:rsidRPr="00DE4A73">
        <w:t>:</w:t>
      </w:r>
      <w:r w:rsidR="00A521A9" w:rsidRPr="00A521A9">
        <w:t xml:space="preserve"> </w:t>
      </w:r>
      <w:r w:rsidR="00A521A9" w:rsidRPr="00DE4A73">
        <w:t>Administration d</w:t>
      </w:r>
      <w:r w:rsidR="005B4F02">
        <w:t>’</w:t>
      </w:r>
      <w:r w:rsidR="00A521A9" w:rsidRPr="00DE4A73">
        <w:t>État pour l</w:t>
      </w:r>
      <w:r w:rsidR="005B4F02">
        <w:t>’</w:t>
      </w:r>
      <w:r w:rsidR="00A521A9" w:rsidRPr="00DE4A73">
        <w:t>industrie et le commerce de la République populaire de Chine (AEIC)</w:t>
      </w:r>
      <w:r w:rsidR="00A521A9">
        <w:t>,</w:t>
      </w:r>
      <w:r w:rsidR="00A521A9" w:rsidRPr="00DE4A73">
        <w:t xml:space="preserve"> </w:t>
      </w:r>
      <w:r w:rsidRPr="00CE7F8D">
        <w:t>JPO</w:t>
      </w:r>
      <w:r w:rsidRPr="00DE4A73">
        <w:t xml:space="preserve">, KIPO, </w:t>
      </w:r>
      <w:r w:rsidRPr="00CE7F8D">
        <w:t>Office de l</w:t>
      </w:r>
      <w:r w:rsidR="005B4F02">
        <w:t>’</w:t>
      </w:r>
      <w:r w:rsidRPr="00CE7F8D">
        <w:t xml:space="preserve">harmonisation dans le marché intérieur </w:t>
      </w:r>
      <w:r w:rsidRPr="00DE4A73">
        <w:t>(</w:t>
      </w:r>
      <w:r w:rsidRPr="00CE7F8D">
        <w:t>OHMI</w:t>
      </w:r>
      <w:r w:rsidRPr="00DE4A73">
        <w:t>) et Office des b</w:t>
      </w:r>
      <w:r w:rsidR="00A521A9">
        <w:t>revets et des marques des États</w:t>
      </w:r>
      <w:r w:rsidR="00AD423D">
        <w:noBreakHyphen/>
      </w:r>
      <w:r w:rsidRPr="00DE4A73">
        <w:t>Unis d</w:t>
      </w:r>
      <w:r w:rsidR="005B4F02">
        <w:t>’</w:t>
      </w:r>
      <w:r w:rsidRPr="00DE4A73">
        <w:t>Amérique (USPTO);</w:t>
      </w:r>
    </w:p>
    <w:p w:rsidR="00BC316C" w:rsidRDefault="00AA401D" w:rsidP="00BC316C">
      <w:pPr>
        <w:pStyle w:val="ONUMFS"/>
        <w:numPr>
          <w:ilvl w:val="0"/>
          <w:numId w:val="24"/>
        </w:numPr>
        <w:ind w:left="1134" w:hanging="567"/>
      </w:pPr>
      <w:r w:rsidRPr="00CE7F8D">
        <w:t>le Manuel des indications acceptables de produits et services de l</w:t>
      </w:r>
      <w:r w:rsidR="005B4F02">
        <w:t>’</w:t>
      </w:r>
      <w:r w:rsidRPr="00CE7F8D">
        <w:t>USPTO</w:t>
      </w:r>
      <w:r w:rsidR="00CE7F8D" w:rsidRPr="00CE7F8D">
        <w:t>;</w:t>
      </w:r>
    </w:p>
    <w:p w:rsidR="00BC316C" w:rsidRDefault="00AA401D" w:rsidP="00BC316C">
      <w:pPr>
        <w:pStyle w:val="ONUMFS"/>
        <w:numPr>
          <w:ilvl w:val="0"/>
          <w:numId w:val="24"/>
        </w:numPr>
        <w:ind w:left="1134" w:hanging="567"/>
      </w:pPr>
      <w:r w:rsidRPr="00DE4A73">
        <w:t xml:space="preserve">la base de données </w:t>
      </w:r>
      <w:r w:rsidR="00957EB2">
        <w:t>européenne</w:t>
      </w:r>
      <w:r w:rsidRPr="00DE4A73">
        <w:t xml:space="preserve"> harmonisée publiée dans l</w:t>
      </w:r>
      <w:r w:rsidR="005B4F02">
        <w:t>’</w:t>
      </w:r>
      <w:r w:rsidRPr="00DE4A73">
        <w:t>outil de classement de l</w:t>
      </w:r>
      <w:r w:rsidR="005B4F02">
        <w:t>’</w:t>
      </w:r>
      <w:r w:rsidRPr="00DE4A73">
        <w:t xml:space="preserve">OHMI, </w:t>
      </w:r>
      <w:proofErr w:type="spellStart"/>
      <w:r w:rsidRPr="00DE4A73">
        <w:t>TMclass</w:t>
      </w:r>
      <w:proofErr w:type="spellEnd"/>
      <w:r w:rsidRPr="00DE4A73">
        <w:t>;  et</w:t>
      </w:r>
    </w:p>
    <w:p w:rsidR="00BC316C" w:rsidRDefault="000600B6" w:rsidP="00BC316C">
      <w:pPr>
        <w:pStyle w:val="ONUMFS"/>
        <w:numPr>
          <w:ilvl w:val="0"/>
          <w:numId w:val="24"/>
        </w:numPr>
        <w:ind w:left="1134" w:hanging="567"/>
      </w:pPr>
      <w:r w:rsidRPr="00CE7F8D">
        <w:t>la liste des indications de produits et services acceptables</w:t>
      </w:r>
      <w:r w:rsidR="005B4F02" w:rsidRPr="00CE7F8D">
        <w:t xml:space="preserve"> du</w:t>
      </w:r>
      <w:r w:rsidR="005B4F02">
        <w:t> </w:t>
      </w:r>
      <w:r w:rsidR="005B4F02" w:rsidRPr="00CE7F8D">
        <w:t>KIP</w:t>
      </w:r>
      <w:r w:rsidRPr="00CE7F8D">
        <w:t>O</w:t>
      </w:r>
      <w:r w:rsidRPr="00DE4A73">
        <w:t>.</w:t>
      </w:r>
    </w:p>
    <w:p w:rsidR="0095383E" w:rsidRPr="00DE4A73" w:rsidRDefault="000600B6" w:rsidP="00F07F78">
      <w:pPr>
        <w:pStyle w:val="ONUMFS"/>
      </w:pPr>
      <w:r w:rsidRPr="00CE7F8D">
        <w:t>La base de données MGS fait l</w:t>
      </w:r>
      <w:r w:rsidR="005B4F02">
        <w:t>’</w:t>
      </w:r>
      <w:r w:rsidRPr="00CE7F8D">
        <w:t>objet d</w:t>
      </w:r>
      <w:r w:rsidR="005B4F02">
        <w:t>’</w:t>
      </w:r>
      <w:r w:rsidRPr="00CE7F8D">
        <w:t>une mise à jour mensuelle en ligne dans l</w:t>
      </w:r>
      <w:r w:rsidR="005B4F02">
        <w:t>’</w:t>
      </w:r>
      <w:r w:rsidR="00DE4A73" w:rsidRPr="00CE7F8D">
        <w:t>intérêt</w:t>
      </w:r>
      <w:r w:rsidRPr="00CE7F8D">
        <w:t xml:space="preserve"> des utilisateurs afin de rendre compte aussi fidèlement que possible</w:t>
      </w:r>
      <w:r w:rsidRPr="00DE4A73">
        <w:rPr>
          <w:color w:val="000000"/>
        </w:rPr>
        <w:t> :</w:t>
      </w:r>
    </w:p>
    <w:p w:rsidR="0095383E" w:rsidRPr="00DE4A73" w:rsidRDefault="000600B6" w:rsidP="00BC316C">
      <w:pPr>
        <w:pStyle w:val="ONUMFS"/>
        <w:numPr>
          <w:ilvl w:val="0"/>
          <w:numId w:val="24"/>
        </w:numPr>
        <w:ind w:left="1134" w:hanging="567"/>
      </w:pPr>
      <w:r w:rsidRPr="00BC316C">
        <w:t xml:space="preserve">des changements effectués </w:t>
      </w:r>
      <w:r w:rsidR="00957EB2" w:rsidRPr="00BC316C">
        <w:t xml:space="preserve">sur demande directe des offices nationaux </w:t>
      </w:r>
      <w:r w:rsidRPr="00BC316C">
        <w:t xml:space="preserve">dans les traductions ou les données relatives </w:t>
      </w:r>
      <w:r w:rsidR="00957EB2" w:rsidRPr="00BC316C">
        <w:t>à l</w:t>
      </w:r>
      <w:r w:rsidR="005B4F02" w:rsidRPr="00BC316C">
        <w:t>’</w:t>
      </w:r>
      <w:r w:rsidR="00957EB2" w:rsidRPr="00BC316C">
        <w:t>acceptation</w:t>
      </w:r>
      <w:r w:rsidRPr="00BC316C">
        <w:t>;  et</w:t>
      </w:r>
    </w:p>
    <w:p w:rsidR="0095383E" w:rsidRPr="00DE4A73" w:rsidRDefault="000600B6" w:rsidP="00BC316C">
      <w:pPr>
        <w:pStyle w:val="ONUMFS"/>
        <w:numPr>
          <w:ilvl w:val="0"/>
          <w:numId w:val="24"/>
        </w:numPr>
        <w:ind w:left="1134" w:hanging="567"/>
      </w:pPr>
      <w:r w:rsidRPr="00BC316C">
        <w:t xml:space="preserve">des changements apportés aux </w:t>
      </w:r>
      <w:r w:rsidR="00957EB2" w:rsidRPr="00BC316C">
        <w:t>données</w:t>
      </w:r>
      <w:r w:rsidRPr="00BC316C">
        <w:t xml:space="preserve"> relatives à l</w:t>
      </w:r>
      <w:r w:rsidR="005B4F02" w:rsidRPr="00BC316C">
        <w:t>’</w:t>
      </w:r>
      <w:r w:rsidRPr="00BC316C">
        <w:t>acceptation recueilli</w:t>
      </w:r>
      <w:r w:rsidR="00957EB2" w:rsidRPr="00BC316C">
        <w:t>e</w:t>
      </w:r>
      <w:r w:rsidRPr="00BC316C">
        <w:t>s dans les bases de données susmentionnées et dont des versions mises à jour peuvent être obtenues sur une base mensuelle, telles que la l</w:t>
      </w:r>
      <w:r w:rsidR="00957EB2" w:rsidRPr="00BC316C">
        <w:t>iste harmonisée TM5</w:t>
      </w:r>
      <w:r w:rsidR="005B4F02" w:rsidRPr="00BC316C">
        <w:t xml:space="preserve"> – </w:t>
      </w:r>
      <w:r w:rsidR="00957EB2" w:rsidRPr="00BC316C">
        <w:t>ID et le M</w:t>
      </w:r>
      <w:r w:rsidRPr="00BC316C">
        <w:t>anuel des indications acceptables des produits et services de l</w:t>
      </w:r>
      <w:r w:rsidR="005B4F02" w:rsidRPr="00BC316C">
        <w:t>’</w:t>
      </w:r>
      <w:r w:rsidRPr="00BC316C">
        <w:t>USPTO.</w:t>
      </w:r>
    </w:p>
    <w:p w:rsidR="0095383E" w:rsidRPr="00DE4A73" w:rsidRDefault="000600B6" w:rsidP="0038288E">
      <w:pPr>
        <w:pStyle w:val="Heading1"/>
        <w:spacing w:after="0"/>
      </w:pPr>
      <w:r w:rsidRPr="00CE7F8D">
        <w:t>POURSUITE DE L</w:t>
      </w:r>
      <w:r w:rsidR="005B4F02">
        <w:t>’</w:t>
      </w:r>
      <w:r w:rsidRPr="00CE7F8D">
        <w:t>ENRICHISSEMENT DE LA BASE DE DONNÉES MGS</w:t>
      </w:r>
    </w:p>
    <w:p w:rsidR="0095383E" w:rsidRPr="00DE4A73" w:rsidRDefault="000600B6" w:rsidP="004B1789">
      <w:pPr>
        <w:pStyle w:val="Heading2"/>
      </w:pPr>
      <w:r w:rsidRPr="00CE7F8D">
        <w:t>VÉRIFICATION DE L</w:t>
      </w:r>
      <w:r w:rsidR="005B4F02">
        <w:t>’</w:t>
      </w:r>
      <w:r w:rsidRPr="00CE7F8D">
        <w:t>ACCEPTATION PAR LES OFFICES NATIONAUX</w:t>
      </w:r>
    </w:p>
    <w:p w:rsidR="005B4F02" w:rsidRDefault="005B4F02" w:rsidP="00590940">
      <w:pPr>
        <w:tabs>
          <w:tab w:val="num" w:pos="0"/>
        </w:tabs>
      </w:pPr>
    </w:p>
    <w:p w:rsidR="0095383E" w:rsidRPr="00DE4A73" w:rsidRDefault="000600B6" w:rsidP="00F07F78">
      <w:pPr>
        <w:pStyle w:val="ONUMFS"/>
      </w:pPr>
      <w:r w:rsidRPr="00DE4A73">
        <w:t xml:space="preserve">La coopération entre le </w:t>
      </w:r>
      <w:r w:rsidRPr="00CE7F8D">
        <w:t>Bureau international</w:t>
      </w:r>
      <w:r w:rsidRPr="00DE4A73">
        <w:t xml:space="preserve"> et toute p</w:t>
      </w:r>
      <w:r w:rsidRPr="00CE7F8D">
        <w:t>artie contractante</w:t>
      </w:r>
      <w:r w:rsidRPr="00DE4A73">
        <w:t xml:space="preserve"> intéressée du système de Madrid se poursuivra en vue d</w:t>
      </w:r>
      <w:r w:rsidR="005B4F02">
        <w:t>’</w:t>
      </w:r>
      <w:r w:rsidRPr="00DE4A73">
        <w:t xml:space="preserve">accroître les données relatives </w:t>
      </w:r>
      <w:r w:rsidR="00820C67">
        <w:t>aux</w:t>
      </w:r>
      <w:r w:rsidRPr="00DE4A73">
        <w:t xml:space="preserve"> indications </w:t>
      </w:r>
      <w:r w:rsidR="00820C67">
        <w:t xml:space="preserve">acceptées </w:t>
      </w:r>
      <w:r w:rsidRPr="00DE4A73">
        <w:t xml:space="preserve">qui figurent dans la base de données MGS pour fournir aux déposants des informations utiles aux fins du </w:t>
      </w:r>
      <w:r w:rsidRPr="00CE7F8D">
        <w:t>dépôt international</w:t>
      </w:r>
      <w:r w:rsidRPr="00DE4A73">
        <w:t xml:space="preserve">, </w:t>
      </w:r>
      <w:r w:rsidRPr="00CE7F8D">
        <w:t>c</w:t>
      </w:r>
      <w:r w:rsidR="005B4F02">
        <w:t>’</w:t>
      </w:r>
      <w:r w:rsidRPr="00CE7F8D">
        <w:t>est</w:t>
      </w:r>
      <w:r w:rsidR="00AD423D">
        <w:noBreakHyphen/>
      </w:r>
      <w:r w:rsidRPr="00CE7F8D">
        <w:t>à</w:t>
      </w:r>
      <w:r w:rsidR="00AD423D">
        <w:noBreakHyphen/>
      </w:r>
      <w:r w:rsidRPr="00CE7F8D">
        <w:t>dire des</w:t>
      </w:r>
      <w:r w:rsidRPr="00DE4A73">
        <w:t xml:space="preserve"> informations leur permettant de savoir à l</w:t>
      </w:r>
      <w:r w:rsidR="005B4F02">
        <w:t>’</w:t>
      </w:r>
      <w:r w:rsidRPr="00DE4A73">
        <w:t>avance si certains termes de le</w:t>
      </w:r>
      <w:r w:rsidR="00AD423D">
        <w:t xml:space="preserve">ur liste sont de nature à </w:t>
      </w:r>
      <w:r w:rsidR="00F07F78">
        <w:t>entraîner</w:t>
      </w:r>
      <w:r w:rsidRPr="00DE4A73">
        <w:t xml:space="preserve"> un </w:t>
      </w:r>
      <w:r w:rsidRPr="00CE7F8D">
        <w:t>refus provisoire</w:t>
      </w:r>
      <w:r w:rsidRPr="00DE4A73">
        <w:t xml:space="preserve"> de la part de pays qu</w:t>
      </w:r>
      <w:r w:rsidR="005B4F02">
        <w:t>’</w:t>
      </w:r>
      <w:r w:rsidRPr="00DE4A73">
        <w:t>ils désignent.</w:t>
      </w:r>
    </w:p>
    <w:p w:rsidR="0095383E" w:rsidRPr="00DE4A73" w:rsidRDefault="007739D0" w:rsidP="0038288E">
      <w:pPr>
        <w:pStyle w:val="Heading2"/>
        <w:spacing w:after="0"/>
      </w:pPr>
      <w:r w:rsidRPr="00CE7F8D">
        <w:lastRenderedPageBreak/>
        <w:t>INTÉGRATION DE NOUVELLES INDICATIONS DE PRODUITS ET SERVICES</w:t>
      </w:r>
    </w:p>
    <w:p w:rsidR="0095383E" w:rsidRPr="00DE4A73" w:rsidRDefault="0095383E" w:rsidP="00590940">
      <w:pPr>
        <w:tabs>
          <w:tab w:val="num" w:pos="0"/>
        </w:tabs>
      </w:pPr>
    </w:p>
    <w:p w:rsidR="0095383E" w:rsidRPr="00DE4A73" w:rsidRDefault="007739D0" w:rsidP="00F07F78">
      <w:pPr>
        <w:pStyle w:val="ONUMFS"/>
      </w:pPr>
      <w:r w:rsidRPr="00CE7F8D">
        <w:t>Afin de rendre la base de données MGS aussi utile que possible pour les déposants de demandes internationales et nationales, celle</w:t>
      </w:r>
      <w:r w:rsidR="00AD423D">
        <w:noBreakHyphen/>
      </w:r>
      <w:r w:rsidRPr="00CE7F8D">
        <w:t>ci continuera d</w:t>
      </w:r>
      <w:r w:rsidR="005B4F02">
        <w:t>’</w:t>
      </w:r>
      <w:r w:rsidRPr="00CE7F8D">
        <w:t>être enrichie au moyen d</w:t>
      </w:r>
      <w:r w:rsidR="005B4F02">
        <w:t>’</w:t>
      </w:r>
      <w:r w:rsidRPr="00CE7F8D">
        <w:t>indications de produits et de services extraites de différentes sources</w:t>
      </w:r>
      <w:r w:rsidRPr="00DE4A73">
        <w:rPr>
          <w:color w:val="000000"/>
        </w:rPr>
        <w:t>, telles que</w:t>
      </w:r>
      <w:r w:rsidR="00724870">
        <w:rPr>
          <w:color w:val="000000"/>
        </w:rPr>
        <w:t> </w:t>
      </w:r>
      <w:r w:rsidRPr="00DE4A73">
        <w:rPr>
          <w:color w:val="000000"/>
        </w:rPr>
        <w:t>:</w:t>
      </w:r>
    </w:p>
    <w:p w:rsidR="00BC316C" w:rsidRDefault="00890350" w:rsidP="00BC316C">
      <w:pPr>
        <w:pStyle w:val="ONUMFS"/>
        <w:numPr>
          <w:ilvl w:val="0"/>
          <w:numId w:val="27"/>
        </w:numPr>
      </w:pPr>
      <w:r w:rsidRPr="00DE4A73">
        <w:t xml:space="preserve">les termes fréquemment utilisés extraits périodiquement des demandes internationales reçues par le </w:t>
      </w:r>
      <w:r w:rsidRPr="00CE7F8D">
        <w:t>Bureau international</w:t>
      </w:r>
      <w:r w:rsidRPr="00DE4A73">
        <w:t xml:space="preserve"> ainsi que du Registre international des marques;</w:t>
      </w:r>
    </w:p>
    <w:p w:rsidR="00BC316C" w:rsidRDefault="00890350" w:rsidP="00BC316C">
      <w:pPr>
        <w:pStyle w:val="ONUMFS"/>
        <w:numPr>
          <w:ilvl w:val="0"/>
          <w:numId w:val="27"/>
        </w:numPr>
      </w:pPr>
      <w:r w:rsidRPr="00CE7F8D">
        <w:t xml:space="preserve">la liste harmonisée TM5 ID des indications anglaises de produits et de services découlant de la coopération entre </w:t>
      </w:r>
      <w:r w:rsidRPr="00DE4A73">
        <w:t>l</w:t>
      </w:r>
      <w:r w:rsidR="005B4F02">
        <w:t>’</w:t>
      </w:r>
      <w:r w:rsidRPr="00DE4A73">
        <w:t>AEIC,</w:t>
      </w:r>
      <w:r w:rsidR="005B4F02" w:rsidRPr="00DE4A73">
        <w:t xml:space="preserve"> </w:t>
      </w:r>
      <w:r w:rsidR="005B4F02" w:rsidRPr="00CE7F8D">
        <w:t>le</w:t>
      </w:r>
      <w:r w:rsidR="005B4F02">
        <w:t> </w:t>
      </w:r>
      <w:r w:rsidR="005B4F02" w:rsidRPr="00CE7F8D">
        <w:t>JPO</w:t>
      </w:r>
      <w:r w:rsidRPr="00CE7F8D">
        <w:t>,</w:t>
      </w:r>
      <w:r w:rsidR="005B4F02" w:rsidRPr="00CE7F8D">
        <w:t xml:space="preserve"> le</w:t>
      </w:r>
      <w:r w:rsidR="005B4F02">
        <w:t> </w:t>
      </w:r>
      <w:r w:rsidR="005B4F02" w:rsidRPr="00CE7F8D">
        <w:t>KIP</w:t>
      </w:r>
      <w:r w:rsidRPr="00CE7F8D">
        <w:t>O, l</w:t>
      </w:r>
      <w:r w:rsidR="005B4F02">
        <w:t>’</w:t>
      </w:r>
      <w:r w:rsidRPr="00CE7F8D">
        <w:t>OHM</w:t>
      </w:r>
      <w:r w:rsidRPr="00DE4A73">
        <w:t xml:space="preserve">I </w:t>
      </w:r>
      <w:r w:rsidRPr="00CE7F8D">
        <w:t>et l</w:t>
      </w:r>
      <w:r w:rsidR="005B4F02">
        <w:t>’</w:t>
      </w:r>
      <w:r w:rsidRPr="00CE7F8D">
        <w:t>USPTO;</w:t>
      </w:r>
    </w:p>
    <w:p w:rsidR="00BC316C" w:rsidRDefault="00890350" w:rsidP="00BC316C">
      <w:pPr>
        <w:pStyle w:val="ONUMFS"/>
        <w:numPr>
          <w:ilvl w:val="0"/>
          <w:numId w:val="27"/>
        </w:numPr>
      </w:pPr>
      <w:r w:rsidRPr="00DE4A73">
        <w:t xml:space="preserve">les listes nationales de produits et de services reçues des offices de </w:t>
      </w:r>
      <w:r w:rsidRPr="00CE7F8D">
        <w:t>propriété intellectuelle</w:t>
      </w:r>
      <w:r w:rsidRPr="00DE4A73">
        <w:t xml:space="preserve"> nationaux, telles que celles </w:t>
      </w:r>
      <w:r w:rsidR="00DE4A73" w:rsidRPr="00DE4A73">
        <w:t>déjà</w:t>
      </w:r>
      <w:r w:rsidRPr="00DE4A73">
        <w:t xml:space="preserve"> communiquées par les pays suivants</w:t>
      </w:r>
      <w:r w:rsidR="00724870">
        <w:t> </w:t>
      </w:r>
      <w:r w:rsidRPr="00DE4A73">
        <w:t xml:space="preserve">: </w:t>
      </w:r>
      <w:r w:rsidRPr="00CE7F8D">
        <w:t>Allemagne</w:t>
      </w:r>
      <w:r w:rsidRPr="00DE4A73">
        <w:t xml:space="preserve">, </w:t>
      </w:r>
      <w:r w:rsidRPr="00CE7F8D">
        <w:t>Chine</w:t>
      </w:r>
      <w:r w:rsidRPr="00DE4A73">
        <w:t xml:space="preserve">, </w:t>
      </w:r>
      <w:r w:rsidRPr="00CE7F8D">
        <w:t>Japon</w:t>
      </w:r>
      <w:r w:rsidRPr="00DE4A73">
        <w:t xml:space="preserve">, </w:t>
      </w:r>
      <w:r w:rsidRPr="00CE7F8D">
        <w:t>République de Corée</w:t>
      </w:r>
      <w:r w:rsidRPr="00DE4A73">
        <w:t xml:space="preserve"> et </w:t>
      </w:r>
      <w:r w:rsidRPr="00CE7F8D">
        <w:t>Suisse</w:t>
      </w:r>
      <w:r w:rsidRPr="00DE4A73">
        <w:t>;  et</w:t>
      </w:r>
    </w:p>
    <w:p w:rsidR="0095383E" w:rsidRPr="00DE4A73" w:rsidRDefault="00890350" w:rsidP="00BC316C">
      <w:pPr>
        <w:pStyle w:val="ONUMFS"/>
        <w:numPr>
          <w:ilvl w:val="0"/>
          <w:numId w:val="27"/>
        </w:numPr>
      </w:pPr>
      <w:r w:rsidRPr="00CE7F8D">
        <w:t>les registres de marques nationaux des pays coopérant avec l</w:t>
      </w:r>
      <w:r w:rsidR="005B4F02">
        <w:t>’</w:t>
      </w:r>
      <w:r w:rsidRPr="00CE7F8D">
        <w:t>OMPI dans le cadre du projet de base de données mondiale sur les marques, et dont les indications fréquemment utilisées qui ne figurent pas encore dans la base MGS seront examinées en vue de leur intégration.</w:t>
      </w:r>
      <w:r w:rsidR="003D6517" w:rsidRPr="00DE4A73">
        <w:t xml:space="preserve">  </w:t>
      </w:r>
      <w:r w:rsidRPr="00CE7F8D">
        <w:t xml:space="preserve">Des </w:t>
      </w:r>
      <w:r w:rsidRPr="00DE4A73">
        <w:t xml:space="preserve">termes </w:t>
      </w:r>
      <w:r w:rsidRPr="00CE7F8D">
        <w:t>fréque</w:t>
      </w:r>
      <w:r w:rsidRPr="00DE4A73">
        <w:t xml:space="preserve">mment utilisés </w:t>
      </w:r>
      <w:r w:rsidRPr="00CE7F8D">
        <w:t>ont déjà été extraits des registres nationaux de l</w:t>
      </w:r>
      <w:r w:rsidR="005B4F02">
        <w:t>’</w:t>
      </w:r>
      <w:r w:rsidRPr="00CE7F8D">
        <w:t xml:space="preserve">Australie, </w:t>
      </w:r>
      <w:r w:rsidRPr="00DE4A73">
        <w:t xml:space="preserve">du Canada, </w:t>
      </w:r>
      <w:r w:rsidRPr="00CE7F8D">
        <w:t>des États</w:t>
      </w:r>
      <w:r w:rsidR="00AD423D">
        <w:noBreakHyphen/>
      </w:r>
      <w:r w:rsidRPr="00CE7F8D">
        <w:t>Unis d</w:t>
      </w:r>
      <w:r w:rsidR="005B4F02">
        <w:t>’</w:t>
      </w:r>
      <w:r w:rsidRPr="00CE7F8D">
        <w:t>Amérique, d</w:t>
      </w:r>
      <w:r w:rsidR="005B4F02">
        <w:t>’</w:t>
      </w:r>
      <w:r w:rsidRPr="00CE7F8D">
        <w:t>Israël, de la Fédération de Russie, de Singapour et de la Suisse.</w:t>
      </w:r>
    </w:p>
    <w:p w:rsidR="0095383E" w:rsidRPr="00DE4A73" w:rsidRDefault="00890350" w:rsidP="0038288E">
      <w:pPr>
        <w:pStyle w:val="Heading1"/>
        <w:spacing w:after="0"/>
      </w:pPr>
      <w:r w:rsidRPr="00CE7F8D">
        <w:t>BUDGET</w:t>
      </w:r>
    </w:p>
    <w:p w:rsidR="0095383E" w:rsidRPr="00DE4A73" w:rsidRDefault="0095383E" w:rsidP="004B6B21">
      <w:pPr>
        <w:tabs>
          <w:tab w:val="num" w:pos="0"/>
        </w:tabs>
      </w:pPr>
    </w:p>
    <w:p w:rsidR="0095383E" w:rsidRPr="00DE4A73" w:rsidRDefault="00890350" w:rsidP="00F07F78">
      <w:pPr>
        <w:pStyle w:val="ONUMFS"/>
      </w:pPr>
      <w:r w:rsidRPr="00CE7F8D">
        <w:t>En</w:t>
      </w:r>
      <w:r w:rsidR="00724870">
        <w:t> </w:t>
      </w:r>
      <w:r w:rsidRPr="00CE7F8D">
        <w:t>2014, l</w:t>
      </w:r>
      <w:r w:rsidR="005B4F02">
        <w:t>’</w:t>
      </w:r>
      <w:r w:rsidRPr="00CE7F8D">
        <w:t>Assemblée de l</w:t>
      </w:r>
      <w:r w:rsidR="005B4F02">
        <w:t>’</w:t>
      </w:r>
      <w:r w:rsidRPr="00CE7F8D">
        <w:t>Union de Madrid a approuvé l</w:t>
      </w:r>
      <w:r w:rsidR="005B4F02">
        <w:t>’</w:t>
      </w:r>
      <w:r w:rsidRPr="00CE7F8D">
        <w:t xml:space="preserve">utilisation du solde des crédits du projet à fin 2014 pour aider certains offices nationaux dans la traduction de la base de données MGS dans leur langue nationale (voir le paragraphe 26 du </w:t>
      </w:r>
      <w:r w:rsidRPr="00DE4A73">
        <w:rPr>
          <w:color w:val="000000"/>
        </w:rPr>
        <w:t>document MM/A/48/2).</w:t>
      </w:r>
    </w:p>
    <w:p w:rsidR="0095383E" w:rsidRPr="00DE4A73" w:rsidRDefault="00525833" w:rsidP="00F07F78">
      <w:pPr>
        <w:pStyle w:val="ONUMFS"/>
      </w:pPr>
      <w:r w:rsidRPr="00DE4A73">
        <w:t>L</w:t>
      </w:r>
      <w:r w:rsidR="005B4F02">
        <w:t>’</w:t>
      </w:r>
      <w:r w:rsidRPr="00DE4A73">
        <w:t>annexe</w:t>
      </w:r>
      <w:r w:rsidR="00724870">
        <w:t> </w:t>
      </w:r>
      <w:r w:rsidRPr="00DE4A73">
        <w:t>V contient un tableau indiquant la ventilation de la dotation initiale (232 000</w:t>
      </w:r>
      <w:r w:rsidR="00724870">
        <w:t> </w:t>
      </w:r>
      <w:r w:rsidRPr="00DE4A73">
        <w:t>francs suisses) mise à disposition par l</w:t>
      </w:r>
      <w:r w:rsidR="005B4F02">
        <w:t>’</w:t>
      </w:r>
      <w:r w:rsidRPr="00DE4A73">
        <w:t>OMPI pour la traduction de la base de données MGS et les dépenses effectivement engagées jusqu</w:t>
      </w:r>
      <w:r w:rsidR="005B4F02">
        <w:t>’</w:t>
      </w:r>
      <w:r w:rsidR="00820C67">
        <w:t>au 3</w:t>
      </w:r>
      <w:r w:rsidR="005B4F02">
        <w:t>0 mai 20</w:t>
      </w:r>
      <w:r w:rsidR="00820C67">
        <w:t>15</w:t>
      </w:r>
      <w:r w:rsidRPr="00DE4A73">
        <w:t xml:space="preserve"> pour le travail de traduction effectué par les offices nationaux initialement retenus pour bénéficier d</w:t>
      </w:r>
      <w:r w:rsidR="005B4F02">
        <w:t>’</w:t>
      </w:r>
      <w:r w:rsidRPr="00DE4A73">
        <w:t xml:space="preserve">un soutien financier ou qui ont demandé à en bénéficier. </w:t>
      </w:r>
      <w:r w:rsidR="004B6B21" w:rsidRPr="00AD423D">
        <w:t xml:space="preserve"> </w:t>
      </w:r>
      <w:r w:rsidRPr="00CE7F8D">
        <w:t xml:space="preserve">Le tableau indique en particulier (dans la colonne </w:t>
      </w:r>
      <w:r w:rsidR="00CE7F8D" w:rsidRPr="00CE7F8D">
        <w:t>“</w:t>
      </w:r>
      <w:r w:rsidR="00B842B0">
        <w:t>Solde reporté sur</w:t>
      </w:r>
      <w:r w:rsidRPr="00DE4A73">
        <w:t xml:space="preserve"> 2015</w:t>
      </w:r>
      <w:r w:rsidR="00CE7F8D" w:rsidRPr="00CE7F8D">
        <w:t>”</w:t>
      </w:r>
      <w:r w:rsidRPr="00CE7F8D">
        <w:t>) les fonds dont chaque office participant dispose encore pour poursuivre la traduction de la base de données MGS.</w:t>
      </w:r>
    </w:p>
    <w:p w:rsidR="0095383E" w:rsidRPr="00DE4A73" w:rsidRDefault="00525833" w:rsidP="00F07F78">
      <w:pPr>
        <w:pStyle w:val="ONUMFS"/>
      </w:pPr>
      <w:r w:rsidRPr="00CE7F8D">
        <w:t xml:space="preserve">Au mois de </w:t>
      </w:r>
      <w:r w:rsidR="005B4F02" w:rsidRPr="00CE7F8D">
        <w:t>mai</w:t>
      </w:r>
      <w:r w:rsidR="005B4F02">
        <w:t> </w:t>
      </w:r>
      <w:r w:rsidR="005B4F02" w:rsidRPr="00CE7F8D">
        <w:t>20</w:t>
      </w:r>
      <w:r w:rsidRPr="00CE7F8D">
        <w:t>15, un montant total de 1</w:t>
      </w:r>
      <w:r w:rsidRPr="00DE4A73">
        <w:rPr>
          <w:color w:val="000000"/>
        </w:rPr>
        <w:t>0</w:t>
      </w:r>
      <w:r w:rsidRPr="00CE7F8D">
        <w:t>7</w:t>
      </w:r>
      <w:r w:rsidR="00724870">
        <w:t> </w:t>
      </w:r>
      <w:r w:rsidRPr="00DE4A73">
        <w:rPr>
          <w:color w:val="000000"/>
        </w:rPr>
        <w:t>763</w:t>
      </w:r>
      <w:r w:rsidR="00724870">
        <w:rPr>
          <w:color w:val="000000"/>
        </w:rPr>
        <w:t> </w:t>
      </w:r>
      <w:r w:rsidRPr="00CE7F8D">
        <w:t>francs suisses restait disponible pour financer la traduction de la base de données MGS dans les sept</w:t>
      </w:r>
      <w:r w:rsidR="00724870">
        <w:t> </w:t>
      </w:r>
      <w:r w:rsidRPr="00CE7F8D">
        <w:t>langues pour lesquelles un mémorandum d</w:t>
      </w:r>
      <w:r w:rsidR="005B4F02">
        <w:t>’</w:t>
      </w:r>
      <w:r w:rsidRPr="00CE7F8D">
        <w:t>accord a été signé entre l</w:t>
      </w:r>
      <w:r w:rsidR="005B4F02">
        <w:t>’</w:t>
      </w:r>
      <w:r w:rsidRPr="00CE7F8D">
        <w:t>OMPI et l</w:t>
      </w:r>
      <w:r w:rsidR="005B4F02">
        <w:t>’</w:t>
      </w:r>
      <w:r w:rsidRPr="00CE7F8D">
        <w:t>office national correspondant.</w:t>
      </w:r>
    </w:p>
    <w:p w:rsidR="0095383E" w:rsidRPr="00BC316C" w:rsidRDefault="00525833" w:rsidP="00BC316C">
      <w:pPr>
        <w:pStyle w:val="ONUMFS"/>
        <w:ind w:left="5533"/>
        <w:rPr>
          <w:i/>
        </w:rPr>
      </w:pPr>
      <w:r w:rsidRPr="00BC316C">
        <w:rPr>
          <w:i/>
        </w:rPr>
        <w:t>L</w:t>
      </w:r>
      <w:r w:rsidR="005B4F02" w:rsidRPr="00BC316C">
        <w:rPr>
          <w:i/>
        </w:rPr>
        <w:t>’</w:t>
      </w:r>
      <w:r w:rsidRPr="00BC316C">
        <w:rPr>
          <w:i/>
          <w:color w:val="000000"/>
        </w:rPr>
        <w:t>a</w:t>
      </w:r>
      <w:r w:rsidRPr="00BC316C">
        <w:rPr>
          <w:i/>
        </w:rPr>
        <w:t>ssemblée est invitée</w:t>
      </w:r>
    </w:p>
    <w:p w:rsidR="0095383E" w:rsidRPr="00BC316C" w:rsidRDefault="00525833" w:rsidP="00BC316C">
      <w:pPr>
        <w:pStyle w:val="ONUMFS"/>
        <w:numPr>
          <w:ilvl w:val="2"/>
          <w:numId w:val="3"/>
        </w:numPr>
        <w:ind w:left="6237"/>
        <w:rPr>
          <w:i/>
        </w:rPr>
      </w:pPr>
      <w:r w:rsidRPr="00BC316C">
        <w:rPr>
          <w:i/>
        </w:rPr>
        <w:t xml:space="preserve">à prendre note du </w:t>
      </w:r>
      <w:r w:rsidR="00CE7F8D" w:rsidRPr="00BC316C">
        <w:rPr>
          <w:i/>
          <w:color w:val="000000"/>
        </w:rPr>
        <w:t>“</w:t>
      </w:r>
      <w:r w:rsidRPr="00BC316C">
        <w:rPr>
          <w:i/>
          <w:color w:val="000000"/>
        </w:rPr>
        <w:t>R</w:t>
      </w:r>
      <w:r w:rsidRPr="00BC316C">
        <w:rPr>
          <w:i/>
        </w:rPr>
        <w:t>apport sur l</w:t>
      </w:r>
      <w:r w:rsidR="005B4F02" w:rsidRPr="00BC316C">
        <w:rPr>
          <w:i/>
        </w:rPr>
        <w:t>’</w:t>
      </w:r>
      <w:r w:rsidRPr="00BC316C">
        <w:rPr>
          <w:i/>
        </w:rPr>
        <w:t>état d</w:t>
      </w:r>
      <w:r w:rsidR="005B4F02" w:rsidRPr="00BC316C">
        <w:rPr>
          <w:i/>
        </w:rPr>
        <w:t>’</w:t>
      </w:r>
      <w:r w:rsidRPr="00BC316C">
        <w:rPr>
          <w:i/>
        </w:rPr>
        <w:t>avancement de la base de données sur les produits et services du système de Madrid</w:t>
      </w:r>
      <w:r w:rsidR="00CE7F8D" w:rsidRPr="00BC316C">
        <w:rPr>
          <w:i/>
          <w:color w:val="000000"/>
        </w:rPr>
        <w:t>”</w:t>
      </w:r>
      <w:r w:rsidRPr="00BC316C">
        <w:rPr>
          <w:i/>
        </w:rPr>
        <w:t xml:space="preserve"> (document MM/A/49/2), et notamment de son paragraphe</w:t>
      </w:r>
      <w:r w:rsidR="00724870" w:rsidRPr="00BC316C">
        <w:rPr>
          <w:i/>
        </w:rPr>
        <w:t> </w:t>
      </w:r>
      <w:r w:rsidRPr="00BC316C">
        <w:rPr>
          <w:i/>
        </w:rPr>
        <w:t>27 sur le solde des crédits affectés au projet, et</w:t>
      </w:r>
    </w:p>
    <w:p w:rsidR="0095383E" w:rsidRPr="00BC316C" w:rsidRDefault="0095383E" w:rsidP="0038288E">
      <w:pPr>
        <w:pStyle w:val="ONUMFS"/>
        <w:numPr>
          <w:ilvl w:val="2"/>
          <w:numId w:val="3"/>
        </w:numPr>
        <w:spacing w:after="0"/>
        <w:ind w:left="6237"/>
        <w:rPr>
          <w:i/>
        </w:rPr>
      </w:pPr>
      <w:r w:rsidRPr="00BC316C">
        <w:rPr>
          <w:i/>
          <w:color w:val="000000"/>
        </w:rPr>
        <w:t xml:space="preserve">à </w:t>
      </w:r>
      <w:r w:rsidRPr="00BC316C">
        <w:rPr>
          <w:i/>
        </w:rPr>
        <w:t>prier</w:t>
      </w:r>
      <w:r w:rsidRPr="00BC316C">
        <w:rPr>
          <w:i/>
          <w:color w:val="000000"/>
        </w:rPr>
        <w:t xml:space="preserve"> le Bureau international de lui présenter </w:t>
      </w:r>
      <w:r w:rsidRPr="00BC316C">
        <w:rPr>
          <w:i/>
          <w:color w:val="000000"/>
        </w:rPr>
        <w:lastRenderedPageBreak/>
        <w:t>en</w:t>
      </w:r>
      <w:r w:rsidR="00724870" w:rsidRPr="00BC316C">
        <w:rPr>
          <w:i/>
          <w:color w:val="000000"/>
        </w:rPr>
        <w:t> </w:t>
      </w:r>
      <w:r w:rsidRPr="00BC316C">
        <w:rPr>
          <w:i/>
          <w:color w:val="000000"/>
        </w:rPr>
        <w:t xml:space="preserve">2016 un nouveau rapport </w:t>
      </w:r>
      <w:r w:rsidRPr="00BC316C">
        <w:rPr>
          <w:i/>
        </w:rPr>
        <w:t>sur</w:t>
      </w:r>
      <w:r w:rsidRPr="00BC316C">
        <w:rPr>
          <w:i/>
          <w:color w:val="000000"/>
        </w:rPr>
        <w:t xml:space="preserve"> l</w:t>
      </w:r>
      <w:r w:rsidR="005B4F02" w:rsidRPr="00BC316C">
        <w:rPr>
          <w:i/>
          <w:color w:val="000000"/>
        </w:rPr>
        <w:t>’</w:t>
      </w:r>
      <w:r w:rsidRPr="00BC316C">
        <w:rPr>
          <w:i/>
          <w:color w:val="000000"/>
        </w:rPr>
        <w:t>état d</w:t>
      </w:r>
      <w:r w:rsidR="005B4F02" w:rsidRPr="00BC316C">
        <w:rPr>
          <w:i/>
          <w:color w:val="000000"/>
        </w:rPr>
        <w:t>’</w:t>
      </w:r>
      <w:r w:rsidRPr="00BC316C">
        <w:rPr>
          <w:i/>
          <w:color w:val="000000"/>
        </w:rPr>
        <w:t>avancement de la base de données sur les produits et services du système de Madrid, en indiquant en particulier l</w:t>
      </w:r>
      <w:r w:rsidR="005B4F02" w:rsidRPr="00BC316C">
        <w:rPr>
          <w:i/>
          <w:color w:val="000000"/>
        </w:rPr>
        <w:t>’</w:t>
      </w:r>
      <w:r w:rsidRPr="00BC316C">
        <w:rPr>
          <w:i/>
          <w:color w:val="000000"/>
        </w:rPr>
        <w:t>utilisation faite du solde des crédits affectés au projet.</w:t>
      </w:r>
    </w:p>
    <w:p w:rsidR="0095383E" w:rsidRDefault="0095383E" w:rsidP="004633FE">
      <w:pPr>
        <w:ind w:left="5533"/>
      </w:pPr>
    </w:p>
    <w:p w:rsidR="0038288E" w:rsidRPr="00DE4A73" w:rsidRDefault="0038288E" w:rsidP="004633FE">
      <w:pPr>
        <w:ind w:left="5533"/>
      </w:pPr>
    </w:p>
    <w:p w:rsidR="0095383E" w:rsidRPr="00DE4A73" w:rsidRDefault="0095383E" w:rsidP="004633FE">
      <w:pPr>
        <w:ind w:left="5533"/>
      </w:pPr>
    </w:p>
    <w:p w:rsidR="00D348B1" w:rsidRPr="00820C67" w:rsidRDefault="0095383E" w:rsidP="0095383E">
      <w:pPr>
        <w:ind w:left="5533"/>
        <w:rPr>
          <w:szCs w:val="22"/>
        </w:rPr>
        <w:sectPr w:rsidR="00D348B1" w:rsidRPr="00820C67" w:rsidSect="00CF4907">
          <w:headerReference w:type="default" r:id="rId10"/>
          <w:endnotePr>
            <w:numFmt w:val="decimal"/>
          </w:endnotePr>
          <w:pgSz w:w="11907" w:h="16840" w:code="9"/>
          <w:pgMar w:top="567" w:right="1134" w:bottom="1417" w:left="1417" w:header="510" w:footer="1020" w:gutter="0"/>
          <w:pgNumType w:start="1"/>
          <w:cols w:space="720"/>
          <w:titlePg/>
          <w:docGrid w:linePitch="299"/>
        </w:sectPr>
      </w:pPr>
      <w:r w:rsidRPr="00CE7F8D">
        <w:rPr>
          <w:szCs w:val="22"/>
        </w:rPr>
        <w:t>[Les annexes suivent]</w:t>
      </w:r>
    </w:p>
    <w:p w:rsidR="0095383E" w:rsidRPr="00CF4907" w:rsidRDefault="00820C67" w:rsidP="00CF4907">
      <w:pPr>
        <w:jc w:val="center"/>
        <w:rPr>
          <w:b/>
        </w:rPr>
      </w:pPr>
      <w:r w:rsidRPr="00CF4907">
        <w:rPr>
          <w:b/>
        </w:rPr>
        <w:lastRenderedPageBreak/>
        <w:t>Base</w:t>
      </w:r>
      <w:r w:rsidR="0095383E" w:rsidRPr="00CF4907">
        <w:rPr>
          <w:b/>
        </w:rPr>
        <w:t xml:space="preserve"> de données MGS</w:t>
      </w:r>
    </w:p>
    <w:p w:rsidR="0095383E" w:rsidRPr="00CF4907" w:rsidRDefault="0095383E" w:rsidP="00CF4907">
      <w:pPr>
        <w:jc w:val="center"/>
        <w:rPr>
          <w:b/>
        </w:rPr>
      </w:pPr>
    </w:p>
    <w:p w:rsidR="005B4F02" w:rsidRPr="00CF4907" w:rsidRDefault="0095383E" w:rsidP="00CF4907">
      <w:pPr>
        <w:jc w:val="center"/>
        <w:rPr>
          <w:b/>
        </w:rPr>
      </w:pPr>
      <w:r w:rsidRPr="00CF4907">
        <w:rPr>
          <w:b/>
        </w:rPr>
        <w:t>Nombre de termes</w:t>
      </w:r>
      <w:r w:rsidRPr="00CF4907">
        <w:rPr>
          <w:b/>
          <w:color w:val="000000"/>
        </w:rPr>
        <w:t xml:space="preserve"> acceptables</w:t>
      </w:r>
    </w:p>
    <w:p w:rsidR="0095383E" w:rsidRPr="00CF4907" w:rsidRDefault="0095383E" w:rsidP="00CF4907">
      <w:pPr>
        <w:jc w:val="center"/>
        <w:rPr>
          <w:b/>
        </w:rPr>
      </w:pPr>
      <w:proofErr w:type="gramStart"/>
      <w:r w:rsidRPr="00CF4907">
        <w:rPr>
          <w:b/>
          <w:color w:val="000000"/>
        </w:rPr>
        <w:t>par</w:t>
      </w:r>
      <w:proofErr w:type="gramEnd"/>
      <w:r w:rsidRPr="00CF4907">
        <w:rPr>
          <w:b/>
          <w:color w:val="000000"/>
        </w:rPr>
        <w:t xml:space="preserve"> le </w:t>
      </w:r>
      <w:r w:rsidRPr="00CF4907">
        <w:rPr>
          <w:b/>
        </w:rPr>
        <w:t>Bureau international</w:t>
      </w:r>
    </w:p>
    <w:p w:rsidR="0095383E" w:rsidRPr="00CF4907" w:rsidRDefault="0095383E" w:rsidP="00CF4907">
      <w:pPr>
        <w:jc w:val="center"/>
        <w:rPr>
          <w:b/>
        </w:rPr>
      </w:pPr>
    </w:p>
    <w:p w:rsidR="0016230F" w:rsidRPr="00CF4907" w:rsidRDefault="0016230F" w:rsidP="00CF4907">
      <w:pPr>
        <w:jc w:val="center"/>
        <w:rPr>
          <w:b/>
        </w:rPr>
      </w:pPr>
    </w:p>
    <w:tbl>
      <w:tblPr>
        <w:tblW w:w="8480" w:type="dxa"/>
        <w:tblInd w:w="93" w:type="dxa"/>
        <w:tblCellMar>
          <w:top w:w="113" w:type="dxa"/>
          <w:left w:w="68" w:type="dxa"/>
          <w:bottom w:w="113" w:type="dxa"/>
          <w:right w:w="68" w:type="dxa"/>
        </w:tblCellMar>
        <w:tblLook w:val="04A0" w:firstRow="1" w:lastRow="0" w:firstColumn="1" w:lastColumn="0" w:noHBand="0" w:noVBand="1"/>
      </w:tblPr>
      <w:tblGrid>
        <w:gridCol w:w="584"/>
        <w:gridCol w:w="203"/>
        <w:gridCol w:w="1864"/>
        <w:gridCol w:w="2300"/>
        <w:gridCol w:w="2300"/>
        <w:gridCol w:w="1570"/>
      </w:tblGrid>
      <w:tr w:rsidR="0016230F" w:rsidRPr="00DE4A73" w:rsidTr="00CF4907">
        <w:trPr>
          <w:cantSplit/>
          <w:trHeight w:val="606"/>
        </w:trPr>
        <w:tc>
          <w:tcPr>
            <w:tcW w:w="26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6230F" w:rsidRPr="00DE4A73" w:rsidRDefault="00820C67" w:rsidP="00CF4907">
            <w:pPr>
              <w:jc w:val="center"/>
              <w:rPr>
                <w:rFonts w:eastAsia="Times New Roman"/>
                <w:b/>
                <w:bCs/>
                <w:sz w:val="20"/>
                <w:lang w:eastAsia="en-US"/>
              </w:rPr>
            </w:pPr>
            <w:r w:rsidRPr="00CE7F8D">
              <w:rPr>
                <w:rFonts w:eastAsia="Times New Roman"/>
                <w:b/>
                <w:bCs/>
                <w:sz w:val="20"/>
                <w:lang w:eastAsia="en-US"/>
              </w:rPr>
              <w:t>B</w:t>
            </w:r>
            <w:r w:rsidR="0095383E" w:rsidRPr="00CE7F8D">
              <w:rPr>
                <w:rFonts w:eastAsia="Times New Roman"/>
                <w:b/>
                <w:bCs/>
                <w:sz w:val="20"/>
                <w:lang w:eastAsia="en-US"/>
              </w:rPr>
              <w:t>ase de données MGS</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Mai 2014</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Mai 2015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Accroissement</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95383E" w:rsidP="00CF4907">
            <w:pPr>
              <w:rPr>
                <w:rFonts w:eastAsia="Times New Roman"/>
                <w:b/>
                <w:bCs/>
                <w:sz w:val="20"/>
                <w:lang w:eastAsia="en-US"/>
              </w:rPr>
            </w:pPr>
            <w:r w:rsidRPr="00CE7F8D">
              <w:rPr>
                <w:rFonts w:eastAsia="Times New Roman"/>
                <w:b/>
                <w:bCs/>
                <w:sz w:val="20"/>
                <w:lang w:eastAsia="en-US"/>
              </w:rPr>
              <w:t>EN</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b/>
                <w:bCs/>
                <w:sz w:val="20"/>
                <w:lang w:eastAsia="en-US"/>
              </w:rPr>
            </w:pPr>
            <w:r>
              <w:rPr>
                <w:rFonts w:eastAsia="Times New Roman"/>
                <w:b/>
                <w:bCs/>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95383E" w:rsidP="00CF4907">
            <w:pPr>
              <w:rPr>
                <w:rFonts w:eastAsia="Times New Roman"/>
                <w:b/>
                <w:bCs/>
                <w:sz w:val="20"/>
                <w:lang w:eastAsia="en-US"/>
              </w:rPr>
            </w:pPr>
            <w:r w:rsidRPr="00DE4A73">
              <w:rPr>
                <w:rFonts w:eastAsia="Times New Roman"/>
                <w:b/>
                <w:bCs/>
                <w:color w:val="000000"/>
                <w:sz w:val="20"/>
                <w:lang w:eastAsia="en-US"/>
              </w:rPr>
              <w:t>Anglais</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51 944</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67 050</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29%</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95383E" w:rsidP="00CF4907">
            <w:pPr>
              <w:rPr>
                <w:rFonts w:eastAsia="Times New Roman"/>
                <w:b/>
                <w:bCs/>
                <w:sz w:val="20"/>
                <w:lang w:eastAsia="en-US"/>
              </w:rPr>
            </w:pPr>
            <w:r w:rsidRPr="00CE7F8D">
              <w:rPr>
                <w:rFonts w:eastAsia="Times New Roman"/>
                <w:b/>
                <w:bCs/>
                <w:sz w:val="20"/>
                <w:lang w:eastAsia="en-US"/>
              </w:rPr>
              <w:t>ES</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b/>
                <w:bCs/>
                <w:sz w:val="20"/>
                <w:lang w:eastAsia="en-US"/>
              </w:rPr>
            </w:pPr>
            <w:r>
              <w:rPr>
                <w:rFonts w:eastAsia="Times New Roman"/>
                <w:b/>
                <w:bCs/>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95383E" w:rsidP="00CF4907">
            <w:pPr>
              <w:rPr>
                <w:rFonts w:eastAsia="Times New Roman"/>
                <w:b/>
                <w:bCs/>
                <w:sz w:val="20"/>
                <w:lang w:eastAsia="en-US"/>
              </w:rPr>
            </w:pPr>
            <w:r w:rsidRPr="00DE4A73">
              <w:rPr>
                <w:rFonts w:eastAsia="Times New Roman"/>
                <w:b/>
                <w:bCs/>
                <w:color w:val="000000"/>
                <w:sz w:val="20"/>
                <w:lang w:eastAsia="en-US"/>
              </w:rPr>
              <w:t>Espagnol</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34 377</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95383E" w:rsidP="00CF4907">
            <w:pPr>
              <w:jc w:val="center"/>
              <w:rPr>
                <w:rFonts w:eastAsia="Times New Roman"/>
                <w:b/>
                <w:bCs/>
                <w:sz w:val="20"/>
                <w:lang w:eastAsia="en-US"/>
              </w:rPr>
            </w:pPr>
            <w:r w:rsidRPr="00DE4A73">
              <w:rPr>
                <w:rFonts w:eastAsia="Times New Roman"/>
                <w:b/>
                <w:bCs/>
                <w:color w:val="000000"/>
                <w:sz w:val="20"/>
                <w:lang w:eastAsia="en-US"/>
              </w:rPr>
              <w:t>38 870</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13%</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95383E" w:rsidP="00CF4907">
            <w:pPr>
              <w:rPr>
                <w:rFonts w:eastAsia="Times New Roman"/>
                <w:b/>
                <w:bCs/>
                <w:sz w:val="20"/>
                <w:lang w:eastAsia="en-US"/>
              </w:rPr>
            </w:pPr>
            <w:r w:rsidRPr="00CE7F8D">
              <w:rPr>
                <w:rFonts w:eastAsia="Times New Roman"/>
                <w:b/>
                <w:bCs/>
                <w:sz w:val="20"/>
                <w:lang w:eastAsia="en-US"/>
              </w:rPr>
              <w:t>FR</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b/>
                <w:bCs/>
                <w:sz w:val="20"/>
                <w:lang w:eastAsia="en-US"/>
              </w:rPr>
            </w:pPr>
            <w:r>
              <w:rPr>
                <w:rFonts w:eastAsia="Times New Roman"/>
                <w:b/>
                <w:bCs/>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b/>
                <w:bCs/>
                <w:sz w:val="20"/>
                <w:lang w:eastAsia="en-US"/>
              </w:rPr>
            </w:pPr>
            <w:r w:rsidRPr="00CE7F8D">
              <w:rPr>
                <w:rFonts w:eastAsia="Times New Roman"/>
                <w:b/>
                <w:bCs/>
                <w:sz w:val="20"/>
                <w:lang w:eastAsia="en-US"/>
              </w:rPr>
              <w:t>Français</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b/>
                <w:bCs/>
                <w:sz w:val="20"/>
                <w:lang w:eastAsia="en-US"/>
              </w:rPr>
            </w:pPr>
            <w:r w:rsidRPr="00DE4A73">
              <w:rPr>
                <w:rFonts w:eastAsia="Times New Roman"/>
                <w:b/>
                <w:bCs/>
                <w:color w:val="000000"/>
                <w:sz w:val="20"/>
                <w:lang w:eastAsia="en-US"/>
              </w:rPr>
              <w:t>34 512</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b/>
                <w:bCs/>
                <w:sz w:val="20"/>
                <w:lang w:eastAsia="en-US"/>
              </w:rPr>
            </w:pPr>
            <w:r w:rsidRPr="00DE4A73">
              <w:rPr>
                <w:rFonts w:eastAsia="Times New Roman"/>
                <w:b/>
                <w:bCs/>
                <w:color w:val="000000"/>
                <w:sz w:val="20"/>
                <w:lang w:eastAsia="en-US"/>
              </w:rPr>
              <w:t>39 073</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13%</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AR</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DE4A73">
              <w:rPr>
                <w:rFonts w:eastAsia="Times New Roman"/>
                <w:color w:val="000000"/>
                <w:sz w:val="20"/>
                <w:lang w:eastAsia="en-US"/>
              </w:rPr>
              <w:t>A</w:t>
            </w:r>
            <w:r w:rsidRPr="00CE7F8D">
              <w:rPr>
                <w:rFonts w:eastAsia="Times New Roman"/>
                <w:sz w:val="20"/>
                <w:lang w:eastAsia="en-US"/>
              </w:rPr>
              <w:t>rabe</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24 287</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24 824</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DE</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Allemand</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25 939</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26 419</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DE4A73">
              <w:rPr>
                <w:rFonts w:eastAsia="Times New Roman"/>
                <w:color w:val="000000"/>
                <w:sz w:val="20"/>
                <w:lang w:eastAsia="en-US"/>
              </w:rPr>
              <w:t>HE</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Hébreu</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29 335</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29 863</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DE4A73">
              <w:rPr>
                <w:rFonts w:eastAsia="Times New Roman"/>
                <w:color w:val="000000"/>
                <w:sz w:val="20"/>
                <w:lang w:eastAsia="en-US"/>
              </w:rPr>
              <w:t>IT</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DE4A73">
              <w:rPr>
                <w:rFonts w:eastAsia="Times New Roman"/>
                <w:color w:val="000000"/>
                <w:sz w:val="20"/>
                <w:lang w:eastAsia="en-US"/>
              </w:rPr>
              <w:t>Italien</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29 508</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31 014</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5%</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JP</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Japonais</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23 090</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28 045</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21%</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KR</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Coréen</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11 587</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13 315</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15%</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NL</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Néerlandais</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23 717</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25 880</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9%</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NO</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Norvégien</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30 225</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32 193</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7%</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PT</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Portug</w:t>
            </w:r>
            <w:r w:rsidRPr="00DE4A73">
              <w:rPr>
                <w:rFonts w:eastAsia="Times New Roman"/>
                <w:color w:val="000000"/>
                <w:sz w:val="20"/>
                <w:lang w:eastAsia="en-US"/>
              </w:rPr>
              <w:t>ais</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27 888</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33 172</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19%</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RU</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Russ</w:t>
            </w:r>
            <w:r w:rsidRPr="00DE4A73">
              <w:rPr>
                <w:rFonts w:eastAsia="Times New Roman"/>
                <w:color w:val="000000"/>
                <w:sz w:val="20"/>
                <w:lang w:eastAsia="en-US"/>
              </w:rPr>
              <w:t>e</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26 884</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32 539</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21%</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SR</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DE4A73">
              <w:rPr>
                <w:rFonts w:eastAsia="Times New Roman"/>
                <w:color w:val="000000"/>
                <w:sz w:val="20"/>
                <w:lang w:eastAsia="en-US"/>
              </w:rPr>
              <w:t>Serbe</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8 778</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8 875</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TR</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Turc</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9 498</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9 695</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2%</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UK</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Ukraini</w:t>
            </w:r>
            <w:r w:rsidRPr="00DE4A73">
              <w:rPr>
                <w:rFonts w:eastAsia="Times New Roman"/>
                <w:color w:val="000000"/>
                <w:sz w:val="20"/>
                <w:lang w:eastAsia="en-US"/>
              </w:rPr>
              <w:t>e</w:t>
            </w:r>
            <w:r w:rsidRPr="00CE7F8D">
              <w:rPr>
                <w:rFonts w:eastAsia="Times New Roman"/>
                <w:sz w:val="20"/>
                <w:lang w:eastAsia="en-US"/>
              </w:rPr>
              <w:t>n</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0</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8 509</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100%</w:t>
            </w:r>
          </w:p>
        </w:tc>
      </w:tr>
      <w:tr w:rsidR="0016230F" w:rsidRPr="00DE4A73" w:rsidTr="00CF4907">
        <w:trPr>
          <w:cantSplit/>
        </w:trPr>
        <w:tc>
          <w:tcPr>
            <w:tcW w:w="584" w:type="dxa"/>
            <w:tcBorders>
              <w:top w:val="nil"/>
              <w:left w:val="single" w:sz="4" w:space="0" w:color="auto"/>
              <w:bottom w:val="single" w:sz="4" w:space="0" w:color="auto"/>
              <w:right w:val="nil"/>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ZH</w:t>
            </w:r>
          </w:p>
        </w:tc>
        <w:tc>
          <w:tcPr>
            <w:tcW w:w="172" w:type="dxa"/>
            <w:tcBorders>
              <w:top w:val="nil"/>
              <w:left w:val="nil"/>
              <w:bottom w:val="single" w:sz="4" w:space="0" w:color="auto"/>
              <w:right w:val="nil"/>
            </w:tcBorders>
            <w:shd w:val="clear" w:color="auto" w:fill="auto"/>
            <w:noWrap/>
            <w:vAlign w:val="bottom"/>
            <w:hideMark/>
          </w:tcPr>
          <w:p w:rsidR="0016230F" w:rsidRPr="00DE4A73" w:rsidRDefault="00AD423D" w:rsidP="00CF4907">
            <w:pPr>
              <w:rPr>
                <w:rFonts w:eastAsia="Times New Roman"/>
                <w:sz w:val="20"/>
                <w:lang w:eastAsia="en-US"/>
              </w:rPr>
            </w:pPr>
            <w:r>
              <w:rPr>
                <w:rFonts w:eastAsia="Times New Roman"/>
                <w:sz w:val="20"/>
                <w:lang w:eastAsia="en-US"/>
              </w:rPr>
              <w:noBreakHyphen/>
            </w:r>
          </w:p>
        </w:tc>
        <w:tc>
          <w:tcPr>
            <w:tcW w:w="1864"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rPr>
                <w:rFonts w:eastAsia="Times New Roman"/>
                <w:sz w:val="20"/>
                <w:lang w:eastAsia="en-US"/>
              </w:rPr>
            </w:pPr>
            <w:r w:rsidRPr="00CE7F8D">
              <w:rPr>
                <w:rFonts w:eastAsia="Times New Roman"/>
                <w:sz w:val="20"/>
                <w:lang w:eastAsia="en-US"/>
              </w:rPr>
              <w:t>Chinois</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19 062</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33 698</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77%</w:t>
            </w:r>
          </w:p>
        </w:tc>
      </w:tr>
      <w:tr w:rsidR="0016230F" w:rsidRPr="00DE4A73" w:rsidTr="00CF4907">
        <w:trPr>
          <w:cantSplit/>
        </w:trPr>
        <w:tc>
          <w:tcPr>
            <w:tcW w:w="26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30F" w:rsidRPr="00DE4A73" w:rsidRDefault="0016230F" w:rsidP="00CF4907">
            <w:pPr>
              <w:rPr>
                <w:rFonts w:eastAsia="Times New Roman"/>
                <w:sz w:val="20"/>
                <w:lang w:eastAsia="en-US"/>
              </w:rPr>
            </w:pPr>
            <w:r w:rsidRPr="00DE4A73">
              <w:rPr>
                <w:rFonts w:eastAsia="Times New Roman"/>
                <w:sz w:val="20"/>
                <w:lang w:eastAsia="en-US"/>
              </w:rPr>
              <w:t>TOTAL</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410 631</w:t>
            </w:r>
          </w:p>
        </w:tc>
        <w:tc>
          <w:tcPr>
            <w:tcW w:w="2300" w:type="dxa"/>
            <w:tcBorders>
              <w:top w:val="nil"/>
              <w:left w:val="nil"/>
              <w:bottom w:val="single" w:sz="4" w:space="0" w:color="auto"/>
              <w:right w:val="single" w:sz="4" w:space="0" w:color="auto"/>
            </w:tcBorders>
            <w:shd w:val="clear" w:color="auto" w:fill="auto"/>
            <w:noWrap/>
            <w:vAlign w:val="bottom"/>
            <w:hideMark/>
          </w:tcPr>
          <w:p w:rsidR="0016230F" w:rsidRPr="00DE4A73" w:rsidRDefault="00F14364" w:rsidP="00CF4907">
            <w:pPr>
              <w:jc w:val="center"/>
              <w:rPr>
                <w:rFonts w:eastAsia="Times New Roman"/>
                <w:sz w:val="20"/>
                <w:lang w:eastAsia="en-US"/>
              </w:rPr>
            </w:pPr>
            <w:r w:rsidRPr="00DE4A73">
              <w:rPr>
                <w:rFonts w:eastAsia="Times New Roman"/>
                <w:color w:val="000000"/>
                <w:sz w:val="20"/>
                <w:lang w:eastAsia="en-US"/>
              </w:rPr>
              <w:t>483 034</w:t>
            </w:r>
          </w:p>
        </w:tc>
        <w:tc>
          <w:tcPr>
            <w:tcW w:w="1260" w:type="dxa"/>
            <w:tcBorders>
              <w:top w:val="nil"/>
              <w:left w:val="nil"/>
              <w:bottom w:val="single" w:sz="4" w:space="0" w:color="auto"/>
              <w:right w:val="single" w:sz="4" w:space="0" w:color="auto"/>
            </w:tcBorders>
            <w:shd w:val="clear" w:color="auto" w:fill="auto"/>
            <w:noWrap/>
            <w:vAlign w:val="bottom"/>
            <w:hideMark/>
          </w:tcPr>
          <w:p w:rsidR="0016230F" w:rsidRPr="00DE4A73" w:rsidRDefault="0016230F" w:rsidP="00CF4907">
            <w:pPr>
              <w:jc w:val="center"/>
              <w:rPr>
                <w:rFonts w:eastAsia="Times New Roman"/>
                <w:sz w:val="20"/>
                <w:lang w:eastAsia="en-US"/>
              </w:rPr>
            </w:pPr>
            <w:r w:rsidRPr="00DE4A73">
              <w:rPr>
                <w:rFonts w:eastAsia="Times New Roman"/>
                <w:sz w:val="20"/>
                <w:lang w:eastAsia="en-US"/>
              </w:rPr>
              <w:t>18%</w:t>
            </w:r>
          </w:p>
        </w:tc>
      </w:tr>
    </w:tbl>
    <w:p w:rsidR="005B4F02" w:rsidRDefault="005B4F02" w:rsidP="0016230F"/>
    <w:p w:rsidR="0095383E" w:rsidRPr="00DE4A73" w:rsidRDefault="0095383E" w:rsidP="00136BCA"/>
    <w:p w:rsidR="0095383E" w:rsidRPr="00DE4A73" w:rsidRDefault="0095383E" w:rsidP="00F66F07"/>
    <w:p w:rsidR="0095383E" w:rsidRPr="00820C67" w:rsidRDefault="00F14364" w:rsidP="00F14364">
      <w:pPr>
        <w:ind w:left="5533"/>
      </w:pPr>
      <w:r w:rsidRPr="00CE7F8D">
        <w:t>[L</w:t>
      </w:r>
      <w:r w:rsidR="005B4F02">
        <w:t>’</w:t>
      </w:r>
      <w:r w:rsidRPr="00CE7F8D">
        <w:t>annexe</w:t>
      </w:r>
      <w:r w:rsidR="00724870">
        <w:t> </w:t>
      </w:r>
      <w:r w:rsidRPr="00CE7F8D">
        <w:t>II suit]</w:t>
      </w:r>
    </w:p>
    <w:p w:rsidR="004633FE" w:rsidRPr="00DE4A73" w:rsidRDefault="004633FE" w:rsidP="00F66F07">
      <w:pPr>
        <w:sectPr w:rsidR="004633FE" w:rsidRPr="00DE4A73" w:rsidSect="00CF490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7" w:left="1417" w:header="510" w:footer="1020" w:gutter="0"/>
          <w:cols w:space="720"/>
          <w:titlePg/>
          <w:docGrid w:linePitch="299"/>
        </w:sectPr>
      </w:pPr>
    </w:p>
    <w:p w:rsidR="000C61B3" w:rsidRDefault="000602BC" w:rsidP="000C61B3">
      <w:pPr>
        <w:jc w:val="center"/>
      </w:pPr>
      <w:r w:rsidRPr="000602BC">
        <w:rPr>
          <w:noProof/>
          <w:lang w:val="en-US" w:eastAsia="en-US"/>
        </w:rPr>
        <w:lastRenderedPageBreak/>
        <w:drawing>
          <wp:inline distT="0" distB="0" distL="0" distR="0" wp14:anchorId="7BBFFFC1" wp14:editId="0FC38F2B">
            <wp:extent cx="8280000" cy="5517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8280000" cy="5517033"/>
                    </a:xfrm>
                    <a:prstGeom prst="rect">
                      <a:avLst/>
                    </a:prstGeom>
                    <a:noFill/>
                    <a:ln>
                      <a:noFill/>
                    </a:ln>
                  </pic:spPr>
                </pic:pic>
              </a:graphicData>
            </a:graphic>
          </wp:inline>
        </w:drawing>
      </w:r>
    </w:p>
    <w:p w:rsidR="000C61B3" w:rsidRPr="00DE4A73" w:rsidRDefault="000C61B3" w:rsidP="000C61B3"/>
    <w:p w:rsidR="000C61B3" w:rsidRPr="00DE4A73" w:rsidRDefault="000C61B3" w:rsidP="000C61B3"/>
    <w:p w:rsidR="000C61B3" w:rsidRPr="00820C67" w:rsidRDefault="000C61B3" w:rsidP="000C61B3">
      <w:pPr>
        <w:ind w:left="5533"/>
      </w:pPr>
      <w:r w:rsidRPr="00CE7F8D">
        <w:t>[L</w:t>
      </w:r>
      <w:r>
        <w:t>’</w:t>
      </w:r>
      <w:r w:rsidRPr="00CE7F8D">
        <w:t>annexe</w:t>
      </w:r>
      <w:r>
        <w:t> </w:t>
      </w:r>
      <w:r w:rsidRPr="00CE7F8D">
        <w:t>II</w:t>
      </w:r>
      <w:r>
        <w:t>I</w:t>
      </w:r>
      <w:r w:rsidRPr="00CE7F8D">
        <w:t xml:space="preserve"> suit]</w:t>
      </w:r>
    </w:p>
    <w:p w:rsidR="00F66F07" w:rsidRPr="00DE4A73" w:rsidRDefault="00F66F07" w:rsidP="00F66F07">
      <w:pPr>
        <w:sectPr w:rsidR="00F66F07" w:rsidRPr="00DE4A73" w:rsidSect="00CF4907">
          <w:headerReference w:type="first" r:id="rId18"/>
          <w:endnotePr>
            <w:numFmt w:val="decimal"/>
          </w:endnotePr>
          <w:pgSz w:w="11907" w:h="16840" w:code="9"/>
          <w:pgMar w:top="567" w:right="1134" w:bottom="1417" w:left="1417" w:header="510" w:footer="1020" w:gutter="0"/>
          <w:cols w:space="720"/>
          <w:titlePg/>
          <w:docGrid w:linePitch="299"/>
        </w:sectPr>
      </w:pPr>
    </w:p>
    <w:p w:rsidR="0095383E" w:rsidRPr="00DE4A73" w:rsidRDefault="008C0502" w:rsidP="00B12C99">
      <w:r w:rsidRPr="008C0502">
        <w:rPr>
          <w:noProof/>
          <w:lang w:val="en-US" w:eastAsia="en-US"/>
        </w:rPr>
        <w:lastRenderedPageBreak/>
        <w:drawing>
          <wp:inline distT="0" distB="0" distL="0" distR="0" wp14:anchorId="0F3A9465" wp14:editId="555B9D9D">
            <wp:extent cx="8280000" cy="5580516"/>
            <wp:effectExtent l="0" t="2857" r="4127" b="4128"/>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8280000" cy="5580516"/>
                    </a:xfrm>
                    <a:prstGeom prst="rect">
                      <a:avLst/>
                    </a:prstGeom>
                    <a:noFill/>
                    <a:ln>
                      <a:noFill/>
                    </a:ln>
                  </pic:spPr>
                </pic:pic>
              </a:graphicData>
            </a:graphic>
          </wp:inline>
        </w:drawing>
      </w:r>
    </w:p>
    <w:p w:rsidR="0095383E" w:rsidRPr="00DE4A73" w:rsidRDefault="0095383E" w:rsidP="00A03506">
      <w:pPr>
        <w:ind w:left="5533"/>
      </w:pPr>
    </w:p>
    <w:p w:rsidR="0095383E" w:rsidRPr="00DE4A73" w:rsidRDefault="0095383E" w:rsidP="00A03506">
      <w:pPr>
        <w:ind w:left="5533"/>
      </w:pPr>
    </w:p>
    <w:p w:rsidR="0095383E" w:rsidRPr="00DE4A73" w:rsidRDefault="00F14364" w:rsidP="00F14364">
      <w:pPr>
        <w:ind w:left="5533"/>
      </w:pPr>
      <w:r w:rsidRPr="00CE7F8D">
        <w:t>[L</w:t>
      </w:r>
      <w:r w:rsidR="005B4F02">
        <w:t>’</w:t>
      </w:r>
      <w:r w:rsidRPr="00CE7F8D">
        <w:t>annexe</w:t>
      </w:r>
      <w:r w:rsidR="00724870">
        <w:t> </w:t>
      </w:r>
      <w:r w:rsidRPr="00CE7F8D">
        <w:t>IV suit]</w:t>
      </w:r>
    </w:p>
    <w:p w:rsidR="00F66F07" w:rsidRPr="00DE4A73" w:rsidRDefault="00F66F07" w:rsidP="00F66F07">
      <w:pPr>
        <w:sectPr w:rsidR="00F66F07" w:rsidRPr="00DE4A73" w:rsidSect="00CF4907">
          <w:headerReference w:type="first" r:id="rId20"/>
          <w:endnotePr>
            <w:numFmt w:val="decimal"/>
          </w:endnotePr>
          <w:pgSz w:w="11907" w:h="16840" w:code="9"/>
          <w:pgMar w:top="567" w:right="1134" w:bottom="1417" w:left="1417" w:header="510" w:footer="1020" w:gutter="0"/>
          <w:cols w:space="720"/>
          <w:titlePg/>
          <w:docGrid w:linePitch="299"/>
        </w:sectPr>
      </w:pPr>
    </w:p>
    <w:p w:rsidR="0095383E" w:rsidRPr="00820C67" w:rsidRDefault="00F14364" w:rsidP="00F14364">
      <w:pPr>
        <w:jc w:val="center"/>
        <w:rPr>
          <w:b/>
          <w:sz w:val="28"/>
          <w:szCs w:val="28"/>
        </w:rPr>
      </w:pPr>
      <w:r w:rsidRPr="00820C67">
        <w:rPr>
          <w:b/>
          <w:sz w:val="28"/>
          <w:szCs w:val="28"/>
        </w:rPr>
        <w:lastRenderedPageBreak/>
        <w:t>Exemples de termes rejetés pour diverses raisons</w:t>
      </w:r>
    </w:p>
    <w:p w:rsidR="0095383E" w:rsidRPr="00DE4A73" w:rsidRDefault="00F14364" w:rsidP="00F14364">
      <w:pPr>
        <w:jc w:val="center"/>
        <w:rPr>
          <w:b/>
          <w:sz w:val="28"/>
          <w:szCs w:val="28"/>
        </w:rPr>
      </w:pPr>
      <w:proofErr w:type="gramStart"/>
      <w:r w:rsidRPr="00DE4A73">
        <w:rPr>
          <w:b/>
          <w:color w:val="000000"/>
          <w:sz w:val="28"/>
          <w:szCs w:val="28"/>
        </w:rPr>
        <w:t>par</w:t>
      </w:r>
      <w:proofErr w:type="gramEnd"/>
      <w:r w:rsidRPr="00DE4A73">
        <w:rPr>
          <w:b/>
          <w:color w:val="000000"/>
          <w:sz w:val="28"/>
          <w:szCs w:val="28"/>
        </w:rPr>
        <w:t xml:space="preserve"> certaines des parties contractantes les plus désignées</w:t>
      </w:r>
    </w:p>
    <w:p w:rsidR="0095383E" w:rsidRPr="00DE4A73" w:rsidRDefault="0095383E" w:rsidP="0016230F"/>
    <w:p w:rsidR="0095383E" w:rsidRPr="00DE4A73" w:rsidRDefault="0095383E" w:rsidP="0016230F"/>
    <w:p w:rsidR="0095383E" w:rsidRPr="00DE4A73" w:rsidRDefault="0095383E" w:rsidP="0016230F"/>
    <w:p w:rsidR="0095383E" w:rsidRPr="00DE4A73" w:rsidRDefault="000C61B3" w:rsidP="0016230F">
      <w:r>
        <w:rPr>
          <w:noProof/>
          <w:lang w:val="en-US" w:eastAsia="en-US"/>
        </w:rPr>
        <w:drawing>
          <wp:inline distT="0" distB="0" distL="0" distR="0">
            <wp:extent cx="5937250" cy="224726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7250" cy="2247265"/>
                    </a:xfrm>
                    <a:prstGeom prst="rect">
                      <a:avLst/>
                    </a:prstGeom>
                    <a:noFill/>
                    <a:ln>
                      <a:noFill/>
                    </a:ln>
                  </pic:spPr>
                </pic:pic>
              </a:graphicData>
            </a:graphic>
          </wp:inline>
        </w:drawing>
      </w:r>
    </w:p>
    <w:p w:rsidR="0095383E" w:rsidRPr="00DE4A73" w:rsidRDefault="0095383E" w:rsidP="0016230F"/>
    <w:p w:rsidR="0095383E" w:rsidRPr="00DE4A73" w:rsidRDefault="000C61B3" w:rsidP="0016230F">
      <w:r>
        <w:rPr>
          <w:noProof/>
          <w:lang w:val="en-US" w:eastAsia="en-US"/>
        </w:rPr>
        <w:drawing>
          <wp:inline distT="0" distB="0" distL="0" distR="0">
            <wp:extent cx="5943600" cy="225996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59965"/>
                    </a:xfrm>
                    <a:prstGeom prst="rect">
                      <a:avLst/>
                    </a:prstGeom>
                    <a:noFill/>
                    <a:ln>
                      <a:noFill/>
                    </a:ln>
                  </pic:spPr>
                </pic:pic>
              </a:graphicData>
            </a:graphic>
          </wp:inline>
        </w:drawing>
      </w:r>
    </w:p>
    <w:p w:rsidR="0095383E" w:rsidRPr="00DE4A73" w:rsidRDefault="0095383E" w:rsidP="0016230F"/>
    <w:p w:rsidR="0095383E" w:rsidRPr="00DE4A73" w:rsidRDefault="0095383E" w:rsidP="0016230F"/>
    <w:p w:rsidR="0095383E" w:rsidRDefault="000C61B3" w:rsidP="00BE29B7">
      <w:r>
        <w:rPr>
          <w:noProof/>
          <w:lang w:val="en-US" w:eastAsia="en-US"/>
        </w:rPr>
        <w:drawing>
          <wp:inline distT="0" distB="0" distL="0" distR="0">
            <wp:extent cx="5943600" cy="1990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990090"/>
                    </a:xfrm>
                    <a:prstGeom prst="rect">
                      <a:avLst/>
                    </a:prstGeom>
                    <a:noFill/>
                    <a:ln>
                      <a:noFill/>
                    </a:ln>
                  </pic:spPr>
                </pic:pic>
              </a:graphicData>
            </a:graphic>
          </wp:inline>
        </w:drawing>
      </w:r>
    </w:p>
    <w:p w:rsidR="00E65D70" w:rsidRDefault="00E65D70" w:rsidP="00BE29B7"/>
    <w:p w:rsidR="00E65D70" w:rsidRPr="00DE4A73" w:rsidRDefault="00E65D70" w:rsidP="00BE29B7"/>
    <w:p w:rsidR="0095383E" w:rsidRPr="00DE4A73" w:rsidRDefault="00F14364" w:rsidP="00F14364">
      <w:pPr>
        <w:ind w:left="5533"/>
      </w:pPr>
      <w:r w:rsidRPr="00CE7F8D">
        <w:t>[L</w:t>
      </w:r>
      <w:r w:rsidR="005B4F02">
        <w:t>’</w:t>
      </w:r>
      <w:r w:rsidRPr="00CE7F8D">
        <w:t>annexe</w:t>
      </w:r>
      <w:r w:rsidR="00724870">
        <w:t> </w:t>
      </w:r>
      <w:r w:rsidRPr="00CE7F8D">
        <w:t>V suit]</w:t>
      </w:r>
    </w:p>
    <w:p w:rsidR="0095383E" w:rsidRPr="00DE4A73" w:rsidRDefault="0095383E" w:rsidP="00CD24E3"/>
    <w:p w:rsidR="00E65D70" w:rsidRDefault="00E65D70" w:rsidP="00CD24E3">
      <w:pPr>
        <w:sectPr w:rsidR="00E65D70" w:rsidSect="00CF4907">
          <w:headerReference w:type="first" r:id="rId24"/>
          <w:endnotePr>
            <w:numFmt w:val="decimal"/>
          </w:endnotePr>
          <w:pgSz w:w="11907" w:h="16840" w:code="9"/>
          <w:pgMar w:top="567" w:right="1134" w:bottom="1417" w:left="1417" w:header="510" w:footer="1020" w:gutter="0"/>
          <w:cols w:space="720"/>
          <w:titlePg/>
          <w:docGrid w:linePitch="299"/>
        </w:sectPr>
      </w:pPr>
    </w:p>
    <w:p w:rsidR="0095383E" w:rsidRPr="00DE4A73" w:rsidRDefault="00E65D70" w:rsidP="009B2E10">
      <w:r w:rsidRPr="00E65D70">
        <w:rPr>
          <w:noProof/>
          <w:lang w:val="en-US" w:eastAsia="en-US"/>
        </w:rPr>
        <w:lastRenderedPageBreak/>
        <w:drawing>
          <wp:inline distT="0" distB="0" distL="0" distR="0" wp14:anchorId="5FE45261" wp14:editId="55393013">
            <wp:extent cx="8280000" cy="5919317"/>
            <wp:effectExtent l="0" t="635"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16200000">
                      <a:off x="0" y="0"/>
                      <a:ext cx="8280000" cy="5919317"/>
                    </a:xfrm>
                    <a:prstGeom prst="rect">
                      <a:avLst/>
                    </a:prstGeom>
                    <a:noFill/>
                    <a:ln>
                      <a:noFill/>
                    </a:ln>
                  </pic:spPr>
                </pic:pic>
              </a:graphicData>
            </a:graphic>
          </wp:inline>
        </w:drawing>
      </w:r>
    </w:p>
    <w:p w:rsidR="0095383E" w:rsidRPr="00DE4A73" w:rsidRDefault="0095383E" w:rsidP="009B2E10"/>
    <w:p w:rsidR="0095383E" w:rsidRDefault="0095383E" w:rsidP="0016230F">
      <w:pPr>
        <w:ind w:left="5533"/>
      </w:pPr>
    </w:p>
    <w:p w:rsidR="0038288E" w:rsidRPr="00DE4A73" w:rsidRDefault="0038288E" w:rsidP="0016230F">
      <w:pPr>
        <w:ind w:left="5533"/>
      </w:pPr>
      <w:bookmarkStart w:id="5" w:name="_GoBack"/>
      <w:bookmarkEnd w:id="5"/>
    </w:p>
    <w:p w:rsidR="0095383E" w:rsidRPr="00DE4A73" w:rsidRDefault="00F14364" w:rsidP="0016230F">
      <w:pPr>
        <w:ind w:left="5533"/>
      </w:pPr>
      <w:r w:rsidRPr="00CE7F8D">
        <w:t>[Fin de l</w:t>
      </w:r>
      <w:r w:rsidR="005B4F02">
        <w:t>’</w:t>
      </w:r>
      <w:r w:rsidRPr="00CE7F8D">
        <w:t>annexe</w:t>
      </w:r>
      <w:r w:rsidR="00724870">
        <w:t> </w:t>
      </w:r>
      <w:r w:rsidRPr="00DE4A73">
        <w:rPr>
          <w:color w:val="000000"/>
        </w:rPr>
        <w:t xml:space="preserve">V </w:t>
      </w:r>
      <w:r w:rsidRPr="00CE7F8D">
        <w:t>et du document]</w:t>
      </w:r>
    </w:p>
    <w:sectPr w:rsidR="0095383E" w:rsidRPr="00DE4A73" w:rsidSect="00CF4907">
      <w:headerReference w:type="first" r:id="rId26"/>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1C" w:rsidRDefault="00D33B1C">
      <w:r>
        <w:separator/>
      </w:r>
    </w:p>
  </w:endnote>
  <w:endnote w:type="continuationSeparator" w:id="0">
    <w:p w:rsidR="00D33B1C" w:rsidRDefault="00D33B1C" w:rsidP="00F66F07">
      <w:r>
        <w:separator/>
      </w:r>
    </w:p>
    <w:p w:rsidR="00D33B1C" w:rsidRPr="0038288E" w:rsidRDefault="00D33B1C" w:rsidP="00F66F07">
      <w:pPr>
        <w:spacing w:after="60"/>
        <w:rPr>
          <w:sz w:val="17"/>
          <w:lang w:val="en-US"/>
        </w:rPr>
      </w:pPr>
      <w:r w:rsidRPr="0038288E">
        <w:rPr>
          <w:sz w:val="17"/>
          <w:lang w:val="en-US"/>
        </w:rPr>
        <w:t>[Endnote continued from previous page]</w:t>
      </w:r>
    </w:p>
  </w:endnote>
  <w:endnote w:type="continuationNotice" w:id="1">
    <w:p w:rsidR="00D33B1C" w:rsidRPr="0038288E" w:rsidRDefault="00D33B1C" w:rsidP="00F66F07">
      <w:pPr>
        <w:spacing w:before="60"/>
        <w:jc w:val="right"/>
        <w:rPr>
          <w:sz w:val="17"/>
          <w:szCs w:val="17"/>
          <w:lang w:val="en-US"/>
        </w:rPr>
      </w:pPr>
      <w:r w:rsidRPr="0038288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40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02BC">
      <w:rPr>
        <w:rStyle w:val="PageNumber"/>
        <w:noProof/>
      </w:rPr>
      <w:t>9</w:t>
    </w:r>
    <w:r>
      <w:rPr>
        <w:rStyle w:val="PageNumber"/>
      </w:rPr>
      <w:fldChar w:fldCharType="end"/>
    </w:r>
  </w:p>
  <w:p w:rsidR="00481134" w:rsidRDefault="00481134" w:rsidP="001E7F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1E7FD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07" w:rsidRPr="00CF4907" w:rsidRDefault="00CF4907" w:rsidP="00CF4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1C" w:rsidRDefault="00D33B1C">
      <w:r>
        <w:separator/>
      </w:r>
    </w:p>
  </w:footnote>
  <w:footnote w:type="continuationSeparator" w:id="0">
    <w:p w:rsidR="00D33B1C" w:rsidRDefault="00D33B1C" w:rsidP="00F66F07">
      <w:r>
        <w:separator/>
      </w:r>
    </w:p>
    <w:p w:rsidR="00D33B1C" w:rsidRPr="0038288E" w:rsidRDefault="00D33B1C" w:rsidP="00F66F07">
      <w:pPr>
        <w:spacing w:after="60"/>
        <w:rPr>
          <w:sz w:val="17"/>
          <w:szCs w:val="17"/>
          <w:lang w:val="en-US"/>
        </w:rPr>
      </w:pPr>
      <w:r w:rsidRPr="0038288E">
        <w:rPr>
          <w:sz w:val="17"/>
          <w:szCs w:val="17"/>
          <w:lang w:val="en-US"/>
        </w:rPr>
        <w:t>[Footnote continued from previous page]</w:t>
      </w:r>
    </w:p>
  </w:footnote>
  <w:footnote w:type="continuationNotice" w:id="1">
    <w:p w:rsidR="00D33B1C" w:rsidRPr="0038288E" w:rsidRDefault="00D33B1C" w:rsidP="00F66F07">
      <w:pPr>
        <w:spacing w:before="60"/>
        <w:jc w:val="right"/>
        <w:rPr>
          <w:sz w:val="17"/>
          <w:szCs w:val="17"/>
          <w:lang w:val="en-US"/>
        </w:rPr>
      </w:pPr>
      <w:r w:rsidRPr="0038288E">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40097B">
    <w:pPr>
      <w:pStyle w:val="Header"/>
      <w:jc w:val="right"/>
    </w:pPr>
    <w:r>
      <w:t>MM/A/49/2</w:t>
    </w:r>
  </w:p>
  <w:p w:rsidR="00481134" w:rsidRDefault="00481134" w:rsidP="00A06853">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38288E">
      <w:rPr>
        <w:rStyle w:val="PageNumber"/>
        <w:noProof/>
      </w:rPr>
      <w:t>6</w:t>
    </w:r>
    <w:r>
      <w:rPr>
        <w:rStyle w:val="PageNumber"/>
      </w:rPr>
      <w:fldChar w:fldCharType="end"/>
    </w:r>
  </w:p>
  <w:p w:rsidR="00155803" w:rsidRDefault="00155803" w:rsidP="00A0685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4009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02BC">
      <w:rPr>
        <w:rStyle w:val="PageNumber"/>
        <w:noProof/>
      </w:rPr>
      <w:t>9</w:t>
    </w:r>
    <w:r>
      <w:rPr>
        <w:rStyle w:val="PageNumber"/>
      </w:rPr>
      <w:fldChar w:fldCharType="end"/>
    </w:r>
  </w:p>
  <w:p w:rsidR="00481134" w:rsidRDefault="00481134" w:rsidP="001E7FD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1E7FD7">
    <w:pPr>
      <w:pStyle w:val="Header"/>
      <w:framePr w:wrap="around" w:vAnchor="text" w:hAnchor="margin" w:xAlign="right" w:y="1"/>
      <w:jc w:val="right"/>
      <w:rPr>
        <w:rStyle w:val="PageNumber"/>
      </w:rPr>
    </w:pPr>
    <w:r>
      <w:rPr>
        <w:rStyle w:val="PageNumber"/>
      </w:rPr>
      <w:t>MM/A/46/2</w:t>
    </w:r>
  </w:p>
  <w:p w:rsidR="00481134" w:rsidRDefault="00481134" w:rsidP="001E7FD7">
    <w:pPr>
      <w:pStyle w:val="Header"/>
      <w:framePr w:wrap="around" w:vAnchor="text" w:hAnchor="margin" w:xAlign="right" w:y="1"/>
      <w:jc w:val="right"/>
      <w:rPr>
        <w:rStyle w:val="PageNumber"/>
      </w:rPr>
    </w:pPr>
    <w:proofErr w:type="gramStart"/>
    <w:r>
      <w:rPr>
        <w:rStyle w:val="PageNumber"/>
      </w:rPr>
      <w:t>page</w:t>
    </w:r>
    <w:proofErr w:type="gramEnd"/>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602BC">
      <w:rPr>
        <w:rStyle w:val="PageNumber"/>
        <w:noProof/>
      </w:rPr>
      <w:t>9</w:t>
    </w:r>
    <w:r>
      <w:rPr>
        <w:rStyle w:val="PageNumber"/>
      </w:rPr>
      <w:fldChar w:fldCharType="end"/>
    </w:r>
  </w:p>
  <w:p w:rsidR="00481134" w:rsidRDefault="00481134" w:rsidP="001E7FD7">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F66F07">
    <w:pPr>
      <w:pStyle w:val="Header"/>
      <w:jc w:val="right"/>
    </w:pPr>
    <w:r>
      <w:t>MM/A/49/2</w:t>
    </w:r>
  </w:p>
  <w:p w:rsidR="00481134" w:rsidRDefault="00481134" w:rsidP="00F66F07">
    <w:pPr>
      <w:pStyle w:val="Header"/>
      <w:jc w:val="right"/>
    </w:pPr>
    <w:r>
      <w:t>ANNEX</w:t>
    </w:r>
    <w:r w:rsidR="005B4F02">
      <w:t>E</w:t>
    </w:r>
    <w:r>
      <w:t xml:space="preserve"> I</w:t>
    </w:r>
  </w:p>
  <w:p w:rsidR="000C61B3" w:rsidRDefault="000C61B3" w:rsidP="00F66F0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F66F07">
    <w:pPr>
      <w:pStyle w:val="Header"/>
      <w:jc w:val="right"/>
    </w:pPr>
    <w:r>
      <w:t>MM/A/49/2</w:t>
    </w:r>
  </w:p>
  <w:p w:rsidR="00481134" w:rsidRDefault="00481134" w:rsidP="00F66F07">
    <w:pPr>
      <w:pStyle w:val="Header"/>
      <w:jc w:val="right"/>
    </w:pPr>
    <w:r>
      <w:t>ANNEX</w:t>
    </w:r>
    <w:r w:rsidR="005B4F02">
      <w:t>E</w:t>
    </w:r>
    <w:r>
      <w:t xml:space="preserve"> II</w:t>
    </w:r>
  </w:p>
  <w:p w:rsidR="000C61B3" w:rsidRDefault="000C61B3" w:rsidP="00F66F07">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F66F07">
    <w:pPr>
      <w:pStyle w:val="Header"/>
      <w:jc w:val="right"/>
    </w:pPr>
    <w:r>
      <w:t>MM/A/49/2</w:t>
    </w:r>
  </w:p>
  <w:p w:rsidR="00481134" w:rsidRDefault="00481134" w:rsidP="00F66F07">
    <w:pPr>
      <w:pStyle w:val="Header"/>
      <w:jc w:val="right"/>
    </w:pPr>
    <w:r>
      <w:t>ANNEX</w:t>
    </w:r>
    <w:r w:rsidR="005B4F02">
      <w:t>E</w:t>
    </w:r>
    <w:r>
      <w:t xml:space="preserve"> III</w:t>
    </w:r>
  </w:p>
  <w:p w:rsidR="000C61B3" w:rsidRDefault="000C61B3" w:rsidP="00F66F07">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34" w:rsidRDefault="00481134" w:rsidP="00F66F07">
    <w:pPr>
      <w:pStyle w:val="Header"/>
      <w:jc w:val="right"/>
    </w:pPr>
    <w:r>
      <w:t>MM/A/49/2</w:t>
    </w:r>
  </w:p>
  <w:p w:rsidR="00481134" w:rsidRDefault="00481134" w:rsidP="00F66F07">
    <w:pPr>
      <w:pStyle w:val="Header"/>
      <w:jc w:val="right"/>
    </w:pPr>
    <w:r>
      <w:t>ANNEX</w:t>
    </w:r>
    <w:r w:rsidR="005B4F02">
      <w:t>E</w:t>
    </w:r>
    <w:r>
      <w:t xml:space="preserve"> IV</w:t>
    </w:r>
  </w:p>
  <w:p w:rsidR="000C61B3" w:rsidRDefault="000C61B3" w:rsidP="00F66F07">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D70" w:rsidRDefault="00E65D70" w:rsidP="00F66F07">
    <w:pPr>
      <w:pStyle w:val="Header"/>
      <w:jc w:val="right"/>
    </w:pPr>
    <w:r>
      <w:t>MM/A/49/2</w:t>
    </w:r>
  </w:p>
  <w:p w:rsidR="00E65D70" w:rsidRDefault="00E65D70" w:rsidP="00F66F07">
    <w:pPr>
      <w:pStyle w:val="Header"/>
      <w:jc w:val="right"/>
    </w:pPr>
    <w:r>
      <w:t>ANNEXE V</w:t>
    </w:r>
  </w:p>
  <w:p w:rsidR="00E65D70" w:rsidRDefault="00E65D70" w:rsidP="00F66F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9"/>
    <w:multiLevelType w:val="hybridMultilevel"/>
    <w:tmpl w:val="9EE43DAE"/>
    <w:lvl w:ilvl="0" w:tplc="E864ED46">
      <w:start w:val="1"/>
      <w:numFmt w:val="lowerRoman"/>
      <w:lvlText w:val="%1)"/>
      <w:lvlJc w:val="left"/>
      <w:pPr>
        <w:tabs>
          <w:tab w:val="num" w:pos="3969"/>
        </w:tabs>
        <w:ind w:left="3969" w:hanging="720"/>
      </w:pPr>
      <w:rPr>
        <w:rFonts w:hint="default"/>
      </w:rPr>
    </w:lvl>
    <w:lvl w:ilvl="1" w:tplc="04090019">
      <w:start w:val="1"/>
      <w:numFmt w:val="lowerLetter"/>
      <w:lvlText w:val="%2."/>
      <w:lvlJc w:val="left"/>
      <w:pPr>
        <w:tabs>
          <w:tab w:val="num" w:pos="4329"/>
        </w:tabs>
        <w:ind w:left="4329" w:hanging="360"/>
      </w:pPr>
    </w:lvl>
    <w:lvl w:ilvl="2" w:tplc="0409001B">
      <w:start w:val="1"/>
      <w:numFmt w:val="lowerRoman"/>
      <w:lvlText w:val="%3."/>
      <w:lvlJc w:val="right"/>
      <w:pPr>
        <w:tabs>
          <w:tab w:val="num" w:pos="5049"/>
        </w:tabs>
        <w:ind w:left="5049" w:hanging="180"/>
      </w:pPr>
    </w:lvl>
    <w:lvl w:ilvl="3" w:tplc="0409000F">
      <w:start w:val="1"/>
      <w:numFmt w:val="decimal"/>
      <w:lvlText w:val="%4."/>
      <w:lvlJc w:val="left"/>
      <w:pPr>
        <w:tabs>
          <w:tab w:val="num" w:pos="5769"/>
        </w:tabs>
        <w:ind w:left="5769" w:hanging="360"/>
      </w:pPr>
    </w:lvl>
    <w:lvl w:ilvl="4" w:tplc="04090019">
      <w:start w:val="1"/>
      <w:numFmt w:val="lowerLetter"/>
      <w:lvlText w:val="%5."/>
      <w:lvlJc w:val="left"/>
      <w:pPr>
        <w:tabs>
          <w:tab w:val="num" w:pos="6489"/>
        </w:tabs>
        <w:ind w:left="6489" w:hanging="360"/>
      </w:pPr>
    </w:lvl>
    <w:lvl w:ilvl="5" w:tplc="0409001B">
      <w:start w:val="1"/>
      <w:numFmt w:val="lowerRoman"/>
      <w:lvlText w:val="%6."/>
      <w:lvlJc w:val="right"/>
      <w:pPr>
        <w:tabs>
          <w:tab w:val="num" w:pos="7209"/>
        </w:tabs>
        <w:ind w:left="7209" w:hanging="180"/>
      </w:pPr>
    </w:lvl>
    <w:lvl w:ilvl="6" w:tplc="0409000F">
      <w:start w:val="1"/>
      <w:numFmt w:val="decimal"/>
      <w:lvlText w:val="%7."/>
      <w:lvlJc w:val="left"/>
      <w:pPr>
        <w:tabs>
          <w:tab w:val="num" w:pos="7929"/>
        </w:tabs>
        <w:ind w:left="7929" w:hanging="360"/>
      </w:pPr>
    </w:lvl>
    <w:lvl w:ilvl="7" w:tplc="04090019">
      <w:start w:val="1"/>
      <w:numFmt w:val="lowerLetter"/>
      <w:lvlText w:val="%8."/>
      <w:lvlJc w:val="left"/>
      <w:pPr>
        <w:tabs>
          <w:tab w:val="num" w:pos="8649"/>
        </w:tabs>
        <w:ind w:left="8649" w:hanging="360"/>
      </w:pPr>
    </w:lvl>
    <w:lvl w:ilvl="8" w:tplc="0409001B">
      <w:start w:val="1"/>
      <w:numFmt w:val="lowerRoman"/>
      <w:lvlText w:val="%9."/>
      <w:lvlJc w:val="right"/>
      <w:pPr>
        <w:tabs>
          <w:tab w:val="num" w:pos="9369"/>
        </w:tabs>
        <w:ind w:left="9369" w:hanging="180"/>
      </w:pPr>
    </w:lvl>
  </w:abstractNum>
  <w:abstractNum w:abstractNumId="1">
    <w:nsid w:val="06691E65"/>
    <w:multiLevelType w:val="hybridMultilevel"/>
    <w:tmpl w:val="EB06E48C"/>
    <w:lvl w:ilvl="0" w:tplc="84A8C6DE">
      <w:start w:val="7"/>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154AD"/>
    <w:multiLevelType w:val="hybridMultilevel"/>
    <w:tmpl w:val="5A3E7080"/>
    <w:lvl w:ilvl="0" w:tplc="93802C4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27A6"/>
    <w:multiLevelType w:val="hybridMultilevel"/>
    <w:tmpl w:val="8D42B3B6"/>
    <w:lvl w:ilvl="0" w:tplc="6A26B166">
      <w:start w:val="5"/>
      <w:numFmt w:val="bullet"/>
      <w:lvlText w:val="–"/>
      <w:lvlJc w:val="left"/>
      <w:pPr>
        <w:ind w:left="1134" w:hanging="567"/>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51F4B14"/>
    <w:multiLevelType w:val="hybridMultilevel"/>
    <w:tmpl w:val="22487220"/>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8F7D1C"/>
    <w:multiLevelType w:val="hybridMultilevel"/>
    <w:tmpl w:val="B0007A5E"/>
    <w:lvl w:ilvl="0" w:tplc="2BDE526E">
      <w:numFmt w:val="bullet"/>
      <w:lvlText w:val="–"/>
      <w:lvlJc w:val="left"/>
      <w:pPr>
        <w:ind w:left="915" w:hanging="360"/>
      </w:pPr>
      <w:rPr>
        <w:rFonts w:ascii="Arial" w:eastAsia="SimSu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nsid w:val="3CAE0F35"/>
    <w:multiLevelType w:val="hybridMultilevel"/>
    <w:tmpl w:val="2AA2F576"/>
    <w:lvl w:ilvl="0" w:tplc="2BDE526E">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DC73CEF"/>
    <w:multiLevelType w:val="hybridMultilevel"/>
    <w:tmpl w:val="C62C2A40"/>
    <w:lvl w:ilvl="0" w:tplc="DB8035AE">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DB20AF"/>
    <w:multiLevelType w:val="hybridMultilevel"/>
    <w:tmpl w:val="C98215E0"/>
    <w:lvl w:ilvl="0" w:tplc="B6BCEA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1269A9"/>
    <w:multiLevelType w:val="hybridMultilevel"/>
    <w:tmpl w:val="784C938C"/>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B669D8"/>
    <w:multiLevelType w:val="hybridMultilevel"/>
    <w:tmpl w:val="4EA473BE"/>
    <w:lvl w:ilvl="0" w:tplc="72BE553C">
      <w:start w:val="3"/>
      <w:numFmt w:val="bullet"/>
      <w:lvlText w:val="–"/>
      <w:lvlJc w:val="left"/>
      <w:pPr>
        <w:tabs>
          <w:tab w:val="num" w:pos="1095"/>
        </w:tabs>
        <w:ind w:left="1095" w:hanging="435"/>
      </w:pPr>
      <w:rPr>
        <w:rFonts w:ascii="Arial" w:eastAsia="SimSun" w:hAnsi="Arial" w:cs="Aria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3">
    <w:nsid w:val="49231224"/>
    <w:multiLevelType w:val="hybridMultilevel"/>
    <w:tmpl w:val="37C04CA8"/>
    <w:lvl w:ilvl="0" w:tplc="26CA9CF6">
      <w:start w:val="1"/>
      <w:numFmt w:val="decimal"/>
      <w:lvlText w:val="%1."/>
      <w:lvlJc w:val="left"/>
      <w:pPr>
        <w:tabs>
          <w:tab w:val="num" w:pos="570"/>
        </w:tabs>
        <w:ind w:left="570" w:hanging="57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4E2BA8"/>
    <w:multiLevelType w:val="hybridMultilevel"/>
    <w:tmpl w:val="AD2AAAEA"/>
    <w:lvl w:ilvl="0" w:tplc="0B202A40">
      <w:start w:val="3"/>
      <w:numFmt w:val="bullet"/>
      <w:lvlText w:val="-"/>
      <w:lvlJc w:val="left"/>
      <w:pPr>
        <w:tabs>
          <w:tab w:val="num" w:pos="720"/>
        </w:tabs>
        <w:ind w:left="720" w:hanging="360"/>
      </w:pPr>
      <w:rPr>
        <w:rFonts w:ascii="Arial" w:eastAsia="SimSu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53D40"/>
    <w:multiLevelType w:val="hybridMultilevel"/>
    <w:tmpl w:val="E848D6F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161C9886">
      <w:start w:val="1"/>
      <w:numFmt w:val="decimal"/>
      <w:lvlRestart w:val="0"/>
      <w:pStyle w:val="ListNumber"/>
      <w:lvlText w:val="03.%1."/>
      <w:lvlJc w:val="left"/>
      <w:pPr>
        <w:tabs>
          <w:tab w:val="num" w:pos="567"/>
        </w:tabs>
        <w:ind w:left="0" w:firstLine="0"/>
      </w:pPr>
      <w:rPr>
        <w:rFonts w:hint="default"/>
      </w:rPr>
    </w:lvl>
    <w:lvl w:ilvl="1" w:tplc="C8B66292" w:tentative="1">
      <w:start w:val="1"/>
      <w:numFmt w:val="lowerLetter"/>
      <w:lvlText w:val="%2."/>
      <w:lvlJc w:val="left"/>
      <w:pPr>
        <w:tabs>
          <w:tab w:val="num" w:pos="1440"/>
        </w:tabs>
        <w:ind w:left="1440" w:hanging="360"/>
      </w:pPr>
    </w:lvl>
    <w:lvl w:ilvl="2" w:tplc="16E0DB00" w:tentative="1">
      <w:start w:val="1"/>
      <w:numFmt w:val="lowerRoman"/>
      <w:lvlText w:val="%3."/>
      <w:lvlJc w:val="right"/>
      <w:pPr>
        <w:tabs>
          <w:tab w:val="num" w:pos="2160"/>
        </w:tabs>
        <w:ind w:left="2160" w:hanging="180"/>
      </w:pPr>
    </w:lvl>
    <w:lvl w:ilvl="3" w:tplc="35B01754" w:tentative="1">
      <w:start w:val="1"/>
      <w:numFmt w:val="decimal"/>
      <w:lvlText w:val="%4."/>
      <w:lvlJc w:val="left"/>
      <w:pPr>
        <w:tabs>
          <w:tab w:val="num" w:pos="2880"/>
        </w:tabs>
        <w:ind w:left="2880" w:hanging="360"/>
      </w:pPr>
    </w:lvl>
    <w:lvl w:ilvl="4" w:tplc="68B418BA" w:tentative="1">
      <w:start w:val="1"/>
      <w:numFmt w:val="lowerLetter"/>
      <w:lvlText w:val="%5."/>
      <w:lvlJc w:val="left"/>
      <w:pPr>
        <w:tabs>
          <w:tab w:val="num" w:pos="3600"/>
        </w:tabs>
        <w:ind w:left="3600" w:hanging="360"/>
      </w:pPr>
    </w:lvl>
    <w:lvl w:ilvl="5" w:tplc="05281752" w:tentative="1">
      <w:start w:val="1"/>
      <w:numFmt w:val="lowerRoman"/>
      <w:lvlText w:val="%6."/>
      <w:lvlJc w:val="right"/>
      <w:pPr>
        <w:tabs>
          <w:tab w:val="num" w:pos="4320"/>
        </w:tabs>
        <w:ind w:left="4320" w:hanging="180"/>
      </w:pPr>
    </w:lvl>
    <w:lvl w:ilvl="6" w:tplc="2D104A24" w:tentative="1">
      <w:start w:val="1"/>
      <w:numFmt w:val="decimal"/>
      <w:lvlText w:val="%7."/>
      <w:lvlJc w:val="left"/>
      <w:pPr>
        <w:tabs>
          <w:tab w:val="num" w:pos="5040"/>
        </w:tabs>
        <w:ind w:left="5040" w:hanging="360"/>
      </w:pPr>
    </w:lvl>
    <w:lvl w:ilvl="7" w:tplc="9B3A883A" w:tentative="1">
      <w:start w:val="1"/>
      <w:numFmt w:val="lowerLetter"/>
      <w:lvlText w:val="%8."/>
      <w:lvlJc w:val="left"/>
      <w:pPr>
        <w:tabs>
          <w:tab w:val="num" w:pos="5760"/>
        </w:tabs>
        <w:ind w:left="5760" w:hanging="360"/>
      </w:pPr>
    </w:lvl>
    <w:lvl w:ilvl="8" w:tplc="9DEA9EC4" w:tentative="1">
      <w:start w:val="1"/>
      <w:numFmt w:val="lowerRoman"/>
      <w:lvlText w:val="%9."/>
      <w:lvlJc w:val="right"/>
      <w:pPr>
        <w:tabs>
          <w:tab w:val="num" w:pos="6480"/>
        </w:tabs>
        <w:ind w:left="6480" w:hanging="180"/>
      </w:pPr>
    </w:lvl>
  </w:abstractNum>
  <w:abstractNum w:abstractNumId="17">
    <w:nsid w:val="4D3F30B1"/>
    <w:multiLevelType w:val="hybridMultilevel"/>
    <w:tmpl w:val="477029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50C672B7"/>
    <w:multiLevelType w:val="hybridMultilevel"/>
    <w:tmpl w:val="6B7AB866"/>
    <w:lvl w:ilvl="0" w:tplc="4B7C550E">
      <w:start w:val="14"/>
      <w:numFmt w:val="bullet"/>
      <w:lvlText w:val="-"/>
      <w:lvlJc w:val="left"/>
      <w:pPr>
        <w:ind w:left="910" w:hanging="360"/>
      </w:pPr>
      <w:rPr>
        <w:rFonts w:ascii="Arial" w:eastAsia="SimSun" w:hAnsi="Arial" w:cs="Aria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9">
    <w:nsid w:val="53BC130C"/>
    <w:multiLevelType w:val="hybridMultilevel"/>
    <w:tmpl w:val="7BBC76E8"/>
    <w:lvl w:ilvl="0" w:tplc="2BDE526E">
      <w:numFmt w:val="bullet"/>
      <w:lvlText w:val="–"/>
      <w:lvlJc w:val="left"/>
      <w:pPr>
        <w:ind w:left="928" w:hanging="360"/>
      </w:pPr>
      <w:rPr>
        <w:rFonts w:ascii="Arial" w:eastAsia="SimSun" w:hAnsi="Arial" w:cs="Arial" w:hint="default"/>
        <w:color w:val="000000"/>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20">
    <w:nsid w:val="56041CCE"/>
    <w:multiLevelType w:val="hybridMultilevel"/>
    <w:tmpl w:val="79B4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2C724C"/>
    <w:multiLevelType w:val="hybridMultilevel"/>
    <w:tmpl w:val="36002EE4"/>
    <w:lvl w:ilvl="0" w:tplc="0F50B8AC">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5554BD"/>
    <w:multiLevelType w:val="hybridMultilevel"/>
    <w:tmpl w:val="54C23142"/>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8E1A17"/>
    <w:multiLevelType w:val="hybridMultilevel"/>
    <w:tmpl w:val="231A1720"/>
    <w:lvl w:ilvl="0" w:tplc="79C4FA4E">
      <w:start w:val="5"/>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7066C03"/>
    <w:multiLevelType w:val="hybridMultilevel"/>
    <w:tmpl w:val="AFCA8564"/>
    <w:lvl w:ilvl="0" w:tplc="72BE55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13"/>
  </w:num>
  <w:num w:numId="5">
    <w:abstractNumId w:val="14"/>
  </w:num>
  <w:num w:numId="6">
    <w:abstractNumId w:val="0"/>
  </w:num>
  <w:num w:numId="7">
    <w:abstractNumId w:val="12"/>
  </w:num>
  <w:num w:numId="8">
    <w:abstractNumId w:val="3"/>
  </w:num>
  <w:num w:numId="9">
    <w:abstractNumId w:val="17"/>
  </w:num>
  <w:num w:numId="10">
    <w:abstractNumId w:val="20"/>
  </w:num>
  <w:num w:numId="11">
    <w:abstractNumId w:val="7"/>
  </w:num>
  <w:num w:numId="12">
    <w:abstractNumId w:val="15"/>
  </w:num>
  <w:num w:numId="13">
    <w:abstractNumId w:val="10"/>
  </w:num>
  <w:num w:numId="14">
    <w:abstractNumId w:val="1"/>
  </w:num>
  <w:num w:numId="15">
    <w:abstractNumId w:val="18"/>
  </w:num>
  <w:num w:numId="16">
    <w:abstractNumId w:val="24"/>
  </w:num>
  <w:num w:numId="17">
    <w:abstractNumId w:val="21"/>
  </w:num>
  <w:num w:numId="18">
    <w:abstractNumId w:val="9"/>
  </w:num>
  <w:num w:numId="19">
    <w:abstractNumId w:val="19"/>
  </w:num>
  <w:num w:numId="20">
    <w:abstractNumId w:val="8"/>
  </w:num>
  <w:num w:numId="21">
    <w:abstractNumId w:val="5"/>
  </w:num>
  <w:num w:numId="22">
    <w:abstractNumId w:val="22"/>
  </w:num>
  <w:num w:numId="23">
    <w:abstractNumId w:val="23"/>
  </w:num>
  <w:num w:numId="24">
    <w:abstractNumId w:val="11"/>
  </w:num>
  <w:num w:numId="25">
    <w:abstractNumId w:val="5"/>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FTS_Glossary"/>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Glossaries\EN-FR|TextBase TMs\Trademarks\Meetings|TextBase TMs\Trademarks\Other|TextBase TMs\Trademarks\Publications|TextBase TMs\Patents\Meetings|TextBase TMs\Patents\Other|TextBase TMs\Patent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
    <w:docVar w:name="TextBaseURL" w:val="empty"/>
    <w:docVar w:name="UILng" w:val="en"/>
  </w:docVars>
  <w:rsids>
    <w:rsidRoot w:val="003331CF"/>
    <w:rsid w:val="00000FC1"/>
    <w:rsid w:val="0000244E"/>
    <w:rsid w:val="000026C4"/>
    <w:rsid w:val="00004ECD"/>
    <w:rsid w:val="00013D92"/>
    <w:rsid w:val="0001487E"/>
    <w:rsid w:val="00017AA1"/>
    <w:rsid w:val="0003060B"/>
    <w:rsid w:val="0003061A"/>
    <w:rsid w:val="00031B07"/>
    <w:rsid w:val="000320F0"/>
    <w:rsid w:val="00036B28"/>
    <w:rsid w:val="0003737B"/>
    <w:rsid w:val="00041E3D"/>
    <w:rsid w:val="000475C8"/>
    <w:rsid w:val="00052CD2"/>
    <w:rsid w:val="000600B6"/>
    <w:rsid w:val="000602BC"/>
    <w:rsid w:val="000637A5"/>
    <w:rsid w:val="00073835"/>
    <w:rsid w:val="00077648"/>
    <w:rsid w:val="00077C0A"/>
    <w:rsid w:val="000830E0"/>
    <w:rsid w:val="0009416D"/>
    <w:rsid w:val="000966F7"/>
    <w:rsid w:val="000A0422"/>
    <w:rsid w:val="000A529D"/>
    <w:rsid w:val="000A6563"/>
    <w:rsid w:val="000B73B9"/>
    <w:rsid w:val="000C2ED1"/>
    <w:rsid w:val="000C33EC"/>
    <w:rsid w:val="000C5102"/>
    <w:rsid w:val="000C61B3"/>
    <w:rsid w:val="000C7B31"/>
    <w:rsid w:val="000D0BD7"/>
    <w:rsid w:val="000D2E3C"/>
    <w:rsid w:val="000D34CA"/>
    <w:rsid w:val="000E53BA"/>
    <w:rsid w:val="000E7D9A"/>
    <w:rsid w:val="000F10C9"/>
    <w:rsid w:val="000F3657"/>
    <w:rsid w:val="000F478E"/>
    <w:rsid w:val="000F5F40"/>
    <w:rsid w:val="001037BB"/>
    <w:rsid w:val="001072AD"/>
    <w:rsid w:val="00107ACD"/>
    <w:rsid w:val="001149CC"/>
    <w:rsid w:val="00116211"/>
    <w:rsid w:val="00126727"/>
    <w:rsid w:val="001332D6"/>
    <w:rsid w:val="0013624A"/>
    <w:rsid w:val="00136BCA"/>
    <w:rsid w:val="0014169A"/>
    <w:rsid w:val="00143D16"/>
    <w:rsid w:val="00144601"/>
    <w:rsid w:val="00146096"/>
    <w:rsid w:val="00155803"/>
    <w:rsid w:val="001559C2"/>
    <w:rsid w:val="00161B4C"/>
    <w:rsid w:val="0016230F"/>
    <w:rsid w:val="00165FFC"/>
    <w:rsid w:val="00166FF5"/>
    <w:rsid w:val="00192279"/>
    <w:rsid w:val="00194E39"/>
    <w:rsid w:val="001A24AA"/>
    <w:rsid w:val="001A56B6"/>
    <w:rsid w:val="001A7B69"/>
    <w:rsid w:val="001B25C9"/>
    <w:rsid w:val="001B353A"/>
    <w:rsid w:val="001C2C08"/>
    <w:rsid w:val="001D2FA6"/>
    <w:rsid w:val="001D5B08"/>
    <w:rsid w:val="001E7FD7"/>
    <w:rsid w:val="001F59CE"/>
    <w:rsid w:val="001F602C"/>
    <w:rsid w:val="0020077D"/>
    <w:rsid w:val="002023B8"/>
    <w:rsid w:val="00213A5B"/>
    <w:rsid w:val="00224C0E"/>
    <w:rsid w:val="002256F4"/>
    <w:rsid w:val="00231529"/>
    <w:rsid w:val="00244C69"/>
    <w:rsid w:val="00253AD5"/>
    <w:rsid w:val="00253FB6"/>
    <w:rsid w:val="0026573A"/>
    <w:rsid w:val="00267319"/>
    <w:rsid w:val="002722D4"/>
    <w:rsid w:val="00272821"/>
    <w:rsid w:val="00273FF9"/>
    <w:rsid w:val="00275E8B"/>
    <w:rsid w:val="00277BB3"/>
    <w:rsid w:val="002832CB"/>
    <w:rsid w:val="0029064B"/>
    <w:rsid w:val="002953D9"/>
    <w:rsid w:val="00297407"/>
    <w:rsid w:val="00297922"/>
    <w:rsid w:val="002A1119"/>
    <w:rsid w:val="002A2D62"/>
    <w:rsid w:val="002A43E3"/>
    <w:rsid w:val="002A4C3A"/>
    <w:rsid w:val="002A5100"/>
    <w:rsid w:val="002A68A0"/>
    <w:rsid w:val="002A6F88"/>
    <w:rsid w:val="002B6177"/>
    <w:rsid w:val="002C057A"/>
    <w:rsid w:val="002C327F"/>
    <w:rsid w:val="002D3141"/>
    <w:rsid w:val="002D6614"/>
    <w:rsid w:val="002D668A"/>
    <w:rsid w:val="002D6932"/>
    <w:rsid w:val="002D7125"/>
    <w:rsid w:val="002E36F6"/>
    <w:rsid w:val="002E3B3E"/>
    <w:rsid w:val="002E7CDE"/>
    <w:rsid w:val="002F3D1F"/>
    <w:rsid w:val="002F491C"/>
    <w:rsid w:val="0030061C"/>
    <w:rsid w:val="00307FD1"/>
    <w:rsid w:val="0031127B"/>
    <w:rsid w:val="003120D3"/>
    <w:rsid w:val="0031395D"/>
    <w:rsid w:val="003171F0"/>
    <w:rsid w:val="003226F7"/>
    <w:rsid w:val="003232E4"/>
    <w:rsid w:val="00327404"/>
    <w:rsid w:val="003331CF"/>
    <w:rsid w:val="0033523A"/>
    <w:rsid w:val="00340642"/>
    <w:rsid w:val="00340A07"/>
    <w:rsid w:val="003431BB"/>
    <w:rsid w:val="00343737"/>
    <w:rsid w:val="003453DB"/>
    <w:rsid w:val="00347663"/>
    <w:rsid w:val="00355304"/>
    <w:rsid w:val="003608E0"/>
    <w:rsid w:val="00364000"/>
    <w:rsid w:val="003669E7"/>
    <w:rsid w:val="00370B91"/>
    <w:rsid w:val="00372C3F"/>
    <w:rsid w:val="00373A85"/>
    <w:rsid w:val="0038288E"/>
    <w:rsid w:val="00390E3D"/>
    <w:rsid w:val="00393FF4"/>
    <w:rsid w:val="00395C45"/>
    <w:rsid w:val="00395C86"/>
    <w:rsid w:val="003A1379"/>
    <w:rsid w:val="003A1FDB"/>
    <w:rsid w:val="003A7F94"/>
    <w:rsid w:val="003B2105"/>
    <w:rsid w:val="003B59FD"/>
    <w:rsid w:val="003C0A81"/>
    <w:rsid w:val="003C1CB7"/>
    <w:rsid w:val="003C42B5"/>
    <w:rsid w:val="003D013E"/>
    <w:rsid w:val="003D3105"/>
    <w:rsid w:val="003D3777"/>
    <w:rsid w:val="003D6517"/>
    <w:rsid w:val="003E1FA5"/>
    <w:rsid w:val="003E3F73"/>
    <w:rsid w:val="003E492B"/>
    <w:rsid w:val="003F34D9"/>
    <w:rsid w:val="003F71AA"/>
    <w:rsid w:val="003F7D15"/>
    <w:rsid w:val="0040097B"/>
    <w:rsid w:val="00401CFE"/>
    <w:rsid w:val="00402574"/>
    <w:rsid w:val="004061E9"/>
    <w:rsid w:val="00406A9C"/>
    <w:rsid w:val="00416FDC"/>
    <w:rsid w:val="00417156"/>
    <w:rsid w:val="00423A00"/>
    <w:rsid w:val="00424213"/>
    <w:rsid w:val="00453341"/>
    <w:rsid w:val="00462B29"/>
    <w:rsid w:val="004633FE"/>
    <w:rsid w:val="004641EA"/>
    <w:rsid w:val="00465909"/>
    <w:rsid w:val="00467ADF"/>
    <w:rsid w:val="00470CEB"/>
    <w:rsid w:val="004754F6"/>
    <w:rsid w:val="00475AEB"/>
    <w:rsid w:val="00477CCF"/>
    <w:rsid w:val="00481134"/>
    <w:rsid w:val="00482CB8"/>
    <w:rsid w:val="00483433"/>
    <w:rsid w:val="004851E2"/>
    <w:rsid w:val="00491D8F"/>
    <w:rsid w:val="004951E2"/>
    <w:rsid w:val="0049716C"/>
    <w:rsid w:val="004A1A3B"/>
    <w:rsid w:val="004A7E4E"/>
    <w:rsid w:val="004B1789"/>
    <w:rsid w:val="004B3A6A"/>
    <w:rsid w:val="004B6B21"/>
    <w:rsid w:val="004C392D"/>
    <w:rsid w:val="004C4D8B"/>
    <w:rsid w:val="004C6DDE"/>
    <w:rsid w:val="004D1350"/>
    <w:rsid w:val="004D1692"/>
    <w:rsid w:val="004D7550"/>
    <w:rsid w:val="004E2E5A"/>
    <w:rsid w:val="004E6BD5"/>
    <w:rsid w:val="004E7A7B"/>
    <w:rsid w:val="004E7F5C"/>
    <w:rsid w:val="004F418D"/>
    <w:rsid w:val="004F62CB"/>
    <w:rsid w:val="004F7726"/>
    <w:rsid w:val="004F78CE"/>
    <w:rsid w:val="0050383F"/>
    <w:rsid w:val="005039DD"/>
    <w:rsid w:val="00506562"/>
    <w:rsid w:val="00521627"/>
    <w:rsid w:val="005243B8"/>
    <w:rsid w:val="00525833"/>
    <w:rsid w:val="00530FEF"/>
    <w:rsid w:val="0053117E"/>
    <w:rsid w:val="0053485D"/>
    <w:rsid w:val="00536A71"/>
    <w:rsid w:val="0054627C"/>
    <w:rsid w:val="00564A2E"/>
    <w:rsid w:val="00565E0A"/>
    <w:rsid w:val="00567FA4"/>
    <w:rsid w:val="0057467A"/>
    <w:rsid w:val="00580A1A"/>
    <w:rsid w:val="00585093"/>
    <w:rsid w:val="00590940"/>
    <w:rsid w:val="005912E8"/>
    <w:rsid w:val="00597873"/>
    <w:rsid w:val="005A4BEE"/>
    <w:rsid w:val="005A5A65"/>
    <w:rsid w:val="005A5D3C"/>
    <w:rsid w:val="005B1065"/>
    <w:rsid w:val="005B3981"/>
    <w:rsid w:val="005B4F02"/>
    <w:rsid w:val="005C1F2C"/>
    <w:rsid w:val="005C500B"/>
    <w:rsid w:val="005C64A1"/>
    <w:rsid w:val="005D3782"/>
    <w:rsid w:val="005D64DF"/>
    <w:rsid w:val="005E0A61"/>
    <w:rsid w:val="005E1A87"/>
    <w:rsid w:val="005E4202"/>
    <w:rsid w:val="005F3248"/>
    <w:rsid w:val="005F545E"/>
    <w:rsid w:val="005F7CBD"/>
    <w:rsid w:val="00604046"/>
    <w:rsid w:val="00607C24"/>
    <w:rsid w:val="00611865"/>
    <w:rsid w:val="00614A7F"/>
    <w:rsid w:val="006246F9"/>
    <w:rsid w:val="00625045"/>
    <w:rsid w:val="00630119"/>
    <w:rsid w:val="00630618"/>
    <w:rsid w:val="006332F7"/>
    <w:rsid w:val="00663FAA"/>
    <w:rsid w:val="00664C99"/>
    <w:rsid w:val="00667B8B"/>
    <w:rsid w:val="006721F1"/>
    <w:rsid w:val="006726AD"/>
    <w:rsid w:val="00672ECB"/>
    <w:rsid w:val="006774CF"/>
    <w:rsid w:val="00677CE0"/>
    <w:rsid w:val="00682D55"/>
    <w:rsid w:val="006871BC"/>
    <w:rsid w:val="0069264D"/>
    <w:rsid w:val="00692FBE"/>
    <w:rsid w:val="006934F0"/>
    <w:rsid w:val="006967F0"/>
    <w:rsid w:val="00696988"/>
    <w:rsid w:val="006A2A3B"/>
    <w:rsid w:val="006A4402"/>
    <w:rsid w:val="006A53D5"/>
    <w:rsid w:val="006A60BC"/>
    <w:rsid w:val="006A7AC5"/>
    <w:rsid w:val="006B431A"/>
    <w:rsid w:val="006C25ED"/>
    <w:rsid w:val="006C36F6"/>
    <w:rsid w:val="006D29DD"/>
    <w:rsid w:val="006D7232"/>
    <w:rsid w:val="006E3150"/>
    <w:rsid w:val="006E6274"/>
    <w:rsid w:val="006E706A"/>
    <w:rsid w:val="007047A7"/>
    <w:rsid w:val="00707720"/>
    <w:rsid w:val="00710EBB"/>
    <w:rsid w:val="00717E96"/>
    <w:rsid w:val="00724870"/>
    <w:rsid w:val="00730B07"/>
    <w:rsid w:val="00730C22"/>
    <w:rsid w:val="0073558F"/>
    <w:rsid w:val="00735AFF"/>
    <w:rsid w:val="007416B5"/>
    <w:rsid w:val="007425E9"/>
    <w:rsid w:val="00742868"/>
    <w:rsid w:val="00744CB5"/>
    <w:rsid w:val="00745F3F"/>
    <w:rsid w:val="00752446"/>
    <w:rsid w:val="007545C9"/>
    <w:rsid w:val="00760F38"/>
    <w:rsid w:val="00772D35"/>
    <w:rsid w:val="007739D0"/>
    <w:rsid w:val="00773A8F"/>
    <w:rsid w:val="00775D14"/>
    <w:rsid w:val="007767F3"/>
    <w:rsid w:val="00784C84"/>
    <w:rsid w:val="00786DB3"/>
    <w:rsid w:val="00790515"/>
    <w:rsid w:val="007A1117"/>
    <w:rsid w:val="007A3720"/>
    <w:rsid w:val="007A49B0"/>
    <w:rsid w:val="007B3908"/>
    <w:rsid w:val="007B7595"/>
    <w:rsid w:val="007C0C23"/>
    <w:rsid w:val="007C4A04"/>
    <w:rsid w:val="007C573F"/>
    <w:rsid w:val="007C6541"/>
    <w:rsid w:val="007D176B"/>
    <w:rsid w:val="007D7F35"/>
    <w:rsid w:val="007E17B2"/>
    <w:rsid w:val="007F1407"/>
    <w:rsid w:val="007F67B2"/>
    <w:rsid w:val="00804B8B"/>
    <w:rsid w:val="00820C67"/>
    <w:rsid w:val="0082378E"/>
    <w:rsid w:val="00837A0A"/>
    <w:rsid w:val="00841FBA"/>
    <w:rsid w:val="008420E6"/>
    <w:rsid w:val="00846EF5"/>
    <w:rsid w:val="008615F8"/>
    <w:rsid w:val="00864348"/>
    <w:rsid w:val="00867AC4"/>
    <w:rsid w:val="00870020"/>
    <w:rsid w:val="00870490"/>
    <w:rsid w:val="008715BB"/>
    <w:rsid w:val="00876949"/>
    <w:rsid w:val="00883731"/>
    <w:rsid w:val="00890350"/>
    <w:rsid w:val="00890D07"/>
    <w:rsid w:val="00895552"/>
    <w:rsid w:val="00895DDA"/>
    <w:rsid w:val="008965AC"/>
    <w:rsid w:val="00896E3D"/>
    <w:rsid w:val="008974A3"/>
    <w:rsid w:val="008A38CC"/>
    <w:rsid w:val="008A6CC4"/>
    <w:rsid w:val="008B0213"/>
    <w:rsid w:val="008B0947"/>
    <w:rsid w:val="008C0502"/>
    <w:rsid w:val="008C7675"/>
    <w:rsid w:val="008D0140"/>
    <w:rsid w:val="008D1C2E"/>
    <w:rsid w:val="008D3851"/>
    <w:rsid w:val="008D4280"/>
    <w:rsid w:val="008E370C"/>
    <w:rsid w:val="008E46B0"/>
    <w:rsid w:val="008F212F"/>
    <w:rsid w:val="008F2475"/>
    <w:rsid w:val="009065F0"/>
    <w:rsid w:val="00914B9C"/>
    <w:rsid w:val="00915FFB"/>
    <w:rsid w:val="009202EC"/>
    <w:rsid w:val="00921E6F"/>
    <w:rsid w:val="00925590"/>
    <w:rsid w:val="00925EF5"/>
    <w:rsid w:val="009273D6"/>
    <w:rsid w:val="00931120"/>
    <w:rsid w:val="00933982"/>
    <w:rsid w:val="00934A1A"/>
    <w:rsid w:val="00940974"/>
    <w:rsid w:val="0095346C"/>
    <w:rsid w:val="009534EE"/>
    <w:rsid w:val="0095383E"/>
    <w:rsid w:val="00957EB2"/>
    <w:rsid w:val="0096302D"/>
    <w:rsid w:val="00963250"/>
    <w:rsid w:val="00964435"/>
    <w:rsid w:val="009645EC"/>
    <w:rsid w:val="009720BE"/>
    <w:rsid w:val="009749AB"/>
    <w:rsid w:val="0098059D"/>
    <w:rsid w:val="00981A2D"/>
    <w:rsid w:val="00982D37"/>
    <w:rsid w:val="009908A2"/>
    <w:rsid w:val="00995203"/>
    <w:rsid w:val="00995DC8"/>
    <w:rsid w:val="009A13F9"/>
    <w:rsid w:val="009A1C6A"/>
    <w:rsid w:val="009A4068"/>
    <w:rsid w:val="009B2E10"/>
    <w:rsid w:val="009B31CB"/>
    <w:rsid w:val="009B43FC"/>
    <w:rsid w:val="009B5851"/>
    <w:rsid w:val="009C0FC8"/>
    <w:rsid w:val="009C15DA"/>
    <w:rsid w:val="009C1D68"/>
    <w:rsid w:val="009C2908"/>
    <w:rsid w:val="009C56FD"/>
    <w:rsid w:val="009D07D8"/>
    <w:rsid w:val="009D1B58"/>
    <w:rsid w:val="009D4BDD"/>
    <w:rsid w:val="009D5137"/>
    <w:rsid w:val="009E571B"/>
    <w:rsid w:val="009E66D6"/>
    <w:rsid w:val="009F0618"/>
    <w:rsid w:val="009F2079"/>
    <w:rsid w:val="009F33FF"/>
    <w:rsid w:val="009F3956"/>
    <w:rsid w:val="009F52AC"/>
    <w:rsid w:val="00A03506"/>
    <w:rsid w:val="00A04A46"/>
    <w:rsid w:val="00A06853"/>
    <w:rsid w:val="00A103E8"/>
    <w:rsid w:val="00A10C8D"/>
    <w:rsid w:val="00A14A83"/>
    <w:rsid w:val="00A17AA3"/>
    <w:rsid w:val="00A17BE4"/>
    <w:rsid w:val="00A20625"/>
    <w:rsid w:val="00A31BF6"/>
    <w:rsid w:val="00A37C32"/>
    <w:rsid w:val="00A40979"/>
    <w:rsid w:val="00A521A9"/>
    <w:rsid w:val="00A533E0"/>
    <w:rsid w:val="00A56DCF"/>
    <w:rsid w:val="00A60B0B"/>
    <w:rsid w:val="00A6552C"/>
    <w:rsid w:val="00A67BFE"/>
    <w:rsid w:val="00A72627"/>
    <w:rsid w:val="00A7555C"/>
    <w:rsid w:val="00A77848"/>
    <w:rsid w:val="00A81B16"/>
    <w:rsid w:val="00A8492E"/>
    <w:rsid w:val="00A860F4"/>
    <w:rsid w:val="00A86F2C"/>
    <w:rsid w:val="00A875C7"/>
    <w:rsid w:val="00A91F61"/>
    <w:rsid w:val="00A948B2"/>
    <w:rsid w:val="00A94A80"/>
    <w:rsid w:val="00A9671D"/>
    <w:rsid w:val="00A97753"/>
    <w:rsid w:val="00AA229C"/>
    <w:rsid w:val="00AA401D"/>
    <w:rsid w:val="00AA553D"/>
    <w:rsid w:val="00AC1B0A"/>
    <w:rsid w:val="00AC3480"/>
    <w:rsid w:val="00AC3E08"/>
    <w:rsid w:val="00AC3F49"/>
    <w:rsid w:val="00AD423D"/>
    <w:rsid w:val="00AD6186"/>
    <w:rsid w:val="00AD755A"/>
    <w:rsid w:val="00AE2066"/>
    <w:rsid w:val="00AF270E"/>
    <w:rsid w:val="00AF6909"/>
    <w:rsid w:val="00B027CB"/>
    <w:rsid w:val="00B03743"/>
    <w:rsid w:val="00B03B9B"/>
    <w:rsid w:val="00B055F9"/>
    <w:rsid w:val="00B05A3C"/>
    <w:rsid w:val="00B12C99"/>
    <w:rsid w:val="00B13D30"/>
    <w:rsid w:val="00B16B36"/>
    <w:rsid w:val="00B176A3"/>
    <w:rsid w:val="00B21362"/>
    <w:rsid w:val="00B24FDE"/>
    <w:rsid w:val="00B33C9E"/>
    <w:rsid w:val="00B340FA"/>
    <w:rsid w:val="00B455A0"/>
    <w:rsid w:val="00B46AC8"/>
    <w:rsid w:val="00B501E8"/>
    <w:rsid w:val="00B535DB"/>
    <w:rsid w:val="00B5498F"/>
    <w:rsid w:val="00B55391"/>
    <w:rsid w:val="00B55408"/>
    <w:rsid w:val="00B56ADE"/>
    <w:rsid w:val="00B65212"/>
    <w:rsid w:val="00B6551E"/>
    <w:rsid w:val="00B80B23"/>
    <w:rsid w:val="00B828EE"/>
    <w:rsid w:val="00B842B0"/>
    <w:rsid w:val="00B854D2"/>
    <w:rsid w:val="00B92C51"/>
    <w:rsid w:val="00B93284"/>
    <w:rsid w:val="00B946D4"/>
    <w:rsid w:val="00BA5853"/>
    <w:rsid w:val="00BA6026"/>
    <w:rsid w:val="00BB01FB"/>
    <w:rsid w:val="00BB02A2"/>
    <w:rsid w:val="00BB0C85"/>
    <w:rsid w:val="00BB30AC"/>
    <w:rsid w:val="00BB5929"/>
    <w:rsid w:val="00BB6DD9"/>
    <w:rsid w:val="00BC10AC"/>
    <w:rsid w:val="00BC30F0"/>
    <w:rsid w:val="00BC316C"/>
    <w:rsid w:val="00BC7E9D"/>
    <w:rsid w:val="00BD4E98"/>
    <w:rsid w:val="00BE0CA6"/>
    <w:rsid w:val="00BE1E46"/>
    <w:rsid w:val="00BE29B7"/>
    <w:rsid w:val="00BF365C"/>
    <w:rsid w:val="00C048AA"/>
    <w:rsid w:val="00C04BD2"/>
    <w:rsid w:val="00C05659"/>
    <w:rsid w:val="00C06ABB"/>
    <w:rsid w:val="00C06FAC"/>
    <w:rsid w:val="00C1043F"/>
    <w:rsid w:val="00C116D2"/>
    <w:rsid w:val="00C132F4"/>
    <w:rsid w:val="00C15399"/>
    <w:rsid w:val="00C17230"/>
    <w:rsid w:val="00C2124A"/>
    <w:rsid w:val="00C2171C"/>
    <w:rsid w:val="00C258EA"/>
    <w:rsid w:val="00C30E0F"/>
    <w:rsid w:val="00C31F1E"/>
    <w:rsid w:val="00C34503"/>
    <w:rsid w:val="00C430CF"/>
    <w:rsid w:val="00C57AB0"/>
    <w:rsid w:val="00C641A2"/>
    <w:rsid w:val="00C64227"/>
    <w:rsid w:val="00C650D3"/>
    <w:rsid w:val="00C805F1"/>
    <w:rsid w:val="00C810E8"/>
    <w:rsid w:val="00C85E84"/>
    <w:rsid w:val="00C954BC"/>
    <w:rsid w:val="00C9710D"/>
    <w:rsid w:val="00CA4DB3"/>
    <w:rsid w:val="00CB0F0A"/>
    <w:rsid w:val="00CB38BB"/>
    <w:rsid w:val="00CC042D"/>
    <w:rsid w:val="00CC0D18"/>
    <w:rsid w:val="00CC35A0"/>
    <w:rsid w:val="00CC5146"/>
    <w:rsid w:val="00CC611E"/>
    <w:rsid w:val="00CD1D99"/>
    <w:rsid w:val="00CD24E3"/>
    <w:rsid w:val="00CD386A"/>
    <w:rsid w:val="00CE02D8"/>
    <w:rsid w:val="00CE387B"/>
    <w:rsid w:val="00CE7F8D"/>
    <w:rsid w:val="00CF39DB"/>
    <w:rsid w:val="00CF3F74"/>
    <w:rsid w:val="00CF4709"/>
    <w:rsid w:val="00CF4907"/>
    <w:rsid w:val="00D025F7"/>
    <w:rsid w:val="00D04D8B"/>
    <w:rsid w:val="00D11240"/>
    <w:rsid w:val="00D118F6"/>
    <w:rsid w:val="00D12EAF"/>
    <w:rsid w:val="00D21FC2"/>
    <w:rsid w:val="00D33B1C"/>
    <w:rsid w:val="00D34561"/>
    <w:rsid w:val="00D348B1"/>
    <w:rsid w:val="00D3619E"/>
    <w:rsid w:val="00D415F4"/>
    <w:rsid w:val="00D45F5F"/>
    <w:rsid w:val="00D57E04"/>
    <w:rsid w:val="00D65AF2"/>
    <w:rsid w:val="00D6723F"/>
    <w:rsid w:val="00D70F86"/>
    <w:rsid w:val="00D763AE"/>
    <w:rsid w:val="00D834C1"/>
    <w:rsid w:val="00D90538"/>
    <w:rsid w:val="00D942E3"/>
    <w:rsid w:val="00DA379A"/>
    <w:rsid w:val="00DA3ED8"/>
    <w:rsid w:val="00DA4235"/>
    <w:rsid w:val="00DC3B44"/>
    <w:rsid w:val="00DC5C79"/>
    <w:rsid w:val="00DD2B8C"/>
    <w:rsid w:val="00DD2FB5"/>
    <w:rsid w:val="00DD44D7"/>
    <w:rsid w:val="00DD6C1A"/>
    <w:rsid w:val="00DE4A73"/>
    <w:rsid w:val="00DF0EB9"/>
    <w:rsid w:val="00DF342D"/>
    <w:rsid w:val="00DF647B"/>
    <w:rsid w:val="00E0108D"/>
    <w:rsid w:val="00E059A2"/>
    <w:rsid w:val="00E16F40"/>
    <w:rsid w:val="00E20588"/>
    <w:rsid w:val="00E207E0"/>
    <w:rsid w:val="00E2273C"/>
    <w:rsid w:val="00E35997"/>
    <w:rsid w:val="00E4236A"/>
    <w:rsid w:val="00E42D3F"/>
    <w:rsid w:val="00E44670"/>
    <w:rsid w:val="00E45861"/>
    <w:rsid w:val="00E47040"/>
    <w:rsid w:val="00E50421"/>
    <w:rsid w:val="00E51307"/>
    <w:rsid w:val="00E54B94"/>
    <w:rsid w:val="00E57338"/>
    <w:rsid w:val="00E57CD0"/>
    <w:rsid w:val="00E65D70"/>
    <w:rsid w:val="00E70663"/>
    <w:rsid w:val="00E721F3"/>
    <w:rsid w:val="00E73124"/>
    <w:rsid w:val="00E8032F"/>
    <w:rsid w:val="00E81EAF"/>
    <w:rsid w:val="00E82B12"/>
    <w:rsid w:val="00E852D5"/>
    <w:rsid w:val="00E85452"/>
    <w:rsid w:val="00E93311"/>
    <w:rsid w:val="00E93EA9"/>
    <w:rsid w:val="00E97D79"/>
    <w:rsid w:val="00EA0E3A"/>
    <w:rsid w:val="00EA78E6"/>
    <w:rsid w:val="00EB18A9"/>
    <w:rsid w:val="00EB21B0"/>
    <w:rsid w:val="00EB314A"/>
    <w:rsid w:val="00EC094E"/>
    <w:rsid w:val="00EC1FDD"/>
    <w:rsid w:val="00EC2E7C"/>
    <w:rsid w:val="00EC5D7D"/>
    <w:rsid w:val="00EC5DE1"/>
    <w:rsid w:val="00ED1922"/>
    <w:rsid w:val="00ED6A20"/>
    <w:rsid w:val="00EE5DA4"/>
    <w:rsid w:val="00EE7EEF"/>
    <w:rsid w:val="00EF0E65"/>
    <w:rsid w:val="00EF1047"/>
    <w:rsid w:val="00EF236B"/>
    <w:rsid w:val="00EF5BDF"/>
    <w:rsid w:val="00EF5FCF"/>
    <w:rsid w:val="00F0173A"/>
    <w:rsid w:val="00F01F91"/>
    <w:rsid w:val="00F07ED8"/>
    <w:rsid w:val="00F07F78"/>
    <w:rsid w:val="00F1028F"/>
    <w:rsid w:val="00F11AE1"/>
    <w:rsid w:val="00F12C30"/>
    <w:rsid w:val="00F14364"/>
    <w:rsid w:val="00F16AB0"/>
    <w:rsid w:val="00F174CB"/>
    <w:rsid w:val="00F20353"/>
    <w:rsid w:val="00F22B99"/>
    <w:rsid w:val="00F27018"/>
    <w:rsid w:val="00F32F80"/>
    <w:rsid w:val="00F35C86"/>
    <w:rsid w:val="00F36719"/>
    <w:rsid w:val="00F468CB"/>
    <w:rsid w:val="00F50577"/>
    <w:rsid w:val="00F60003"/>
    <w:rsid w:val="00F631A9"/>
    <w:rsid w:val="00F66F07"/>
    <w:rsid w:val="00F67530"/>
    <w:rsid w:val="00F70F47"/>
    <w:rsid w:val="00F71562"/>
    <w:rsid w:val="00F730DB"/>
    <w:rsid w:val="00F819A7"/>
    <w:rsid w:val="00F830A2"/>
    <w:rsid w:val="00F927F7"/>
    <w:rsid w:val="00F96774"/>
    <w:rsid w:val="00F97421"/>
    <w:rsid w:val="00FA0969"/>
    <w:rsid w:val="00FA1A69"/>
    <w:rsid w:val="00FA2FD5"/>
    <w:rsid w:val="00FA35EB"/>
    <w:rsid w:val="00FA4770"/>
    <w:rsid w:val="00FB122B"/>
    <w:rsid w:val="00FB4881"/>
    <w:rsid w:val="00FB4B8F"/>
    <w:rsid w:val="00FB5872"/>
    <w:rsid w:val="00FC2832"/>
    <w:rsid w:val="00FD1FC4"/>
    <w:rsid w:val="00FD2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3732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975678"/>
  </w:style>
  <w:style w:type="character" w:customStyle="1" w:styleId="Heading3Char">
    <w:name w:val="Heading 3 Char"/>
    <w:link w:val="Heading3"/>
    <w:rsid w:val="007E32C5"/>
    <w:rPr>
      <w:rFonts w:ascii="Arial" w:eastAsia="SimSun" w:hAnsi="Arial" w:cs="Arial"/>
      <w:bCs/>
      <w:sz w:val="22"/>
      <w:szCs w:val="26"/>
      <w:u w:val="single"/>
      <w:lang w:val="en-US" w:eastAsia="zh-CN" w:bidi="ar-SA"/>
    </w:rPr>
  </w:style>
  <w:style w:type="paragraph" w:styleId="BalloonText">
    <w:name w:val="Balloon Text"/>
    <w:basedOn w:val="Normal"/>
    <w:semiHidden/>
    <w:rsid w:val="00194118"/>
    <w:rPr>
      <w:rFonts w:ascii="Tahoma" w:hAnsi="Tahoma" w:cs="Tahoma"/>
      <w:sz w:val="16"/>
      <w:szCs w:val="16"/>
    </w:rPr>
  </w:style>
  <w:style w:type="character" w:styleId="FollowedHyperlink">
    <w:name w:val="FollowedHyperlink"/>
    <w:rsid w:val="00BA28D1"/>
    <w:rPr>
      <w:color w:val="606420"/>
      <w:u w:val="single"/>
    </w:rPr>
  </w:style>
  <w:style w:type="character" w:styleId="CommentReference">
    <w:name w:val="annotation reference"/>
    <w:semiHidden/>
    <w:rsid w:val="00A93240"/>
    <w:rPr>
      <w:sz w:val="16"/>
      <w:szCs w:val="16"/>
    </w:rPr>
  </w:style>
  <w:style w:type="paragraph" w:styleId="CommentSubject">
    <w:name w:val="annotation subject"/>
    <w:basedOn w:val="CommentText"/>
    <w:next w:val="CommentText"/>
    <w:semiHidden/>
    <w:rsid w:val="00A93240"/>
    <w:rPr>
      <w:b/>
      <w:bCs/>
      <w:sz w:val="20"/>
    </w:rPr>
  </w:style>
  <w:style w:type="paragraph" w:styleId="DocumentMap">
    <w:name w:val="Document Map"/>
    <w:basedOn w:val="Normal"/>
    <w:semiHidden/>
    <w:rsid w:val="008974A3"/>
    <w:pPr>
      <w:shd w:val="clear" w:color="auto" w:fill="000080"/>
    </w:pPr>
    <w:rPr>
      <w:rFonts w:ascii="Tahoma" w:hAnsi="Tahoma" w:cs="Tahoma"/>
      <w:sz w:val="20"/>
    </w:rPr>
  </w:style>
  <w:style w:type="table" w:styleId="TableGrid">
    <w:name w:val="Table Grid"/>
    <w:basedOn w:val="TableNormal"/>
    <w:rsid w:val="00BA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A81"/>
    <w:pPr>
      <w:ind w:left="720"/>
    </w:pPr>
  </w:style>
  <w:style w:type="paragraph" w:styleId="Revision">
    <w:name w:val="Revision"/>
    <w:hidden/>
    <w:uiPriority w:val="99"/>
    <w:semiHidden/>
    <w:rsid w:val="007A49B0"/>
    <w:rPr>
      <w:rFonts w:ascii="Arial" w:eastAsia="SimSun" w:hAnsi="Arial" w:cs="Arial"/>
      <w:sz w:val="22"/>
      <w:lang w:val="en-US" w:eastAsia="zh-CN"/>
    </w:rPr>
  </w:style>
  <w:style w:type="character" w:styleId="Hyperlink">
    <w:name w:val="Hyperlink"/>
    <w:rsid w:val="00AD42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437327"/>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975678"/>
  </w:style>
  <w:style w:type="character" w:customStyle="1" w:styleId="Heading3Char">
    <w:name w:val="Heading 3 Char"/>
    <w:link w:val="Heading3"/>
    <w:rsid w:val="007E32C5"/>
    <w:rPr>
      <w:rFonts w:ascii="Arial" w:eastAsia="SimSun" w:hAnsi="Arial" w:cs="Arial"/>
      <w:bCs/>
      <w:sz w:val="22"/>
      <w:szCs w:val="26"/>
      <w:u w:val="single"/>
      <w:lang w:val="en-US" w:eastAsia="zh-CN" w:bidi="ar-SA"/>
    </w:rPr>
  </w:style>
  <w:style w:type="paragraph" w:styleId="BalloonText">
    <w:name w:val="Balloon Text"/>
    <w:basedOn w:val="Normal"/>
    <w:semiHidden/>
    <w:rsid w:val="00194118"/>
    <w:rPr>
      <w:rFonts w:ascii="Tahoma" w:hAnsi="Tahoma" w:cs="Tahoma"/>
      <w:sz w:val="16"/>
      <w:szCs w:val="16"/>
    </w:rPr>
  </w:style>
  <w:style w:type="character" w:styleId="FollowedHyperlink">
    <w:name w:val="FollowedHyperlink"/>
    <w:rsid w:val="00BA28D1"/>
    <w:rPr>
      <w:color w:val="606420"/>
      <w:u w:val="single"/>
    </w:rPr>
  </w:style>
  <w:style w:type="character" w:styleId="CommentReference">
    <w:name w:val="annotation reference"/>
    <w:semiHidden/>
    <w:rsid w:val="00A93240"/>
    <w:rPr>
      <w:sz w:val="16"/>
      <w:szCs w:val="16"/>
    </w:rPr>
  </w:style>
  <w:style w:type="paragraph" w:styleId="CommentSubject">
    <w:name w:val="annotation subject"/>
    <w:basedOn w:val="CommentText"/>
    <w:next w:val="CommentText"/>
    <w:semiHidden/>
    <w:rsid w:val="00A93240"/>
    <w:rPr>
      <w:b/>
      <w:bCs/>
      <w:sz w:val="20"/>
    </w:rPr>
  </w:style>
  <w:style w:type="paragraph" w:styleId="DocumentMap">
    <w:name w:val="Document Map"/>
    <w:basedOn w:val="Normal"/>
    <w:semiHidden/>
    <w:rsid w:val="008974A3"/>
    <w:pPr>
      <w:shd w:val="clear" w:color="auto" w:fill="000080"/>
    </w:pPr>
    <w:rPr>
      <w:rFonts w:ascii="Tahoma" w:hAnsi="Tahoma" w:cs="Tahoma"/>
      <w:sz w:val="20"/>
    </w:rPr>
  </w:style>
  <w:style w:type="table" w:styleId="TableGrid">
    <w:name w:val="Table Grid"/>
    <w:basedOn w:val="TableNormal"/>
    <w:rsid w:val="00BA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A81"/>
    <w:pPr>
      <w:ind w:left="720"/>
    </w:pPr>
  </w:style>
  <w:style w:type="paragraph" w:styleId="Revision">
    <w:name w:val="Revision"/>
    <w:hidden/>
    <w:uiPriority w:val="99"/>
    <w:semiHidden/>
    <w:rsid w:val="007A49B0"/>
    <w:rPr>
      <w:rFonts w:ascii="Arial" w:eastAsia="SimSun" w:hAnsi="Arial" w:cs="Arial"/>
      <w:sz w:val="22"/>
      <w:lang w:val="en-US" w:eastAsia="zh-CN"/>
    </w:rPr>
  </w:style>
  <w:style w:type="character" w:styleId="Hyperlink">
    <w:name w:val="Hyperlink"/>
    <w:rsid w:val="00AD4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2199">
      <w:bodyDiv w:val="1"/>
      <w:marLeft w:val="0"/>
      <w:marRight w:val="0"/>
      <w:marTop w:val="0"/>
      <w:marBottom w:val="0"/>
      <w:divBdr>
        <w:top w:val="none" w:sz="0" w:space="0" w:color="auto"/>
        <w:left w:val="none" w:sz="0" w:space="0" w:color="auto"/>
        <w:bottom w:val="none" w:sz="0" w:space="0" w:color="auto"/>
        <w:right w:val="none" w:sz="0" w:space="0" w:color="auto"/>
      </w:divBdr>
    </w:div>
    <w:div w:id="245263887">
      <w:bodyDiv w:val="1"/>
      <w:marLeft w:val="0"/>
      <w:marRight w:val="0"/>
      <w:marTop w:val="0"/>
      <w:marBottom w:val="0"/>
      <w:divBdr>
        <w:top w:val="none" w:sz="0" w:space="0" w:color="auto"/>
        <w:left w:val="none" w:sz="0" w:space="0" w:color="auto"/>
        <w:bottom w:val="none" w:sz="0" w:space="0" w:color="auto"/>
        <w:right w:val="none" w:sz="0" w:space="0" w:color="auto"/>
      </w:divBdr>
    </w:div>
    <w:div w:id="255525332">
      <w:bodyDiv w:val="1"/>
      <w:marLeft w:val="0"/>
      <w:marRight w:val="0"/>
      <w:marTop w:val="0"/>
      <w:marBottom w:val="0"/>
      <w:divBdr>
        <w:top w:val="none" w:sz="0" w:space="0" w:color="auto"/>
        <w:left w:val="none" w:sz="0" w:space="0" w:color="auto"/>
        <w:bottom w:val="none" w:sz="0" w:space="0" w:color="auto"/>
        <w:right w:val="none" w:sz="0" w:space="0" w:color="auto"/>
      </w:divBdr>
    </w:div>
    <w:div w:id="387801261">
      <w:bodyDiv w:val="1"/>
      <w:marLeft w:val="0"/>
      <w:marRight w:val="0"/>
      <w:marTop w:val="0"/>
      <w:marBottom w:val="0"/>
      <w:divBdr>
        <w:top w:val="none" w:sz="0" w:space="0" w:color="auto"/>
        <w:left w:val="none" w:sz="0" w:space="0" w:color="auto"/>
        <w:bottom w:val="none" w:sz="0" w:space="0" w:color="auto"/>
        <w:right w:val="none" w:sz="0" w:space="0" w:color="auto"/>
      </w:divBdr>
    </w:div>
    <w:div w:id="427892864">
      <w:bodyDiv w:val="1"/>
      <w:marLeft w:val="0"/>
      <w:marRight w:val="0"/>
      <w:marTop w:val="0"/>
      <w:marBottom w:val="0"/>
      <w:divBdr>
        <w:top w:val="none" w:sz="0" w:space="0" w:color="auto"/>
        <w:left w:val="none" w:sz="0" w:space="0" w:color="auto"/>
        <w:bottom w:val="none" w:sz="0" w:space="0" w:color="auto"/>
        <w:right w:val="none" w:sz="0" w:space="0" w:color="auto"/>
      </w:divBdr>
    </w:div>
    <w:div w:id="501701746">
      <w:bodyDiv w:val="1"/>
      <w:marLeft w:val="0"/>
      <w:marRight w:val="0"/>
      <w:marTop w:val="0"/>
      <w:marBottom w:val="0"/>
      <w:divBdr>
        <w:top w:val="none" w:sz="0" w:space="0" w:color="auto"/>
        <w:left w:val="none" w:sz="0" w:space="0" w:color="auto"/>
        <w:bottom w:val="none" w:sz="0" w:space="0" w:color="auto"/>
        <w:right w:val="none" w:sz="0" w:space="0" w:color="auto"/>
      </w:divBdr>
    </w:div>
    <w:div w:id="664744515">
      <w:bodyDiv w:val="1"/>
      <w:marLeft w:val="0"/>
      <w:marRight w:val="0"/>
      <w:marTop w:val="0"/>
      <w:marBottom w:val="0"/>
      <w:divBdr>
        <w:top w:val="none" w:sz="0" w:space="0" w:color="auto"/>
        <w:left w:val="none" w:sz="0" w:space="0" w:color="auto"/>
        <w:bottom w:val="none" w:sz="0" w:space="0" w:color="auto"/>
        <w:right w:val="none" w:sz="0" w:space="0" w:color="auto"/>
      </w:divBdr>
    </w:div>
    <w:div w:id="668794922">
      <w:bodyDiv w:val="1"/>
      <w:marLeft w:val="0"/>
      <w:marRight w:val="0"/>
      <w:marTop w:val="0"/>
      <w:marBottom w:val="0"/>
      <w:divBdr>
        <w:top w:val="none" w:sz="0" w:space="0" w:color="auto"/>
        <w:left w:val="none" w:sz="0" w:space="0" w:color="auto"/>
        <w:bottom w:val="none" w:sz="0" w:space="0" w:color="auto"/>
        <w:right w:val="none" w:sz="0" w:space="0" w:color="auto"/>
      </w:divBdr>
    </w:div>
    <w:div w:id="698359353">
      <w:bodyDiv w:val="1"/>
      <w:marLeft w:val="0"/>
      <w:marRight w:val="0"/>
      <w:marTop w:val="0"/>
      <w:marBottom w:val="0"/>
      <w:divBdr>
        <w:top w:val="none" w:sz="0" w:space="0" w:color="auto"/>
        <w:left w:val="none" w:sz="0" w:space="0" w:color="auto"/>
        <w:bottom w:val="none" w:sz="0" w:space="0" w:color="auto"/>
        <w:right w:val="none" w:sz="0" w:space="0" w:color="auto"/>
      </w:divBdr>
    </w:div>
    <w:div w:id="725497506">
      <w:bodyDiv w:val="1"/>
      <w:marLeft w:val="0"/>
      <w:marRight w:val="0"/>
      <w:marTop w:val="0"/>
      <w:marBottom w:val="0"/>
      <w:divBdr>
        <w:top w:val="none" w:sz="0" w:space="0" w:color="auto"/>
        <w:left w:val="none" w:sz="0" w:space="0" w:color="auto"/>
        <w:bottom w:val="none" w:sz="0" w:space="0" w:color="auto"/>
        <w:right w:val="none" w:sz="0" w:space="0" w:color="auto"/>
      </w:divBdr>
    </w:div>
    <w:div w:id="746612682">
      <w:bodyDiv w:val="1"/>
      <w:marLeft w:val="0"/>
      <w:marRight w:val="0"/>
      <w:marTop w:val="0"/>
      <w:marBottom w:val="0"/>
      <w:divBdr>
        <w:top w:val="none" w:sz="0" w:space="0" w:color="auto"/>
        <w:left w:val="none" w:sz="0" w:space="0" w:color="auto"/>
        <w:bottom w:val="none" w:sz="0" w:space="0" w:color="auto"/>
        <w:right w:val="none" w:sz="0" w:space="0" w:color="auto"/>
      </w:divBdr>
    </w:div>
    <w:div w:id="765617449">
      <w:bodyDiv w:val="1"/>
      <w:marLeft w:val="0"/>
      <w:marRight w:val="0"/>
      <w:marTop w:val="0"/>
      <w:marBottom w:val="0"/>
      <w:divBdr>
        <w:top w:val="none" w:sz="0" w:space="0" w:color="auto"/>
        <w:left w:val="none" w:sz="0" w:space="0" w:color="auto"/>
        <w:bottom w:val="none" w:sz="0" w:space="0" w:color="auto"/>
        <w:right w:val="none" w:sz="0" w:space="0" w:color="auto"/>
      </w:divBdr>
    </w:div>
    <w:div w:id="797991088">
      <w:bodyDiv w:val="1"/>
      <w:marLeft w:val="0"/>
      <w:marRight w:val="0"/>
      <w:marTop w:val="0"/>
      <w:marBottom w:val="0"/>
      <w:divBdr>
        <w:top w:val="none" w:sz="0" w:space="0" w:color="auto"/>
        <w:left w:val="none" w:sz="0" w:space="0" w:color="auto"/>
        <w:bottom w:val="none" w:sz="0" w:space="0" w:color="auto"/>
        <w:right w:val="none" w:sz="0" w:space="0" w:color="auto"/>
      </w:divBdr>
    </w:div>
    <w:div w:id="874662265">
      <w:bodyDiv w:val="1"/>
      <w:marLeft w:val="0"/>
      <w:marRight w:val="0"/>
      <w:marTop w:val="0"/>
      <w:marBottom w:val="0"/>
      <w:divBdr>
        <w:top w:val="none" w:sz="0" w:space="0" w:color="auto"/>
        <w:left w:val="none" w:sz="0" w:space="0" w:color="auto"/>
        <w:bottom w:val="none" w:sz="0" w:space="0" w:color="auto"/>
        <w:right w:val="none" w:sz="0" w:space="0" w:color="auto"/>
      </w:divBdr>
    </w:div>
    <w:div w:id="1045645585">
      <w:bodyDiv w:val="1"/>
      <w:marLeft w:val="0"/>
      <w:marRight w:val="0"/>
      <w:marTop w:val="0"/>
      <w:marBottom w:val="0"/>
      <w:divBdr>
        <w:top w:val="none" w:sz="0" w:space="0" w:color="auto"/>
        <w:left w:val="none" w:sz="0" w:space="0" w:color="auto"/>
        <w:bottom w:val="none" w:sz="0" w:space="0" w:color="auto"/>
        <w:right w:val="none" w:sz="0" w:space="0" w:color="auto"/>
      </w:divBdr>
    </w:div>
    <w:div w:id="1095707747">
      <w:bodyDiv w:val="1"/>
      <w:marLeft w:val="0"/>
      <w:marRight w:val="0"/>
      <w:marTop w:val="0"/>
      <w:marBottom w:val="0"/>
      <w:divBdr>
        <w:top w:val="none" w:sz="0" w:space="0" w:color="auto"/>
        <w:left w:val="none" w:sz="0" w:space="0" w:color="auto"/>
        <w:bottom w:val="none" w:sz="0" w:space="0" w:color="auto"/>
        <w:right w:val="none" w:sz="0" w:space="0" w:color="auto"/>
      </w:divBdr>
    </w:div>
    <w:div w:id="1168519355">
      <w:bodyDiv w:val="1"/>
      <w:marLeft w:val="0"/>
      <w:marRight w:val="0"/>
      <w:marTop w:val="0"/>
      <w:marBottom w:val="0"/>
      <w:divBdr>
        <w:top w:val="none" w:sz="0" w:space="0" w:color="auto"/>
        <w:left w:val="none" w:sz="0" w:space="0" w:color="auto"/>
        <w:bottom w:val="none" w:sz="0" w:space="0" w:color="auto"/>
        <w:right w:val="none" w:sz="0" w:space="0" w:color="auto"/>
      </w:divBdr>
    </w:div>
    <w:div w:id="1452550779">
      <w:bodyDiv w:val="1"/>
      <w:marLeft w:val="0"/>
      <w:marRight w:val="0"/>
      <w:marTop w:val="0"/>
      <w:marBottom w:val="0"/>
      <w:divBdr>
        <w:top w:val="none" w:sz="0" w:space="0" w:color="auto"/>
        <w:left w:val="none" w:sz="0" w:space="0" w:color="auto"/>
        <w:bottom w:val="none" w:sz="0" w:space="0" w:color="auto"/>
        <w:right w:val="none" w:sz="0" w:space="0" w:color="auto"/>
      </w:divBdr>
    </w:div>
    <w:div w:id="1458177445">
      <w:bodyDiv w:val="1"/>
      <w:marLeft w:val="0"/>
      <w:marRight w:val="0"/>
      <w:marTop w:val="0"/>
      <w:marBottom w:val="0"/>
      <w:divBdr>
        <w:top w:val="none" w:sz="0" w:space="0" w:color="auto"/>
        <w:left w:val="none" w:sz="0" w:space="0" w:color="auto"/>
        <w:bottom w:val="none" w:sz="0" w:space="0" w:color="auto"/>
        <w:right w:val="none" w:sz="0" w:space="0" w:color="auto"/>
      </w:divBdr>
    </w:div>
    <w:div w:id="1473058756">
      <w:bodyDiv w:val="1"/>
      <w:marLeft w:val="0"/>
      <w:marRight w:val="0"/>
      <w:marTop w:val="0"/>
      <w:marBottom w:val="0"/>
      <w:divBdr>
        <w:top w:val="none" w:sz="0" w:space="0" w:color="auto"/>
        <w:left w:val="none" w:sz="0" w:space="0" w:color="auto"/>
        <w:bottom w:val="none" w:sz="0" w:space="0" w:color="auto"/>
        <w:right w:val="none" w:sz="0" w:space="0" w:color="auto"/>
      </w:divBdr>
    </w:div>
    <w:div w:id="1630238796">
      <w:bodyDiv w:val="1"/>
      <w:marLeft w:val="0"/>
      <w:marRight w:val="0"/>
      <w:marTop w:val="0"/>
      <w:marBottom w:val="0"/>
      <w:divBdr>
        <w:top w:val="none" w:sz="0" w:space="0" w:color="auto"/>
        <w:left w:val="none" w:sz="0" w:space="0" w:color="auto"/>
        <w:bottom w:val="none" w:sz="0" w:space="0" w:color="auto"/>
        <w:right w:val="none" w:sz="0" w:space="0" w:color="auto"/>
      </w:divBdr>
    </w:div>
    <w:div w:id="1641108317">
      <w:bodyDiv w:val="1"/>
      <w:marLeft w:val="0"/>
      <w:marRight w:val="0"/>
      <w:marTop w:val="0"/>
      <w:marBottom w:val="0"/>
      <w:divBdr>
        <w:top w:val="none" w:sz="0" w:space="0" w:color="auto"/>
        <w:left w:val="none" w:sz="0" w:space="0" w:color="auto"/>
        <w:bottom w:val="none" w:sz="0" w:space="0" w:color="auto"/>
        <w:right w:val="none" w:sz="0" w:space="0" w:color="auto"/>
      </w:divBdr>
    </w:div>
    <w:div w:id="1642728035">
      <w:bodyDiv w:val="1"/>
      <w:marLeft w:val="0"/>
      <w:marRight w:val="0"/>
      <w:marTop w:val="0"/>
      <w:marBottom w:val="0"/>
      <w:divBdr>
        <w:top w:val="none" w:sz="0" w:space="0" w:color="auto"/>
        <w:left w:val="none" w:sz="0" w:space="0" w:color="auto"/>
        <w:bottom w:val="none" w:sz="0" w:space="0" w:color="auto"/>
        <w:right w:val="none" w:sz="0" w:space="0" w:color="auto"/>
      </w:divBdr>
    </w:div>
    <w:div w:id="1743597333">
      <w:bodyDiv w:val="1"/>
      <w:marLeft w:val="0"/>
      <w:marRight w:val="0"/>
      <w:marTop w:val="0"/>
      <w:marBottom w:val="0"/>
      <w:divBdr>
        <w:top w:val="none" w:sz="0" w:space="0" w:color="auto"/>
        <w:left w:val="none" w:sz="0" w:space="0" w:color="auto"/>
        <w:bottom w:val="none" w:sz="0" w:space="0" w:color="auto"/>
        <w:right w:val="none" w:sz="0" w:space="0" w:color="auto"/>
      </w:divBdr>
    </w:div>
    <w:div w:id="1815023853">
      <w:bodyDiv w:val="1"/>
      <w:marLeft w:val="0"/>
      <w:marRight w:val="0"/>
      <w:marTop w:val="0"/>
      <w:marBottom w:val="0"/>
      <w:divBdr>
        <w:top w:val="none" w:sz="0" w:space="0" w:color="auto"/>
        <w:left w:val="none" w:sz="0" w:space="0" w:color="auto"/>
        <w:bottom w:val="none" w:sz="0" w:space="0" w:color="auto"/>
        <w:right w:val="none" w:sz="0" w:space="0" w:color="auto"/>
      </w:divBdr>
    </w:div>
    <w:div w:id="1826781293">
      <w:bodyDiv w:val="1"/>
      <w:marLeft w:val="0"/>
      <w:marRight w:val="0"/>
      <w:marTop w:val="0"/>
      <w:marBottom w:val="0"/>
      <w:divBdr>
        <w:top w:val="none" w:sz="0" w:space="0" w:color="auto"/>
        <w:left w:val="none" w:sz="0" w:space="0" w:color="auto"/>
        <w:bottom w:val="none" w:sz="0" w:space="0" w:color="auto"/>
        <w:right w:val="none" w:sz="0" w:space="0" w:color="auto"/>
      </w:divBdr>
    </w:div>
    <w:div w:id="1903130767">
      <w:bodyDiv w:val="1"/>
      <w:marLeft w:val="0"/>
      <w:marRight w:val="0"/>
      <w:marTop w:val="0"/>
      <w:marBottom w:val="0"/>
      <w:divBdr>
        <w:top w:val="none" w:sz="0" w:space="0" w:color="auto"/>
        <w:left w:val="none" w:sz="0" w:space="0" w:color="auto"/>
        <w:bottom w:val="none" w:sz="0" w:space="0" w:color="auto"/>
        <w:right w:val="none" w:sz="0" w:space="0" w:color="auto"/>
      </w:divBdr>
    </w:div>
    <w:div w:id="2002653720">
      <w:bodyDiv w:val="1"/>
      <w:marLeft w:val="0"/>
      <w:marRight w:val="0"/>
      <w:marTop w:val="0"/>
      <w:marBottom w:val="0"/>
      <w:divBdr>
        <w:top w:val="none" w:sz="0" w:space="0" w:color="auto"/>
        <w:left w:val="none" w:sz="0" w:space="0" w:color="auto"/>
        <w:bottom w:val="none" w:sz="0" w:space="0" w:color="auto"/>
        <w:right w:val="none" w:sz="0" w:space="0" w:color="auto"/>
      </w:divBdr>
    </w:div>
    <w:div w:id="214716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160A-EB1F-4A1A-9A86-1C508DAE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2393</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MM/A/44/3</vt:lpstr>
    </vt:vector>
  </TitlesOfParts>
  <Company>WIPO</Company>
  <LinksUpToDate>false</LinksUpToDate>
  <CharactersWithSpaces>14990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MM/A/44/3</dc:title>
  <dc:creator>Coutantic</dc:creator>
  <cp:keywords>JCH/mhf</cp:keywords>
  <cp:lastModifiedBy>MARIN-CUDRAZ DAVI Nicoletta</cp:lastModifiedBy>
  <cp:revision>8</cp:revision>
  <cp:lastPrinted>2015-06-25T14:06:00Z</cp:lastPrinted>
  <dcterms:created xsi:type="dcterms:W3CDTF">2015-06-25T13:29:00Z</dcterms:created>
  <dcterms:modified xsi:type="dcterms:W3CDTF">2015-07-02T07:55:00Z</dcterms:modified>
</cp:coreProperties>
</file>