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6F523" w14:textId="77777777" w:rsidR="008B2CC1" w:rsidRPr="00012F37" w:rsidRDefault="00DB0349" w:rsidP="00C962C9">
      <w:pPr>
        <w:spacing w:after="120"/>
        <w:jc w:val="right"/>
        <w:rPr>
          <w:lang w:val="fr-FR"/>
        </w:rPr>
      </w:pPr>
      <w:r w:rsidRPr="00012F37">
        <w:rPr>
          <w:noProof/>
          <w:lang w:val="fr-FR" w:eastAsia="fr-CH"/>
        </w:rPr>
        <w:drawing>
          <wp:inline distT="0" distB="0" distL="0" distR="0" wp14:anchorId="18538A39" wp14:editId="57EA710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012F37">
        <w:rPr>
          <w:rFonts w:ascii="Arial Black" w:hAnsi="Arial Black"/>
          <w:caps/>
          <w:noProof/>
          <w:sz w:val="15"/>
          <w:szCs w:val="15"/>
          <w:lang w:val="fr-FR" w:eastAsia="fr-CH"/>
        </w:rPr>
        <mc:AlternateContent>
          <mc:Choice Requires="wps">
            <w:drawing>
              <wp:inline distT="0" distB="0" distL="0" distR="0" wp14:anchorId="57FF7FA6" wp14:editId="7FD0D62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806B9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90716C8" w14:textId="285487E0" w:rsidR="008B2CC1" w:rsidRPr="00012F37" w:rsidRDefault="000843D8" w:rsidP="00C962C9">
      <w:pPr>
        <w:jc w:val="right"/>
        <w:rPr>
          <w:rFonts w:ascii="Arial Black" w:hAnsi="Arial Black"/>
          <w:caps/>
          <w:sz w:val="15"/>
          <w:szCs w:val="15"/>
          <w:lang w:val="fr-FR"/>
        </w:rPr>
      </w:pPr>
      <w:r w:rsidRPr="00012F37">
        <w:rPr>
          <w:rFonts w:ascii="Arial Black" w:hAnsi="Arial Black"/>
          <w:caps/>
          <w:sz w:val="15"/>
          <w:szCs w:val="15"/>
          <w:lang w:val="fr-FR"/>
        </w:rPr>
        <w:t>LI/A/4</w:t>
      </w:r>
      <w:r w:rsidR="008536CA" w:rsidRPr="00012F37">
        <w:rPr>
          <w:rFonts w:ascii="Arial Black" w:hAnsi="Arial Black"/>
          <w:caps/>
          <w:sz w:val="15"/>
          <w:szCs w:val="15"/>
          <w:lang w:val="fr-FR"/>
        </w:rPr>
        <w:t>2</w:t>
      </w:r>
      <w:r w:rsidRPr="00012F37">
        <w:rPr>
          <w:rFonts w:ascii="Arial Black" w:hAnsi="Arial Black"/>
          <w:caps/>
          <w:sz w:val="15"/>
          <w:szCs w:val="15"/>
          <w:lang w:val="fr-FR"/>
        </w:rPr>
        <w:t>/</w:t>
      </w:r>
      <w:bookmarkStart w:id="0" w:name="Code"/>
      <w:bookmarkEnd w:id="0"/>
      <w:r w:rsidR="00716513" w:rsidRPr="00012F37">
        <w:rPr>
          <w:rFonts w:ascii="Arial Black" w:hAnsi="Arial Black"/>
          <w:caps/>
          <w:sz w:val="15"/>
          <w:szCs w:val="15"/>
          <w:lang w:val="fr-FR"/>
        </w:rPr>
        <w:t>3</w:t>
      </w:r>
    </w:p>
    <w:p w14:paraId="3001D30B" w14:textId="4F7D3B4E" w:rsidR="008B2CC1" w:rsidRPr="00012F37" w:rsidRDefault="00DB0349" w:rsidP="00C962C9">
      <w:pPr>
        <w:jc w:val="right"/>
        <w:rPr>
          <w:rFonts w:ascii="Arial Black" w:hAnsi="Arial Black"/>
          <w:caps/>
          <w:sz w:val="15"/>
          <w:szCs w:val="15"/>
          <w:lang w:val="fr-FR"/>
        </w:rPr>
      </w:pPr>
      <w:r w:rsidRPr="00012F37">
        <w:rPr>
          <w:rFonts w:ascii="Arial Black" w:hAnsi="Arial Black"/>
          <w:caps/>
          <w:sz w:val="15"/>
          <w:szCs w:val="15"/>
          <w:lang w:val="fr-FR"/>
        </w:rPr>
        <w:t>Original</w:t>
      </w:r>
      <w:r w:rsidR="007E7DAC" w:rsidRPr="00012F37">
        <w:rPr>
          <w:rFonts w:ascii="Arial Black" w:hAnsi="Arial Black"/>
          <w:caps/>
          <w:sz w:val="15"/>
          <w:szCs w:val="15"/>
          <w:lang w:val="fr-FR"/>
        </w:rPr>
        <w:t> :</w:t>
      </w:r>
      <w:r w:rsidRPr="00012F37">
        <w:rPr>
          <w:rFonts w:ascii="Arial Black" w:hAnsi="Arial Black"/>
          <w:caps/>
          <w:sz w:val="15"/>
          <w:szCs w:val="15"/>
          <w:lang w:val="fr-FR"/>
        </w:rPr>
        <w:t xml:space="preserve"> </w:t>
      </w:r>
      <w:bookmarkStart w:id="1" w:name="Original"/>
      <w:r w:rsidR="00716513" w:rsidRPr="00012F37">
        <w:rPr>
          <w:rFonts w:ascii="Arial Black" w:hAnsi="Arial Black"/>
          <w:caps/>
          <w:sz w:val="15"/>
          <w:szCs w:val="15"/>
          <w:lang w:val="fr-FR"/>
        </w:rPr>
        <w:t>anglais</w:t>
      </w:r>
    </w:p>
    <w:bookmarkEnd w:id="1"/>
    <w:p w14:paraId="510A2569" w14:textId="3C4F16DE" w:rsidR="008B2CC1" w:rsidRPr="00012F37" w:rsidRDefault="00DB0349" w:rsidP="00C962C9">
      <w:pPr>
        <w:spacing w:after="1200"/>
        <w:jc w:val="right"/>
        <w:rPr>
          <w:rFonts w:ascii="Arial Black" w:hAnsi="Arial Black"/>
          <w:caps/>
          <w:sz w:val="15"/>
          <w:szCs w:val="15"/>
          <w:lang w:val="fr-FR"/>
        </w:rPr>
      </w:pPr>
      <w:r w:rsidRPr="00012F37">
        <w:rPr>
          <w:rFonts w:ascii="Arial Black" w:hAnsi="Arial Black"/>
          <w:caps/>
          <w:sz w:val="15"/>
          <w:szCs w:val="15"/>
          <w:lang w:val="fr-FR"/>
        </w:rPr>
        <w:t>date</w:t>
      </w:r>
      <w:r w:rsidR="007E7DAC" w:rsidRPr="00012F37">
        <w:rPr>
          <w:rFonts w:ascii="Arial Black" w:hAnsi="Arial Black"/>
          <w:caps/>
          <w:sz w:val="15"/>
          <w:szCs w:val="15"/>
          <w:lang w:val="fr-FR"/>
        </w:rPr>
        <w:t> :</w:t>
      </w:r>
      <w:r w:rsidRPr="00012F37">
        <w:rPr>
          <w:rFonts w:ascii="Arial Black" w:hAnsi="Arial Black"/>
          <w:caps/>
          <w:sz w:val="15"/>
          <w:szCs w:val="15"/>
          <w:lang w:val="fr-FR"/>
        </w:rPr>
        <w:t xml:space="preserve"> </w:t>
      </w:r>
      <w:bookmarkStart w:id="2" w:name="Date"/>
      <w:r w:rsidR="00C962C9">
        <w:rPr>
          <w:rFonts w:ascii="Arial Black" w:hAnsi="Arial Black"/>
          <w:caps/>
          <w:sz w:val="15"/>
          <w:szCs w:val="15"/>
          <w:lang w:val="fr-FR"/>
        </w:rPr>
        <w:t>25 septembre</w:t>
      </w:r>
      <w:r w:rsidR="007E7DAC" w:rsidRPr="00012F37">
        <w:rPr>
          <w:rFonts w:ascii="Arial Black" w:hAnsi="Arial Black"/>
          <w:caps/>
          <w:sz w:val="15"/>
          <w:szCs w:val="15"/>
          <w:lang w:val="fr-FR"/>
        </w:rPr>
        <w:t> 20</w:t>
      </w:r>
      <w:r w:rsidR="00716513" w:rsidRPr="00012F37">
        <w:rPr>
          <w:rFonts w:ascii="Arial Black" w:hAnsi="Arial Black"/>
          <w:caps/>
          <w:sz w:val="15"/>
          <w:szCs w:val="15"/>
          <w:lang w:val="fr-FR"/>
        </w:rPr>
        <w:t>25</w:t>
      </w:r>
    </w:p>
    <w:bookmarkEnd w:id="2"/>
    <w:p w14:paraId="0D4A13E0" w14:textId="30B7F5AA" w:rsidR="00C40E15" w:rsidRPr="00012F37" w:rsidRDefault="00276E11" w:rsidP="00C962C9">
      <w:pPr>
        <w:spacing w:after="600"/>
        <w:rPr>
          <w:b/>
          <w:sz w:val="28"/>
          <w:szCs w:val="28"/>
          <w:lang w:val="fr-FR"/>
        </w:rPr>
      </w:pPr>
      <w:r w:rsidRPr="00012F37">
        <w:rPr>
          <w:b/>
          <w:sz w:val="28"/>
          <w:lang w:val="fr-FR"/>
        </w:rPr>
        <w:t>Union particulière pour la protection des appellations d</w:t>
      </w:r>
      <w:r w:rsidR="007E7DAC" w:rsidRPr="00012F37">
        <w:rPr>
          <w:b/>
          <w:sz w:val="28"/>
          <w:lang w:val="fr-FR"/>
        </w:rPr>
        <w:t>’</w:t>
      </w:r>
      <w:r w:rsidRPr="00012F37">
        <w:rPr>
          <w:b/>
          <w:sz w:val="28"/>
          <w:lang w:val="fr-FR"/>
        </w:rPr>
        <w:t>origine et leur enregistrement international (Union de Lisbonne</w:t>
      </w:r>
      <w:r w:rsidRPr="00012F37">
        <w:rPr>
          <w:b/>
          <w:sz w:val="28"/>
          <w:szCs w:val="28"/>
          <w:lang w:val="fr-FR"/>
        </w:rPr>
        <w:t>)</w:t>
      </w:r>
    </w:p>
    <w:p w14:paraId="6DE92CF9" w14:textId="77777777" w:rsidR="003845C1" w:rsidRPr="00012F37" w:rsidRDefault="00C40E15" w:rsidP="00C962C9">
      <w:pPr>
        <w:spacing w:after="720"/>
        <w:rPr>
          <w:b/>
          <w:sz w:val="28"/>
          <w:szCs w:val="28"/>
          <w:lang w:val="fr-FR"/>
        </w:rPr>
      </w:pPr>
      <w:r w:rsidRPr="00012F37">
        <w:rPr>
          <w:b/>
          <w:sz w:val="28"/>
          <w:szCs w:val="28"/>
          <w:lang w:val="fr-FR"/>
        </w:rPr>
        <w:t>Assemblée</w:t>
      </w:r>
    </w:p>
    <w:p w14:paraId="256F39EE" w14:textId="7925A425" w:rsidR="008B2CC1" w:rsidRPr="00012F37" w:rsidRDefault="00276E11" w:rsidP="00C962C9">
      <w:pPr>
        <w:rPr>
          <w:b/>
          <w:sz w:val="24"/>
          <w:szCs w:val="24"/>
          <w:lang w:val="fr-FR"/>
        </w:rPr>
      </w:pPr>
      <w:r w:rsidRPr="00012F37">
        <w:rPr>
          <w:b/>
          <w:sz w:val="24"/>
          <w:szCs w:val="24"/>
          <w:lang w:val="fr-FR"/>
        </w:rPr>
        <w:t>Quarant</w:t>
      </w:r>
      <w:r w:rsidR="008536CA" w:rsidRPr="00012F37">
        <w:rPr>
          <w:b/>
          <w:sz w:val="24"/>
          <w:szCs w:val="24"/>
          <w:lang w:val="fr-FR"/>
        </w:rPr>
        <w:t>e</w:t>
      </w:r>
      <w:r w:rsidR="00143286" w:rsidRPr="00012F37">
        <w:rPr>
          <w:b/>
          <w:sz w:val="24"/>
          <w:szCs w:val="24"/>
          <w:lang w:val="fr-FR"/>
        </w:rPr>
        <w:noBreakHyphen/>
      </w:r>
      <w:r w:rsidR="008536CA" w:rsidRPr="00012F37">
        <w:rPr>
          <w:b/>
          <w:sz w:val="24"/>
          <w:szCs w:val="24"/>
          <w:lang w:val="fr-FR"/>
        </w:rPr>
        <w:t>deux</w:t>
      </w:r>
      <w:r w:rsidR="007E7DAC" w:rsidRPr="00012F37">
        <w:rPr>
          <w:b/>
          <w:sz w:val="24"/>
          <w:szCs w:val="24"/>
          <w:lang w:val="fr-FR"/>
        </w:rPr>
        <w:t>ième session</w:t>
      </w:r>
      <w:r w:rsidRPr="00012F37">
        <w:rPr>
          <w:b/>
          <w:sz w:val="24"/>
          <w:szCs w:val="24"/>
          <w:lang w:val="fr-FR"/>
        </w:rPr>
        <w:t xml:space="preserve"> (2</w:t>
      </w:r>
      <w:r w:rsidR="008536CA" w:rsidRPr="00012F37">
        <w:rPr>
          <w:b/>
          <w:sz w:val="24"/>
          <w:szCs w:val="24"/>
          <w:lang w:val="fr-FR"/>
        </w:rPr>
        <w:t>6</w:t>
      </w:r>
      <w:r w:rsidRPr="00012F37">
        <w:rPr>
          <w:b/>
          <w:sz w:val="24"/>
          <w:szCs w:val="24"/>
          <w:vertAlign w:val="superscript"/>
          <w:lang w:val="fr-FR"/>
        </w:rPr>
        <w:t>e</w:t>
      </w:r>
      <w:r w:rsidRPr="00012F37">
        <w:rPr>
          <w:b/>
          <w:sz w:val="24"/>
          <w:szCs w:val="24"/>
          <w:lang w:val="fr-FR"/>
        </w:rPr>
        <w:t xml:space="preserve"> session ordinaire)</w:t>
      </w:r>
    </w:p>
    <w:p w14:paraId="370E2179" w14:textId="45C09D0F" w:rsidR="008B2CC1" w:rsidRPr="00012F37" w:rsidRDefault="00276E11" w:rsidP="00C962C9">
      <w:pPr>
        <w:spacing w:after="720"/>
        <w:rPr>
          <w:b/>
          <w:sz w:val="24"/>
          <w:szCs w:val="24"/>
          <w:lang w:val="fr-FR"/>
        </w:rPr>
      </w:pPr>
      <w:r w:rsidRPr="00012F37">
        <w:rPr>
          <w:b/>
          <w:sz w:val="24"/>
          <w:szCs w:val="24"/>
          <w:lang w:val="fr-FR"/>
        </w:rPr>
        <w:t xml:space="preserve">Genève, </w:t>
      </w:r>
      <w:r w:rsidR="008536CA" w:rsidRPr="00012F37">
        <w:rPr>
          <w:b/>
          <w:sz w:val="24"/>
          <w:szCs w:val="24"/>
          <w:lang w:val="fr-FR"/>
        </w:rPr>
        <w:t>8</w:t>
      </w:r>
      <w:r w:rsidRPr="00012F37">
        <w:rPr>
          <w:b/>
          <w:sz w:val="24"/>
          <w:szCs w:val="24"/>
          <w:lang w:val="fr-FR"/>
        </w:rPr>
        <w:t xml:space="preserve"> – 1</w:t>
      </w:r>
      <w:r w:rsidR="007E7DAC" w:rsidRPr="00012F37">
        <w:rPr>
          <w:b/>
          <w:sz w:val="24"/>
          <w:szCs w:val="24"/>
          <w:lang w:val="fr-FR"/>
        </w:rPr>
        <w:t>7 juillet 20</w:t>
      </w:r>
      <w:r w:rsidRPr="00012F37">
        <w:rPr>
          <w:b/>
          <w:sz w:val="24"/>
          <w:szCs w:val="24"/>
          <w:lang w:val="fr-FR"/>
        </w:rPr>
        <w:t>2</w:t>
      </w:r>
      <w:r w:rsidR="008536CA" w:rsidRPr="00012F37">
        <w:rPr>
          <w:b/>
          <w:sz w:val="24"/>
          <w:szCs w:val="24"/>
          <w:lang w:val="fr-FR"/>
        </w:rPr>
        <w:t>5</w:t>
      </w:r>
    </w:p>
    <w:p w14:paraId="3426F9C5" w14:textId="297B9713" w:rsidR="008B2CC1" w:rsidRPr="00012F37" w:rsidRDefault="00C962C9" w:rsidP="00C962C9">
      <w:pPr>
        <w:spacing w:after="360"/>
        <w:rPr>
          <w:caps/>
          <w:sz w:val="24"/>
          <w:lang w:val="fr-FR"/>
        </w:rPr>
      </w:pPr>
      <w:bookmarkStart w:id="3" w:name="TitleOfDoc"/>
      <w:r>
        <w:rPr>
          <w:caps/>
          <w:sz w:val="24"/>
          <w:lang w:val="fr-FR"/>
        </w:rPr>
        <w:t>R</w:t>
      </w:r>
      <w:r w:rsidR="00716513" w:rsidRPr="00012F37">
        <w:rPr>
          <w:caps/>
          <w:sz w:val="24"/>
          <w:lang w:val="fr-FR"/>
        </w:rPr>
        <w:t>apport</w:t>
      </w:r>
    </w:p>
    <w:p w14:paraId="5648DA19" w14:textId="7EFC3AB3" w:rsidR="00525B63" w:rsidRPr="00F9788B" w:rsidRDefault="00C962C9" w:rsidP="00C962C9">
      <w:pPr>
        <w:spacing w:after="960"/>
        <w:rPr>
          <w:i/>
          <w:iCs/>
          <w:lang w:val="fr-FR"/>
        </w:rPr>
      </w:pPr>
      <w:bookmarkStart w:id="4" w:name="Prepared"/>
      <w:bookmarkEnd w:id="3"/>
      <w:proofErr w:type="gramStart"/>
      <w:r>
        <w:rPr>
          <w:i/>
          <w:iCs/>
          <w:lang w:val="fr-FR"/>
        </w:rPr>
        <w:t>adopt</w:t>
      </w:r>
      <w:r w:rsidR="00716513" w:rsidRPr="00F9788B">
        <w:rPr>
          <w:i/>
          <w:iCs/>
          <w:lang w:val="fr-FR"/>
        </w:rPr>
        <w:t>é</w:t>
      </w:r>
      <w:proofErr w:type="gramEnd"/>
      <w:r w:rsidR="00716513" w:rsidRPr="00F9788B">
        <w:rPr>
          <w:i/>
          <w:iCs/>
          <w:lang w:val="fr-FR"/>
        </w:rPr>
        <w:t xml:space="preserve"> par l</w:t>
      </w:r>
      <w:r>
        <w:rPr>
          <w:i/>
          <w:iCs/>
          <w:lang w:val="fr-FR"/>
        </w:rPr>
        <w:t>’assemblée</w:t>
      </w:r>
    </w:p>
    <w:bookmarkEnd w:id="4"/>
    <w:p w14:paraId="36475AB8" w14:textId="4A267D1C" w:rsidR="00716513" w:rsidRPr="00012F37" w:rsidRDefault="00716513" w:rsidP="00C962C9">
      <w:pPr>
        <w:pStyle w:val="ONUMFS"/>
        <w:rPr>
          <w:lang w:val="fr-FR"/>
        </w:rPr>
      </w:pPr>
      <w:r w:rsidRPr="00012F37">
        <w:rPr>
          <w:lang w:val="fr-FR"/>
        </w:rPr>
        <w:t>L</w:t>
      </w:r>
      <w:r w:rsidR="007E7DAC" w:rsidRPr="00012F37">
        <w:rPr>
          <w:lang w:val="fr-FR"/>
        </w:rPr>
        <w:t>’</w:t>
      </w:r>
      <w:r w:rsidRPr="00012F37">
        <w:rPr>
          <w:lang w:val="fr-FR"/>
        </w:rPr>
        <w:t>assemblée avait à examiner les points suivants de l</w:t>
      </w:r>
      <w:r w:rsidR="007E7DAC" w:rsidRPr="00012F37">
        <w:rPr>
          <w:lang w:val="fr-FR"/>
        </w:rPr>
        <w:t>’</w:t>
      </w:r>
      <w:r w:rsidRPr="00012F37">
        <w:rPr>
          <w:lang w:val="fr-FR"/>
        </w:rPr>
        <w:t>ordre du jour unifié (document </w:t>
      </w:r>
      <w:hyperlink r:id="rId12" w:history="1">
        <w:r w:rsidRPr="00C962C9">
          <w:rPr>
            <w:rStyle w:val="Hyperlink"/>
            <w:lang w:val="fr-FR"/>
          </w:rPr>
          <w:t>A/66/1</w:t>
        </w:r>
      </w:hyperlink>
      <w:r w:rsidRPr="00012F37">
        <w:rPr>
          <w:lang w:val="fr-FR"/>
        </w:rPr>
        <w:t>)</w:t>
      </w:r>
      <w:r w:rsidR="007E7DAC" w:rsidRPr="00012F37">
        <w:rPr>
          <w:lang w:val="fr-FR"/>
        </w:rPr>
        <w:t> :</w:t>
      </w:r>
      <w:r w:rsidRPr="00012F37">
        <w:rPr>
          <w:lang w:val="fr-FR"/>
        </w:rPr>
        <w:t xml:space="preserve"> 1 à</w:t>
      </w:r>
      <w:r w:rsidR="00F9788B">
        <w:rPr>
          <w:lang w:val="fr-FR"/>
        </w:rPr>
        <w:t> </w:t>
      </w:r>
      <w:r w:rsidRPr="00012F37">
        <w:rPr>
          <w:lang w:val="fr-FR"/>
        </w:rPr>
        <w:t>7, 10.ii), 11, 15, 20, 23 et 24</w:t>
      </w:r>
      <w:r w:rsidR="00F9788B">
        <w:rPr>
          <w:lang w:val="fr-FR"/>
        </w:rPr>
        <w:t>.</w:t>
      </w:r>
    </w:p>
    <w:p w14:paraId="6A701936" w14:textId="00E21254" w:rsidR="00716513" w:rsidRPr="00012F37" w:rsidRDefault="00716513" w:rsidP="00C962C9">
      <w:pPr>
        <w:pStyle w:val="ONUMFS"/>
        <w:rPr>
          <w:lang w:val="fr-FR"/>
        </w:rPr>
      </w:pPr>
      <w:r w:rsidRPr="00012F37">
        <w:rPr>
          <w:lang w:val="fr-FR"/>
        </w:rPr>
        <w:t>Les rapports sur ces points, à l</w:t>
      </w:r>
      <w:r w:rsidR="007E7DAC" w:rsidRPr="00012F37">
        <w:rPr>
          <w:lang w:val="fr-FR"/>
        </w:rPr>
        <w:t>’</w:t>
      </w:r>
      <w:r w:rsidRPr="00012F37">
        <w:rPr>
          <w:lang w:val="fr-FR"/>
        </w:rPr>
        <w:t>exception du point 15, figurent dans le rapport général (document A/66/11).</w:t>
      </w:r>
    </w:p>
    <w:p w14:paraId="69841AAF" w14:textId="77777777" w:rsidR="00716513" w:rsidRPr="00012F37" w:rsidRDefault="00716513" w:rsidP="00C962C9">
      <w:pPr>
        <w:pStyle w:val="ONUMFS"/>
        <w:rPr>
          <w:lang w:val="fr-FR"/>
        </w:rPr>
      </w:pPr>
      <w:r w:rsidRPr="00012F37">
        <w:rPr>
          <w:lang w:val="fr-FR"/>
        </w:rPr>
        <w:t>Le rapport sur le point 15 figure dans le présent document.</w:t>
      </w:r>
    </w:p>
    <w:p w14:paraId="0C00A543" w14:textId="4B452C3F" w:rsidR="008267CB" w:rsidRPr="00012F37" w:rsidRDefault="00716513" w:rsidP="00C962C9">
      <w:pPr>
        <w:pStyle w:val="ONUMFS"/>
        <w:rPr>
          <w:lang w:val="fr-FR"/>
        </w:rPr>
      </w:pPr>
      <w:r w:rsidRPr="00012F37">
        <w:rPr>
          <w:lang w:val="fr-FR"/>
        </w:rPr>
        <w:t>Mme Grace </w:t>
      </w:r>
      <w:proofErr w:type="spellStart"/>
      <w:r w:rsidRPr="00012F37">
        <w:rPr>
          <w:lang w:val="fr-FR"/>
        </w:rPr>
        <w:t>Issahaque</w:t>
      </w:r>
      <w:proofErr w:type="spellEnd"/>
      <w:r w:rsidRPr="00012F37">
        <w:rPr>
          <w:lang w:val="fr-FR"/>
        </w:rPr>
        <w:t xml:space="preserve"> (Ghana), vice</w:t>
      </w:r>
      <w:r w:rsidR="00143286" w:rsidRPr="00012F37">
        <w:rPr>
          <w:lang w:val="fr-FR"/>
        </w:rPr>
        <w:noBreakHyphen/>
      </w:r>
      <w:r w:rsidRPr="00012F37">
        <w:rPr>
          <w:lang w:val="fr-FR"/>
        </w:rPr>
        <w:t>présidente de l</w:t>
      </w:r>
      <w:r w:rsidR="007E7DAC" w:rsidRPr="00012F37">
        <w:rPr>
          <w:lang w:val="fr-FR"/>
        </w:rPr>
        <w:t>’</w:t>
      </w:r>
      <w:r w:rsidRPr="00012F37">
        <w:rPr>
          <w:lang w:val="fr-FR"/>
        </w:rPr>
        <w:t>Assemblée de l</w:t>
      </w:r>
      <w:r w:rsidR="007E7DAC" w:rsidRPr="00012F37">
        <w:rPr>
          <w:lang w:val="fr-FR"/>
        </w:rPr>
        <w:t>’</w:t>
      </w:r>
      <w:r w:rsidRPr="00012F37">
        <w:rPr>
          <w:lang w:val="fr-FR"/>
        </w:rPr>
        <w:t>Union de Lisbonne</w:t>
      </w:r>
      <w:r w:rsidRPr="00012F37">
        <w:rPr>
          <w:color w:val="000000" w:themeColor="text1"/>
          <w:lang w:val="fr-FR"/>
        </w:rPr>
        <w:t>, a présidé la réunion</w:t>
      </w:r>
      <w:r w:rsidRPr="00012F37">
        <w:rPr>
          <w:lang w:val="fr-FR"/>
        </w:rPr>
        <w:t xml:space="preserve"> en l</w:t>
      </w:r>
      <w:r w:rsidR="007E7DAC" w:rsidRPr="00012F37">
        <w:rPr>
          <w:lang w:val="fr-FR"/>
        </w:rPr>
        <w:t>’</w:t>
      </w:r>
      <w:r w:rsidRPr="00012F37">
        <w:rPr>
          <w:lang w:val="fr-FR"/>
        </w:rPr>
        <w:t>absence de M. </w:t>
      </w:r>
      <w:proofErr w:type="spellStart"/>
      <w:r w:rsidRPr="00012F37">
        <w:rPr>
          <w:lang w:val="fr-FR"/>
        </w:rPr>
        <w:t>Matúš</w:t>
      </w:r>
      <w:proofErr w:type="spellEnd"/>
      <w:r w:rsidRPr="00012F37">
        <w:rPr>
          <w:lang w:val="fr-FR"/>
        </w:rPr>
        <w:t> </w:t>
      </w:r>
      <w:proofErr w:type="spellStart"/>
      <w:r w:rsidRPr="00012F37">
        <w:rPr>
          <w:lang w:val="fr-FR"/>
        </w:rPr>
        <w:t>Medvec</w:t>
      </w:r>
      <w:proofErr w:type="spellEnd"/>
      <w:r w:rsidRPr="00012F37">
        <w:rPr>
          <w:lang w:val="fr-FR"/>
        </w:rPr>
        <w:t xml:space="preserve"> (Slovaquie), président de l</w:t>
      </w:r>
      <w:r w:rsidR="007E7DAC" w:rsidRPr="00012F37">
        <w:rPr>
          <w:lang w:val="fr-FR"/>
        </w:rPr>
        <w:t>’</w:t>
      </w:r>
      <w:r w:rsidRPr="00012F37">
        <w:rPr>
          <w:lang w:val="fr-FR"/>
        </w:rPr>
        <w:t>Assemblée de l</w:t>
      </w:r>
      <w:r w:rsidR="007E7DAC" w:rsidRPr="00012F37">
        <w:rPr>
          <w:lang w:val="fr-FR"/>
        </w:rPr>
        <w:t>’</w:t>
      </w:r>
      <w:r w:rsidRPr="00012F37">
        <w:rPr>
          <w:lang w:val="fr-FR"/>
        </w:rPr>
        <w:t>Union de Lisbonne</w:t>
      </w:r>
      <w:r w:rsidR="008267CB" w:rsidRPr="00012F37">
        <w:rPr>
          <w:lang w:val="fr-FR"/>
        </w:rPr>
        <w:t>.</w:t>
      </w:r>
    </w:p>
    <w:p w14:paraId="543F5FC9" w14:textId="251BCD7F" w:rsidR="00716513" w:rsidRPr="00012F37" w:rsidRDefault="008267CB" w:rsidP="00C962C9">
      <w:pPr>
        <w:rPr>
          <w:lang w:val="fr-FR"/>
        </w:rPr>
      </w:pPr>
      <w:r w:rsidRPr="00012F37">
        <w:rPr>
          <w:lang w:val="fr-FR"/>
        </w:rPr>
        <w:br w:type="page"/>
      </w:r>
    </w:p>
    <w:p w14:paraId="53B85AA2" w14:textId="18FB9B85" w:rsidR="00716513" w:rsidRPr="00012F37" w:rsidRDefault="009547C4" w:rsidP="00C962C9">
      <w:pPr>
        <w:pStyle w:val="Heading2"/>
        <w:spacing w:line="600" w:lineRule="auto"/>
        <w:rPr>
          <w:lang w:val="fr-FR"/>
        </w:rPr>
      </w:pPr>
      <w:r w:rsidRPr="00012F37">
        <w:rPr>
          <w:lang w:val="fr-FR"/>
        </w:rPr>
        <w:lastRenderedPageBreak/>
        <w:t>Point 15 de l</w:t>
      </w:r>
      <w:r w:rsidR="007E7DAC" w:rsidRPr="00012F37">
        <w:rPr>
          <w:lang w:val="fr-FR"/>
        </w:rPr>
        <w:t>’</w:t>
      </w:r>
      <w:r w:rsidRPr="00012F37">
        <w:rPr>
          <w:lang w:val="fr-FR"/>
        </w:rPr>
        <w:t xml:space="preserve">ordre du jour unifié </w:t>
      </w:r>
      <w:r w:rsidRPr="00012F37">
        <w:rPr>
          <w:lang w:val="fr-FR"/>
        </w:rPr>
        <w:br/>
        <w:t>Système de Lisbonne</w:t>
      </w:r>
    </w:p>
    <w:p w14:paraId="6279CCD8" w14:textId="6B05ADA7" w:rsidR="00716513" w:rsidRPr="00012F37" w:rsidRDefault="00716513" w:rsidP="00C962C9">
      <w:pPr>
        <w:pStyle w:val="ONUMFS"/>
        <w:rPr>
          <w:lang w:val="fr-FR"/>
        </w:rPr>
      </w:pPr>
      <w:r w:rsidRPr="00012F37">
        <w:rPr>
          <w:lang w:val="fr-FR"/>
        </w:rPr>
        <w:t>Les délibérations ont eu lieu sur la base des documents </w:t>
      </w:r>
      <w:hyperlink r:id="rId13" w:tgtFrame="_blank" w:history="1">
        <w:r w:rsidRPr="00012F37">
          <w:rPr>
            <w:rStyle w:val="Hyperlink"/>
            <w:lang w:val="fr-FR"/>
          </w:rPr>
          <w:t>LI/A/42/1</w:t>
        </w:r>
      </w:hyperlink>
      <w:r w:rsidRPr="00012F37">
        <w:rPr>
          <w:lang w:val="fr-FR"/>
        </w:rPr>
        <w:t xml:space="preserve"> et </w:t>
      </w:r>
      <w:hyperlink r:id="rId14" w:tgtFrame="_blank" w:history="1">
        <w:r w:rsidRPr="00012F37">
          <w:rPr>
            <w:rStyle w:val="Hyperlink"/>
            <w:lang w:val="fr-FR"/>
          </w:rPr>
          <w:t>LI/A/42/2</w:t>
        </w:r>
      </w:hyperlink>
      <w:r w:rsidRPr="00012F37">
        <w:rPr>
          <w:lang w:val="fr-FR"/>
        </w:rPr>
        <w:t>.</w:t>
      </w:r>
    </w:p>
    <w:p w14:paraId="75B46C0F" w14:textId="45F00A31" w:rsidR="00716513" w:rsidRPr="00012F37" w:rsidRDefault="00716513" w:rsidP="00C962C9">
      <w:pPr>
        <w:pStyle w:val="ONUMFS"/>
        <w:rPr>
          <w:lang w:val="fr-FR"/>
        </w:rPr>
      </w:pPr>
      <w:r w:rsidRPr="00012F37">
        <w:rPr>
          <w:lang w:val="fr-FR"/>
        </w:rPr>
        <w:t>La vice</w:t>
      </w:r>
      <w:r w:rsidR="00143286" w:rsidRPr="00012F37">
        <w:rPr>
          <w:lang w:val="fr-FR"/>
        </w:rPr>
        <w:noBreakHyphen/>
      </w:r>
      <w:r w:rsidRPr="00012F37">
        <w:rPr>
          <w:lang w:val="fr-FR"/>
        </w:rPr>
        <w:t>présidente de l</w:t>
      </w:r>
      <w:r w:rsidR="007E7DAC" w:rsidRPr="00012F37">
        <w:rPr>
          <w:lang w:val="fr-FR"/>
        </w:rPr>
        <w:t>’</w:t>
      </w:r>
      <w:r w:rsidRPr="00012F37">
        <w:rPr>
          <w:lang w:val="fr-FR"/>
        </w:rPr>
        <w:t>Assemblée de l</w:t>
      </w:r>
      <w:r w:rsidR="007E7DAC" w:rsidRPr="00012F37">
        <w:rPr>
          <w:lang w:val="fr-FR"/>
        </w:rPr>
        <w:t>’</w:t>
      </w:r>
      <w:r w:rsidRPr="00012F37">
        <w:rPr>
          <w:lang w:val="fr-FR"/>
        </w:rPr>
        <w:t xml:space="preserve">Union de Lisbonne, qui </w:t>
      </w:r>
      <w:r w:rsidRPr="00012F37">
        <w:rPr>
          <w:color w:val="000000" w:themeColor="text1"/>
          <w:lang w:val="fr-FR"/>
        </w:rPr>
        <w:t xml:space="preserve">présidait la réunion </w:t>
      </w:r>
      <w:r w:rsidRPr="00012F37">
        <w:rPr>
          <w:lang w:val="fr-FR"/>
        </w:rPr>
        <w:t>en qualité de présidente (ci</w:t>
      </w:r>
      <w:r w:rsidR="00143286" w:rsidRPr="00012F37">
        <w:rPr>
          <w:lang w:val="fr-FR"/>
        </w:rPr>
        <w:noBreakHyphen/>
      </w:r>
      <w:r w:rsidRPr="00012F37">
        <w:rPr>
          <w:lang w:val="fr-FR"/>
        </w:rPr>
        <w:t>après dénommé “la présidente”), a souligné que depuis la précédente session de l</w:t>
      </w:r>
      <w:r w:rsidR="007E7DAC" w:rsidRPr="00012F37">
        <w:rPr>
          <w:lang w:val="fr-FR"/>
        </w:rPr>
        <w:t>’</w:t>
      </w:r>
      <w:r w:rsidRPr="00012F37">
        <w:rPr>
          <w:lang w:val="fr-FR"/>
        </w:rPr>
        <w:t>Assemblée de l</w:t>
      </w:r>
      <w:r w:rsidR="007E7DAC" w:rsidRPr="00012F37">
        <w:rPr>
          <w:lang w:val="fr-FR"/>
        </w:rPr>
        <w:t>’</w:t>
      </w:r>
      <w:r w:rsidRPr="00012F37">
        <w:rPr>
          <w:lang w:val="fr-FR"/>
        </w:rPr>
        <w:t xml:space="preserve">Union de Lisbonne </w:t>
      </w:r>
      <w:r w:rsidR="007E7DAC" w:rsidRPr="00012F37">
        <w:rPr>
          <w:lang w:val="fr-FR"/>
        </w:rPr>
        <w:t>en 2023</w:t>
      </w:r>
      <w:r w:rsidRPr="00012F37">
        <w:rPr>
          <w:lang w:val="fr-FR"/>
        </w:rPr>
        <w:t>, huit</w:t>
      </w:r>
      <w:r w:rsidR="007112DD" w:rsidRPr="00012F37">
        <w:rPr>
          <w:lang w:val="fr-FR"/>
        </w:rPr>
        <w:t> </w:t>
      </w:r>
      <w:r w:rsidRPr="00012F37">
        <w:rPr>
          <w:lang w:val="fr-FR"/>
        </w:rPr>
        <w:t>nouvelles parties contractantes avaient déposé leur instrument d</w:t>
      </w:r>
      <w:r w:rsidR="007E7DAC" w:rsidRPr="00012F37">
        <w:rPr>
          <w:lang w:val="fr-FR"/>
        </w:rPr>
        <w:t>’</w:t>
      </w:r>
      <w:r w:rsidRPr="00012F37">
        <w:rPr>
          <w:lang w:val="fr-FR"/>
        </w:rPr>
        <w:t>adhésion ou de ratification à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sur les appellations d</w:t>
      </w:r>
      <w:r w:rsidR="007E7DAC" w:rsidRPr="00012F37">
        <w:rPr>
          <w:lang w:val="fr-FR"/>
        </w:rPr>
        <w:t>’</w:t>
      </w:r>
      <w:r w:rsidRPr="00012F37">
        <w:rPr>
          <w:lang w:val="fr-FR"/>
        </w:rPr>
        <w:t>origine et les indications géographiques (ci</w:t>
      </w:r>
      <w:r w:rsidR="00143286" w:rsidRPr="00012F37">
        <w:rPr>
          <w:lang w:val="fr-FR"/>
        </w:rPr>
        <w:noBreakHyphen/>
      </w:r>
      <w:r w:rsidRPr="00012F37">
        <w:rPr>
          <w:lang w:val="fr-FR"/>
        </w:rPr>
        <w:t>après dénommé “Acte de Genève de l</w:t>
      </w:r>
      <w:r w:rsidR="007E7DAC" w:rsidRPr="00012F37">
        <w:rPr>
          <w:lang w:val="fr-FR"/>
        </w:rPr>
        <w:t>’</w:t>
      </w:r>
      <w:r w:rsidRPr="00012F37">
        <w:rPr>
          <w:lang w:val="fr-FR"/>
        </w:rPr>
        <w:t xml:space="preserve">Arrangement de Lisbonne”), </w:t>
      </w:r>
      <w:r w:rsidR="007E7DAC" w:rsidRPr="00012F37">
        <w:rPr>
          <w:lang w:val="fr-FR"/>
        </w:rPr>
        <w:t>à savoir</w:t>
      </w:r>
      <w:r w:rsidRPr="00012F37">
        <w:rPr>
          <w:lang w:val="fr-FR"/>
        </w:rPr>
        <w:t>, par ordre chronologique, Sao Tomé</w:t>
      </w:r>
      <w:r w:rsidR="00143286" w:rsidRPr="00012F37">
        <w:rPr>
          <w:lang w:val="fr-FR"/>
        </w:rPr>
        <w:noBreakHyphen/>
      </w:r>
      <w:r w:rsidRPr="00012F37">
        <w:rPr>
          <w:lang w:val="fr-FR"/>
        </w:rPr>
        <w:t>et</w:t>
      </w:r>
      <w:r w:rsidR="00143286" w:rsidRPr="00012F37">
        <w:rPr>
          <w:lang w:val="fr-FR"/>
        </w:rPr>
        <w:noBreakHyphen/>
      </w:r>
      <w:r w:rsidRPr="00012F37">
        <w:rPr>
          <w:lang w:val="fr-FR"/>
        </w:rPr>
        <w:t>Principe, le Sénégal, le Portugal, Djibouti, la Slovaquie, le Monténégro, la République de Moldova et, en début de journée, la Géorg</w:t>
      </w:r>
      <w:r w:rsidR="004965B0" w:rsidRPr="00012F37">
        <w:rPr>
          <w:lang w:val="fr-FR"/>
        </w:rPr>
        <w:t>ie.  Ce</w:t>
      </w:r>
      <w:r w:rsidRPr="00012F37">
        <w:rPr>
          <w:lang w:val="fr-FR"/>
        </w:rPr>
        <w:t>la a porté à 73 le nombre total de pays couverts par le système de Lisbonne.</w:t>
      </w:r>
    </w:p>
    <w:p w14:paraId="25A26360" w14:textId="50A7A4DB" w:rsidR="00716513" w:rsidRPr="00012F37" w:rsidRDefault="00716513" w:rsidP="00C962C9">
      <w:pPr>
        <w:pStyle w:val="ONUMFS"/>
        <w:rPr>
          <w:lang w:val="fr-FR"/>
        </w:rPr>
      </w:pPr>
      <w:r w:rsidRPr="00012F37">
        <w:rPr>
          <w:lang w:val="fr-FR"/>
        </w:rPr>
        <w:t>La présidente s</w:t>
      </w:r>
      <w:r w:rsidR="007E7DAC" w:rsidRPr="00012F37">
        <w:rPr>
          <w:lang w:val="fr-FR"/>
        </w:rPr>
        <w:t>’</w:t>
      </w:r>
      <w:r w:rsidRPr="00012F37">
        <w:rPr>
          <w:lang w:val="fr-FR"/>
        </w:rPr>
        <w:t>est ensuite référée aux documents à l</w:t>
      </w:r>
      <w:r w:rsidR="007E7DAC" w:rsidRPr="00012F37">
        <w:rPr>
          <w:lang w:val="fr-FR"/>
        </w:rPr>
        <w:t>’</w:t>
      </w:r>
      <w:r w:rsidRPr="00012F37">
        <w:rPr>
          <w:lang w:val="fr-FR"/>
        </w:rPr>
        <w:t>examen au titre de ce point de l</w:t>
      </w:r>
      <w:r w:rsidR="007E7DAC" w:rsidRPr="00012F37">
        <w:rPr>
          <w:lang w:val="fr-FR"/>
        </w:rPr>
        <w:t>’</w:t>
      </w:r>
      <w:r w:rsidRPr="00012F37">
        <w:rPr>
          <w:lang w:val="fr-FR"/>
        </w:rPr>
        <w:t xml:space="preserve">ordre du jour, </w:t>
      </w:r>
      <w:r w:rsidR="007E7DAC" w:rsidRPr="00012F37">
        <w:rPr>
          <w:lang w:val="fr-FR"/>
        </w:rPr>
        <w:t>à savoir</w:t>
      </w:r>
      <w:r w:rsidRPr="00012F37">
        <w:rPr>
          <w:lang w:val="fr-FR"/>
        </w:rPr>
        <w:t xml:space="preserve"> le </w:t>
      </w:r>
      <w:r w:rsidR="007E7DAC" w:rsidRPr="00012F37">
        <w:rPr>
          <w:lang w:val="fr-FR"/>
        </w:rPr>
        <w:t>document LI</w:t>
      </w:r>
      <w:r w:rsidRPr="00012F37">
        <w:rPr>
          <w:lang w:val="fr-FR"/>
        </w:rPr>
        <w:t xml:space="preserve">/A/42/1, intitulé “Rapport sur le Groupe de travail sur le développement du système de Lisbonne”, et le </w:t>
      </w:r>
      <w:r w:rsidR="007E7DAC" w:rsidRPr="00012F37">
        <w:rPr>
          <w:lang w:val="fr-FR"/>
        </w:rPr>
        <w:t>document LI</w:t>
      </w:r>
      <w:r w:rsidRPr="00012F37">
        <w:rPr>
          <w:lang w:val="fr-FR"/>
        </w:rPr>
        <w:t>/A/42/2, intitulé “Propositions de modification du règlement d</w:t>
      </w:r>
      <w:r w:rsidR="007E7DAC" w:rsidRPr="00012F37">
        <w:rPr>
          <w:lang w:val="fr-FR"/>
        </w:rPr>
        <w:t>’</w:t>
      </w:r>
      <w:r w:rsidRPr="00012F37">
        <w:rPr>
          <w:lang w:val="fr-FR"/>
        </w:rPr>
        <w:t>exécution commun à l</w:t>
      </w:r>
      <w:r w:rsidR="007E7DAC" w:rsidRPr="00012F37">
        <w:rPr>
          <w:lang w:val="fr-FR"/>
        </w:rPr>
        <w:t>’</w:t>
      </w:r>
      <w:r w:rsidRPr="00012F37">
        <w:rPr>
          <w:lang w:val="fr-FR"/>
        </w:rPr>
        <w:t>Arrangement de Lisbonne et à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w:t>
      </w:r>
    </w:p>
    <w:p w14:paraId="61CB3151" w14:textId="068EA767" w:rsidR="00716513" w:rsidRPr="00012F37" w:rsidRDefault="00716513" w:rsidP="00C962C9">
      <w:pPr>
        <w:pStyle w:val="ONUMFS"/>
        <w:rPr>
          <w:lang w:val="fr-FR"/>
        </w:rPr>
      </w:pPr>
      <w:r w:rsidRPr="00012F37">
        <w:rPr>
          <w:lang w:val="fr-FR"/>
        </w:rPr>
        <w:t>En présentant le premier document à l</w:t>
      </w:r>
      <w:r w:rsidR="007E7DAC" w:rsidRPr="00012F37">
        <w:rPr>
          <w:lang w:val="fr-FR"/>
        </w:rPr>
        <w:t>’</w:t>
      </w:r>
      <w:r w:rsidRPr="00012F37">
        <w:rPr>
          <w:lang w:val="fr-FR"/>
        </w:rPr>
        <w:t>examen, le Secrétariat a rappelé que lors de sa six</w:t>
      </w:r>
      <w:r w:rsidR="007E7DAC" w:rsidRPr="00012F37">
        <w:rPr>
          <w:lang w:val="fr-FR"/>
        </w:rPr>
        <w:t>ième session</w:t>
      </w:r>
      <w:r w:rsidRPr="00012F37">
        <w:rPr>
          <w:lang w:val="fr-FR"/>
        </w:rPr>
        <w:t>, qui s</w:t>
      </w:r>
      <w:r w:rsidR="007E7DAC" w:rsidRPr="00012F37">
        <w:rPr>
          <w:lang w:val="fr-FR"/>
        </w:rPr>
        <w:t>’</w:t>
      </w:r>
      <w:r w:rsidRPr="00012F37">
        <w:rPr>
          <w:lang w:val="fr-FR"/>
        </w:rPr>
        <w:t>était tenue du 18 au 20 </w:t>
      </w:r>
      <w:r w:rsidR="007E7DAC" w:rsidRPr="00012F37">
        <w:rPr>
          <w:lang w:val="fr-FR"/>
        </w:rPr>
        <w:t>mars 20</w:t>
      </w:r>
      <w:r w:rsidRPr="00012F37">
        <w:rPr>
          <w:lang w:val="fr-FR"/>
        </w:rPr>
        <w:t>25, le Groupe de travail sur le développement du système de Lisbonne (ci</w:t>
      </w:r>
      <w:r w:rsidR="00143286" w:rsidRPr="00012F37">
        <w:rPr>
          <w:lang w:val="fr-FR"/>
        </w:rPr>
        <w:noBreakHyphen/>
      </w:r>
      <w:r w:rsidRPr="00012F37">
        <w:rPr>
          <w:lang w:val="fr-FR"/>
        </w:rPr>
        <w:t xml:space="preserve">après dénommé </w:t>
      </w:r>
      <w:r w:rsidR="008F20CD" w:rsidRPr="00012F37">
        <w:rPr>
          <w:lang w:val="fr-FR"/>
        </w:rPr>
        <w:t>“</w:t>
      </w:r>
      <w:r w:rsidRPr="00012F37">
        <w:rPr>
          <w:lang w:val="fr-FR"/>
        </w:rPr>
        <w:t>le groupe de travail”) avait adopté la Proposition de règlement intérieur particulier régissant l</w:t>
      </w:r>
      <w:r w:rsidR="007E7DAC" w:rsidRPr="00012F37">
        <w:rPr>
          <w:lang w:val="fr-FR"/>
        </w:rPr>
        <w:t>’</w:t>
      </w:r>
      <w:r w:rsidRPr="00012F37">
        <w:rPr>
          <w:lang w:val="fr-FR"/>
        </w:rPr>
        <w:t>élection des membres du bureau et la durée de leur mand</w:t>
      </w:r>
      <w:r w:rsidR="004965B0" w:rsidRPr="00012F37">
        <w:rPr>
          <w:lang w:val="fr-FR"/>
        </w:rPr>
        <w:t>at.  Ce</w:t>
      </w:r>
      <w:r w:rsidRPr="00012F37">
        <w:rPr>
          <w:lang w:val="fr-FR"/>
        </w:rPr>
        <w:t xml:space="preserve">tte proposition faisait suite à une proposition de mesure transitoire consistant à élire les membres du bureau qui présideraient les sixième et </w:t>
      </w:r>
      <w:proofErr w:type="gramStart"/>
      <w:r w:rsidRPr="00012F37">
        <w:rPr>
          <w:lang w:val="fr-FR"/>
        </w:rPr>
        <w:t>sept</w:t>
      </w:r>
      <w:r w:rsidR="007E7DAC" w:rsidRPr="00012F37">
        <w:rPr>
          <w:lang w:val="fr-FR"/>
        </w:rPr>
        <w:t>ième session</w:t>
      </w:r>
      <w:r w:rsidRPr="00012F37">
        <w:rPr>
          <w:lang w:val="fr-FR"/>
        </w:rPr>
        <w:t>s</w:t>
      </w:r>
      <w:proofErr w:type="gramEnd"/>
      <w:r w:rsidRPr="00012F37">
        <w:rPr>
          <w:lang w:val="fr-FR"/>
        </w:rPr>
        <w:t xml:space="preserve"> du groupe de travail, afin d</w:t>
      </w:r>
      <w:r w:rsidR="007E7DAC" w:rsidRPr="00012F37">
        <w:rPr>
          <w:lang w:val="fr-FR"/>
        </w:rPr>
        <w:t>’</w:t>
      </w:r>
      <w:r w:rsidRPr="00012F37">
        <w:rPr>
          <w:lang w:val="fr-FR"/>
        </w:rPr>
        <w:t>aligner le cycle d</w:t>
      </w:r>
      <w:r w:rsidR="007E7DAC" w:rsidRPr="00012F37">
        <w:rPr>
          <w:lang w:val="fr-FR"/>
        </w:rPr>
        <w:t>’</w:t>
      </w:r>
      <w:r w:rsidRPr="00012F37">
        <w:rPr>
          <w:lang w:val="fr-FR"/>
        </w:rPr>
        <w:t>élection des membres de son bureau sur la règle 9 des Règles générales de procédure de l</w:t>
      </w:r>
      <w:r w:rsidR="007E7DAC" w:rsidRPr="00012F37">
        <w:rPr>
          <w:lang w:val="fr-FR"/>
        </w:rPr>
        <w:t>’</w:t>
      </w:r>
      <w:r w:rsidRPr="00012F37">
        <w:rPr>
          <w:lang w:val="fr-FR"/>
        </w:rPr>
        <w:t>OMPI.</w:t>
      </w:r>
    </w:p>
    <w:p w14:paraId="4B2FC94A" w14:textId="3451DE40" w:rsidR="00716513" w:rsidRPr="00012F37" w:rsidRDefault="00716513" w:rsidP="00C962C9">
      <w:pPr>
        <w:pStyle w:val="ONUMFS"/>
        <w:rPr>
          <w:lang w:val="fr-FR"/>
        </w:rPr>
      </w:pPr>
      <w:r w:rsidRPr="00012F37">
        <w:rPr>
          <w:lang w:val="fr-FR"/>
        </w:rPr>
        <w:t>En présentant le second document à l</w:t>
      </w:r>
      <w:r w:rsidR="007E7DAC" w:rsidRPr="00012F37">
        <w:rPr>
          <w:lang w:val="fr-FR"/>
        </w:rPr>
        <w:t>’</w:t>
      </w:r>
      <w:r w:rsidRPr="00012F37">
        <w:rPr>
          <w:lang w:val="fr-FR"/>
        </w:rPr>
        <w:t>examen, le Secrétariat a rappelé que le groupe de travail avait recommandé la modification des règles 1, 8, 15 et 18 du règlement d</w:t>
      </w:r>
      <w:r w:rsidR="007E7DAC" w:rsidRPr="00012F37">
        <w:rPr>
          <w:lang w:val="fr-FR"/>
        </w:rPr>
        <w:t>’</w:t>
      </w:r>
      <w:r w:rsidRPr="00012F37">
        <w:rPr>
          <w:lang w:val="fr-FR"/>
        </w:rPr>
        <w:t>exécution commun à l</w:t>
      </w:r>
      <w:r w:rsidR="007E7DAC" w:rsidRPr="00012F37">
        <w:rPr>
          <w:lang w:val="fr-FR"/>
        </w:rPr>
        <w:t>’</w:t>
      </w:r>
      <w:r w:rsidRPr="00012F37">
        <w:rPr>
          <w:lang w:val="fr-FR"/>
        </w:rPr>
        <w:t>Arrangement de Lisbonne concernant la protection des appellations d</w:t>
      </w:r>
      <w:r w:rsidR="007E7DAC" w:rsidRPr="00012F37">
        <w:rPr>
          <w:lang w:val="fr-FR"/>
        </w:rPr>
        <w:t>’</w:t>
      </w:r>
      <w:r w:rsidRPr="00012F37">
        <w:rPr>
          <w:lang w:val="fr-FR"/>
        </w:rPr>
        <w:t>origine et leur enregistrement international et à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sur les appellations d</w:t>
      </w:r>
      <w:r w:rsidR="007E7DAC" w:rsidRPr="00012F37">
        <w:rPr>
          <w:lang w:val="fr-FR"/>
        </w:rPr>
        <w:t>’</w:t>
      </w:r>
      <w:r w:rsidRPr="00012F37">
        <w:rPr>
          <w:lang w:val="fr-FR"/>
        </w:rPr>
        <w:t>origine et les indications géographiques (ci</w:t>
      </w:r>
      <w:r w:rsidR="00143286" w:rsidRPr="00012F37">
        <w:rPr>
          <w:lang w:val="fr-FR"/>
        </w:rPr>
        <w:noBreakHyphen/>
      </w:r>
      <w:r w:rsidRPr="00012F37">
        <w:rPr>
          <w:lang w:val="fr-FR"/>
        </w:rPr>
        <w:t>après dénommé “règlement d</w:t>
      </w:r>
      <w:r w:rsidR="007E7DAC" w:rsidRPr="00012F37">
        <w:rPr>
          <w:lang w:val="fr-FR"/>
        </w:rPr>
        <w:t>’</w:t>
      </w:r>
      <w:r w:rsidRPr="00012F37">
        <w:rPr>
          <w:lang w:val="fr-FR"/>
        </w:rPr>
        <w:t>exécution commun”).  Le Secrétariat a indiqué que les modifications proposées figurant à l</w:t>
      </w:r>
      <w:r w:rsidR="007E7DAC" w:rsidRPr="00012F37">
        <w:rPr>
          <w:lang w:val="fr-FR"/>
        </w:rPr>
        <w:t>’</w:t>
      </w:r>
      <w:r w:rsidRPr="00012F37">
        <w:rPr>
          <w:lang w:val="fr-FR"/>
        </w:rPr>
        <w:t xml:space="preserve">annexe du </w:t>
      </w:r>
      <w:r w:rsidR="007E7DAC" w:rsidRPr="00012F37">
        <w:rPr>
          <w:lang w:val="fr-FR"/>
        </w:rPr>
        <w:t>document LI</w:t>
      </w:r>
      <w:r w:rsidRPr="00012F37">
        <w:rPr>
          <w:lang w:val="fr-FR"/>
        </w:rPr>
        <w:t>/A/42/2 entreraient en vigueur le</w:t>
      </w:r>
      <w:r w:rsidR="007E7DAC" w:rsidRPr="00012F37">
        <w:rPr>
          <w:lang w:val="fr-FR"/>
        </w:rPr>
        <w:t xml:space="preserve"> 1</w:t>
      </w:r>
      <w:r w:rsidR="007E7DAC" w:rsidRPr="00012F37">
        <w:rPr>
          <w:vertAlign w:val="superscript"/>
          <w:lang w:val="fr-FR"/>
        </w:rPr>
        <w:t>er</w:t>
      </w:r>
      <w:r w:rsidR="007E7DAC" w:rsidRPr="00012F37">
        <w:rPr>
          <w:lang w:val="fr-FR"/>
        </w:rPr>
        <w:t> janvier 20</w:t>
      </w:r>
      <w:r w:rsidRPr="00012F37">
        <w:rPr>
          <w:lang w:val="fr-FR"/>
        </w:rPr>
        <w:t>26.</w:t>
      </w:r>
    </w:p>
    <w:p w14:paraId="034A060F" w14:textId="4AE94C30" w:rsidR="00716513" w:rsidRPr="00012F37" w:rsidRDefault="00716513" w:rsidP="00C962C9">
      <w:pPr>
        <w:pStyle w:val="ONUMFS"/>
        <w:rPr>
          <w:lang w:val="fr-FR"/>
        </w:rPr>
      </w:pPr>
      <w:r w:rsidRPr="00012F37">
        <w:rPr>
          <w:lang w:val="fr-FR"/>
        </w:rPr>
        <w:t>La délégation de la Serbie a exprimé son soutien aux travaux menés par l</w:t>
      </w:r>
      <w:r w:rsidR="007E7DAC" w:rsidRPr="00012F37">
        <w:rPr>
          <w:lang w:val="fr-FR"/>
        </w:rPr>
        <w:t>’</w:t>
      </w:r>
      <w:r w:rsidRPr="00012F37">
        <w:rPr>
          <w:lang w:val="fr-FR"/>
        </w:rPr>
        <w:t>Union de Lisbonne et s</w:t>
      </w:r>
      <w:r w:rsidR="007E7DAC" w:rsidRPr="00012F37">
        <w:rPr>
          <w:lang w:val="fr-FR"/>
        </w:rPr>
        <w:t>’</w:t>
      </w:r>
      <w:r w:rsidRPr="00012F37">
        <w:rPr>
          <w:lang w:val="fr-FR"/>
        </w:rPr>
        <w:t>est référée à la déclaration faite par le Directeur général, selon laquelle les indications géographiques ne sont pas comme les autres droits de propriété intellectuelle, un point de vue que la délégation parta</w:t>
      </w:r>
      <w:r w:rsidR="004965B0" w:rsidRPr="00012F37">
        <w:rPr>
          <w:lang w:val="fr-FR"/>
        </w:rPr>
        <w:t>ge.  La</w:t>
      </w:r>
      <w:r w:rsidRPr="00012F37">
        <w:rPr>
          <w:lang w:val="fr-FR"/>
        </w:rPr>
        <w:t xml:space="preserve"> délégation a déclaré que les produits traditionnels représentaient une part importante de l</w:t>
      </w:r>
      <w:r w:rsidR="007E7DAC" w:rsidRPr="00012F37">
        <w:rPr>
          <w:lang w:val="fr-FR"/>
        </w:rPr>
        <w:t>’</w:t>
      </w:r>
      <w:r w:rsidRPr="00012F37">
        <w:rPr>
          <w:lang w:val="fr-FR"/>
        </w:rPr>
        <w:t>identité nationale, au même titre que la langue, l</w:t>
      </w:r>
      <w:r w:rsidR="007E7DAC" w:rsidRPr="00012F37">
        <w:rPr>
          <w:lang w:val="fr-FR"/>
        </w:rPr>
        <w:t>’</w:t>
      </w:r>
      <w:r w:rsidRPr="00012F37">
        <w:rPr>
          <w:lang w:val="fr-FR"/>
        </w:rPr>
        <w:t>alphabet et la religi</w:t>
      </w:r>
      <w:r w:rsidR="004965B0" w:rsidRPr="00012F37">
        <w:rPr>
          <w:lang w:val="fr-FR"/>
        </w:rPr>
        <w:t>on.  La</w:t>
      </w:r>
      <w:r w:rsidRPr="00012F37">
        <w:rPr>
          <w:lang w:val="fr-FR"/>
        </w:rPr>
        <w:t xml:space="preserve"> délégation estimait que les indications géographiques devaient être considérées sous cet angle plutôt que sous le seul angle du marché et du prof</w:t>
      </w:r>
      <w:r w:rsidR="004965B0" w:rsidRPr="00012F37">
        <w:rPr>
          <w:lang w:val="fr-FR"/>
        </w:rPr>
        <w:t>it.  La</w:t>
      </w:r>
      <w:r w:rsidRPr="00012F37">
        <w:rPr>
          <w:lang w:val="fr-FR"/>
        </w:rPr>
        <w:t xml:space="preserve"> délégation a mis en garde contre le fait que le bénéfice financier ne devait pas être la seule considération en matière de protection des indications géographiques, car lorsque la logique du profit s</w:t>
      </w:r>
      <w:r w:rsidR="007E7DAC" w:rsidRPr="00012F37">
        <w:rPr>
          <w:lang w:val="fr-FR"/>
        </w:rPr>
        <w:t>’</w:t>
      </w:r>
      <w:r w:rsidRPr="00012F37">
        <w:rPr>
          <w:lang w:val="fr-FR"/>
        </w:rPr>
        <w:t>infiltre dans le travail créatif, elle apporte son lot de pressions qui poussent sans relâche les créateurs à une production constante et abondante, les détournant potentiellement de ce qui est profond et beau au profit de ce qui est facile, superficiel et grossi</w:t>
      </w:r>
      <w:r w:rsidR="004965B0" w:rsidRPr="00012F37">
        <w:rPr>
          <w:lang w:val="fr-FR"/>
        </w:rPr>
        <w:t>er.  La</w:t>
      </w:r>
      <w:r w:rsidRPr="00012F37">
        <w:rPr>
          <w:lang w:val="fr-FR"/>
        </w:rPr>
        <w:t xml:space="preserve"> délégation a en outre souligné que les indications géographiques étaient toujours synonymes de caractère unique et de quali</w:t>
      </w:r>
      <w:r w:rsidR="004965B0" w:rsidRPr="00012F37">
        <w:rPr>
          <w:lang w:val="fr-FR"/>
        </w:rPr>
        <w:t>té.  Si</w:t>
      </w:r>
      <w:r w:rsidRPr="00012F37">
        <w:rPr>
          <w:lang w:val="fr-FR"/>
        </w:rPr>
        <w:t xml:space="preserve"> elle reconnaissait que les indications géographiques constituaient également des catégories économiques et que les ventes revêtaient une grande importance, la délégation a </w:t>
      </w:r>
      <w:r w:rsidRPr="00012F37">
        <w:rPr>
          <w:lang w:val="fr-FR"/>
        </w:rPr>
        <w:lastRenderedPageBreak/>
        <w:t>noté que de nombreux producteurs étaient essentiellement animés par une passion pour leur méti</w:t>
      </w:r>
      <w:r w:rsidR="004965B0" w:rsidRPr="00012F37">
        <w:rPr>
          <w:lang w:val="fr-FR"/>
        </w:rPr>
        <w:t>er.  La</w:t>
      </w:r>
      <w:r w:rsidRPr="00012F37">
        <w:rPr>
          <w:lang w:val="fr-FR"/>
        </w:rPr>
        <w:t xml:space="preserve"> délégation a souligné que les producteurs d</w:t>
      </w:r>
      <w:r w:rsidR="007E7DAC" w:rsidRPr="00012F37">
        <w:rPr>
          <w:lang w:val="fr-FR"/>
        </w:rPr>
        <w:t>’</w:t>
      </w:r>
      <w:r w:rsidRPr="00012F37">
        <w:rPr>
          <w:lang w:val="fr-FR"/>
        </w:rPr>
        <w:t>indications géographiques maintenaient un lien invisible entre le passé et le présent, unissant parfois des générations à travers un objectif honorable et digne d</w:t>
      </w:r>
      <w:r w:rsidR="007E7DAC" w:rsidRPr="00012F37">
        <w:rPr>
          <w:lang w:val="fr-FR"/>
        </w:rPr>
        <w:t>’</w:t>
      </w:r>
      <w:r w:rsidRPr="00012F37">
        <w:rPr>
          <w:lang w:val="fr-FR"/>
        </w:rPr>
        <w:t>intérêt, et qu</w:t>
      </w:r>
      <w:r w:rsidR="007E7DAC" w:rsidRPr="00012F37">
        <w:rPr>
          <w:lang w:val="fr-FR"/>
        </w:rPr>
        <w:t>’</w:t>
      </w:r>
      <w:r w:rsidRPr="00012F37">
        <w:rPr>
          <w:lang w:val="fr-FR"/>
        </w:rPr>
        <w:t>il était de la responsabilité collective de reconnaître, de comprendre et de soutenir leur trava</w:t>
      </w:r>
      <w:r w:rsidR="004965B0" w:rsidRPr="00012F37">
        <w:rPr>
          <w:lang w:val="fr-FR"/>
        </w:rPr>
        <w:t>il.  En</w:t>
      </w:r>
      <w:r w:rsidRPr="00012F37">
        <w:rPr>
          <w:lang w:val="fr-FR"/>
        </w:rPr>
        <w:t>fin, la délégation s</w:t>
      </w:r>
      <w:r w:rsidR="007E7DAC" w:rsidRPr="00012F37">
        <w:rPr>
          <w:lang w:val="fr-FR"/>
        </w:rPr>
        <w:t>’</w:t>
      </w:r>
      <w:r w:rsidRPr="00012F37">
        <w:rPr>
          <w:lang w:val="fr-FR"/>
        </w:rPr>
        <w:t>est félicitée des récentes améliorations apportées au système de Lisbonne, notamment la nouvelle plateforme informatique du système de Lisbonne et l</w:t>
      </w:r>
      <w:r w:rsidR="007E7DAC" w:rsidRPr="00012F37">
        <w:rPr>
          <w:lang w:val="fr-FR"/>
        </w:rPr>
        <w:t>’</w:t>
      </w:r>
      <w:r w:rsidRPr="00012F37">
        <w:rPr>
          <w:lang w:val="fr-FR"/>
        </w:rPr>
        <w:t>augmentation du nombre de membres.</w:t>
      </w:r>
    </w:p>
    <w:p w14:paraId="49D72FB0" w14:textId="01E2AF24" w:rsidR="00716513" w:rsidRPr="00012F37" w:rsidRDefault="00716513" w:rsidP="00C962C9">
      <w:pPr>
        <w:pStyle w:val="ONUMFS"/>
        <w:rPr>
          <w:lang w:val="fr-FR"/>
        </w:rPr>
      </w:pPr>
      <w:r w:rsidRPr="00012F37">
        <w:rPr>
          <w:lang w:val="fr-FR"/>
        </w:rPr>
        <w:t>La délégation de l</w:t>
      </w:r>
      <w:r w:rsidR="007E7DAC" w:rsidRPr="00012F37">
        <w:rPr>
          <w:lang w:val="fr-FR"/>
        </w:rPr>
        <w:t>’</w:t>
      </w:r>
      <w:r w:rsidRPr="00012F37">
        <w:rPr>
          <w:lang w:val="fr-FR"/>
        </w:rPr>
        <w:t>Estonie, parlant au nom du groupe des pays d</w:t>
      </w:r>
      <w:r w:rsidR="007E7DAC" w:rsidRPr="00012F37">
        <w:rPr>
          <w:lang w:val="fr-FR"/>
        </w:rPr>
        <w:t>’</w:t>
      </w:r>
      <w:r w:rsidRPr="00012F37">
        <w:rPr>
          <w:lang w:val="fr-FR"/>
        </w:rPr>
        <w:t>Europe centrale et des États baltes, a déclaré que le groupe était convaincu que le système de Lisbonne concernant la protection des appellations d</w:t>
      </w:r>
      <w:r w:rsidR="007E7DAC" w:rsidRPr="00012F37">
        <w:rPr>
          <w:lang w:val="fr-FR"/>
        </w:rPr>
        <w:t>’</w:t>
      </w:r>
      <w:r w:rsidRPr="00012F37">
        <w:rPr>
          <w:lang w:val="fr-FR"/>
        </w:rPr>
        <w:t>origine et des indications géographiques offrait un cadre extrêmement précieux pour garantir la protection des indications géographiques dans tous les pays membres de l</w:t>
      </w:r>
      <w:r w:rsidR="007E7DAC" w:rsidRPr="00012F37">
        <w:rPr>
          <w:lang w:val="fr-FR"/>
        </w:rPr>
        <w:t>’</w:t>
      </w:r>
      <w:r w:rsidRPr="00012F37">
        <w:rPr>
          <w:lang w:val="fr-FR"/>
        </w:rPr>
        <w:t>Union de Lisbon</w:t>
      </w:r>
      <w:r w:rsidR="004965B0" w:rsidRPr="00012F37">
        <w:rPr>
          <w:lang w:val="fr-FR"/>
        </w:rPr>
        <w:t>ne.  Le</w:t>
      </w:r>
      <w:r w:rsidRPr="00012F37">
        <w:rPr>
          <w:lang w:val="fr-FR"/>
        </w:rPr>
        <w:t xml:space="preserve"> groupe était d</w:t>
      </w:r>
      <w:r w:rsidR="007E7DAC" w:rsidRPr="00012F37">
        <w:rPr>
          <w:lang w:val="fr-FR"/>
        </w:rPr>
        <w:t>’</w:t>
      </w:r>
      <w:r w:rsidRPr="00012F37">
        <w:rPr>
          <w:lang w:val="fr-FR"/>
        </w:rPr>
        <w:t>avis que le système de Lisbonne jouait un rôle clé dans la préservation des savoirs et pratiques traditionnels enracinés dans certaines régions, tout en protégeant les producteurs authentiques contre l</w:t>
      </w:r>
      <w:r w:rsidR="007E7DAC" w:rsidRPr="00012F37">
        <w:rPr>
          <w:lang w:val="fr-FR"/>
        </w:rPr>
        <w:t>’</w:t>
      </w:r>
      <w:r w:rsidRPr="00012F37">
        <w:rPr>
          <w:lang w:val="fr-FR"/>
        </w:rPr>
        <w:t>utilisation abusive ou l</w:t>
      </w:r>
      <w:r w:rsidR="007E7DAC" w:rsidRPr="00012F37">
        <w:rPr>
          <w:lang w:val="fr-FR"/>
        </w:rPr>
        <w:t>’</w:t>
      </w:r>
      <w:r w:rsidRPr="00012F37">
        <w:rPr>
          <w:lang w:val="fr-FR"/>
        </w:rPr>
        <w:t>imitati</w:t>
      </w:r>
      <w:r w:rsidR="004965B0" w:rsidRPr="00012F37">
        <w:rPr>
          <w:lang w:val="fr-FR"/>
        </w:rPr>
        <w:t>on.  La</w:t>
      </w:r>
      <w:r w:rsidRPr="00012F37">
        <w:rPr>
          <w:lang w:val="fr-FR"/>
        </w:rPr>
        <w:t xml:space="preserve"> délégation a ajouté que le système améliorait la transparence et garantissait la qualité aux consommateu</w:t>
      </w:r>
      <w:r w:rsidR="004965B0" w:rsidRPr="00012F37">
        <w:rPr>
          <w:lang w:val="fr-FR"/>
        </w:rPr>
        <w:t>rs.  Es</w:t>
      </w:r>
      <w:r w:rsidRPr="00012F37">
        <w:rPr>
          <w:lang w:val="fr-FR"/>
        </w:rPr>
        <w:t>timant que le système était doté d</w:t>
      </w:r>
      <w:r w:rsidR="007E7DAC" w:rsidRPr="00012F37">
        <w:rPr>
          <w:lang w:val="fr-FR"/>
        </w:rPr>
        <w:t>’</w:t>
      </w:r>
      <w:r w:rsidRPr="00012F37">
        <w:rPr>
          <w:lang w:val="fr-FR"/>
        </w:rPr>
        <w:t>un important potentiel de croissance et d</w:t>
      </w:r>
      <w:r w:rsidR="007E7DAC" w:rsidRPr="00012F37">
        <w:rPr>
          <w:lang w:val="fr-FR"/>
        </w:rPr>
        <w:t>’</w:t>
      </w:r>
      <w:r w:rsidRPr="00012F37">
        <w:rPr>
          <w:lang w:val="fr-FR"/>
        </w:rPr>
        <w:t>expansion, la délégation a souligné qu</w:t>
      </w:r>
      <w:r w:rsidR="007E7DAC" w:rsidRPr="00012F37">
        <w:rPr>
          <w:lang w:val="fr-FR"/>
        </w:rPr>
        <w:t>’</w:t>
      </w:r>
      <w:r w:rsidRPr="00012F37">
        <w:rPr>
          <w:lang w:val="fr-FR"/>
        </w:rPr>
        <w:t>il était important de maintenir et d</w:t>
      </w:r>
      <w:r w:rsidR="007E7DAC" w:rsidRPr="00012F37">
        <w:rPr>
          <w:lang w:val="fr-FR"/>
        </w:rPr>
        <w:t>’</w:t>
      </w:r>
      <w:r w:rsidRPr="00012F37">
        <w:rPr>
          <w:lang w:val="fr-FR"/>
        </w:rPr>
        <w:t>améliorer la qualité des services d</w:t>
      </w:r>
      <w:r w:rsidR="007E7DAC" w:rsidRPr="00012F37">
        <w:rPr>
          <w:lang w:val="fr-FR"/>
        </w:rPr>
        <w:t>’</w:t>
      </w:r>
      <w:r w:rsidRPr="00012F37">
        <w:rPr>
          <w:lang w:val="fr-FR"/>
        </w:rPr>
        <w:t>enregistrement, de renforcer les capacités et d</w:t>
      </w:r>
      <w:r w:rsidR="007E7DAC" w:rsidRPr="00012F37">
        <w:rPr>
          <w:lang w:val="fr-FR"/>
        </w:rPr>
        <w:t>’</w:t>
      </w:r>
      <w:r w:rsidRPr="00012F37">
        <w:rPr>
          <w:lang w:val="fr-FR"/>
        </w:rPr>
        <w:t>accroître les activités de sensibilisati</w:t>
      </w:r>
      <w:r w:rsidR="004965B0" w:rsidRPr="00012F37">
        <w:rPr>
          <w:lang w:val="fr-FR"/>
        </w:rPr>
        <w:t>on.  La</w:t>
      </w:r>
      <w:r w:rsidRPr="00012F37">
        <w:rPr>
          <w:lang w:val="fr-FR"/>
        </w:rPr>
        <w:t xml:space="preserve"> délégation a noté que les progrès accomplis grâce à la nouvelle plateforme informatique du système de Lisbonne, ainsi que les discussions de fond au sein du groupe de travail, représentaient une avancée significative dans ce contex</w:t>
      </w:r>
      <w:r w:rsidR="004965B0" w:rsidRPr="00012F37">
        <w:rPr>
          <w:lang w:val="fr-FR"/>
        </w:rPr>
        <w:t>te.  La</w:t>
      </w:r>
      <w:r w:rsidRPr="00012F37">
        <w:rPr>
          <w:lang w:val="fr-FR"/>
        </w:rPr>
        <w:t xml:space="preserve"> délégation a indiqué que le groupe des pays d</w:t>
      </w:r>
      <w:r w:rsidR="007E7DAC" w:rsidRPr="00012F37">
        <w:rPr>
          <w:lang w:val="fr-FR"/>
        </w:rPr>
        <w:t>’</w:t>
      </w:r>
      <w:r w:rsidRPr="00012F37">
        <w:rPr>
          <w:lang w:val="fr-FR"/>
        </w:rPr>
        <w:t>Europe centrale et des États baltes était très heureux de constater l</w:t>
      </w:r>
      <w:r w:rsidR="007E7DAC" w:rsidRPr="00012F37">
        <w:rPr>
          <w:lang w:val="fr-FR"/>
        </w:rPr>
        <w:t>’</w:t>
      </w:r>
      <w:r w:rsidRPr="00012F37">
        <w:rPr>
          <w:lang w:val="fr-FR"/>
        </w:rPr>
        <w:t>augmentation du nombre de membres de l</w:t>
      </w:r>
      <w:r w:rsidR="007E7DAC" w:rsidRPr="00012F37">
        <w:rPr>
          <w:lang w:val="fr-FR"/>
        </w:rPr>
        <w:t>’</w:t>
      </w:r>
      <w:r w:rsidRPr="00012F37">
        <w:rPr>
          <w:lang w:val="fr-FR"/>
        </w:rPr>
        <w:t>Union et a déclaré que les projections concernant l</w:t>
      </w:r>
      <w:r w:rsidR="007E7DAC" w:rsidRPr="00012F37">
        <w:rPr>
          <w:lang w:val="fr-FR"/>
        </w:rPr>
        <w:t>’</w:t>
      </w:r>
      <w:r w:rsidRPr="00012F37">
        <w:rPr>
          <w:lang w:val="fr-FR"/>
        </w:rPr>
        <w:t>augmentation du nombre de demandes étaient étayées par les récentes réformes du système des indications géographiques au niveau de l</w:t>
      </w:r>
      <w:r w:rsidR="007E7DAC" w:rsidRPr="00012F37">
        <w:rPr>
          <w:lang w:val="fr-FR"/>
        </w:rPr>
        <w:t>’</w:t>
      </w:r>
      <w:r w:rsidRPr="00012F37">
        <w:rPr>
          <w:lang w:val="fr-FR"/>
        </w:rPr>
        <w:t>Union européenne, notamment l</w:t>
      </w:r>
      <w:r w:rsidR="007E7DAC" w:rsidRPr="00012F37">
        <w:rPr>
          <w:lang w:val="fr-FR"/>
        </w:rPr>
        <w:t>’</w:t>
      </w:r>
      <w:r w:rsidRPr="00012F37">
        <w:rPr>
          <w:lang w:val="fr-FR"/>
        </w:rPr>
        <w:t>adoption d</w:t>
      </w:r>
      <w:r w:rsidR="007E7DAC" w:rsidRPr="00012F37">
        <w:rPr>
          <w:lang w:val="fr-FR"/>
        </w:rPr>
        <w:t>’</w:t>
      </w:r>
      <w:r w:rsidRPr="00012F37">
        <w:rPr>
          <w:lang w:val="fr-FR"/>
        </w:rPr>
        <w:t>un règlement visant à étendre le système des indications géographiques aux produits artisanaux et industriels, qui entrera en vigueur le</w:t>
      </w:r>
      <w:r w:rsidR="007E7DAC" w:rsidRPr="00012F37">
        <w:rPr>
          <w:lang w:val="fr-FR"/>
        </w:rPr>
        <w:t xml:space="preserve"> 1</w:t>
      </w:r>
      <w:r w:rsidR="007E7DAC" w:rsidRPr="00012F37">
        <w:rPr>
          <w:vertAlign w:val="superscript"/>
          <w:lang w:val="fr-FR"/>
        </w:rPr>
        <w:t>er</w:t>
      </w:r>
      <w:r w:rsidR="007E7DAC" w:rsidRPr="00012F37">
        <w:rPr>
          <w:lang w:val="fr-FR"/>
        </w:rPr>
        <w:t> décembre 20</w:t>
      </w:r>
      <w:r w:rsidRPr="00012F37">
        <w:rPr>
          <w:lang w:val="fr-FR"/>
        </w:rPr>
        <w:t>25, ainsi que les dernières réformes dans le secteur agricole, visant à simplifier les procédures d</w:t>
      </w:r>
      <w:r w:rsidR="007E7DAC" w:rsidRPr="00012F37">
        <w:rPr>
          <w:lang w:val="fr-FR"/>
        </w:rPr>
        <w:t>’</w:t>
      </w:r>
      <w:r w:rsidRPr="00012F37">
        <w:rPr>
          <w:lang w:val="fr-FR"/>
        </w:rPr>
        <w:t>enregistreme</w:t>
      </w:r>
      <w:r w:rsidR="004965B0" w:rsidRPr="00012F37">
        <w:rPr>
          <w:lang w:val="fr-FR"/>
        </w:rPr>
        <w:t>nt.  Ap</w:t>
      </w:r>
      <w:r w:rsidRPr="00012F37">
        <w:rPr>
          <w:lang w:val="fr-FR"/>
        </w:rPr>
        <w:t>rès avoir réaffirmé que le groupe des pays d</w:t>
      </w:r>
      <w:r w:rsidR="007E7DAC" w:rsidRPr="00012F37">
        <w:rPr>
          <w:lang w:val="fr-FR"/>
        </w:rPr>
        <w:t>’</w:t>
      </w:r>
      <w:r w:rsidRPr="00012F37">
        <w:rPr>
          <w:lang w:val="fr-FR"/>
        </w:rPr>
        <w:t>Europe centrale et des États baltes restait pleinement engagé à poursuivre les travaux et discussions sur le système de Lisbonne lors de la prochaine session du groupe de travail, la délégation a déclaré que le groupe accueillerait avec enthousiasme l</w:t>
      </w:r>
      <w:r w:rsidR="007E7DAC" w:rsidRPr="00012F37">
        <w:rPr>
          <w:lang w:val="fr-FR"/>
        </w:rPr>
        <w:t>’</w:t>
      </w:r>
      <w:r w:rsidRPr="00012F37">
        <w:rPr>
          <w:lang w:val="fr-FR"/>
        </w:rPr>
        <w:t>arrivée de nouveaux membres dans le système.</w:t>
      </w:r>
    </w:p>
    <w:p w14:paraId="5F4D3C4B" w14:textId="11C0E4FC" w:rsidR="00716513" w:rsidRPr="00012F37" w:rsidRDefault="00716513" w:rsidP="00C962C9">
      <w:pPr>
        <w:pStyle w:val="ONUMFS"/>
        <w:rPr>
          <w:lang w:val="fr-FR"/>
        </w:rPr>
      </w:pPr>
      <w:r w:rsidRPr="00012F37">
        <w:rPr>
          <w:lang w:val="fr-FR"/>
        </w:rPr>
        <w:t>La délégation de l</w:t>
      </w:r>
      <w:r w:rsidR="007E7DAC" w:rsidRPr="00012F37">
        <w:rPr>
          <w:lang w:val="fr-FR"/>
        </w:rPr>
        <w:t>’</w:t>
      </w:r>
      <w:r w:rsidRPr="00012F37">
        <w:rPr>
          <w:lang w:val="fr-FR"/>
        </w:rPr>
        <w:t>Union européenne, parlant au nom de l</w:t>
      </w:r>
      <w:r w:rsidR="007E7DAC" w:rsidRPr="00012F37">
        <w:rPr>
          <w:lang w:val="fr-FR"/>
        </w:rPr>
        <w:t>’</w:t>
      </w:r>
      <w:r w:rsidRPr="00012F37">
        <w:rPr>
          <w:lang w:val="fr-FR"/>
        </w:rPr>
        <w:t>Union européenne et de ses États membres, s</w:t>
      </w:r>
      <w:r w:rsidR="007E7DAC" w:rsidRPr="00012F37">
        <w:rPr>
          <w:lang w:val="fr-FR"/>
        </w:rPr>
        <w:t>’</w:t>
      </w:r>
      <w:r w:rsidRPr="00012F37">
        <w:rPr>
          <w:lang w:val="fr-FR"/>
        </w:rPr>
        <w:t>est félicitée de l</w:t>
      </w:r>
      <w:r w:rsidR="007E7DAC" w:rsidRPr="00012F37">
        <w:rPr>
          <w:lang w:val="fr-FR"/>
        </w:rPr>
        <w:t>’</w:t>
      </w:r>
      <w:r w:rsidRPr="00012F37">
        <w:rPr>
          <w:lang w:val="fr-FR"/>
        </w:rPr>
        <w:t>augmentation croissante du nombre de membres de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depuis la dernière session de l</w:t>
      </w:r>
      <w:r w:rsidR="007E7DAC" w:rsidRPr="00012F37">
        <w:rPr>
          <w:lang w:val="fr-FR"/>
        </w:rPr>
        <w:t>’</w:t>
      </w:r>
      <w:r w:rsidRPr="00012F37">
        <w:rPr>
          <w:lang w:val="fr-FR"/>
        </w:rPr>
        <w:t>Assemblée de l</w:t>
      </w:r>
      <w:r w:rsidR="007E7DAC" w:rsidRPr="00012F37">
        <w:rPr>
          <w:lang w:val="fr-FR"/>
        </w:rPr>
        <w:t>’</w:t>
      </w:r>
      <w:r w:rsidRPr="00012F37">
        <w:rPr>
          <w:lang w:val="fr-FR"/>
        </w:rPr>
        <w:t>Union de Lisbon</w:t>
      </w:r>
      <w:r w:rsidR="004965B0" w:rsidRPr="00012F37">
        <w:rPr>
          <w:lang w:val="fr-FR"/>
        </w:rPr>
        <w:t>ne.  La</w:t>
      </w:r>
      <w:r w:rsidRPr="00012F37">
        <w:rPr>
          <w:lang w:val="fr-FR"/>
        </w:rPr>
        <w:t xml:space="preserve"> délégation a encouragé d</w:t>
      </w:r>
      <w:r w:rsidR="007E7DAC" w:rsidRPr="00012F37">
        <w:rPr>
          <w:lang w:val="fr-FR"/>
        </w:rPr>
        <w:t>’</w:t>
      </w:r>
      <w:r w:rsidRPr="00012F37">
        <w:rPr>
          <w:lang w:val="fr-FR"/>
        </w:rPr>
        <w:t>autres membres de l</w:t>
      </w:r>
      <w:r w:rsidR="007E7DAC" w:rsidRPr="00012F37">
        <w:rPr>
          <w:lang w:val="fr-FR"/>
        </w:rPr>
        <w:t>’</w:t>
      </w:r>
      <w:r w:rsidRPr="00012F37">
        <w:rPr>
          <w:lang w:val="fr-FR"/>
        </w:rPr>
        <w:t>OMPI à adhérer à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étendant ainsi l</w:t>
      </w:r>
      <w:r w:rsidR="007E7DAC" w:rsidRPr="00012F37">
        <w:rPr>
          <w:lang w:val="fr-FR"/>
        </w:rPr>
        <w:t>’</w:t>
      </w:r>
      <w:r w:rsidRPr="00012F37">
        <w:rPr>
          <w:lang w:val="fr-FR"/>
        </w:rPr>
        <w:t>utilisation de cet instrument juridique efficace d</w:t>
      </w:r>
      <w:r w:rsidR="007E7DAC" w:rsidRPr="00012F37">
        <w:rPr>
          <w:lang w:val="fr-FR"/>
        </w:rPr>
        <w:t>’</w:t>
      </w:r>
      <w:r w:rsidRPr="00012F37">
        <w:rPr>
          <w:lang w:val="fr-FR"/>
        </w:rPr>
        <w:t>enregistrement et de protection des appellations d</w:t>
      </w:r>
      <w:r w:rsidR="007E7DAC" w:rsidRPr="00012F37">
        <w:rPr>
          <w:lang w:val="fr-FR"/>
        </w:rPr>
        <w:t>’</w:t>
      </w:r>
      <w:r w:rsidRPr="00012F37">
        <w:rPr>
          <w:lang w:val="fr-FR"/>
        </w:rPr>
        <w:t>origine et des indications géographiques aux niveaux multilatéral et internation</w:t>
      </w:r>
      <w:r w:rsidR="004965B0" w:rsidRPr="00012F37">
        <w:rPr>
          <w:lang w:val="fr-FR"/>
        </w:rPr>
        <w:t>al.  La</w:t>
      </w:r>
      <w:r w:rsidRPr="00012F37">
        <w:rPr>
          <w:lang w:val="fr-FR"/>
        </w:rPr>
        <w:t xml:space="preserve"> délégation a réaffirmé qu</w:t>
      </w:r>
      <w:r w:rsidR="007E7DAC" w:rsidRPr="00012F37">
        <w:rPr>
          <w:lang w:val="fr-FR"/>
        </w:rPr>
        <w:t>’</w:t>
      </w:r>
      <w:r w:rsidRPr="00012F37">
        <w:rPr>
          <w:lang w:val="fr-FR"/>
        </w:rPr>
        <w:t>il était nécessaire de doter le Service d</w:t>
      </w:r>
      <w:r w:rsidR="007E7DAC" w:rsidRPr="00012F37">
        <w:rPr>
          <w:lang w:val="fr-FR"/>
        </w:rPr>
        <w:t>’</w:t>
      </w:r>
      <w:r w:rsidRPr="00012F37">
        <w:rPr>
          <w:lang w:val="fr-FR"/>
        </w:rPr>
        <w:t>enregistrement de Lisbonne des ressources humaines et financières suffisantes pour répondre aux besoins d</w:t>
      </w:r>
      <w:r w:rsidR="007E7DAC" w:rsidRPr="00012F37">
        <w:rPr>
          <w:lang w:val="fr-FR"/>
        </w:rPr>
        <w:t>’</w:t>
      </w:r>
      <w:r w:rsidRPr="00012F37">
        <w:rPr>
          <w:lang w:val="fr-FR"/>
        </w:rPr>
        <w:t>un nombre croissant de membres et à l</w:t>
      </w:r>
      <w:r w:rsidR="007E7DAC" w:rsidRPr="00012F37">
        <w:rPr>
          <w:lang w:val="fr-FR"/>
        </w:rPr>
        <w:t>’</w:t>
      </w:r>
      <w:r w:rsidRPr="00012F37">
        <w:rPr>
          <w:lang w:val="fr-FR"/>
        </w:rPr>
        <w:t>augmentation du nombre d</w:t>
      </w:r>
      <w:r w:rsidR="007E7DAC" w:rsidRPr="00012F37">
        <w:rPr>
          <w:lang w:val="fr-FR"/>
        </w:rPr>
        <w:t>’</w:t>
      </w:r>
      <w:r w:rsidRPr="00012F37">
        <w:rPr>
          <w:lang w:val="fr-FR"/>
        </w:rPr>
        <w:t>enregistrements, ainsi que pour soutenir les nouvelles initiatives d</w:t>
      </w:r>
      <w:r w:rsidR="007E7DAC" w:rsidRPr="00012F37">
        <w:rPr>
          <w:lang w:val="fr-FR"/>
        </w:rPr>
        <w:t>’</w:t>
      </w:r>
      <w:r w:rsidRPr="00012F37">
        <w:rPr>
          <w:lang w:val="fr-FR"/>
        </w:rPr>
        <w:t>assistance technique et de renforcement des capacités en faveur des membres de l</w:t>
      </w:r>
      <w:r w:rsidR="007E7DAC" w:rsidRPr="00012F37">
        <w:rPr>
          <w:lang w:val="fr-FR"/>
        </w:rPr>
        <w:t>’</w:t>
      </w:r>
      <w:r w:rsidRPr="00012F37">
        <w:rPr>
          <w:lang w:val="fr-FR"/>
        </w:rPr>
        <w:t>OMPI aux fins de la promotion du système de Lisbon</w:t>
      </w:r>
      <w:r w:rsidR="004965B0" w:rsidRPr="00012F37">
        <w:rPr>
          <w:lang w:val="fr-FR"/>
        </w:rPr>
        <w:t>ne.  Ap</w:t>
      </w:r>
      <w:r w:rsidRPr="00012F37">
        <w:rPr>
          <w:lang w:val="fr-FR"/>
        </w:rPr>
        <w:t>rès avoir déclaré que l</w:t>
      </w:r>
      <w:r w:rsidR="007E7DAC" w:rsidRPr="00012F37">
        <w:rPr>
          <w:lang w:val="fr-FR"/>
        </w:rPr>
        <w:t>’</w:t>
      </w:r>
      <w:r w:rsidRPr="00012F37">
        <w:rPr>
          <w:lang w:val="fr-FR"/>
        </w:rPr>
        <w:t>Union européenne et ses États membres avaient continué de progresser dans la mise en œuvre de leur adhésion au système de Lisbonne en vertu de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la délégation a souligné qu</w:t>
      </w:r>
      <w:r w:rsidR="007E7DAC" w:rsidRPr="00012F37">
        <w:rPr>
          <w:lang w:val="fr-FR"/>
        </w:rPr>
        <w:t>’</w:t>
      </w:r>
      <w:r w:rsidRPr="00012F37">
        <w:rPr>
          <w:lang w:val="fr-FR"/>
        </w:rPr>
        <w:t>elle avait déposé de nouveaux enregistrements internationaux d</w:t>
      </w:r>
      <w:r w:rsidR="007E7DAC" w:rsidRPr="00012F37">
        <w:rPr>
          <w:lang w:val="fr-FR"/>
        </w:rPr>
        <w:t>’</w:t>
      </w:r>
      <w:r w:rsidRPr="00012F37">
        <w:rPr>
          <w:lang w:val="fr-FR"/>
        </w:rPr>
        <w:t>indications géographiques depuis la dernière assemblée de l</w:t>
      </w:r>
      <w:r w:rsidR="007E7DAC" w:rsidRPr="00012F37">
        <w:rPr>
          <w:lang w:val="fr-FR"/>
        </w:rPr>
        <w:t>’</w:t>
      </w:r>
      <w:r w:rsidRPr="00012F37">
        <w:rPr>
          <w:lang w:val="fr-FR"/>
        </w:rPr>
        <w:t>Union de Lisbonne et qu</w:t>
      </w:r>
      <w:r w:rsidR="007E7DAC" w:rsidRPr="00012F37">
        <w:rPr>
          <w:lang w:val="fr-FR"/>
        </w:rPr>
        <w:t>’</w:t>
      </w:r>
      <w:r w:rsidRPr="00012F37">
        <w:rPr>
          <w:lang w:val="fr-FR"/>
        </w:rPr>
        <w:t>elle continuerait de le faire à l</w:t>
      </w:r>
      <w:r w:rsidR="007E7DAC" w:rsidRPr="00012F37">
        <w:rPr>
          <w:lang w:val="fr-FR"/>
        </w:rPr>
        <w:t>’</w:t>
      </w:r>
      <w:r w:rsidRPr="00012F37">
        <w:rPr>
          <w:lang w:val="fr-FR"/>
        </w:rPr>
        <w:t>aven</w:t>
      </w:r>
      <w:r w:rsidR="004965B0" w:rsidRPr="00012F37">
        <w:rPr>
          <w:lang w:val="fr-FR"/>
        </w:rPr>
        <w:t>ir.  La</w:t>
      </w:r>
      <w:r w:rsidRPr="00012F37">
        <w:rPr>
          <w:lang w:val="fr-FR"/>
        </w:rPr>
        <w:t xml:space="preserve"> délégation a réaffirmé que le système de Lisbonne, et en particulier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état un système unique et efficace au niveau multilatéral pour tous les membres souhaitant enregistrer et protéger des appellations d</w:t>
      </w:r>
      <w:r w:rsidR="007E7DAC" w:rsidRPr="00012F37">
        <w:rPr>
          <w:lang w:val="fr-FR"/>
        </w:rPr>
        <w:t>’</w:t>
      </w:r>
      <w:r w:rsidRPr="00012F37">
        <w:rPr>
          <w:lang w:val="fr-FR"/>
        </w:rPr>
        <w:t>origine et des indications géographiques déjà enregistrées au niveau nation</w:t>
      </w:r>
      <w:r w:rsidR="004965B0" w:rsidRPr="00012F37">
        <w:rPr>
          <w:lang w:val="fr-FR"/>
        </w:rPr>
        <w:t>al.  La</w:t>
      </w:r>
      <w:r w:rsidRPr="00012F37">
        <w:rPr>
          <w:lang w:val="fr-FR"/>
        </w:rPr>
        <w:t xml:space="preserve"> délégation a été particulièrement heureuse d</w:t>
      </w:r>
      <w:r w:rsidR="007E7DAC" w:rsidRPr="00012F37">
        <w:rPr>
          <w:lang w:val="fr-FR"/>
        </w:rPr>
        <w:t>’</w:t>
      </w:r>
      <w:r w:rsidRPr="00012F37">
        <w:rPr>
          <w:lang w:val="fr-FR"/>
        </w:rPr>
        <w:t>informer l</w:t>
      </w:r>
      <w:r w:rsidR="007E7DAC" w:rsidRPr="00012F37">
        <w:rPr>
          <w:lang w:val="fr-FR"/>
        </w:rPr>
        <w:t>’</w:t>
      </w:r>
      <w:r w:rsidRPr="00012F37">
        <w:rPr>
          <w:lang w:val="fr-FR"/>
        </w:rPr>
        <w:t>assemblée de l</w:t>
      </w:r>
      <w:r w:rsidR="007E7DAC" w:rsidRPr="00012F37">
        <w:rPr>
          <w:lang w:val="fr-FR"/>
        </w:rPr>
        <w:t>’</w:t>
      </w:r>
      <w:r w:rsidRPr="00012F37">
        <w:rPr>
          <w:lang w:val="fr-FR"/>
        </w:rPr>
        <w:t xml:space="preserve">entrée en vigueur imminente, </w:t>
      </w:r>
      <w:r w:rsidRPr="00012F37">
        <w:rPr>
          <w:lang w:val="fr-FR"/>
        </w:rPr>
        <w:lastRenderedPageBreak/>
        <w:t>le</w:t>
      </w:r>
      <w:r w:rsidR="00F9788B">
        <w:rPr>
          <w:lang w:val="fr-FR"/>
        </w:rPr>
        <w:t> </w:t>
      </w:r>
      <w:r w:rsidR="007E7DAC" w:rsidRPr="00012F37">
        <w:rPr>
          <w:lang w:val="fr-FR"/>
        </w:rPr>
        <w:t>1</w:t>
      </w:r>
      <w:r w:rsidR="007E7DAC" w:rsidRPr="00012F37">
        <w:rPr>
          <w:vertAlign w:val="superscript"/>
          <w:lang w:val="fr-FR"/>
        </w:rPr>
        <w:t>er</w:t>
      </w:r>
      <w:r w:rsidR="007E7DAC" w:rsidRPr="00012F37">
        <w:rPr>
          <w:lang w:val="fr-FR"/>
        </w:rPr>
        <w:t> décembre 20</w:t>
      </w:r>
      <w:r w:rsidRPr="00012F37">
        <w:rPr>
          <w:lang w:val="fr-FR"/>
        </w:rPr>
        <w:t xml:space="preserve">25, du règlement relatif à la protection des indications géographiques pour les produits artisanaux et industriels, </w:t>
      </w:r>
      <w:r w:rsidR="007E7DAC" w:rsidRPr="00012F37">
        <w:rPr>
          <w:lang w:val="fr-FR"/>
        </w:rPr>
        <w:t>à savoir</w:t>
      </w:r>
      <w:r w:rsidRPr="00012F37">
        <w:rPr>
          <w:lang w:val="fr-FR"/>
        </w:rPr>
        <w:t xml:space="preserve"> le règlement UE 2023/24/11.  La délégation a souligné que le nouveau règlement permettrait aux produits artisanaux et industriels de bénéficier pleinement de la protection des indications géographiques à l</w:t>
      </w:r>
      <w:r w:rsidR="007E7DAC" w:rsidRPr="00012F37">
        <w:rPr>
          <w:lang w:val="fr-FR"/>
        </w:rPr>
        <w:t>’</w:t>
      </w:r>
      <w:r w:rsidRPr="00012F37">
        <w:rPr>
          <w:lang w:val="fr-FR"/>
        </w:rPr>
        <w:t>échelle de l</w:t>
      </w:r>
      <w:r w:rsidR="007E7DAC" w:rsidRPr="00012F37">
        <w:rPr>
          <w:lang w:val="fr-FR"/>
        </w:rPr>
        <w:t>’</w:t>
      </w:r>
      <w:r w:rsidRPr="00012F37">
        <w:rPr>
          <w:lang w:val="fr-FR"/>
        </w:rPr>
        <w:t>Union européenne, puisqu</w:t>
      </w:r>
      <w:r w:rsidR="007E7DAC" w:rsidRPr="00012F37">
        <w:rPr>
          <w:lang w:val="fr-FR"/>
        </w:rPr>
        <w:t>’</w:t>
      </w:r>
      <w:r w:rsidRPr="00012F37">
        <w:rPr>
          <w:lang w:val="fr-FR"/>
        </w:rPr>
        <w:t>il permettrait aux producteurs d</w:t>
      </w:r>
      <w:r w:rsidR="007E7DAC" w:rsidRPr="00012F37">
        <w:rPr>
          <w:lang w:val="fr-FR"/>
        </w:rPr>
        <w:t>’</w:t>
      </w:r>
      <w:r w:rsidRPr="00012F37">
        <w:rPr>
          <w:lang w:val="fr-FR"/>
        </w:rPr>
        <w:t>empêcher l</w:t>
      </w:r>
      <w:r w:rsidR="007E7DAC" w:rsidRPr="00012F37">
        <w:rPr>
          <w:lang w:val="fr-FR"/>
        </w:rPr>
        <w:t>’</w:t>
      </w:r>
      <w:r w:rsidRPr="00012F37">
        <w:rPr>
          <w:lang w:val="fr-FR"/>
        </w:rPr>
        <w:t>utilisation de noms protégés pour des produits similaires fabriqués en dehors des zones géographiques désignées, et les aiderait ainsi à lutter contre les atteintes en ligne et hors lig</w:t>
      </w:r>
      <w:r w:rsidR="004965B0" w:rsidRPr="00012F37">
        <w:rPr>
          <w:lang w:val="fr-FR"/>
        </w:rPr>
        <w:t>ne.  La</w:t>
      </w:r>
      <w:r w:rsidRPr="00012F37">
        <w:rPr>
          <w:lang w:val="fr-FR"/>
        </w:rPr>
        <w:t xml:space="preserve"> délégation a également souligné que le système des indications géographiques permettait non seulement aux producteurs de l</w:t>
      </w:r>
      <w:r w:rsidR="007E7DAC" w:rsidRPr="00012F37">
        <w:rPr>
          <w:lang w:val="fr-FR"/>
        </w:rPr>
        <w:t>’</w:t>
      </w:r>
      <w:r w:rsidRPr="00012F37">
        <w:rPr>
          <w:lang w:val="fr-FR"/>
        </w:rPr>
        <w:t>Union européenne, mais aussi aux producteurs de pays tiers remplissant les mêmes conditions, de solliciter une protection internationale pour leurs indications géographiqu</w:t>
      </w:r>
      <w:r w:rsidR="004965B0" w:rsidRPr="00012F37">
        <w:rPr>
          <w:lang w:val="fr-FR"/>
        </w:rPr>
        <w:t>es.  La</w:t>
      </w:r>
      <w:r w:rsidRPr="00012F37">
        <w:rPr>
          <w:lang w:val="fr-FR"/>
        </w:rPr>
        <w:t xml:space="preserve"> délégation a également fait référence au règlement (UE) 2024/1143, qui a mis à jour et mieux défini le cadre juridique applicable aux vins, boissons spiritueuses et produits agricol</w:t>
      </w:r>
      <w:r w:rsidR="004965B0" w:rsidRPr="00012F37">
        <w:rPr>
          <w:lang w:val="fr-FR"/>
        </w:rPr>
        <w:t>es.  La</w:t>
      </w:r>
      <w:r w:rsidRPr="00012F37">
        <w:rPr>
          <w:lang w:val="fr-FR"/>
        </w:rPr>
        <w:t xml:space="preserve"> délégation s</w:t>
      </w:r>
      <w:r w:rsidR="007E7DAC" w:rsidRPr="00012F37">
        <w:rPr>
          <w:lang w:val="fr-FR"/>
        </w:rPr>
        <w:t>’</w:t>
      </w:r>
      <w:r w:rsidRPr="00012F37">
        <w:rPr>
          <w:lang w:val="fr-FR"/>
        </w:rPr>
        <w:t>est félicitée des propositions de modification du règlement d</w:t>
      </w:r>
      <w:r w:rsidR="007E7DAC" w:rsidRPr="00012F37">
        <w:rPr>
          <w:lang w:val="fr-FR"/>
        </w:rPr>
        <w:t>’</w:t>
      </w:r>
      <w:r w:rsidRPr="00012F37">
        <w:rPr>
          <w:lang w:val="fr-FR"/>
        </w:rPr>
        <w:t>exécution commun, recommandées par le groupe de travail en vue de leur adoption par l</w:t>
      </w:r>
      <w:r w:rsidR="007E7DAC" w:rsidRPr="00012F37">
        <w:rPr>
          <w:lang w:val="fr-FR"/>
        </w:rPr>
        <w:t>’</w:t>
      </w:r>
      <w:r w:rsidRPr="00012F37">
        <w:rPr>
          <w:lang w:val="fr-FR"/>
        </w:rPr>
        <w:t xml:space="preserve">Assemblée de Lisbonne, car elle estimait que </w:t>
      </w:r>
      <w:proofErr w:type="gramStart"/>
      <w:r w:rsidRPr="00012F37">
        <w:rPr>
          <w:lang w:val="fr-FR"/>
        </w:rPr>
        <w:t>ces modification</w:t>
      </w:r>
      <w:proofErr w:type="gramEnd"/>
      <w:r w:rsidRPr="00012F37">
        <w:rPr>
          <w:lang w:val="fr-FR"/>
        </w:rPr>
        <w:t xml:space="preserve"> renforceraient la clarté et la sécurité juridique des procédures dans le cadre du système de Lisbon</w:t>
      </w:r>
      <w:r w:rsidR="004965B0" w:rsidRPr="00012F37">
        <w:rPr>
          <w:lang w:val="fr-FR"/>
        </w:rPr>
        <w:t>ne.  La</w:t>
      </w:r>
      <w:r w:rsidRPr="00012F37">
        <w:rPr>
          <w:lang w:val="fr-FR"/>
        </w:rPr>
        <w:t xml:space="preserve"> délégation s</w:t>
      </w:r>
      <w:r w:rsidR="007E7DAC" w:rsidRPr="00012F37">
        <w:rPr>
          <w:lang w:val="fr-FR"/>
        </w:rPr>
        <w:t>’</w:t>
      </w:r>
      <w:r w:rsidRPr="00012F37">
        <w:rPr>
          <w:lang w:val="fr-FR"/>
        </w:rPr>
        <w:t xml:space="preserve">est </w:t>
      </w:r>
      <w:proofErr w:type="gramStart"/>
      <w:r w:rsidRPr="00012F37">
        <w:rPr>
          <w:lang w:val="fr-FR"/>
        </w:rPr>
        <w:t>dite</w:t>
      </w:r>
      <w:proofErr w:type="gramEnd"/>
      <w:r w:rsidRPr="00012F37">
        <w:rPr>
          <w:lang w:val="fr-FR"/>
        </w:rPr>
        <w:t xml:space="preserve"> impatiente de poursuivre les discussions sur les propositions de modification des règles 9 à 12 du règlement d</w:t>
      </w:r>
      <w:r w:rsidR="007E7DAC" w:rsidRPr="00012F37">
        <w:rPr>
          <w:lang w:val="fr-FR"/>
        </w:rPr>
        <w:t>’</w:t>
      </w:r>
      <w:r w:rsidRPr="00012F37">
        <w:rPr>
          <w:lang w:val="fr-FR"/>
        </w:rPr>
        <w:t>exécution commun lors de la prochaine session du groupe de travail et s</w:t>
      </w:r>
      <w:r w:rsidR="007E7DAC" w:rsidRPr="00012F37">
        <w:rPr>
          <w:lang w:val="fr-FR"/>
        </w:rPr>
        <w:t>’</w:t>
      </w:r>
      <w:r w:rsidRPr="00012F37">
        <w:rPr>
          <w:lang w:val="fr-FR"/>
        </w:rPr>
        <w:t xml:space="preserve">est </w:t>
      </w:r>
      <w:proofErr w:type="gramStart"/>
      <w:r w:rsidRPr="00012F37">
        <w:rPr>
          <w:lang w:val="fr-FR"/>
        </w:rPr>
        <w:t>dite</w:t>
      </w:r>
      <w:proofErr w:type="gramEnd"/>
      <w:r w:rsidRPr="00012F37">
        <w:rPr>
          <w:lang w:val="fr-FR"/>
        </w:rPr>
        <w:t xml:space="preserve"> prête à discuter de toute autre proposition susceptible d</w:t>
      </w:r>
      <w:r w:rsidR="007E7DAC" w:rsidRPr="00012F37">
        <w:rPr>
          <w:lang w:val="fr-FR"/>
        </w:rPr>
        <w:t>’</w:t>
      </w:r>
      <w:r w:rsidRPr="00012F37">
        <w:rPr>
          <w:lang w:val="fr-FR"/>
        </w:rPr>
        <w:t>être faite par la sui</w:t>
      </w:r>
      <w:r w:rsidR="004965B0" w:rsidRPr="00012F37">
        <w:rPr>
          <w:lang w:val="fr-FR"/>
        </w:rPr>
        <w:t xml:space="preserve">te.  À </w:t>
      </w:r>
      <w:r w:rsidRPr="00012F37">
        <w:rPr>
          <w:lang w:val="fr-FR"/>
        </w:rPr>
        <w:t>cet effet, la délégation a exprimé son soutien en faveur d</w:t>
      </w:r>
      <w:r w:rsidR="007E7DAC" w:rsidRPr="00012F37">
        <w:rPr>
          <w:lang w:val="fr-FR"/>
        </w:rPr>
        <w:t>’</w:t>
      </w:r>
      <w:r w:rsidRPr="00012F37">
        <w:rPr>
          <w:lang w:val="fr-FR"/>
        </w:rPr>
        <w:t>un document établi par le Secrétariat, présentant des éléments de réflexion et des options envisageables concernant les futurs trava</w:t>
      </w:r>
      <w:r w:rsidR="004965B0" w:rsidRPr="00012F37">
        <w:rPr>
          <w:lang w:val="fr-FR"/>
        </w:rPr>
        <w:t>ux.  En</w:t>
      </w:r>
      <w:r w:rsidRPr="00012F37">
        <w:rPr>
          <w:lang w:val="fr-FR"/>
        </w:rPr>
        <w:t>fin, la délégation a approuvé la demande faite au Secrétariat par le groupe de travail d</w:t>
      </w:r>
      <w:r w:rsidR="007E7DAC" w:rsidRPr="00012F37">
        <w:rPr>
          <w:lang w:val="fr-FR"/>
        </w:rPr>
        <w:t>’</w:t>
      </w:r>
      <w:r w:rsidRPr="00012F37">
        <w:rPr>
          <w:lang w:val="fr-FR"/>
        </w:rPr>
        <w:t>établir un document sur les procédures concernant les conditions supplémentaires au titre de l</w:t>
      </w:r>
      <w:r w:rsidR="007E7DAC" w:rsidRPr="00012F37">
        <w:rPr>
          <w:lang w:val="fr-FR"/>
        </w:rPr>
        <w:t>’</w:t>
      </w:r>
      <w:r w:rsidRPr="00012F37">
        <w:rPr>
          <w:lang w:val="fr-FR"/>
        </w:rPr>
        <w:t>article 7.4) de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et de la règle 5.3) du règlement d</w:t>
      </w:r>
      <w:r w:rsidR="007E7DAC" w:rsidRPr="00012F37">
        <w:rPr>
          <w:lang w:val="fr-FR"/>
        </w:rPr>
        <w:t>’</w:t>
      </w:r>
      <w:r w:rsidRPr="00012F37">
        <w:rPr>
          <w:lang w:val="fr-FR"/>
        </w:rPr>
        <w:t xml:space="preserve">exécution commun, </w:t>
      </w:r>
      <w:r w:rsidR="007E7DAC" w:rsidRPr="00012F37">
        <w:rPr>
          <w:lang w:val="fr-FR"/>
        </w:rPr>
        <w:t>y compris</w:t>
      </w:r>
      <w:r w:rsidRPr="00012F37">
        <w:rPr>
          <w:lang w:val="fr-FR"/>
        </w:rPr>
        <w:t xml:space="preserve"> des informations générales et des options envisageabl</w:t>
      </w:r>
      <w:r w:rsidR="004965B0" w:rsidRPr="00012F37">
        <w:rPr>
          <w:lang w:val="fr-FR"/>
        </w:rPr>
        <w:t>es.  La</w:t>
      </w:r>
      <w:r w:rsidRPr="00012F37">
        <w:rPr>
          <w:lang w:val="fr-FR"/>
        </w:rPr>
        <w:t xml:space="preserve"> délégation a souligné qu</w:t>
      </w:r>
      <w:r w:rsidR="007E7DAC" w:rsidRPr="00012F37">
        <w:rPr>
          <w:lang w:val="fr-FR"/>
        </w:rPr>
        <w:t>’</w:t>
      </w:r>
      <w:r w:rsidRPr="00012F37">
        <w:rPr>
          <w:lang w:val="fr-FR"/>
        </w:rPr>
        <w:t>un tel document de réflexion ne lierait pas les membres du système de Lisbonne à un résultat particulier, en particulier si des modifications d</w:t>
      </w:r>
      <w:r w:rsidR="007E7DAC" w:rsidRPr="00012F37">
        <w:rPr>
          <w:lang w:val="fr-FR"/>
        </w:rPr>
        <w:t>’</w:t>
      </w:r>
      <w:r w:rsidRPr="00012F37">
        <w:rPr>
          <w:lang w:val="fr-FR"/>
        </w:rPr>
        <w:t>éléments clés du système de Lisbonne devaient être envisagées.</w:t>
      </w:r>
    </w:p>
    <w:p w14:paraId="310EF36C" w14:textId="0A33BD35" w:rsidR="00716513" w:rsidRPr="00012F37" w:rsidRDefault="00716513" w:rsidP="00C962C9">
      <w:pPr>
        <w:pStyle w:val="ONUMFS"/>
        <w:rPr>
          <w:lang w:val="fr-FR"/>
        </w:rPr>
      </w:pPr>
      <w:r w:rsidRPr="00012F37">
        <w:rPr>
          <w:lang w:val="fr-FR"/>
        </w:rPr>
        <w:t>La délégation du Ghana a déclaré qu</w:t>
      </w:r>
      <w:r w:rsidR="007E7DAC" w:rsidRPr="00012F37">
        <w:rPr>
          <w:lang w:val="fr-FR"/>
        </w:rPr>
        <w:t>’</w:t>
      </w:r>
      <w:r w:rsidRPr="00012F37">
        <w:rPr>
          <w:lang w:val="fr-FR"/>
        </w:rPr>
        <w:t>elle avait suivi attentivement toutes les questions relatives au système de Lisbonne et qu</w:t>
      </w:r>
      <w:r w:rsidR="007E7DAC" w:rsidRPr="00012F37">
        <w:rPr>
          <w:lang w:val="fr-FR"/>
        </w:rPr>
        <w:t>’</w:t>
      </w:r>
      <w:r w:rsidRPr="00012F37">
        <w:rPr>
          <w:lang w:val="fr-FR"/>
        </w:rPr>
        <w:t>elle soutenait pleinement les efforts visant à en améliorer l</w:t>
      </w:r>
      <w:r w:rsidR="007E7DAC" w:rsidRPr="00012F37">
        <w:rPr>
          <w:lang w:val="fr-FR"/>
        </w:rPr>
        <w:t>’</w:t>
      </w:r>
      <w:r w:rsidRPr="00012F37">
        <w:rPr>
          <w:lang w:val="fr-FR"/>
        </w:rPr>
        <w:t>efficience et l</w:t>
      </w:r>
      <w:r w:rsidR="007E7DAC" w:rsidRPr="00012F37">
        <w:rPr>
          <w:lang w:val="fr-FR"/>
        </w:rPr>
        <w:t>’</w:t>
      </w:r>
      <w:r w:rsidRPr="00012F37">
        <w:rPr>
          <w:lang w:val="fr-FR"/>
        </w:rPr>
        <w:t>efficaci</w:t>
      </w:r>
      <w:r w:rsidR="004965B0" w:rsidRPr="00012F37">
        <w:rPr>
          <w:lang w:val="fr-FR"/>
        </w:rPr>
        <w:t>té.  La</w:t>
      </w:r>
      <w:r w:rsidRPr="00012F37">
        <w:rPr>
          <w:lang w:val="fr-FR"/>
        </w:rPr>
        <w:t xml:space="preserve"> délégation a accueilli favorablement les modifications adoptées par le groupe de travail et a dit attendre avec impatience la suite des discussions sur les propositions de modification restantes des règles 9 à 12 du règlement d</w:t>
      </w:r>
      <w:r w:rsidR="007E7DAC" w:rsidRPr="00012F37">
        <w:rPr>
          <w:lang w:val="fr-FR"/>
        </w:rPr>
        <w:t>’</w:t>
      </w:r>
      <w:r w:rsidRPr="00012F37">
        <w:rPr>
          <w:lang w:val="fr-FR"/>
        </w:rPr>
        <w:t>exécution commun.</w:t>
      </w:r>
    </w:p>
    <w:p w14:paraId="259D3879" w14:textId="6B7BB05B" w:rsidR="00716513" w:rsidRPr="00012F37" w:rsidRDefault="00716513" w:rsidP="00C962C9">
      <w:pPr>
        <w:pStyle w:val="ONUMFS"/>
        <w:rPr>
          <w:lang w:val="fr-FR"/>
        </w:rPr>
      </w:pPr>
      <w:r w:rsidRPr="00012F37">
        <w:rPr>
          <w:lang w:val="fr-FR"/>
        </w:rPr>
        <w:t>La délégation de la Suisse s</w:t>
      </w:r>
      <w:r w:rsidR="007E7DAC" w:rsidRPr="00012F37">
        <w:rPr>
          <w:lang w:val="fr-FR"/>
        </w:rPr>
        <w:t>’</w:t>
      </w:r>
      <w:r w:rsidRPr="00012F37">
        <w:rPr>
          <w:lang w:val="fr-FR"/>
        </w:rPr>
        <w:t xml:space="preserve">est </w:t>
      </w:r>
      <w:proofErr w:type="gramStart"/>
      <w:r w:rsidRPr="00012F37">
        <w:rPr>
          <w:lang w:val="fr-FR"/>
        </w:rPr>
        <w:t>dite</w:t>
      </w:r>
      <w:proofErr w:type="gramEnd"/>
      <w:r w:rsidRPr="00012F37">
        <w:rPr>
          <w:lang w:val="fr-FR"/>
        </w:rPr>
        <w:t xml:space="preserve"> en faveur de la modification des règles 1</w:t>
      </w:r>
      <w:r w:rsidR="00FA093E">
        <w:rPr>
          <w:lang w:val="fr-FR"/>
        </w:rPr>
        <w:t>, 8</w:t>
      </w:r>
      <w:r w:rsidRPr="00012F37">
        <w:rPr>
          <w:lang w:val="fr-FR"/>
        </w:rPr>
        <w:t xml:space="preserve"> et 1</w:t>
      </w:r>
      <w:r w:rsidR="00FA093E">
        <w:rPr>
          <w:lang w:val="fr-FR"/>
        </w:rPr>
        <w:t>8</w:t>
      </w:r>
      <w:r w:rsidRPr="00012F37">
        <w:rPr>
          <w:lang w:val="fr-FR"/>
        </w:rPr>
        <w:t xml:space="preserve"> du règlement d</w:t>
      </w:r>
      <w:r w:rsidR="007E7DAC" w:rsidRPr="00012F37">
        <w:rPr>
          <w:lang w:val="fr-FR"/>
        </w:rPr>
        <w:t>’</w:t>
      </w:r>
      <w:r w:rsidRPr="00012F37">
        <w:rPr>
          <w:lang w:val="fr-FR"/>
        </w:rPr>
        <w:t>exécution comm</w:t>
      </w:r>
      <w:r w:rsidR="004965B0" w:rsidRPr="00012F37">
        <w:rPr>
          <w:lang w:val="fr-FR"/>
        </w:rPr>
        <w:t>un.  La</w:t>
      </w:r>
      <w:r w:rsidRPr="00012F37">
        <w:rPr>
          <w:lang w:val="fr-FR"/>
        </w:rPr>
        <w:t xml:space="preserve"> délégation a également souligné la célébration du dixième anniversaire de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et a remercié le Secrétariat d</w:t>
      </w:r>
      <w:r w:rsidR="007E7DAC" w:rsidRPr="00012F37">
        <w:rPr>
          <w:lang w:val="fr-FR"/>
        </w:rPr>
        <w:t>’</w:t>
      </w:r>
      <w:r w:rsidRPr="00012F37">
        <w:rPr>
          <w:lang w:val="fr-FR"/>
        </w:rPr>
        <w:t>avoir organisé un événement en marge de la session le 10 </w:t>
      </w:r>
      <w:r w:rsidR="007E7DAC" w:rsidRPr="00012F37">
        <w:rPr>
          <w:lang w:val="fr-FR"/>
        </w:rPr>
        <w:t>juillet 20</w:t>
      </w:r>
      <w:r w:rsidRPr="00012F37">
        <w:rPr>
          <w:lang w:val="fr-FR"/>
        </w:rPr>
        <w:t>25</w:t>
      </w:r>
      <w:r w:rsidR="008F20CD" w:rsidRPr="00012F37">
        <w:rPr>
          <w:lang w:val="fr-FR"/>
        </w:rPr>
        <w:t xml:space="preserve">. </w:t>
      </w:r>
      <w:r w:rsidRPr="00012F37">
        <w:rPr>
          <w:lang w:val="fr-FR"/>
        </w:rPr>
        <w:t xml:space="preserve"> La délégation a souligné que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était un instrument important qui permettait aux bénéficiaires d</w:t>
      </w:r>
      <w:r w:rsidR="007E7DAC" w:rsidRPr="00012F37">
        <w:rPr>
          <w:lang w:val="fr-FR"/>
        </w:rPr>
        <w:t>’</w:t>
      </w:r>
      <w:r w:rsidRPr="00012F37">
        <w:rPr>
          <w:lang w:val="fr-FR"/>
        </w:rPr>
        <w:t>appellations d</w:t>
      </w:r>
      <w:r w:rsidR="007E7DAC" w:rsidRPr="00012F37">
        <w:rPr>
          <w:lang w:val="fr-FR"/>
        </w:rPr>
        <w:t>’</w:t>
      </w:r>
      <w:r w:rsidRPr="00012F37">
        <w:rPr>
          <w:lang w:val="fr-FR"/>
        </w:rPr>
        <w:t>origine et d</w:t>
      </w:r>
      <w:r w:rsidR="007E7DAC" w:rsidRPr="00012F37">
        <w:rPr>
          <w:lang w:val="fr-FR"/>
        </w:rPr>
        <w:t>’</w:t>
      </w:r>
      <w:r w:rsidRPr="00012F37">
        <w:rPr>
          <w:lang w:val="fr-FR"/>
        </w:rPr>
        <w:t>indications géographiques d</w:t>
      </w:r>
      <w:r w:rsidR="007E7DAC" w:rsidRPr="00012F37">
        <w:rPr>
          <w:lang w:val="fr-FR"/>
        </w:rPr>
        <w:t>’</w:t>
      </w:r>
      <w:r w:rsidRPr="00012F37">
        <w:rPr>
          <w:lang w:val="fr-FR"/>
        </w:rPr>
        <w:t>obtenir une protection renforcée dans plusieurs États membres dans le cadre d</w:t>
      </w:r>
      <w:r w:rsidR="007E7DAC" w:rsidRPr="00012F37">
        <w:rPr>
          <w:lang w:val="fr-FR"/>
        </w:rPr>
        <w:t>’</w:t>
      </w:r>
      <w:r w:rsidRPr="00012F37">
        <w:rPr>
          <w:lang w:val="fr-FR"/>
        </w:rPr>
        <w:t>une procédure simplifi</w:t>
      </w:r>
      <w:r w:rsidR="004965B0" w:rsidRPr="00012F37">
        <w:rPr>
          <w:lang w:val="fr-FR"/>
        </w:rPr>
        <w:t>ée.  La</w:t>
      </w:r>
      <w:r w:rsidRPr="00012F37">
        <w:rPr>
          <w:lang w:val="fr-FR"/>
        </w:rPr>
        <w:t xml:space="preserve"> délégation a salué la popularité et l</w:t>
      </w:r>
      <w:r w:rsidR="007E7DAC" w:rsidRPr="00012F37">
        <w:rPr>
          <w:lang w:val="fr-FR"/>
        </w:rPr>
        <w:t>’</w:t>
      </w:r>
      <w:r w:rsidRPr="00012F37">
        <w:rPr>
          <w:lang w:val="fr-FR"/>
        </w:rPr>
        <w:t>efficacité croissantes du système de Lisbonne, notamment grâce à la création d</w:t>
      </w:r>
      <w:r w:rsidR="007E7DAC" w:rsidRPr="00012F37">
        <w:rPr>
          <w:lang w:val="fr-FR"/>
        </w:rPr>
        <w:t>’</w:t>
      </w:r>
      <w:r w:rsidRPr="00012F37">
        <w:rPr>
          <w:lang w:val="fr-FR"/>
        </w:rPr>
        <w:t>outils informatiques.</w:t>
      </w:r>
    </w:p>
    <w:p w14:paraId="1B8C4350" w14:textId="1964A409" w:rsidR="00716513" w:rsidRPr="00012F37" w:rsidRDefault="007747BD" w:rsidP="00C962C9">
      <w:pPr>
        <w:pStyle w:val="ONUMFS"/>
        <w:rPr>
          <w:lang w:val="fr-FR"/>
        </w:rPr>
      </w:pPr>
      <w:r>
        <w:t xml:space="preserve">La délégation de la Fédération de Russie a félicité l’OMPI et tous les États membres à l’occasion du dixième anniversaire de l’adoption de l’Acte de Genève de l’Arrangement de Lisbonne.  Elle a fait remarquer que l’Acte avait constitué une étape importante dans le renforcement du système international de protection des indications géographiques et des appellations d’origine, garantissant la protection effective des intérêts des producteurs locaux.  Lors de la célébration de cet événement le 10 juillet 2025, la Fédération de Russie avait eu le plaisir de présenter des produits nationaux protégés par des indications géographiques et des appellations d’origine et les visiteurs avaient pu découvrir l’artisanat traditionnel, notamment la céramique de </w:t>
      </w:r>
      <w:proofErr w:type="spellStart"/>
      <w:r>
        <w:t>Gjel</w:t>
      </w:r>
      <w:proofErr w:type="spellEnd"/>
      <w:r>
        <w:t xml:space="preserve">, la peinture de </w:t>
      </w:r>
      <w:proofErr w:type="spellStart"/>
      <w:r>
        <w:t>Zhostovo</w:t>
      </w:r>
      <w:proofErr w:type="spellEnd"/>
      <w:r>
        <w:t xml:space="preserve"> et de </w:t>
      </w:r>
      <w:proofErr w:type="spellStart"/>
      <w:r>
        <w:t>Khokhloma</w:t>
      </w:r>
      <w:proofErr w:type="spellEnd"/>
      <w:r>
        <w:t xml:space="preserve">, les jouets de </w:t>
      </w:r>
      <w:proofErr w:type="spellStart"/>
      <w:r>
        <w:t>Dymkovo</w:t>
      </w:r>
      <w:proofErr w:type="spellEnd"/>
      <w:r>
        <w:t xml:space="preserve">, entre autres, et déguster le vin des régions du sud de la Russie, ainsi que de la vodka russe, du pain </w:t>
      </w:r>
      <w:r>
        <w:lastRenderedPageBreak/>
        <w:t xml:space="preserve">d’épices de Tula et de la </w:t>
      </w:r>
      <w:proofErr w:type="spellStart"/>
      <w:r>
        <w:t>pastila</w:t>
      </w:r>
      <w:proofErr w:type="spellEnd"/>
      <w:r>
        <w:t xml:space="preserve"> de Kolomna.  La délégation a également souhaité la bienvenue aux nouveaux membres du système de Lisbonne.  Elle a remercié le Bureau international, en particulier le directeur du Service d’enregistrement de Lisbonne, d’avoir organisé cette année un atelier de formation à l’intention des membres du système de Lisbonne, une session du Groupe de travail et une table ronde, et d’être toujours disposé à aider les membres actuels et futurs du système de Lisbonne sur toutes les questions relatives au fonctionnement de ce dernier.  La délégation de la Fédération de Russie était reconnaissante d’avoir eu l’occasion de prendre la parole pendant l’atelier de formation pour présenter l’approche du Service fédéral de la propriété intellectuelle (ROSPATENT) en matière d’examen des demandes et d’inscription des droits selon le système de Lisbonne, y compris les questions relatives aux taxes administratives, répondre aux questions des participants et échanger sur les pratiques et les approches des autres membres du système.  La délégation a insisté sur l’importance de la poursuite du développement du système de Lisbonne et de l’augmentation du nombre de ses membres, ainsi que sur la nécessité pour les offices d’avoir des échanges réguliers sur leurs pratiques et leurs expériences dans le cadre d’événements organisés par le Service d’enregistrement de Lisbonne.  Par ailleurs, la délégation a soutenu les propositions de modification des règles 8, 15 et 18 du règlement d’exécution commun à l’Arrangement de Lisbonne et à l’Acte de Genève de l’Arrangement de Lisbonne, telles que présentées dans le document LI/A/42/2, ajoutant que toutes les modifications proposées visaient à améliorer le système de Lisbonne et à attirer de nouveaux membres.  La délégation a indiqué en conclusion que la Fédération de Russie était prête à prendre part à un dialogue constructif afin de continuer à renforcer le système de Madrid dans l’intérêt de tous ses utilisateurs.</w:t>
      </w:r>
    </w:p>
    <w:p w14:paraId="6EFF273B" w14:textId="0345CAB5" w:rsidR="00716513" w:rsidRPr="00012F37" w:rsidRDefault="00716513" w:rsidP="00C962C9">
      <w:pPr>
        <w:pStyle w:val="ONUMFS"/>
        <w:rPr>
          <w:lang w:val="fr-FR"/>
        </w:rPr>
      </w:pPr>
      <w:r w:rsidRPr="00012F37">
        <w:rPr>
          <w:lang w:val="fr-FR"/>
        </w:rPr>
        <w:t>La délégation de la République tchèque a souscrit aux déclarations faites par l</w:t>
      </w:r>
      <w:r w:rsidR="007E7DAC" w:rsidRPr="00012F37">
        <w:rPr>
          <w:lang w:val="fr-FR"/>
        </w:rPr>
        <w:t>’</w:t>
      </w:r>
      <w:r w:rsidRPr="00012F37">
        <w:rPr>
          <w:lang w:val="fr-FR"/>
        </w:rPr>
        <w:t>Union européenne et l</w:t>
      </w:r>
      <w:r w:rsidR="007E7DAC" w:rsidRPr="00012F37">
        <w:rPr>
          <w:lang w:val="fr-FR"/>
        </w:rPr>
        <w:t>’</w:t>
      </w:r>
      <w:r w:rsidRPr="00012F37">
        <w:rPr>
          <w:lang w:val="fr-FR"/>
        </w:rPr>
        <w:t>Estonie au nom du groupe des pays d</w:t>
      </w:r>
      <w:r w:rsidR="007E7DAC" w:rsidRPr="00012F37">
        <w:rPr>
          <w:lang w:val="fr-FR"/>
        </w:rPr>
        <w:t>’</w:t>
      </w:r>
      <w:r w:rsidRPr="00012F37">
        <w:rPr>
          <w:lang w:val="fr-FR"/>
        </w:rPr>
        <w:t>Europe centrale et des États balt</w:t>
      </w:r>
      <w:r w:rsidR="004965B0" w:rsidRPr="00012F37">
        <w:rPr>
          <w:lang w:val="fr-FR"/>
        </w:rPr>
        <w:t>es.  La</w:t>
      </w:r>
      <w:r w:rsidRPr="00012F37">
        <w:rPr>
          <w:lang w:val="fr-FR"/>
        </w:rPr>
        <w:t xml:space="preserve"> délégation a accueilli favorablement le rapport du groupe de travail qui contenait des indications précieuses sur les progrès réalisés et l</w:t>
      </w:r>
      <w:r w:rsidR="007E7DAC" w:rsidRPr="00012F37">
        <w:rPr>
          <w:lang w:val="fr-FR"/>
        </w:rPr>
        <w:t>’</w:t>
      </w:r>
      <w:r w:rsidRPr="00012F37">
        <w:rPr>
          <w:lang w:val="fr-FR"/>
        </w:rPr>
        <w:t>orientation des travaux futurs, et a soutenu les propositions de modification du règlement d</w:t>
      </w:r>
      <w:r w:rsidR="007E7DAC" w:rsidRPr="00012F37">
        <w:rPr>
          <w:lang w:val="fr-FR"/>
        </w:rPr>
        <w:t>’</w:t>
      </w:r>
      <w:r w:rsidRPr="00012F37">
        <w:rPr>
          <w:lang w:val="fr-FR"/>
        </w:rPr>
        <w:t>exécution comm</w:t>
      </w:r>
      <w:r w:rsidR="004965B0" w:rsidRPr="00012F37">
        <w:rPr>
          <w:lang w:val="fr-FR"/>
        </w:rPr>
        <w:t>un.  La</w:t>
      </w:r>
      <w:r w:rsidRPr="00012F37">
        <w:rPr>
          <w:lang w:val="fr-FR"/>
        </w:rPr>
        <w:t xml:space="preserve"> délégation s</w:t>
      </w:r>
      <w:r w:rsidR="007E7DAC" w:rsidRPr="00012F37">
        <w:rPr>
          <w:lang w:val="fr-FR"/>
        </w:rPr>
        <w:t>’</w:t>
      </w:r>
      <w:r w:rsidRPr="00012F37">
        <w:rPr>
          <w:lang w:val="fr-FR"/>
        </w:rPr>
        <w:t xml:space="preserve">est </w:t>
      </w:r>
      <w:proofErr w:type="gramStart"/>
      <w:r w:rsidRPr="00012F37">
        <w:rPr>
          <w:lang w:val="fr-FR"/>
        </w:rPr>
        <w:t>dite</w:t>
      </w:r>
      <w:proofErr w:type="gramEnd"/>
      <w:r w:rsidRPr="00012F37">
        <w:rPr>
          <w:lang w:val="fr-FR"/>
        </w:rPr>
        <w:t xml:space="preserve"> convaincue que les propositions de modification simplifieraient les procédures, amélioreraient l</w:t>
      </w:r>
      <w:r w:rsidR="007E7DAC" w:rsidRPr="00012F37">
        <w:rPr>
          <w:lang w:val="fr-FR"/>
        </w:rPr>
        <w:t>’</w:t>
      </w:r>
      <w:r w:rsidRPr="00012F37">
        <w:rPr>
          <w:lang w:val="fr-FR"/>
        </w:rPr>
        <w:t>efficacité et apporteraient des avantages significatifs aux utilisateu</w:t>
      </w:r>
      <w:r w:rsidR="004965B0" w:rsidRPr="00012F37">
        <w:rPr>
          <w:lang w:val="fr-FR"/>
        </w:rPr>
        <w:t>rs.  La</w:t>
      </w:r>
      <w:r w:rsidRPr="00012F37">
        <w:rPr>
          <w:lang w:val="fr-FR"/>
        </w:rPr>
        <w:t xml:space="preserve"> délégation s</w:t>
      </w:r>
      <w:r w:rsidR="007E7DAC" w:rsidRPr="00012F37">
        <w:rPr>
          <w:lang w:val="fr-FR"/>
        </w:rPr>
        <w:t>’</w:t>
      </w:r>
      <w:r w:rsidRPr="00012F37">
        <w:rPr>
          <w:lang w:val="fr-FR"/>
        </w:rPr>
        <w:t xml:space="preserve">est </w:t>
      </w:r>
      <w:proofErr w:type="gramStart"/>
      <w:r w:rsidRPr="00012F37">
        <w:rPr>
          <w:lang w:val="fr-FR"/>
        </w:rPr>
        <w:t>dite</w:t>
      </w:r>
      <w:proofErr w:type="gramEnd"/>
      <w:r w:rsidRPr="00012F37">
        <w:rPr>
          <w:lang w:val="fr-FR"/>
        </w:rPr>
        <w:t xml:space="preserve"> impatiente de poursuivre les discussions sur les propositions de modification des règles 9 à 12 du règlement d</w:t>
      </w:r>
      <w:r w:rsidR="007E7DAC" w:rsidRPr="00012F37">
        <w:rPr>
          <w:lang w:val="fr-FR"/>
        </w:rPr>
        <w:t>’</w:t>
      </w:r>
      <w:r w:rsidRPr="00012F37">
        <w:rPr>
          <w:lang w:val="fr-FR"/>
        </w:rPr>
        <w:t>exécution commun lors de la prochaine session du groupe de travail et a invité le Secrétariat à établir un document contenant des éléments de réflexion et des options envisageables pour les travaux futu</w:t>
      </w:r>
      <w:r w:rsidR="004965B0" w:rsidRPr="00012F37">
        <w:rPr>
          <w:lang w:val="fr-FR"/>
        </w:rPr>
        <w:t>rs.  La</w:t>
      </w:r>
      <w:r w:rsidRPr="00012F37">
        <w:rPr>
          <w:lang w:val="fr-FR"/>
        </w:rPr>
        <w:t xml:space="preserve"> délégation de la République tchèque a également souligné qu</w:t>
      </w:r>
      <w:r w:rsidR="007E7DAC" w:rsidRPr="00012F37">
        <w:rPr>
          <w:lang w:val="fr-FR"/>
        </w:rPr>
        <w:t>’</w:t>
      </w:r>
      <w:r w:rsidRPr="00012F37">
        <w:rPr>
          <w:lang w:val="fr-FR"/>
        </w:rPr>
        <w:t>il était important de doter le Service d</w:t>
      </w:r>
      <w:r w:rsidR="007E7DAC" w:rsidRPr="00012F37">
        <w:rPr>
          <w:lang w:val="fr-FR"/>
        </w:rPr>
        <w:t>’</w:t>
      </w:r>
      <w:r w:rsidRPr="00012F37">
        <w:rPr>
          <w:lang w:val="fr-FR"/>
        </w:rPr>
        <w:t>enregistrement de Lisbonne de ressources humaines et financières suffisantes pour gérer les nouvelles demandes et fournir aux membres de l</w:t>
      </w:r>
      <w:r w:rsidR="007E7DAC" w:rsidRPr="00012F37">
        <w:rPr>
          <w:lang w:val="fr-FR"/>
        </w:rPr>
        <w:t>’</w:t>
      </w:r>
      <w:r w:rsidRPr="00012F37">
        <w:rPr>
          <w:lang w:val="fr-FR"/>
        </w:rPr>
        <w:t>OMPI un appui en matière d</w:t>
      </w:r>
      <w:r w:rsidR="007E7DAC" w:rsidRPr="00012F37">
        <w:rPr>
          <w:lang w:val="fr-FR"/>
        </w:rPr>
        <w:t>’</w:t>
      </w:r>
      <w:r w:rsidRPr="00012F37">
        <w:rPr>
          <w:lang w:val="fr-FR"/>
        </w:rPr>
        <w:t>assistance technique et de renforcement des capacités, afin de promouvoir le système de Lisbonne et de répondre aux besoins d</w:t>
      </w:r>
      <w:r w:rsidR="007E7DAC" w:rsidRPr="00012F37">
        <w:rPr>
          <w:lang w:val="fr-FR"/>
        </w:rPr>
        <w:t>’</w:t>
      </w:r>
      <w:r w:rsidRPr="00012F37">
        <w:rPr>
          <w:lang w:val="fr-FR"/>
        </w:rPr>
        <w:t>un nombre croissant de membr</w:t>
      </w:r>
      <w:r w:rsidR="004965B0" w:rsidRPr="00012F37">
        <w:rPr>
          <w:lang w:val="fr-FR"/>
        </w:rPr>
        <w:t>es.  La</w:t>
      </w:r>
      <w:r w:rsidRPr="00012F37">
        <w:rPr>
          <w:lang w:val="fr-FR"/>
        </w:rPr>
        <w:t xml:space="preserve"> délégation a estimé que le système de Lisbonne occupait une place solide et bien établie parmi les systèmes de propriété intellectuelle de l</w:t>
      </w:r>
      <w:r w:rsidR="007E7DAC" w:rsidRPr="00012F37">
        <w:rPr>
          <w:lang w:val="fr-FR"/>
        </w:rPr>
        <w:t>’</w:t>
      </w:r>
      <w:r w:rsidRPr="00012F37">
        <w:rPr>
          <w:lang w:val="fr-FR"/>
        </w:rPr>
        <w:t>OMPI, offrant une protection efficace aux produits étroitement liés à certaines régions des États membres, tout en mettant en avant leur caractère unique et leur vale</w:t>
      </w:r>
      <w:r w:rsidR="004965B0" w:rsidRPr="00012F37">
        <w:rPr>
          <w:lang w:val="fr-FR"/>
        </w:rPr>
        <w:t>ur.  En</w:t>
      </w:r>
      <w:r w:rsidRPr="00012F37">
        <w:rPr>
          <w:lang w:val="fr-FR"/>
        </w:rPr>
        <w:t xml:space="preserve"> ce sens, la délégation a souligné que le système de Lisbonne ne contribuait pas seulement à la préservation et à la promotion du patrimoine culturel et de l</w:t>
      </w:r>
      <w:r w:rsidR="007E7DAC" w:rsidRPr="00012F37">
        <w:rPr>
          <w:lang w:val="fr-FR"/>
        </w:rPr>
        <w:t>’</w:t>
      </w:r>
      <w:r w:rsidRPr="00012F37">
        <w:rPr>
          <w:lang w:val="fr-FR"/>
        </w:rPr>
        <w:t>artisanat traditionnel, mais qu</w:t>
      </w:r>
      <w:r w:rsidR="007E7DAC" w:rsidRPr="00012F37">
        <w:rPr>
          <w:lang w:val="fr-FR"/>
        </w:rPr>
        <w:t>’</w:t>
      </w:r>
      <w:r w:rsidRPr="00012F37">
        <w:rPr>
          <w:lang w:val="fr-FR"/>
        </w:rPr>
        <w:t>il soutenait également le développement du tourisme, renforçait l</w:t>
      </w:r>
      <w:r w:rsidR="007E7DAC" w:rsidRPr="00012F37">
        <w:rPr>
          <w:lang w:val="fr-FR"/>
        </w:rPr>
        <w:t>’</w:t>
      </w:r>
      <w:r w:rsidRPr="00012F37">
        <w:rPr>
          <w:lang w:val="fr-FR"/>
        </w:rPr>
        <w:t>identité régionale et apportait des avantages économiques aux communautés locales.</w:t>
      </w:r>
    </w:p>
    <w:p w14:paraId="4D90F419" w14:textId="3068A83E" w:rsidR="00716513" w:rsidRPr="00012F37" w:rsidRDefault="00716513" w:rsidP="00C962C9">
      <w:pPr>
        <w:pStyle w:val="ONUMFS"/>
        <w:rPr>
          <w:lang w:val="fr-FR"/>
        </w:rPr>
      </w:pPr>
      <w:r w:rsidRPr="00012F37">
        <w:rPr>
          <w:lang w:val="fr-FR"/>
        </w:rPr>
        <w:t xml:space="preserve">La délégation du Portugal a appuyé les propositions de modification du règlement commun et leur entrée en vigueur en </w:t>
      </w:r>
      <w:r w:rsidR="007E7DAC" w:rsidRPr="00012F37">
        <w:rPr>
          <w:lang w:val="fr-FR"/>
        </w:rPr>
        <w:t>juillet 20</w:t>
      </w:r>
      <w:r w:rsidRPr="00012F37">
        <w:rPr>
          <w:lang w:val="fr-FR"/>
        </w:rPr>
        <w:t>26.  La délégation s</w:t>
      </w:r>
      <w:r w:rsidR="007E7DAC" w:rsidRPr="00012F37">
        <w:rPr>
          <w:lang w:val="fr-FR"/>
        </w:rPr>
        <w:t>’</w:t>
      </w:r>
      <w:r w:rsidRPr="00012F37">
        <w:rPr>
          <w:lang w:val="fr-FR"/>
        </w:rPr>
        <w:t>est également félicitée de l</w:t>
      </w:r>
      <w:r w:rsidR="007E7DAC" w:rsidRPr="00012F37">
        <w:rPr>
          <w:lang w:val="fr-FR"/>
        </w:rPr>
        <w:t>’</w:t>
      </w:r>
      <w:r w:rsidRPr="00012F37">
        <w:rPr>
          <w:lang w:val="fr-FR"/>
        </w:rPr>
        <w:t>augmentation du nombre de membres de l</w:t>
      </w:r>
      <w:r w:rsidR="007E7DAC" w:rsidRPr="00012F37">
        <w:rPr>
          <w:lang w:val="fr-FR"/>
        </w:rPr>
        <w:t>’</w:t>
      </w:r>
      <w:r w:rsidRPr="00012F37">
        <w:rPr>
          <w:lang w:val="fr-FR"/>
        </w:rPr>
        <w:t>Union de Lisbonne, qui reflétait l</w:t>
      </w:r>
      <w:r w:rsidR="007E7DAC" w:rsidRPr="00012F37">
        <w:rPr>
          <w:lang w:val="fr-FR"/>
        </w:rPr>
        <w:t>’</w:t>
      </w:r>
      <w:r w:rsidRPr="00012F37">
        <w:rPr>
          <w:lang w:val="fr-FR"/>
        </w:rPr>
        <w:t>importance du système de Lisbonne et soulignait la nécessité de lui attribuer des ressources humaines et financières suffisantes pour assurer son fonctionneme</w:t>
      </w:r>
      <w:r w:rsidR="004965B0" w:rsidRPr="00012F37">
        <w:rPr>
          <w:lang w:val="fr-FR"/>
        </w:rPr>
        <w:t>nt.  La</w:t>
      </w:r>
      <w:r w:rsidRPr="00012F37">
        <w:rPr>
          <w:lang w:val="fr-FR"/>
        </w:rPr>
        <w:t xml:space="preserve"> délégation a réitéré son engagement à contribuer activement à l</w:t>
      </w:r>
      <w:r w:rsidR="007E7DAC" w:rsidRPr="00012F37">
        <w:rPr>
          <w:lang w:val="fr-FR"/>
        </w:rPr>
        <w:t>’</w:t>
      </w:r>
      <w:r w:rsidRPr="00012F37">
        <w:rPr>
          <w:lang w:val="fr-FR"/>
        </w:rPr>
        <w:t>amélioration du système et à assurer son fonctionnement efficace.</w:t>
      </w:r>
    </w:p>
    <w:p w14:paraId="4CF1520D" w14:textId="0EC69796" w:rsidR="00716513" w:rsidRPr="00012F37" w:rsidRDefault="00716513" w:rsidP="00C962C9">
      <w:pPr>
        <w:pStyle w:val="ONUMFS"/>
        <w:rPr>
          <w:lang w:val="fr-FR"/>
        </w:rPr>
      </w:pPr>
      <w:r w:rsidRPr="00012F37">
        <w:rPr>
          <w:lang w:val="fr-FR"/>
        </w:rPr>
        <w:lastRenderedPageBreak/>
        <w:t>La délégation des États</w:t>
      </w:r>
      <w:r w:rsidR="00143286" w:rsidRPr="00012F37">
        <w:rPr>
          <w:lang w:val="fr-FR"/>
        </w:rPr>
        <w:noBreakHyphen/>
      </w:r>
      <w:r w:rsidRPr="00012F37">
        <w:rPr>
          <w:lang w:val="fr-FR"/>
        </w:rPr>
        <w:t>Unis d</w:t>
      </w:r>
      <w:r w:rsidR="007E7DAC" w:rsidRPr="00012F37">
        <w:rPr>
          <w:lang w:val="fr-FR"/>
        </w:rPr>
        <w:t>’</w:t>
      </w:r>
      <w:r w:rsidRPr="00012F37">
        <w:rPr>
          <w:lang w:val="fr-FR"/>
        </w:rPr>
        <w:t>Amérique a indiqué qu</w:t>
      </w:r>
      <w:r w:rsidR="007E7DAC" w:rsidRPr="00012F37">
        <w:rPr>
          <w:lang w:val="fr-FR"/>
        </w:rPr>
        <w:t>’</w:t>
      </w:r>
      <w:r w:rsidRPr="00012F37">
        <w:rPr>
          <w:lang w:val="fr-FR"/>
        </w:rPr>
        <w:t>elle était préoccupée depuis fort longtemps par le déficit budgétaire chronique et croissant de l</w:t>
      </w:r>
      <w:r w:rsidR="007E7DAC" w:rsidRPr="00012F37">
        <w:rPr>
          <w:lang w:val="fr-FR"/>
        </w:rPr>
        <w:t>’</w:t>
      </w:r>
      <w:r w:rsidRPr="00012F37">
        <w:rPr>
          <w:lang w:val="fr-FR"/>
        </w:rPr>
        <w:t>Union de Lisbonne et qu</w:t>
      </w:r>
      <w:r w:rsidR="007E7DAC" w:rsidRPr="00012F37">
        <w:rPr>
          <w:lang w:val="fr-FR"/>
        </w:rPr>
        <w:t>’</w:t>
      </w:r>
      <w:r w:rsidRPr="00012F37">
        <w:rPr>
          <w:lang w:val="fr-FR"/>
        </w:rPr>
        <w:t>elle s</w:t>
      </w:r>
      <w:r w:rsidR="007E7DAC" w:rsidRPr="00012F37">
        <w:rPr>
          <w:lang w:val="fr-FR"/>
        </w:rPr>
        <w:t>’</w:t>
      </w:r>
      <w:r w:rsidRPr="00012F37">
        <w:rPr>
          <w:lang w:val="fr-FR"/>
        </w:rPr>
        <w:t>inquiétait de la proposition d</w:t>
      </w:r>
      <w:r w:rsidR="007E7DAC" w:rsidRPr="00012F37">
        <w:rPr>
          <w:lang w:val="fr-FR"/>
        </w:rPr>
        <w:t>’</w:t>
      </w:r>
      <w:r w:rsidRPr="00012F37">
        <w:rPr>
          <w:lang w:val="fr-FR"/>
        </w:rPr>
        <w:t>augmenter le budget pour le prochain exercice bienn</w:t>
      </w:r>
      <w:r w:rsidR="004965B0" w:rsidRPr="00012F37">
        <w:rPr>
          <w:lang w:val="fr-FR"/>
        </w:rPr>
        <w:t>al.  El</w:t>
      </w:r>
      <w:r w:rsidRPr="00012F37">
        <w:rPr>
          <w:lang w:val="fr-FR"/>
        </w:rPr>
        <w:t xml:space="preserve">le a de nouveau souligné que le système de Lisbonne </w:t>
      </w:r>
      <w:proofErr w:type="gramStart"/>
      <w:r w:rsidRPr="00012F37">
        <w:rPr>
          <w:lang w:val="fr-FR"/>
        </w:rPr>
        <w:t>avait</w:t>
      </w:r>
      <w:proofErr w:type="gramEnd"/>
      <w:r w:rsidRPr="00012F37">
        <w:rPr>
          <w:lang w:val="fr-FR"/>
        </w:rPr>
        <w:t xml:space="preserve"> des conséquences néfastes majeures sur des entreprises dans le monde entier, et en particulier sur les petites entreprises et les nouveaux venus sur le marché qui avaient besoin d</w:t>
      </w:r>
      <w:r w:rsidR="007E7DAC" w:rsidRPr="00012F37">
        <w:rPr>
          <w:lang w:val="fr-FR"/>
        </w:rPr>
        <w:t>’</w:t>
      </w:r>
      <w:r w:rsidRPr="00012F37">
        <w:rPr>
          <w:lang w:val="fr-FR"/>
        </w:rPr>
        <w:t xml:space="preserve">utiliser des noms </w:t>
      </w:r>
      <w:proofErr w:type="gramStart"/>
      <w:r w:rsidRPr="00012F37">
        <w:rPr>
          <w:lang w:val="fr-FR"/>
        </w:rPr>
        <w:t xml:space="preserve">communs; </w:t>
      </w:r>
      <w:r w:rsidR="007112DD" w:rsidRPr="00012F37">
        <w:rPr>
          <w:lang w:val="fr-FR"/>
        </w:rPr>
        <w:t xml:space="preserve"> </w:t>
      </w:r>
      <w:r w:rsidRPr="00012F37">
        <w:rPr>
          <w:lang w:val="fr-FR"/>
        </w:rPr>
        <w:t>d</w:t>
      </w:r>
      <w:r w:rsidR="007E7DAC" w:rsidRPr="00012F37">
        <w:rPr>
          <w:lang w:val="fr-FR"/>
        </w:rPr>
        <w:t>’</w:t>
      </w:r>
      <w:r w:rsidRPr="00012F37">
        <w:rPr>
          <w:lang w:val="fr-FR"/>
        </w:rPr>
        <w:t>autre</w:t>
      </w:r>
      <w:proofErr w:type="gramEnd"/>
      <w:r w:rsidRPr="00012F37">
        <w:rPr>
          <w:lang w:val="fr-FR"/>
        </w:rPr>
        <w:t xml:space="preserve"> part, les grandes marques connues avaient besoin d</w:t>
      </w:r>
      <w:r w:rsidR="007E7DAC" w:rsidRPr="00012F37">
        <w:rPr>
          <w:lang w:val="fr-FR"/>
        </w:rPr>
        <w:t>’</w:t>
      </w:r>
      <w:r w:rsidRPr="00012F37">
        <w:rPr>
          <w:lang w:val="fr-FR"/>
        </w:rPr>
        <w:t>intégrité pour commercialiser et vendre leurs produits à l</w:t>
      </w:r>
      <w:r w:rsidR="007E7DAC" w:rsidRPr="00012F37">
        <w:rPr>
          <w:lang w:val="fr-FR"/>
        </w:rPr>
        <w:t>’</w:t>
      </w:r>
      <w:r w:rsidRPr="00012F37">
        <w:rPr>
          <w:lang w:val="fr-FR"/>
        </w:rPr>
        <w:t>échelle mondia</w:t>
      </w:r>
      <w:r w:rsidR="004965B0" w:rsidRPr="00012F37">
        <w:rPr>
          <w:lang w:val="fr-FR"/>
        </w:rPr>
        <w:t>le.  La</w:t>
      </w:r>
      <w:r w:rsidRPr="00012F37">
        <w:rPr>
          <w:lang w:val="fr-FR"/>
        </w:rPr>
        <w:t xml:space="preserve"> délégation a déclaré qu</w:t>
      </w:r>
      <w:r w:rsidR="007E7DAC" w:rsidRPr="00012F37">
        <w:rPr>
          <w:lang w:val="fr-FR"/>
        </w:rPr>
        <w:t>’</w:t>
      </w:r>
      <w:r w:rsidRPr="00012F37">
        <w:rPr>
          <w:lang w:val="fr-FR"/>
        </w:rPr>
        <w:t>en accordant une protection aux indications géographiques d</w:t>
      </w:r>
      <w:r w:rsidR="007E7DAC" w:rsidRPr="00012F37">
        <w:rPr>
          <w:lang w:val="fr-FR"/>
        </w:rPr>
        <w:t>’</w:t>
      </w:r>
      <w:r w:rsidRPr="00012F37">
        <w:rPr>
          <w:lang w:val="fr-FR"/>
        </w:rPr>
        <w:t>un large éventail de produits sans offrir de protection suffisante aux utilisateurs de noms communs ou aux titulaires de marques antérieures, le système de Lisbonne rendait l</w:t>
      </w:r>
      <w:r w:rsidR="007E7DAC" w:rsidRPr="00012F37">
        <w:rPr>
          <w:lang w:val="fr-FR"/>
        </w:rPr>
        <w:t>’</w:t>
      </w:r>
      <w:r w:rsidRPr="00012F37">
        <w:rPr>
          <w:lang w:val="fr-FR"/>
        </w:rPr>
        <w:t>accès au marché plus difficile pour les parties prenantes situées aux États</w:t>
      </w:r>
      <w:r w:rsidR="00143286" w:rsidRPr="00012F37">
        <w:rPr>
          <w:lang w:val="fr-FR"/>
        </w:rPr>
        <w:noBreakHyphen/>
      </w:r>
      <w:r w:rsidRPr="00012F37">
        <w:rPr>
          <w:lang w:val="fr-FR"/>
        </w:rPr>
        <w:t>Unis d</w:t>
      </w:r>
      <w:r w:rsidR="007E7DAC" w:rsidRPr="00012F37">
        <w:rPr>
          <w:lang w:val="fr-FR"/>
        </w:rPr>
        <w:t>’</w:t>
      </w:r>
      <w:r w:rsidRPr="00012F37">
        <w:rPr>
          <w:lang w:val="fr-FR"/>
        </w:rPr>
        <w:t>Amérique et dans d</w:t>
      </w:r>
      <w:r w:rsidR="007E7DAC" w:rsidRPr="00012F37">
        <w:rPr>
          <w:lang w:val="fr-FR"/>
        </w:rPr>
        <w:t>’</w:t>
      </w:r>
      <w:r w:rsidRPr="00012F37">
        <w:rPr>
          <w:lang w:val="fr-FR"/>
        </w:rPr>
        <w:t>autres États membres de l</w:t>
      </w:r>
      <w:r w:rsidR="007E7DAC" w:rsidRPr="00012F37">
        <w:rPr>
          <w:lang w:val="fr-FR"/>
        </w:rPr>
        <w:t>’</w:t>
      </w:r>
      <w:r w:rsidRPr="00012F37">
        <w:rPr>
          <w:lang w:val="fr-FR"/>
        </w:rPr>
        <w:t>O</w:t>
      </w:r>
      <w:r w:rsidR="004965B0" w:rsidRPr="00012F37">
        <w:rPr>
          <w:lang w:val="fr-FR"/>
        </w:rPr>
        <w:t>MPI.  Le</w:t>
      </w:r>
      <w:r w:rsidRPr="00012F37">
        <w:rPr>
          <w:lang w:val="fr-FR"/>
        </w:rPr>
        <w:t xml:space="preserve"> manque de mesures de protection entraînait une réduction des perspectives commerciales, faisait apparaître des obstacles au commerce et portait préjudice aux droits relatifs aux marques dans les pays qui interdisaient l</w:t>
      </w:r>
      <w:r w:rsidR="007E7DAC" w:rsidRPr="00012F37">
        <w:rPr>
          <w:lang w:val="fr-FR"/>
        </w:rPr>
        <w:t>’</w:t>
      </w:r>
      <w:r w:rsidRPr="00012F37">
        <w:rPr>
          <w:lang w:val="fr-FR"/>
        </w:rPr>
        <w:t>emploi de noms commerciaux commu</w:t>
      </w:r>
      <w:r w:rsidR="004965B0" w:rsidRPr="00012F37">
        <w:rPr>
          <w:lang w:val="fr-FR"/>
        </w:rPr>
        <w:t>ns.  La</w:t>
      </w:r>
      <w:r w:rsidRPr="00012F37">
        <w:rPr>
          <w:lang w:val="fr-FR"/>
        </w:rPr>
        <w:t xml:space="preserve"> délégation a souligné que le système de Lisbonne connaissait un déficit budgétaire chronique qui allait s</w:t>
      </w:r>
      <w:r w:rsidR="007E7DAC" w:rsidRPr="00012F37">
        <w:rPr>
          <w:lang w:val="fr-FR"/>
        </w:rPr>
        <w:t>’</w:t>
      </w:r>
      <w:r w:rsidRPr="00012F37">
        <w:rPr>
          <w:lang w:val="fr-FR"/>
        </w:rPr>
        <w:t>aggraver encore considérablement au regard de la proposition de budget pour l</w:t>
      </w:r>
      <w:r w:rsidR="007E7DAC" w:rsidRPr="00012F37">
        <w:rPr>
          <w:lang w:val="fr-FR"/>
        </w:rPr>
        <w:t>’</w:t>
      </w:r>
      <w:r w:rsidRPr="00012F37">
        <w:rPr>
          <w:lang w:val="fr-FR"/>
        </w:rPr>
        <w:t>exercice biennal à ven</w:t>
      </w:r>
      <w:r w:rsidR="004965B0" w:rsidRPr="00012F37">
        <w:rPr>
          <w:lang w:val="fr-FR"/>
        </w:rPr>
        <w:t>ir.  El</w:t>
      </w:r>
      <w:r w:rsidRPr="00012F37">
        <w:rPr>
          <w:lang w:val="fr-FR"/>
        </w:rPr>
        <w:t>le estimait que ce déficit permanent était créé et alimenté par le fait que les membres de l</w:t>
      </w:r>
      <w:r w:rsidR="007E7DAC" w:rsidRPr="00012F37">
        <w:rPr>
          <w:lang w:val="fr-FR"/>
        </w:rPr>
        <w:t>’</w:t>
      </w:r>
      <w:r w:rsidRPr="00012F37">
        <w:rPr>
          <w:lang w:val="fr-FR"/>
        </w:rPr>
        <w:t>Union de Lisbonne ne respectaient pas les obligations prévues par le traité pour faire en sorte que le système soit pérenne sur le plan financi</w:t>
      </w:r>
      <w:r w:rsidR="004965B0" w:rsidRPr="00012F37">
        <w:rPr>
          <w:lang w:val="fr-FR"/>
        </w:rPr>
        <w:t>er.  El</w:t>
      </w:r>
      <w:r w:rsidRPr="00012F37">
        <w:rPr>
          <w:lang w:val="fr-FR"/>
        </w:rPr>
        <w:t>le a insisté sur le fait que les États membres devaient être tenus responsables du respect des obligations qui leur incombaient en vertu des traités et a de nouveau exprimé ses graves préoccupations au regard du fait que les taxes versées au titre d</w:t>
      </w:r>
      <w:r w:rsidR="007E7DAC" w:rsidRPr="00012F37">
        <w:rPr>
          <w:lang w:val="fr-FR"/>
        </w:rPr>
        <w:t>’</w:t>
      </w:r>
      <w:r w:rsidRPr="00012F37">
        <w:rPr>
          <w:lang w:val="fr-FR"/>
        </w:rPr>
        <w:t>autres systèmes mondiaux de la propriété intellectuelle gérés par l</w:t>
      </w:r>
      <w:r w:rsidR="007E7DAC" w:rsidRPr="00012F37">
        <w:rPr>
          <w:lang w:val="fr-FR"/>
        </w:rPr>
        <w:t>’</w:t>
      </w:r>
      <w:r w:rsidRPr="00012F37">
        <w:rPr>
          <w:lang w:val="fr-FR"/>
        </w:rPr>
        <w:t>OMPI, et notamment au Traité de coopération en matière de brevets (PCT), continuaient d</w:t>
      </w:r>
      <w:r w:rsidR="007E7DAC" w:rsidRPr="00012F37">
        <w:rPr>
          <w:lang w:val="fr-FR"/>
        </w:rPr>
        <w:t>’</w:t>
      </w:r>
      <w:r w:rsidRPr="00012F37">
        <w:rPr>
          <w:lang w:val="fr-FR"/>
        </w:rPr>
        <w:t>être détournées pour subventionner le système de Lisbon</w:t>
      </w:r>
      <w:r w:rsidR="004965B0" w:rsidRPr="00012F37">
        <w:rPr>
          <w:lang w:val="fr-FR"/>
        </w:rPr>
        <w:t>ne.  El</w:t>
      </w:r>
      <w:r w:rsidRPr="00012F37">
        <w:rPr>
          <w:lang w:val="fr-FR"/>
        </w:rPr>
        <w:t>le considérait que cette méthode ne pouvait perdurer, tant au regard du principe d</w:t>
      </w:r>
      <w:r w:rsidR="007E7DAC" w:rsidRPr="00012F37">
        <w:rPr>
          <w:lang w:val="fr-FR"/>
        </w:rPr>
        <w:t>’</w:t>
      </w:r>
      <w:r w:rsidRPr="00012F37">
        <w:rPr>
          <w:lang w:val="fr-FR"/>
        </w:rPr>
        <w:t>équité que des attentes des utilisateurs.</w:t>
      </w:r>
    </w:p>
    <w:p w14:paraId="60E596EF" w14:textId="53EF21E7" w:rsidR="00716513" w:rsidRPr="00012F37" w:rsidRDefault="00716513" w:rsidP="00C962C9">
      <w:pPr>
        <w:pStyle w:val="ONUMFS"/>
        <w:rPr>
          <w:lang w:val="fr-FR"/>
        </w:rPr>
      </w:pPr>
      <w:proofErr w:type="gramStart"/>
      <w:r w:rsidRPr="00012F37">
        <w:rPr>
          <w:lang w:val="fr-FR"/>
        </w:rPr>
        <w:t>Suite au</w:t>
      </w:r>
      <w:proofErr w:type="gramEnd"/>
      <w:r w:rsidRPr="00012F37">
        <w:rPr>
          <w:lang w:val="fr-FR"/>
        </w:rPr>
        <w:t xml:space="preserve"> développement du système de Lisbonne du point de vue du nombre de membres et de transactions, la délégation de la République populaire démocratique de Corée a souligné la nécessité de modifier en temps utile le règlement d</w:t>
      </w:r>
      <w:r w:rsidR="007E7DAC" w:rsidRPr="00012F37">
        <w:rPr>
          <w:lang w:val="fr-FR"/>
        </w:rPr>
        <w:t>’</w:t>
      </w:r>
      <w:r w:rsidRPr="00012F37">
        <w:rPr>
          <w:lang w:val="fr-FR"/>
        </w:rPr>
        <w:t>exécution comm</w:t>
      </w:r>
      <w:r w:rsidR="004965B0" w:rsidRPr="00012F37">
        <w:rPr>
          <w:lang w:val="fr-FR"/>
        </w:rPr>
        <w:t>un.  Se</w:t>
      </w:r>
      <w:r w:rsidRPr="00012F37">
        <w:rPr>
          <w:lang w:val="fr-FR"/>
        </w:rPr>
        <w:t xml:space="preserve"> référant à la six</w:t>
      </w:r>
      <w:r w:rsidR="007E7DAC" w:rsidRPr="00012F37">
        <w:rPr>
          <w:lang w:val="fr-FR"/>
        </w:rPr>
        <w:t>ième session</w:t>
      </w:r>
      <w:r w:rsidRPr="00012F37">
        <w:rPr>
          <w:lang w:val="fr-FR"/>
        </w:rPr>
        <w:t xml:space="preserve"> du groupe de travail tenue en mars, la délégation a rappelé qu</w:t>
      </w:r>
      <w:r w:rsidR="007E7DAC" w:rsidRPr="00012F37">
        <w:rPr>
          <w:lang w:val="fr-FR"/>
        </w:rPr>
        <w:t>’</w:t>
      </w:r>
      <w:r w:rsidRPr="00012F37">
        <w:rPr>
          <w:lang w:val="fr-FR"/>
        </w:rPr>
        <w:t>une nouvelle interface électronique avait été mise à la disposition des autorités compétentes des parties contractantes du système de Lisbonne et que le montant des taxes à payer avait été augmen</w:t>
      </w:r>
      <w:r w:rsidR="004965B0" w:rsidRPr="00012F37">
        <w:rPr>
          <w:lang w:val="fr-FR"/>
        </w:rPr>
        <w:t>té.  La</w:t>
      </w:r>
      <w:r w:rsidRPr="00012F37">
        <w:rPr>
          <w:lang w:val="fr-FR"/>
        </w:rPr>
        <w:t xml:space="preserve"> délégation était d</w:t>
      </w:r>
      <w:r w:rsidR="007E7DAC" w:rsidRPr="00012F37">
        <w:rPr>
          <w:lang w:val="fr-FR"/>
        </w:rPr>
        <w:t>’</w:t>
      </w:r>
      <w:r w:rsidRPr="00012F37">
        <w:rPr>
          <w:lang w:val="fr-FR"/>
        </w:rPr>
        <w:t>avis que la liste des modifications pouvant être inscrites au registre international allait s</w:t>
      </w:r>
      <w:r w:rsidR="007E7DAC" w:rsidRPr="00012F37">
        <w:rPr>
          <w:lang w:val="fr-FR"/>
        </w:rPr>
        <w:t>’</w:t>
      </w:r>
      <w:r w:rsidRPr="00012F37">
        <w:rPr>
          <w:lang w:val="fr-FR"/>
        </w:rPr>
        <w:t>allonger et qu</w:t>
      </w:r>
      <w:r w:rsidR="007E7DAC" w:rsidRPr="00012F37">
        <w:rPr>
          <w:lang w:val="fr-FR"/>
        </w:rPr>
        <w:t>’</w:t>
      </w:r>
      <w:r w:rsidRPr="00012F37">
        <w:rPr>
          <w:lang w:val="fr-FR"/>
        </w:rPr>
        <w:t>il était possible que les parties contractantes notifient un nombre croissant de refus si elles ne s</w:t>
      </w:r>
      <w:r w:rsidR="007E7DAC" w:rsidRPr="00012F37">
        <w:rPr>
          <w:lang w:val="fr-FR"/>
        </w:rPr>
        <w:t>’</w:t>
      </w:r>
      <w:r w:rsidRPr="00012F37">
        <w:rPr>
          <w:lang w:val="fr-FR"/>
        </w:rPr>
        <w:t>étaient pas en mesure d</w:t>
      </w:r>
      <w:r w:rsidR="007E7DAC" w:rsidRPr="00012F37">
        <w:rPr>
          <w:lang w:val="fr-FR"/>
        </w:rPr>
        <w:t>’</w:t>
      </w:r>
      <w:r w:rsidRPr="00012F37">
        <w:rPr>
          <w:lang w:val="fr-FR"/>
        </w:rPr>
        <w:t>assurer la protection à la suite de modifications apportées aux appellations d</w:t>
      </w:r>
      <w:r w:rsidR="007E7DAC" w:rsidRPr="00012F37">
        <w:rPr>
          <w:lang w:val="fr-FR"/>
        </w:rPr>
        <w:t>’</w:t>
      </w:r>
      <w:r w:rsidRPr="00012F37">
        <w:rPr>
          <w:lang w:val="fr-FR"/>
        </w:rPr>
        <w:t>origine ou aux indications géographiques enregistré</w:t>
      </w:r>
      <w:r w:rsidR="004965B0" w:rsidRPr="00012F37">
        <w:rPr>
          <w:lang w:val="fr-FR"/>
        </w:rPr>
        <w:t>es.  La</w:t>
      </w:r>
      <w:r w:rsidRPr="00012F37">
        <w:rPr>
          <w:lang w:val="fr-FR"/>
        </w:rPr>
        <w:t xml:space="preserve"> délégation s</w:t>
      </w:r>
      <w:r w:rsidR="007E7DAC" w:rsidRPr="00012F37">
        <w:rPr>
          <w:lang w:val="fr-FR"/>
        </w:rPr>
        <w:t>’</w:t>
      </w:r>
      <w:r w:rsidRPr="00012F37">
        <w:rPr>
          <w:lang w:val="fr-FR"/>
        </w:rPr>
        <w:t xml:space="preserve">est </w:t>
      </w:r>
      <w:proofErr w:type="gramStart"/>
      <w:r w:rsidRPr="00012F37">
        <w:rPr>
          <w:lang w:val="fr-FR"/>
        </w:rPr>
        <w:t>dite</w:t>
      </w:r>
      <w:proofErr w:type="gramEnd"/>
      <w:r w:rsidRPr="00012F37">
        <w:rPr>
          <w:lang w:val="fr-FR"/>
        </w:rPr>
        <w:t xml:space="preserve"> favorable à la poursuite des discussions pour régler ces questions lors des futures réunions du groupe de travail.</w:t>
      </w:r>
    </w:p>
    <w:p w14:paraId="62DC4356" w14:textId="346E5DDA" w:rsidR="00716513" w:rsidRPr="00012F37" w:rsidRDefault="00716513" w:rsidP="00C962C9">
      <w:pPr>
        <w:pStyle w:val="ONUMFS"/>
        <w:rPr>
          <w:lang w:val="fr-FR"/>
        </w:rPr>
      </w:pPr>
      <w:r w:rsidRPr="00012F37">
        <w:rPr>
          <w:lang w:val="fr-FR"/>
        </w:rPr>
        <w:t>La délégation du Kazakhstan a souligné l</w:t>
      </w:r>
      <w:r w:rsidR="007E7DAC" w:rsidRPr="00012F37">
        <w:rPr>
          <w:lang w:val="fr-FR"/>
        </w:rPr>
        <w:t>’</w:t>
      </w:r>
      <w:r w:rsidRPr="00012F37">
        <w:rPr>
          <w:lang w:val="fr-FR"/>
        </w:rPr>
        <w:t>importance d</w:t>
      </w:r>
      <w:r w:rsidR="007E7DAC" w:rsidRPr="00012F37">
        <w:rPr>
          <w:lang w:val="fr-FR"/>
        </w:rPr>
        <w:t>’</w:t>
      </w:r>
      <w:r w:rsidRPr="00012F37">
        <w:rPr>
          <w:lang w:val="fr-FR"/>
        </w:rPr>
        <w:t>un système international pour la protection des indications géographiques et des appellations d</w:t>
      </w:r>
      <w:r w:rsidR="007E7DAC" w:rsidRPr="00012F37">
        <w:rPr>
          <w:lang w:val="fr-FR"/>
        </w:rPr>
        <w:t>’</w:t>
      </w:r>
      <w:r w:rsidRPr="00012F37">
        <w:rPr>
          <w:lang w:val="fr-FR"/>
        </w:rPr>
        <w:t>origi</w:t>
      </w:r>
      <w:r w:rsidR="004965B0" w:rsidRPr="00012F37">
        <w:rPr>
          <w:lang w:val="fr-FR"/>
        </w:rPr>
        <w:t>ne.  La</w:t>
      </w:r>
      <w:r w:rsidRPr="00012F37">
        <w:rPr>
          <w:lang w:val="fr-FR"/>
        </w:rPr>
        <w:t xml:space="preserve"> délégation a également noté les progrès significatifs réalisés ces dernières années, puisque le nombre de demandes d</w:t>
      </w:r>
      <w:r w:rsidR="007E7DAC" w:rsidRPr="00012F37">
        <w:rPr>
          <w:lang w:val="fr-FR"/>
        </w:rPr>
        <w:t>’</w:t>
      </w:r>
      <w:r w:rsidRPr="00012F37">
        <w:rPr>
          <w:lang w:val="fr-FR"/>
        </w:rPr>
        <w:t>enregistrement d</w:t>
      </w:r>
      <w:r w:rsidR="007E7DAC" w:rsidRPr="00012F37">
        <w:rPr>
          <w:lang w:val="fr-FR"/>
        </w:rPr>
        <w:t>’</w:t>
      </w:r>
      <w:r w:rsidRPr="00012F37">
        <w:rPr>
          <w:lang w:val="fr-FR"/>
        </w:rPr>
        <w:t>indications géographiques était passé de cinq</w:t>
      </w:r>
      <w:r w:rsidR="007112DD" w:rsidRPr="00012F37">
        <w:rPr>
          <w:lang w:val="fr-FR"/>
        </w:rPr>
        <w:t> </w:t>
      </w:r>
      <w:r w:rsidR="007E7DAC" w:rsidRPr="00012F37">
        <w:rPr>
          <w:lang w:val="fr-FR"/>
        </w:rPr>
        <w:t>en 2023</w:t>
      </w:r>
      <w:r w:rsidRPr="00012F37">
        <w:rPr>
          <w:lang w:val="fr-FR"/>
        </w:rPr>
        <w:t xml:space="preserve"> à un nombre nettement plus élevé, ce qui témoignait également de la croissance du système et d</w:t>
      </w:r>
      <w:r w:rsidR="007E7DAC" w:rsidRPr="00012F37">
        <w:rPr>
          <w:lang w:val="fr-FR"/>
        </w:rPr>
        <w:t>’</w:t>
      </w:r>
      <w:r w:rsidRPr="00012F37">
        <w:rPr>
          <w:lang w:val="fr-FR"/>
        </w:rPr>
        <w:t>une plus grande adhésion des producteurs régionaux et nationa</w:t>
      </w:r>
      <w:r w:rsidR="004965B0" w:rsidRPr="00012F37">
        <w:rPr>
          <w:lang w:val="fr-FR"/>
        </w:rPr>
        <w:t>ux.  La</w:t>
      </w:r>
      <w:r w:rsidRPr="00012F37">
        <w:rPr>
          <w:lang w:val="fr-FR"/>
        </w:rPr>
        <w:t xml:space="preserve"> délégation a remercié l</w:t>
      </w:r>
      <w:r w:rsidR="007E7DAC" w:rsidRPr="00012F37">
        <w:rPr>
          <w:lang w:val="fr-FR"/>
        </w:rPr>
        <w:t>’</w:t>
      </w:r>
      <w:r w:rsidRPr="00012F37">
        <w:rPr>
          <w:lang w:val="fr-FR"/>
        </w:rPr>
        <w:t>OMPI pour le soutien consultatif qu</w:t>
      </w:r>
      <w:r w:rsidR="007E7DAC" w:rsidRPr="00012F37">
        <w:rPr>
          <w:lang w:val="fr-FR"/>
        </w:rPr>
        <w:t>’</w:t>
      </w:r>
      <w:r w:rsidRPr="00012F37">
        <w:rPr>
          <w:lang w:val="fr-FR"/>
        </w:rPr>
        <w:t>elle avait apporté pour l</w:t>
      </w:r>
      <w:r w:rsidR="007E7DAC" w:rsidRPr="00012F37">
        <w:rPr>
          <w:lang w:val="fr-FR"/>
        </w:rPr>
        <w:t>’</w:t>
      </w:r>
      <w:r w:rsidRPr="00012F37">
        <w:rPr>
          <w:lang w:val="fr-FR"/>
        </w:rPr>
        <w:t>élaboration des systèmes nationaux d</w:t>
      </w:r>
      <w:r w:rsidR="007E7DAC" w:rsidRPr="00012F37">
        <w:rPr>
          <w:lang w:val="fr-FR"/>
        </w:rPr>
        <w:t>’</w:t>
      </w:r>
      <w:r w:rsidRPr="00012F37">
        <w:rPr>
          <w:lang w:val="fr-FR"/>
        </w:rPr>
        <w:t>indications géographiques et a fait part de son intérêt pour la poursuite de la collaboration et l</w:t>
      </w:r>
      <w:r w:rsidR="007E7DAC" w:rsidRPr="00012F37">
        <w:rPr>
          <w:lang w:val="fr-FR"/>
        </w:rPr>
        <w:t>’</w:t>
      </w:r>
      <w:r w:rsidRPr="00012F37">
        <w:rPr>
          <w:lang w:val="fr-FR"/>
        </w:rPr>
        <w:t>adhésion à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w:t>
      </w:r>
    </w:p>
    <w:p w14:paraId="37102564" w14:textId="056F4D54" w:rsidR="00716513" w:rsidRPr="00012F37" w:rsidRDefault="007747BD" w:rsidP="00C962C9">
      <w:pPr>
        <w:pStyle w:val="ONUMFS"/>
        <w:rPr>
          <w:lang w:val="fr-FR"/>
        </w:rPr>
      </w:pPr>
      <w:r>
        <w:t xml:space="preserve">La délégation de la France a souscrit à la déclaration faite par l’Union européenne et a soutenu les propositions de modification du règlement d’exécution commun proposées par le groupe de travail.  Se référant à des déclarations antérieures faites lors de la session du Comité du programme et budget (PBC) et au titre du point 11 de l’ordre du jour des présentes assemblées de l’OMPI, la délégation a rappelé que l’Assemblée de l’Union de Lisbonne n’était </w:t>
      </w:r>
      <w:r>
        <w:lastRenderedPageBreak/>
        <w:t>pas l’instance appropriée pour examiner les questions budgétaires.  La délégation a souligné qu’un grand nombre d’États membres avaient rappelé que les indications géographiques et les appellations d’origine étaient des outils essentiels pour le développement local et régional, en lien direct avec la valorisation des savoir</w:t>
      </w:r>
      <w:r>
        <w:noBreakHyphen/>
        <w:t>faire locaux, le développement durable et l’inclusion économique des territoires ruraux.  La délégation a ajouté qu’elle saluait l’organisation d’activités liées au développement du système de Lisbonne, y compris la présentation des dernières évolutions du système et les progrès réalisés avec la nouvelle plateforme informatique (</w:t>
      </w:r>
      <w:proofErr w:type="spellStart"/>
      <w:r>
        <w:t>eLisbon</w:t>
      </w:r>
      <w:proofErr w:type="spellEnd"/>
      <w:r>
        <w:t>), qui avaient également facilité l’échange d’informations entre les membres du système.  Enfin, la délégation a félicité le Secrétariat pour l’organisation très réussie de la célébration du dixième anniversaire de l’Acte de Genève de l’Arrangement de Lisbonne.</w:t>
      </w:r>
    </w:p>
    <w:p w14:paraId="01773D6E" w14:textId="288ED783" w:rsidR="00716513" w:rsidRPr="00012F37" w:rsidRDefault="00716513" w:rsidP="00C962C9">
      <w:pPr>
        <w:pStyle w:val="ONUMFS"/>
        <w:rPr>
          <w:lang w:val="fr-FR"/>
        </w:rPr>
      </w:pPr>
      <w:r w:rsidRPr="00012F37">
        <w:rPr>
          <w:lang w:val="fr-FR"/>
        </w:rPr>
        <w:t>La délégation de la Côte d</w:t>
      </w:r>
      <w:r w:rsidR="007E7DAC" w:rsidRPr="00012F37">
        <w:rPr>
          <w:lang w:val="fr-FR"/>
        </w:rPr>
        <w:t>’</w:t>
      </w:r>
      <w:r w:rsidRPr="00012F37">
        <w:rPr>
          <w:lang w:val="fr-FR"/>
        </w:rPr>
        <w:t>Ivoire a réaffirmé son plein soutien à l</w:t>
      </w:r>
      <w:r w:rsidR="007E7DAC" w:rsidRPr="00012F37">
        <w:rPr>
          <w:lang w:val="fr-FR"/>
        </w:rPr>
        <w:t>’</w:t>
      </w:r>
      <w:r w:rsidRPr="00012F37">
        <w:rPr>
          <w:lang w:val="fr-FR"/>
        </w:rPr>
        <w:t>Union de Lisbonn</w:t>
      </w:r>
      <w:r w:rsidR="008F20CD" w:rsidRPr="00012F37">
        <w:rPr>
          <w:lang w:val="fr-FR"/>
        </w:rPr>
        <w:t>e</w:t>
      </w:r>
      <w:r w:rsidRPr="00012F37">
        <w:rPr>
          <w:lang w:val="fr-FR"/>
        </w:rPr>
        <w:t xml:space="preserve"> pour la protection des appellations d</w:t>
      </w:r>
      <w:r w:rsidR="007E7DAC" w:rsidRPr="00012F37">
        <w:rPr>
          <w:lang w:val="fr-FR"/>
        </w:rPr>
        <w:t>’</w:t>
      </w:r>
      <w:r w:rsidRPr="00012F37">
        <w:rPr>
          <w:lang w:val="fr-FR"/>
        </w:rPr>
        <w:t>origine et leur enregistrement internation</w:t>
      </w:r>
      <w:r w:rsidR="004965B0" w:rsidRPr="00012F37">
        <w:rPr>
          <w:lang w:val="fr-FR"/>
        </w:rPr>
        <w:t>al.  La</w:t>
      </w:r>
      <w:r w:rsidRPr="00012F37">
        <w:rPr>
          <w:lang w:val="fr-FR"/>
        </w:rPr>
        <w:t xml:space="preserve"> délégation a remercié la directrice du Service d</w:t>
      </w:r>
      <w:r w:rsidR="007E7DAC" w:rsidRPr="00012F37">
        <w:rPr>
          <w:lang w:val="fr-FR"/>
        </w:rPr>
        <w:t>’</w:t>
      </w:r>
      <w:r w:rsidRPr="00012F37">
        <w:rPr>
          <w:lang w:val="fr-FR"/>
        </w:rPr>
        <w:t>enregistrement de Lisbonne pour ses efforts constants en vue d</w:t>
      </w:r>
      <w:r w:rsidR="007E7DAC" w:rsidRPr="00012F37">
        <w:rPr>
          <w:lang w:val="fr-FR"/>
        </w:rPr>
        <w:t>’</w:t>
      </w:r>
      <w:r w:rsidRPr="00012F37">
        <w:rPr>
          <w:lang w:val="fr-FR"/>
        </w:rPr>
        <w:t>assurer le bon fonctionnement du système de Lisbon</w:t>
      </w:r>
      <w:r w:rsidR="004965B0" w:rsidRPr="00012F37">
        <w:rPr>
          <w:lang w:val="fr-FR"/>
        </w:rPr>
        <w:t>ne.  La</w:t>
      </w:r>
      <w:r w:rsidRPr="00012F37">
        <w:rPr>
          <w:lang w:val="fr-FR"/>
        </w:rPr>
        <w:t xml:space="preserve"> délégation a souligné que depuis son entrée en vigueur, le système de Lisbonne avait joué un rôle clé dans la promotion des savoirs traditionnels et des savoir</w:t>
      </w:r>
      <w:r w:rsidR="00143286" w:rsidRPr="00012F37">
        <w:rPr>
          <w:lang w:val="fr-FR"/>
        </w:rPr>
        <w:noBreakHyphen/>
      </w:r>
      <w:r w:rsidRPr="00012F37">
        <w:rPr>
          <w:lang w:val="fr-FR"/>
        </w:rPr>
        <w:t>faire ancestraux, le renforcement de la confiance des consommateurs et la contribution au développement économique des régions de production, en particulier dans les pays en développement et les petites économi</w:t>
      </w:r>
      <w:r w:rsidR="004965B0" w:rsidRPr="00012F37">
        <w:rPr>
          <w:lang w:val="fr-FR"/>
        </w:rPr>
        <w:t>es.  Re</w:t>
      </w:r>
      <w:r w:rsidRPr="00012F37">
        <w:rPr>
          <w:lang w:val="fr-FR"/>
        </w:rPr>
        <w:t>connaissant l</w:t>
      </w:r>
      <w:r w:rsidR="007E7DAC" w:rsidRPr="00012F37">
        <w:rPr>
          <w:lang w:val="fr-FR"/>
        </w:rPr>
        <w:t>’</w:t>
      </w:r>
      <w:r w:rsidRPr="00012F37">
        <w:rPr>
          <w:lang w:val="fr-FR"/>
        </w:rPr>
        <w:t>importance de la préservation du patrimoine culturel, de la promotion du développement rural et de la lutte contre la contrefaçon, la délégation a encouragé les États membres à envisager d</w:t>
      </w:r>
      <w:r w:rsidR="007E7DAC" w:rsidRPr="00012F37">
        <w:rPr>
          <w:lang w:val="fr-FR"/>
        </w:rPr>
        <w:t>’</w:t>
      </w:r>
      <w:r w:rsidRPr="00012F37">
        <w:rPr>
          <w:lang w:val="fr-FR"/>
        </w:rPr>
        <w:t>adhérer à l</w:t>
      </w:r>
      <w:r w:rsidR="007E7DAC" w:rsidRPr="00012F37">
        <w:rPr>
          <w:lang w:val="fr-FR"/>
        </w:rPr>
        <w:t>’</w:t>
      </w:r>
      <w:r w:rsidRPr="00012F37">
        <w:rPr>
          <w:lang w:val="fr-FR"/>
        </w:rPr>
        <w:t>Union de Lisbon</w:t>
      </w:r>
      <w:r w:rsidR="004965B0" w:rsidRPr="00012F37">
        <w:rPr>
          <w:lang w:val="fr-FR"/>
        </w:rPr>
        <w:t>ne.  La</w:t>
      </w:r>
      <w:r w:rsidRPr="00012F37">
        <w:rPr>
          <w:lang w:val="fr-FR"/>
        </w:rPr>
        <w:t xml:space="preserve"> délégation a également salué les efforts en cours pour harmoniser les exigences formelles et simplifier les procédures de dépôt des demandes, tout en garantissant la qualité de l</w:t>
      </w:r>
      <w:r w:rsidR="007E7DAC" w:rsidRPr="00012F37">
        <w:rPr>
          <w:lang w:val="fr-FR"/>
        </w:rPr>
        <w:t>’</w:t>
      </w:r>
      <w:r w:rsidRPr="00012F37">
        <w:rPr>
          <w:lang w:val="fr-FR"/>
        </w:rPr>
        <w:t>examen quant au fond dans le cadre du système de Lisbon</w:t>
      </w:r>
      <w:r w:rsidR="004965B0" w:rsidRPr="00012F37">
        <w:rPr>
          <w:lang w:val="fr-FR"/>
        </w:rPr>
        <w:t>ne.  En</w:t>
      </w:r>
      <w:r w:rsidRPr="00012F37">
        <w:rPr>
          <w:lang w:val="fr-FR"/>
        </w:rPr>
        <w:t xml:space="preserve"> conclusion, la délégation a exprimé son appui en faveur des déclarations appelant au renforcement des ressources humaines et financières attribuées au système de Lisbonne, en vue d</w:t>
      </w:r>
      <w:r w:rsidR="007E7DAC" w:rsidRPr="00012F37">
        <w:rPr>
          <w:lang w:val="fr-FR"/>
        </w:rPr>
        <w:t>’</w:t>
      </w:r>
      <w:r w:rsidRPr="00012F37">
        <w:rPr>
          <w:lang w:val="fr-FR"/>
        </w:rPr>
        <w:t>améliorer son efficacité et son impact globaux.</w:t>
      </w:r>
    </w:p>
    <w:p w14:paraId="74B92A2F" w14:textId="4529185D" w:rsidR="007E7DAC" w:rsidRPr="00012F37" w:rsidRDefault="00716513" w:rsidP="00C962C9">
      <w:pPr>
        <w:pStyle w:val="ONUMFS"/>
        <w:ind w:left="567"/>
        <w:rPr>
          <w:lang w:val="fr-FR"/>
        </w:rPr>
      </w:pPr>
      <w:r w:rsidRPr="00012F37">
        <w:rPr>
          <w:lang w:val="fr-FR"/>
        </w:rPr>
        <w:t>L</w:t>
      </w:r>
      <w:r w:rsidR="007E7DAC" w:rsidRPr="00012F37">
        <w:rPr>
          <w:lang w:val="fr-FR"/>
        </w:rPr>
        <w:t>’</w:t>
      </w:r>
      <w:r w:rsidRPr="00012F37">
        <w:rPr>
          <w:lang w:val="fr-FR"/>
        </w:rPr>
        <w:t>Assemblée de l</w:t>
      </w:r>
      <w:r w:rsidR="007E7DAC" w:rsidRPr="00012F37">
        <w:rPr>
          <w:lang w:val="fr-FR"/>
        </w:rPr>
        <w:t>’</w:t>
      </w:r>
      <w:r w:rsidRPr="00012F37">
        <w:rPr>
          <w:lang w:val="fr-FR"/>
        </w:rPr>
        <w:t>Union de Lisbonne</w:t>
      </w:r>
    </w:p>
    <w:p w14:paraId="7C5966D9" w14:textId="2CDD98F9" w:rsidR="00716513" w:rsidRPr="00012F37" w:rsidRDefault="00716513" w:rsidP="00C962C9">
      <w:pPr>
        <w:pStyle w:val="ONUMFS"/>
        <w:numPr>
          <w:ilvl w:val="2"/>
          <w:numId w:val="6"/>
        </w:numPr>
        <w:rPr>
          <w:szCs w:val="22"/>
          <w:lang w:val="fr-FR"/>
        </w:rPr>
      </w:pPr>
      <w:proofErr w:type="gramStart"/>
      <w:r w:rsidRPr="00012F37">
        <w:rPr>
          <w:lang w:val="fr-FR"/>
        </w:rPr>
        <w:t>a</w:t>
      </w:r>
      <w:proofErr w:type="gramEnd"/>
      <w:r w:rsidRPr="00012F37">
        <w:rPr>
          <w:lang w:val="fr-FR"/>
        </w:rPr>
        <w:t xml:space="preserve"> pris note du “Rapport sur le Groupe de travail sur le développement du système de Lisbonne” (</w:t>
      </w:r>
      <w:r w:rsidR="007E7DAC" w:rsidRPr="00012F37">
        <w:rPr>
          <w:lang w:val="fr-FR"/>
        </w:rPr>
        <w:t>document LI</w:t>
      </w:r>
      <w:r w:rsidRPr="00012F37">
        <w:rPr>
          <w:lang w:val="fr-FR"/>
        </w:rPr>
        <w:t>/A/42/1) et</w:t>
      </w:r>
    </w:p>
    <w:p w14:paraId="0CCB888C" w14:textId="42C48013" w:rsidR="00716513" w:rsidRPr="00012F37" w:rsidRDefault="00716513" w:rsidP="00C962C9">
      <w:pPr>
        <w:pStyle w:val="ONUMFS"/>
        <w:numPr>
          <w:ilvl w:val="2"/>
          <w:numId w:val="6"/>
        </w:numPr>
        <w:rPr>
          <w:szCs w:val="22"/>
          <w:lang w:val="fr-FR"/>
        </w:rPr>
      </w:pPr>
      <w:proofErr w:type="gramStart"/>
      <w:r w:rsidRPr="00012F37">
        <w:rPr>
          <w:lang w:val="fr-FR"/>
        </w:rPr>
        <w:t>a</w:t>
      </w:r>
      <w:proofErr w:type="gramEnd"/>
      <w:r w:rsidRPr="00012F37">
        <w:rPr>
          <w:lang w:val="fr-FR"/>
        </w:rPr>
        <w:t xml:space="preserve"> adopté les modifications apportées au règlement d</w:t>
      </w:r>
      <w:r w:rsidR="007E7DAC" w:rsidRPr="00012F37">
        <w:rPr>
          <w:lang w:val="fr-FR"/>
        </w:rPr>
        <w:t>’</w:t>
      </w:r>
      <w:r w:rsidRPr="00012F37">
        <w:rPr>
          <w:lang w:val="fr-FR"/>
        </w:rPr>
        <w:t>exécution commun à l</w:t>
      </w:r>
      <w:r w:rsidR="007E7DAC" w:rsidRPr="00012F37">
        <w:rPr>
          <w:lang w:val="fr-FR"/>
        </w:rPr>
        <w:t>’</w:t>
      </w:r>
      <w:r w:rsidRPr="00012F37">
        <w:rPr>
          <w:lang w:val="fr-FR"/>
        </w:rPr>
        <w:t>Arrangement de Lisbonne concernant la protection des appellations d</w:t>
      </w:r>
      <w:r w:rsidR="007E7DAC" w:rsidRPr="00012F37">
        <w:rPr>
          <w:lang w:val="fr-FR"/>
        </w:rPr>
        <w:t>’</w:t>
      </w:r>
      <w:r w:rsidRPr="00012F37">
        <w:rPr>
          <w:lang w:val="fr-FR"/>
        </w:rPr>
        <w:t>origine et leur enregistrement international et à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sur les appellations d</w:t>
      </w:r>
      <w:r w:rsidR="007E7DAC" w:rsidRPr="00012F37">
        <w:rPr>
          <w:lang w:val="fr-FR"/>
        </w:rPr>
        <w:t>’</w:t>
      </w:r>
      <w:r w:rsidRPr="00012F37">
        <w:rPr>
          <w:lang w:val="fr-FR"/>
        </w:rPr>
        <w:t>origine et les indications géographiques, telles qu</w:t>
      </w:r>
      <w:r w:rsidR="007E7DAC" w:rsidRPr="00012F37">
        <w:rPr>
          <w:lang w:val="fr-FR"/>
        </w:rPr>
        <w:t>’</w:t>
      </w:r>
      <w:r w:rsidRPr="00012F37">
        <w:rPr>
          <w:lang w:val="fr-FR"/>
        </w:rPr>
        <w:t>elles figurent dans l</w:t>
      </w:r>
      <w:r w:rsidR="007E7DAC" w:rsidRPr="00012F37">
        <w:rPr>
          <w:lang w:val="fr-FR"/>
        </w:rPr>
        <w:t>’</w:t>
      </w:r>
      <w:r w:rsidRPr="00012F37">
        <w:rPr>
          <w:lang w:val="fr-FR"/>
        </w:rPr>
        <w:t xml:space="preserve">annexe du </w:t>
      </w:r>
      <w:r w:rsidR="007E7DAC" w:rsidRPr="00012F37">
        <w:rPr>
          <w:lang w:val="fr-FR"/>
        </w:rPr>
        <w:t>document LI</w:t>
      </w:r>
      <w:r w:rsidRPr="00012F37">
        <w:rPr>
          <w:lang w:val="fr-FR"/>
        </w:rPr>
        <w:t>/A/42/2, leur date d</w:t>
      </w:r>
      <w:r w:rsidR="007E7DAC" w:rsidRPr="00012F37">
        <w:rPr>
          <w:lang w:val="fr-FR"/>
        </w:rPr>
        <w:t>’</w:t>
      </w:r>
      <w:r w:rsidRPr="00012F37">
        <w:rPr>
          <w:lang w:val="fr-FR"/>
        </w:rPr>
        <w:t>entrée en vigueur étant fixée au</w:t>
      </w:r>
      <w:r w:rsidR="007E7DAC" w:rsidRPr="00012F37">
        <w:rPr>
          <w:lang w:val="fr-FR"/>
        </w:rPr>
        <w:t xml:space="preserve"> 1</w:t>
      </w:r>
      <w:r w:rsidR="007E7DAC" w:rsidRPr="00012F37">
        <w:rPr>
          <w:vertAlign w:val="superscript"/>
          <w:lang w:val="fr-FR"/>
        </w:rPr>
        <w:t>er</w:t>
      </w:r>
      <w:r w:rsidR="007E7DAC" w:rsidRPr="00012F37">
        <w:rPr>
          <w:lang w:val="fr-FR"/>
        </w:rPr>
        <w:t> juillet 20</w:t>
      </w:r>
      <w:r w:rsidRPr="00012F37">
        <w:rPr>
          <w:lang w:val="fr-FR"/>
        </w:rPr>
        <w:t>26.</w:t>
      </w:r>
    </w:p>
    <w:p w14:paraId="6431923F" w14:textId="31D83C67" w:rsidR="007E7DAC" w:rsidRPr="00012F37" w:rsidRDefault="00716513" w:rsidP="00C962C9">
      <w:pPr>
        <w:pStyle w:val="ONUMFS"/>
        <w:rPr>
          <w:lang w:val="fr-FR"/>
        </w:rPr>
      </w:pPr>
      <w:r w:rsidRPr="00012F37">
        <w:rPr>
          <w:lang w:val="fr-FR"/>
        </w:rPr>
        <w:t>À toutes fins utiles, l</w:t>
      </w:r>
      <w:r w:rsidR="007E7DAC" w:rsidRPr="00012F37">
        <w:rPr>
          <w:lang w:val="fr-FR"/>
        </w:rPr>
        <w:t>’</w:t>
      </w:r>
      <w:r w:rsidRPr="00012F37">
        <w:rPr>
          <w:lang w:val="fr-FR"/>
        </w:rPr>
        <w:t>annexe du présent rapport contient les modifications du règlement d</w:t>
      </w:r>
      <w:r w:rsidR="007E7DAC" w:rsidRPr="00012F37">
        <w:rPr>
          <w:lang w:val="fr-FR"/>
        </w:rPr>
        <w:t>’</w:t>
      </w:r>
      <w:r w:rsidRPr="00012F37">
        <w:rPr>
          <w:lang w:val="fr-FR"/>
        </w:rPr>
        <w:t>exécution commun à l</w:t>
      </w:r>
      <w:r w:rsidR="007E7DAC" w:rsidRPr="00012F37">
        <w:rPr>
          <w:lang w:val="fr-FR"/>
        </w:rPr>
        <w:t>’</w:t>
      </w:r>
      <w:r w:rsidRPr="00012F37">
        <w:rPr>
          <w:lang w:val="fr-FR"/>
        </w:rPr>
        <w:t>Arrangement de Lisbonne et à l</w:t>
      </w:r>
      <w:r w:rsidR="007E7DAC" w:rsidRPr="00012F37">
        <w:rPr>
          <w:lang w:val="fr-FR"/>
        </w:rPr>
        <w:t>’</w:t>
      </w:r>
      <w:r w:rsidRPr="00012F37">
        <w:rPr>
          <w:lang w:val="fr-FR"/>
        </w:rPr>
        <w:t>Acte de Genève de l</w:t>
      </w:r>
      <w:r w:rsidR="007E7DAC" w:rsidRPr="00012F37">
        <w:rPr>
          <w:lang w:val="fr-FR"/>
        </w:rPr>
        <w:t>’</w:t>
      </w:r>
      <w:r w:rsidRPr="00012F37">
        <w:rPr>
          <w:lang w:val="fr-FR"/>
        </w:rPr>
        <w:t>Arrangement de Lisbonne, telles qu</w:t>
      </w:r>
      <w:r w:rsidR="007E7DAC" w:rsidRPr="00012F37">
        <w:rPr>
          <w:lang w:val="fr-FR"/>
        </w:rPr>
        <w:t>’</w:t>
      </w:r>
      <w:r w:rsidRPr="00012F37">
        <w:rPr>
          <w:lang w:val="fr-FR"/>
        </w:rPr>
        <w:t>adoptées par la décision énoncée au paragraphe 23.ii).</w:t>
      </w:r>
    </w:p>
    <w:p w14:paraId="71A8EDCB" w14:textId="77777777" w:rsidR="00EC2C53" w:rsidRPr="00012F37" w:rsidRDefault="00716513" w:rsidP="00C962C9">
      <w:pPr>
        <w:pStyle w:val="Endofdocument-Annex"/>
        <w:spacing w:before="720"/>
        <w:rPr>
          <w:lang w:val="fr-FR"/>
        </w:rPr>
        <w:sectPr w:rsidR="00EC2C53" w:rsidRPr="00012F37" w:rsidSect="00C962C9">
          <w:headerReference w:type="default" r:id="rId15"/>
          <w:endnotePr>
            <w:numFmt w:val="decimal"/>
          </w:endnotePr>
          <w:pgSz w:w="11907" w:h="16840" w:code="9"/>
          <w:pgMar w:top="567" w:right="1134" w:bottom="1418" w:left="1418" w:header="510" w:footer="1021" w:gutter="0"/>
          <w:cols w:space="720"/>
          <w:titlePg/>
          <w:docGrid w:linePitch="299"/>
        </w:sectPr>
      </w:pPr>
      <w:r w:rsidRPr="00012F37">
        <w:rPr>
          <w:lang w:val="fr-FR"/>
        </w:rPr>
        <w:t>[L</w:t>
      </w:r>
      <w:r w:rsidR="007E7DAC" w:rsidRPr="00012F37">
        <w:rPr>
          <w:lang w:val="fr-FR"/>
        </w:rPr>
        <w:t>’</w:t>
      </w:r>
      <w:r w:rsidRPr="00012F37">
        <w:rPr>
          <w:lang w:val="fr-FR"/>
        </w:rPr>
        <w:t>annexe suit]</w:t>
      </w:r>
    </w:p>
    <w:p w14:paraId="2241776A" w14:textId="77777777" w:rsidR="00EC2C53" w:rsidRPr="00012F37" w:rsidRDefault="00EC2C53" w:rsidP="00C962C9">
      <w:pPr>
        <w:pStyle w:val="BodyText"/>
        <w:spacing w:before="240"/>
        <w:rPr>
          <w:rFonts w:eastAsia="Times New Roman"/>
          <w:b/>
          <w:bCs/>
          <w:szCs w:val="22"/>
          <w:lang w:val="fr-FR"/>
        </w:rPr>
      </w:pPr>
      <w:r w:rsidRPr="00012F37">
        <w:rPr>
          <w:b/>
          <w:lang w:val="fr-FR"/>
        </w:rPr>
        <w:lastRenderedPageBreak/>
        <w:t>Règlement d’exécution commun à l’Arrangement de Lisbonne concernant la protection des appellations d’origine et leur enregistrement international et à l’Acte de Genève de l’Arrangement de Lisbonne sur les appellations d’origine et les indications géographiques</w:t>
      </w:r>
    </w:p>
    <w:p w14:paraId="448EE06B" w14:textId="449FD7D2" w:rsidR="00EC2C53" w:rsidRPr="00012F37" w:rsidRDefault="00EC2C53" w:rsidP="00C962C9">
      <w:pPr>
        <w:pStyle w:val="BodyText"/>
        <w:spacing w:before="240"/>
        <w:rPr>
          <w:lang w:val="fr-FR"/>
        </w:rPr>
      </w:pPr>
      <w:r w:rsidRPr="00012F37">
        <w:rPr>
          <w:lang w:val="fr-FR"/>
        </w:rPr>
        <w:t>Texte en vigueur le 1</w:t>
      </w:r>
      <w:r w:rsidRPr="00012F37">
        <w:rPr>
          <w:vertAlign w:val="superscript"/>
          <w:lang w:val="fr-FR"/>
        </w:rPr>
        <w:t>er</w:t>
      </w:r>
      <w:r w:rsidRPr="00012F37">
        <w:rPr>
          <w:lang w:val="fr-FR"/>
        </w:rPr>
        <w:t> juillet 2026</w:t>
      </w:r>
    </w:p>
    <w:p w14:paraId="5989E88F" w14:textId="1AAB8AD8" w:rsidR="00012F37" w:rsidRPr="00012F37" w:rsidRDefault="00012F37" w:rsidP="00C962C9">
      <w:pPr>
        <w:pStyle w:val="BodyText"/>
        <w:spacing w:before="240"/>
        <w:rPr>
          <w:b/>
          <w:bCs/>
          <w:lang w:val="fr-FR"/>
        </w:rPr>
      </w:pPr>
      <w:r w:rsidRPr="00012F37">
        <w:rPr>
          <w:rFonts w:eastAsia="Times New Roman"/>
          <w:szCs w:val="22"/>
          <w:lang w:val="fr-FR" w:eastAsia="ja-JP"/>
        </w:rPr>
        <w:t>[…]</w:t>
      </w:r>
    </w:p>
    <w:p w14:paraId="38444A94" w14:textId="77777777" w:rsidR="00EC2C53" w:rsidRPr="00012F37" w:rsidRDefault="00EC2C53" w:rsidP="00C962C9">
      <w:pPr>
        <w:pStyle w:val="BodyText"/>
        <w:spacing w:before="480"/>
        <w:rPr>
          <w:b/>
          <w:bCs/>
          <w:lang w:val="fr-FR"/>
        </w:rPr>
      </w:pPr>
      <w:r w:rsidRPr="00012F37">
        <w:rPr>
          <w:b/>
          <w:lang w:val="fr-FR"/>
        </w:rPr>
        <w:t>Chapitre premier</w:t>
      </w:r>
      <w:r w:rsidRPr="00012F37">
        <w:rPr>
          <w:b/>
          <w:lang w:val="fr-FR"/>
        </w:rPr>
        <w:br/>
        <w:t>Dispositions générales et liminaires</w:t>
      </w:r>
    </w:p>
    <w:p w14:paraId="2EEDE436" w14:textId="77777777" w:rsidR="00EC2C53" w:rsidRPr="00012F37" w:rsidRDefault="00EC2C53" w:rsidP="00C962C9">
      <w:pPr>
        <w:pStyle w:val="BodyText"/>
        <w:spacing w:before="240"/>
        <w:rPr>
          <w:b/>
          <w:bCs/>
          <w:lang w:val="fr-FR"/>
        </w:rPr>
      </w:pPr>
      <w:bookmarkStart w:id="6" w:name="rule1"/>
      <w:bookmarkEnd w:id="6"/>
      <w:r w:rsidRPr="00012F37">
        <w:rPr>
          <w:b/>
          <w:lang w:val="fr-FR"/>
        </w:rPr>
        <w:t xml:space="preserve">Règle 1 </w:t>
      </w:r>
      <w:r w:rsidRPr="00012F37">
        <w:rPr>
          <w:b/>
          <w:lang w:val="fr-FR"/>
        </w:rPr>
        <w:br/>
        <w:t>Définitions</w:t>
      </w:r>
    </w:p>
    <w:p w14:paraId="7758BA4A" w14:textId="01B57922" w:rsidR="00EC2C53" w:rsidRPr="00012F37" w:rsidRDefault="00EC2C53" w:rsidP="00C962C9">
      <w:pPr>
        <w:pStyle w:val="BodyText"/>
        <w:tabs>
          <w:tab w:val="left" w:pos="567"/>
        </w:tabs>
        <w:spacing w:before="240"/>
        <w:rPr>
          <w:lang w:val="fr-FR"/>
        </w:rPr>
      </w:pPr>
      <w:r w:rsidRPr="00012F37">
        <w:rPr>
          <w:lang w:val="fr-FR"/>
        </w:rPr>
        <w:t>1)</w:t>
      </w:r>
      <w:r w:rsidRPr="00012F37">
        <w:rPr>
          <w:lang w:val="fr-FR"/>
        </w:rPr>
        <w:tab/>
      </w:r>
      <w:r w:rsidRPr="00012F37">
        <w:rPr>
          <w:i/>
          <w:lang w:val="fr-FR"/>
        </w:rPr>
        <w:t xml:space="preserve">[Expressions </w:t>
      </w:r>
      <w:proofErr w:type="gramStart"/>
      <w:r w:rsidRPr="00012F37">
        <w:rPr>
          <w:i/>
          <w:lang w:val="fr-FR"/>
        </w:rPr>
        <w:t>abrégées]</w:t>
      </w:r>
      <w:r w:rsidRPr="00012F37">
        <w:rPr>
          <w:lang w:val="fr-FR"/>
        </w:rPr>
        <w:t xml:space="preserve"> </w:t>
      </w:r>
      <w:r w:rsidR="00F9788B">
        <w:rPr>
          <w:lang w:val="fr-FR"/>
        </w:rPr>
        <w:t xml:space="preserve"> </w:t>
      </w:r>
      <w:r w:rsidRPr="00012F37">
        <w:rPr>
          <w:lang w:val="fr-FR"/>
        </w:rPr>
        <w:t>Aux</w:t>
      </w:r>
      <w:proofErr w:type="gramEnd"/>
      <w:r w:rsidRPr="00012F37">
        <w:rPr>
          <w:lang w:val="fr-FR"/>
        </w:rPr>
        <w:t xml:space="preserve"> fins du présent règlement d’exécution, et sauf lorsqu’un sens différent est expressément indiqué,</w:t>
      </w:r>
    </w:p>
    <w:p w14:paraId="21EF9E73" w14:textId="77777777" w:rsidR="00EC2C53" w:rsidRPr="00012F37" w:rsidRDefault="00EC2C53" w:rsidP="00C962C9">
      <w:pPr>
        <w:pStyle w:val="BodyText"/>
        <w:spacing w:before="240"/>
        <w:ind w:left="1134"/>
        <w:rPr>
          <w:lang w:val="fr-FR"/>
        </w:rPr>
      </w:pPr>
      <w:r w:rsidRPr="00012F37">
        <w:rPr>
          <w:lang w:val="fr-FR"/>
        </w:rPr>
        <w:t>[…]</w:t>
      </w:r>
    </w:p>
    <w:p w14:paraId="009E551C" w14:textId="77777777" w:rsidR="00EC2C53" w:rsidRPr="00012F37" w:rsidRDefault="00EC2C53" w:rsidP="00C962C9">
      <w:pPr>
        <w:pStyle w:val="BodyText"/>
        <w:spacing w:before="240"/>
        <w:ind w:left="1701" w:hanging="567"/>
        <w:rPr>
          <w:lang w:val="fr-FR"/>
        </w:rPr>
      </w:pPr>
      <w:r w:rsidRPr="00012F37">
        <w:rPr>
          <w:lang w:val="fr-FR"/>
        </w:rPr>
        <w:t>vi)</w:t>
      </w:r>
      <w:r w:rsidRPr="00012F37">
        <w:rPr>
          <w:lang w:val="fr-FR"/>
        </w:rPr>
        <w:tab/>
        <w:t xml:space="preserve">on entend par “formulaire officiel” un formulaire établi par le Bureau international ou une interface électronique mise à disposition par le Bureau international sur le site Internet de </w:t>
      </w:r>
      <w:proofErr w:type="gramStart"/>
      <w:r w:rsidRPr="00012F37">
        <w:rPr>
          <w:lang w:val="fr-FR"/>
        </w:rPr>
        <w:t>l’Organisation;</w:t>
      </w:r>
      <w:proofErr w:type="gramEnd"/>
    </w:p>
    <w:p w14:paraId="5533B08B" w14:textId="77777777" w:rsidR="00EC2C53" w:rsidRPr="00012F37" w:rsidRDefault="00EC2C53" w:rsidP="00C962C9">
      <w:pPr>
        <w:pStyle w:val="BodyText"/>
        <w:spacing w:before="240"/>
        <w:ind w:left="1134"/>
        <w:rPr>
          <w:lang w:val="fr-FR"/>
        </w:rPr>
      </w:pPr>
      <w:r w:rsidRPr="00012F37">
        <w:rPr>
          <w:lang w:val="fr-FR"/>
        </w:rPr>
        <w:t>[…]</w:t>
      </w:r>
    </w:p>
    <w:p w14:paraId="3B08A621" w14:textId="77777777" w:rsidR="00EC2C53" w:rsidRPr="00012F37" w:rsidRDefault="00EC2C53" w:rsidP="00C962C9">
      <w:pPr>
        <w:pStyle w:val="BodyText"/>
        <w:spacing w:before="480"/>
        <w:rPr>
          <w:b/>
          <w:bCs/>
          <w:lang w:val="fr-FR"/>
        </w:rPr>
      </w:pPr>
      <w:bookmarkStart w:id="7" w:name="rule8"/>
      <w:bookmarkEnd w:id="7"/>
      <w:r w:rsidRPr="00012F37">
        <w:rPr>
          <w:b/>
          <w:lang w:val="fr-FR"/>
        </w:rPr>
        <w:t xml:space="preserve">Chapitre II </w:t>
      </w:r>
      <w:r w:rsidRPr="00012F37">
        <w:rPr>
          <w:b/>
          <w:lang w:val="fr-FR"/>
        </w:rPr>
        <w:br/>
        <w:t>Demande et enregistrement international</w:t>
      </w:r>
    </w:p>
    <w:p w14:paraId="55DA18ED" w14:textId="77777777" w:rsidR="00EC2C53" w:rsidRPr="00012F37" w:rsidRDefault="00EC2C53" w:rsidP="00C962C9">
      <w:pPr>
        <w:pStyle w:val="BodyText"/>
        <w:spacing w:before="240"/>
        <w:rPr>
          <w:lang w:val="fr-FR"/>
        </w:rPr>
      </w:pPr>
      <w:r w:rsidRPr="00012F37">
        <w:rPr>
          <w:lang w:val="fr-FR"/>
        </w:rPr>
        <w:t>[…]</w:t>
      </w:r>
    </w:p>
    <w:p w14:paraId="2AFB2D3E" w14:textId="77777777" w:rsidR="00EC2C53" w:rsidRPr="00012F37" w:rsidRDefault="00EC2C53" w:rsidP="00C962C9">
      <w:pPr>
        <w:pStyle w:val="BodyText"/>
        <w:spacing w:before="240"/>
        <w:rPr>
          <w:b/>
          <w:bCs/>
          <w:lang w:val="fr-FR"/>
        </w:rPr>
      </w:pPr>
      <w:r w:rsidRPr="00012F37">
        <w:rPr>
          <w:b/>
          <w:lang w:val="fr-FR"/>
        </w:rPr>
        <w:t xml:space="preserve">Règle 8 </w:t>
      </w:r>
      <w:r w:rsidRPr="00012F37">
        <w:rPr>
          <w:b/>
          <w:lang w:val="fr-FR"/>
        </w:rPr>
        <w:br/>
        <w:t>Taxes</w:t>
      </w:r>
    </w:p>
    <w:p w14:paraId="010361A5" w14:textId="77777777" w:rsidR="00EC2C53" w:rsidRPr="00012F37" w:rsidRDefault="00EC2C53" w:rsidP="00C962C9">
      <w:pPr>
        <w:pStyle w:val="BodyText"/>
        <w:spacing w:before="240"/>
        <w:rPr>
          <w:lang w:val="fr-FR"/>
        </w:rPr>
      </w:pPr>
      <w:r w:rsidRPr="00012F37">
        <w:rPr>
          <w:lang w:val="fr-FR"/>
        </w:rPr>
        <w:t>[…]</w:t>
      </w:r>
    </w:p>
    <w:p w14:paraId="79C59A4E" w14:textId="77777777" w:rsidR="00EC2C53" w:rsidRPr="00012F37" w:rsidRDefault="00EC2C53" w:rsidP="00C962C9">
      <w:pPr>
        <w:pStyle w:val="BodyText"/>
        <w:tabs>
          <w:tab w:val="left" w:pos="567"/>
        </w:tabs>
        <w:spacing w:before="240"/>
        <w:rPr>
          <w:lang w:val="fr-FR"/>
        </w:rPr>
      </w:pPr>
      <w:r w:rsidRPr="00012F37">
        <w:rPr>
          <w:lang w:val="fr-FR"/>
        </w:rPr>
        <w:t>9)</w:t>
      </w:r>
      <w:r w:rsidRPr="00012F37">
        <w:rPr>
          <w:lang w:val="fr-FR"/>
        </w:rPr>
        <w:tab/>
      </w:r>
      <w:r w:rsidRPr="00012F37">
        <w:rPr>
          <w:i/>
          <w:lang w:val="fr-FR"/>
        </w:rPr>
        <w:t>[Modification du montant des taxes]</w:t>
      </w:r>
    </w:p>
    <w:p w14:paraId="2CBD985A" w14:textId="77777777" w:rsidR="00EC2C53" w:rsidRPr="00012F37" w:rsidRDefault="00EC2C53" w:rsidP="00C962C9">
      <w:pPr>
        <w:pStyle w:val="BodyText"/>
        <w:numPr>
          <w:ilvl w:val="0"/>
          <w:numId w:val="7"/>
        </w:numPr>
        <w:spacing w:before="240"/>
        <w:ind w:left="1134" w:hanging="567"/>
        <w:rPr>
          <w:lang w:val="fr-FR"/>
        </w:rPr>
      </w:pPr>
      <w:r w:rsidRPr="00012F37">
        <w:rPr>
          <w:lang w:val="fr-FR"/>
        </w:rPr>
        <w:t xml:space="preserve">Lorsque le montant des taxes à payer pour </w:t>
      </w:r>
      <w:proofErr w:type="gramStart"/>
      <w:r w:rsidRPr="00012F37">
        <w:rPr>
          <w:lang w:val="fr-FR"/>
        </w:rPr>
        <w:t>une demande visées</w:t>
      </w:r>
      <w:proofErr w:type="gramEnd"/>
      <w:r w:rsidRPr="00012F37">
        <w:rPr>
          <w:lang w:val="fr-FR"/>
        </w:rPr>
        <w:t xml:space="preserve"> à la règle </w:t>
      </w:r>
      <w:proofErr w:type="gramStart"/>
      <w:r w:rsidRPr="00012F37">
        <w:rPr>
          <w:lang w:val="fr-FR"/>
        </w:rPr>
        <w:t>5.2)c</w:t>
      </w:r>
      <w:proofErr w:type="gramEnd"/>
      <w:r w:rsidRPr="00012F37">
        <w:rPr>
          <w:lang w:val="fr-FR"/>
        </w:rPr>
        <w:t xml:space="preserve">) est modifié entre la date de dépôt de la demande et la date du paiement, la taxe applicable est celle qui était en vigueur à la première date. </w:t>
      </w:r>
    </w:p>
    <w:p w14:paraId="008A7703" w14:textId="77777777" w:rsidR="00EC2C53" w:rsidRPr="00012F37" w:rsidRDefault="00EC2C53" w:rsidP="00C962C9">
      <w:pPr>
        <w:pStyle w:val="BodyText"/>
        <w:numPr>
          <w:ilvl w:val="0"/>
          <w:numId w:val="7"/>
        </w:numPr>
        <w:spacing w:before="240"/>
        <w:ind w:left="1134" w:hanging="567"/>
        <w:rPr>
          <w:lang w:val="fr-FR"/>
        </w:rPr>
      </w:pPr>
      <w:r w:rsidRPr="00012F37">
        <w:rPr>
          <w:lang w:val="fr-FR"/>
        </w:rPr>
        <w:t>Lorsque le montant des taxes à payer pour une demande d’inscription d’une modification visée à la règle </w:t>
      </w:r>
      <w:proofErr w:type="gramStart"/>
      <w:r w:rsidRPr="00012F37">
        <w:rPr>
          <w:lang w:val="fr-FR"/>
        </w:rPr>
        <w:t>15.2)a</w:t>
      </w:r>
      <w:proofErr w:type="gramEnd"/>
      <w:r w:rsidRPr="00012F37">
        <w:rPr>
          <w:lang w:val="fr-FR"/>
        </w:rPr>
        <w:t xml:space="preserve">) est modifié entre la date de présentation de la demande et la date du paiement, la taxe applicable est celle qui était en vigueur à la première date. </w:t>
      </w:r>
    </w:p>
    <w:p w14:paraId="5B04580C" w14:textId="77777777" w:rsidR="00EC2C53" w:rsidRPr="00012F37" w:rsidRDefault="00EC2C53" w:rsidP="00C962C9">
      <w:pPr>
        <w:rPr>
          <w:lang w:val="fr-FR"/>
        </w:rPr>
      </w:pPr>
      <w:r w:rsidRPr="00012F37">
        <w:rPr>
          <w:lang w:val="fr-FR"/>
        </w:rPr>
        <w:br w:type="page"/>
      </w:r>
    </w:p>
    <w:p w14:paraId="50B2B9C6" w14:textId="77777777" w:rsidR="00EC2C53" w:rsidRPr="00012F37" w:rsidRDefault="00EC2C53" w:rsidP="00C962C9">
      <w:pPr>
        <w:pStyle w:val="BodyText"/>
        <w:numPr>
          <w:ilvl w:val="0"/>
          <w:numId w:val="7"/>
        </w:numPr>
        <w:spacing w:before="240"/>
        <w:ind w:left="1134" w:hanging="567"/>
        <w:rPr>
          <w:lang w:val="fr-FR"/>
        </w:rPr>
      </w:pPr>
      <w:r w:rsidRPr="00012F37">
        <w:rPr>
          <w:lang w:val="fr-FR"/>
        </w:rPr>
        <w:lastRenderedPageBreak/>
        <w:t>Lorsque le montant des taxes à payer pour une modification ou en tant que taxe individuelle, dans le cas visé à la règle </w:t>
      </w:r>
      <w:proofErr w:type="gramStart"/>
      <w:r w:rsidRPr="00012F37">
        <w:rPr>
          <w:lang w:val="fr-FR"/>
        </w:rPr>
        <w:t>7.4)a</w:t>
      </w:r>
      <w:proofErr w:type="gramEnd"/>
      <w:r w:rsidRPr="00012F37">
        <w:rPr>
          <w:lang w:val="fr-FR"/>
        </w:rPr>
        <w:t xml:space="preserve">) et d), est modifié entre la date d’entrée en vigueur de l’Acte de Genève à l’égard d’un État partie à l’Acte de 1967 et la date du paiement, la taxe en vigueur à la première date est applicable. </w:t>
      </w:r>
    </w:p>
    <w:p w14:paraId="738DB812" w14:textId="77777777" w:rsidR="00EC2C53" w:rsidRPr="00012F37" w:rsidRDefault="00EC2C53" w:rsidP="00C962C9">
      <w:pPr>
        <w:pStyle w:val="BodyText"/>
        <w:numPr>
          <w:ilvl w:val="0"/>
          <w:numId w:val="7"/>
        </w:numPr>
        <w:spacing w:before="240"/>
        <w:ind w:left="1134" w:hanging="567"/>
        <w:rPr>
          <w:lang w:val="fr-FR"/>
        </w:rPr>
      </w:pPr>
      <w:r w:rsidRPr="00012F37">
        <w:rPr>
          <w:lang w:val="fr-FR"/>
        </w:rPr>
        <w:t xml:space="preserve">Lorsque le montant d’une taxe autre que les taxes visées aux sous-alinéas </w:t>
      </w:r>
      <w:proofErr w:type="gramStart"/>
      <w:r w:rsidRPr="00012F37">
        <w:rPr>
          <w:lang w:val="fr-FR"/>
        </w:rPr>
        <w:t>a</w:t>
      </w:r>
      <w:proofErr w:type="gramEnd"/>
      <w:r w:rsidRPr="00012F37">
        <w:rPr>
          <w:lang w:val="fr-FR"/>
        </w:rPr>
        <w:t>), b) et c) est modifié, le montant applicable est celui qui était en vigueur à la date à laquelle la taxe a été reçue par le Bureau international.</w:t>
      </w:r>
    </w:p>
    <w:p w14:paraId="1EDB6DE5" w14:textId="77777777" w:rsidR="00EC2C53" w:rsidRPr="00012F37" w:rsidRDefault="00EC2C53" w:rsidP="00C962C9">
      <w:pPr>
        <w:pStyle w:val="BodyText"/>
        <w:spacing w:before="240"/>
        <w:rPr>
          <w:lang w:val="fr-FR"/>
        </w:rPr>
      </w:pPr>
      <w:r w:rsidRPr="00012F37">
        <w:rPr>
          <w:lang w:val="fr-FR"/>
        </w:rPr>
        <w:t>[…]</w:t>
      </w:r>
    </w:p>
    <w:p w14:paraId="6313BEA2" w14:textId="77777777" w:rsidR="00EC2C53" w:rsidRPr="00012F37" w:rsidRDefault="00EC2C53" w:rsidP="00C962C9">
      <w:pPr>
        <w:pStyle w:val="BodyText"/>
        <w:rPr>
          <w:b/>
          <w:bCs/>
          <w:lang w:val="fr-FR"/>
        </w:rPr>
      </w:pPr>
      <w:bookmarkStart w:id="8" w:name="_Hlk193263088"/>
      <w:r w:rsidRPr="00012F37">
        <w:rPr>
          <w:b/>
          <w:lang w:val="fr-FR"/>
        </w:rPr>
        <w:t xml:space="preserve">Règle 15 </w:t>
      </w:r>
      <w:r w:rsidRPr="00012F37">
        <w:rPr>
          <w:b/>
          <w:lang w:val="fr-FR"/>
        </w:rPr>
        <w:br/>
        <w:t>Modifications</w:t>
      </w:r>
    </w:p>
    <w:bookmarkEnd w:id="8"/>
    <w:p w14:paraId="078541E5" w14:textId="42459016" w:rsidR="00EC2C53" w:rsidRPr="00012F37" w:rsidRDefault="00EC2C53" w:rsidP="00C962C9">
      <w:pPr>
        <w:pStyle w:val="BodyText"/>
        <w:tabs>
          <w:tab w:val="left" w:pos="567"/>
        </w:tabs>
        <w:spacing w:before="240"/>
        <w:rPr>
          <w:lang w:val="fr-FR"/>
        </w:rPr>
      </w:pPr>
      <w:r w:rsidRPr="00012F37">
        <w:rPr>
          <w:lang w:val="fr-FR"/>
        </w:rPr>
        <w:t>1)</w:t>
      </w:r>
      <w:r w:rsidRPr="00012F37">
        <w:rPr>
          <w:lang w:val="fr-FR"/>
        </w:rPr>
        <w:tab/>
      </w:r>
      <w:r w:rsidRPr="00012F37">
        <w:rPr>
          <w:i/>
          <w:lang w:val="fr-FR"/>
        </w:rPr>
        <w:t xml:space="preserve">[Modifications </w:t>
      </w:r>
      <w:proofErr w:type="gramStart"/>
      <w:r w:rsidRPr="00012F37">
        <w:rPr>
          <w:i/>
          <w:lang w:val="fr-FR"/>
        </w:rPr>
        <w:t xml:space="preserve">admises] </w:t>
      </w:r>
      <w:r w:rsidR="00F9788B">
        <w:rPr>
          <w:i/>
          <w:lang w:val="fr-FR"/>
        </w:rPr>
        <w:t xml:space="preserve"> </w:t>
      </w:r>
      <w:r w:rsidRPr="00012F37">
        <w:rPr>
          <w:lang w:val="fr-FR"/>
        </w:rPr>
        <w:t>Les</w:t>
      </w:r>
      <w:proofErr w:type="gramEnd"/>
      <w:r w:rsidRPr="00012F37">
        <w:rPr>
          <w:lang w:val="fr-FR"/>
        </w:rPr>
        <w:t xml:space="preserve"> modifications ci-après peuvent être inscrites au registre international :</w:t>
      </w:r>
    </w:p>
    <w:p w14:paraId="1E3D9708" w14:textId="77777777" w:rsidR="00EC2C53" w:rsidRPr="00012F37" w:rsidRDefault="00EC2C53" w:rsidP="00C962C9">
      <w:pPr>
        <w:pStyle w:val="BodyText"/>
        <w:spacing w:before="240"/>
        <w:ind w:left="1134"/>
        <w:rPr>
          <w:lang w:val="fr-FR"/>
        </w:rPr>
      </w:pPr>
      <w:r w:rsidRPr="00012F37">
        <w:rPr>
          <w:lang w:val="fr-FR"/>
        </w:rPr>
        <w:t>[…]</w:t>
      </w:r>
    </w:p>
    <w:p w14:paraId="3BD7C128" w14:textId="77777777" w:rsidR="00EC2C53" w:rsidRPr="00012F37" w:rsidRDefault="00EC2C53" w:rsidP="00C962C9">
      <w:pPr>
        <w:pStyle w:val="BodyText"/>
        <w:spacing w:before="240"/>
        <w:ind w:left="1701" w:hanging="567"/>
        <w:rPr>
          <w:lang w:val="fr-FR"/>
        </w:rPr>
      </w:pPr>
      <w:r w:rsidRPr="00012F37">
        <w:rPr>
          <w:lang w:val="fr-FR"/>
        </w:rPr>
        <w:t>vii)</w:t>
      </w:r>
      <w:r w:rsidRPr="00012F37">
        <w:rPr>
          <w:lang w:val="fr-FR"/>
        </w:rPr>
        <w:tab/>
        <w:t xml:space="preserve">une modification relative à l’appellation d’origine ou à l’indication </w:t>
      </w:r>
      <w:proofErr w:type="gramStart"/>
      <w:r w:rsidRPr="00012F37">
        <w:rPr>
          <w:lang w:val="fr-FR"/>
        </w:rPr>
        <w:t>géographique;</w:t>
      </w:r>
      <w:proofErr w:type="gramEnd"/>
      <w:r w:rsidRPr="00012F37">
        <w:rPr>
          <w:lang w:val="fr-FR"/>
        </w:rPr>
        <w:t xml:space="preserve"> </w:t>
      </w:r>
    </w:p>
    <w:p w14:paraId="5F19FEA9" w14:textId="77777777" w:rsidR="00EC2C53" w:rsidRPr="00012F37" w:rsidRDefault="00EC2C53" w:rsidP="00C962C9">
      <w:pPr>
        <w:pStyle w:val="BodyText"/>
        <w:spacing w:before="240"/>
        <w:ind w:left="1701" w:hanging="567"/>
        <w:rPr>
          <w:lang w:val="fr-FR"/>
        </w:rPr>
      </w:pPr>
      <w:r w:rsidRPr="00012F37">
        <w:rPr>
          <w:lang w:val="fr-FR"/>
        </w:rPr>
        <w:t>viii)</w:t>
      </w:r>
      <w:r w:rsidRPr="00012F37">
        <w:rPr>
          <w:lang w:val="fr-FR"/>
        </w:rPr>
        <w:tab/>
        <w:t xml:space="preserve">une modification relative au produit ou aux produits auxquels s’applique l’appellation d’origine ou l’indication </w:t>
      </w:r>
      <w:proofErr w:type="gramStart"/>
      <w:r w:rsidRPr="00012F37">
        <w:rPr>
          <w:lang w:val="fr-FR"/>
        </w:rPr>
        <w:t>géographique;</w:t>
      </w:r>
      <w:proofErr w:type="gramEnd"/>
      <w:r w:rsidRPr="00012F37">
        <w:rPr>
          <w:lang w:val="fr-FR"/>
        </w:rPr>
        <w:t xml:space="preserve"> </w:t>
      </w:r>
    </w:p>
    <w:p w14:paraId="034B7F27" w14:textId="77777777" w:rsidR="00EC2C53" w:rsidRPr="00012F37" w:rsidRDefault="00EC2C53" w:rsidP="00C962C9">
      <w:pPr>
        <w:pStyle w:val="BodyText"/>
        <w:spacing w:before="240"/>
        <w:ind w:left="1701" w:hanging="567"/>
        <w:rPr>
          <w:lang w:val="fr-FR"/>
        </w:rPr>
      </w:pPr>
      <w:r w:rsidRPr="00012F37">
        <w:rPr>
          <w:lang w:val="fr-FR"/>
        </w:rPr>
        <w:t>ix)</w:t>
      </w:r>
      <w:r w:rsidRPr="00012F37">
        <w:rPr>
          <w:lang w:val="fr-FR"/>
        </w:rPr>
        <w:tab/>
        <w:t>une modification relative aux données visées à la règle </w:t>
      </w:r>
      <w:proofErr w:type="gramStart"/>
      <w:r w:rsidRPr="00012F37">
        <w:rPr>
          <w:lang w:val="fr-FR"/>
        </w:rPr>
        <w:t>5.3)a</w:t>
      </w:r>
      <w:proofErr w:type="gramEnd"/>
      <w:r w:rsidRPr="00012F37">
        <w:rPr>
          <w:lang w:val="fr-FR"/>
        </w:rPr>
        <w:t>) ou aux informations visées à la règle </w:t>
      </w:r>
      <w:proofErr w:type="gramStart"/>
      <w:r w:rsidRPr="00012F37">
        <w:rPr>
          <w:lang w:val="fr-FR"/>
        </w:rPr>
        <w:t>5.6)a</w:t>
      </w:r>
      <w:proofErr w:type="gramEnd"/>
      <w:r w:rsidRPr="00012F37">
        <w:rPr>
          <w:lang w:val="fr-FR"/>
        </w:rPr>
        <w:t xml:space="preserve">) vi). </w:t>
      </w:r>
    </w:p>
    <w:p w14:paraId="0259A1E9" w14:textId="77777777" w:rsidR="00EC2C53" w:rsidRPr="00012F37" w:rsidRDefault="00EC2C53" w:rsidP="00C962C9">
      <w:pPr>
        <w:pStyle w:val="BodyText"/>
        <w:spacing w:before="240"/>
        <w:rPr>
          <w:lang w:val="fr-FR"/>
        </w:rPr>
      </w:pPr>
      <w:r w:rsidRPr="00012F37">
        <w:rPr>
          <w:lang w:val="fr-FR"/>
        </w:rPr>
        <w:t>[…]</w:t>
      </w:r>
    </w:p>
    <w:p w14:paraId="43A5179A" w14:textId="77777777" w:rsidR="00EC2C53" w:rsidRPr="00012F37" w:rsidRDefault="00EC2C53" w:rsidP="00C962C9">
      <w:pPr>
        <w:pStyle w:val="BodyText"/>
        <w:tabs>
          <w:tab w:val="left" w:pos="567"/>
        </w:tabs>
        <w:spacing w:before="240"/>
        <w:rPr>
          <w:lang w:val="fr-FR"/>
        </w:rPr>
      </w:pPr>
      <w:bookmarkStart w:id="9" w:name="_Hlk189672042"/>
      <w:r w:rsidRPr="00012F37">
        <w:rPr>
          <w:lang w:val="fr-FR"/>
        </w:rPr>
        <w:t>5)</w:t>
      </w:r>
      <w:r w:rsidRPr="00012F37">
        <w:rPr>
          <w:lang w:val="fr-FR"/>
        </w:rPr>
        <w:tab/>
        <w:t>[</w:t>
      </w:r>
      <w:r w:rsidRPr="00012F37">
        <w:rPr>
          <w:i/>
          <w:iCs/>
          <w:lang w:val="fr-FR"/>
        </w:rPr>
        <w:t>Application des règles 9 à 12</w:t>
      </w:r>
      <w:r w:rsidRPr="00012F37">
        <w:rPr>
          <w:lang w:val="fr-FR"/>
        </w:rPr>
        <w:t xml:space="preserve">] </w:t>
      </w:r>
    </w:p>
    <w:p w14:paraId="2F874303" w14:textId="77777777" w:rsidR="00EC2C53" w:rsidRPr="00012F37" w:rsidRDefault="00EC2C53" w:rsidP="00C962C9">
      <w:pPr>
        <w:pStyle w:val="BodyText"/>
        <w:spacing w:before="240"/>
        <w:ind w:left="1134" w:hanging="567"/>
        <w:rPr>
          <w:lang w:val="fr-FR"/>
        </w:rPr>
      </w:pPr>
      <w:r w:rsidRPr="00012F37">
        <w:rPr>
          <w:lang w:val="fr-FR"/>
        </w:rPr>
        <w:t>a)</w:t>
      </w:r>
      <w:r w:rsidRPr="00012F37">
        <w:rPr>
          <w:lang w:val="fr-FR"/>
        </w:rPr>
        <w:tab/>
        <w:t xml:space="preserve">Lorsque la modification concerne l’appellation d’origine ou l’indication géographique, ou le ou les produits auxquels s’applique l’appellation d’origine ou l’indication géographique, l’administration compétente d’une partie contractante a le droit de déclarer qu’elle ne peut assurer la protection de l’appellation d’origine ou de l’indication géographique en raison de la modification.    Cette déclaration doit être adressée au Bureau international par ladite administration compétente dans un délai d’une année à compter de la date de réception de la notification du Bureau international relative à la modification.  Les règles 9 à 12 s’appliquent </w:t>
      </w:r>
      <w:r w:rsidRPr="00012F37">
        <w:rPr>
          <w:i/>
          <w:iCs/>
          <w:lang w:val="fr-FR"/>
        </w:rPr>
        <w:t>mutatis mutandis</w:t>
      </w:r>
      <w:r w:rsidRPr="00012F37">
        <w:rPr>
          <w:lang w:val="fr-FR"/>
        </w:rPr>
        <w:t xml:space="preserve">. </w:t>
      </w:r>
    </w:p>
    <w:p w14:paraId="732294A4" w14:textId="77777777" w:rsidR="00EC2C53" w:rsidRPr="00012F37" w:rsidRDefault="00EC2C53" w:rsidP="00C962C9">
      <w:pPr>
        <w:pStyle w:val="BodyText"/>
        <w:spacing w:before="240"/>
        <w:ind w:left="1134" w:hanging="567"/>
        <w:rPr>
          <w:lang w:val="fr-FR"/>
        </w:rPr>
      </w:pPr>
      <w:r w:rsidRPr="00012F37">
        <w:rPr>
          <w:lang w:val="fr-FR"/>
        </w:rPr>
        <w:t>b)</w:t>
      </w:r>
      <w:r w:rsidRPr="00012F37">
        <w:rPr>
          <w:lang w:val="fr-FR"/>
        </w:rPr>
        <w:tab/>
        <w:t>Lorsque la modification concerne les données visées à la règle </w:t>
      </w:r>
      <w:proofErr w:type="gramStart"/>
      <w:r w:rsidRPr="00012F37">
        <w:rPr>
          <w:lang w:val="fr-FR"/>
        </w:rPr>
        <w:t>5.3)a</w:t>
      </w:r>
      <w:proofErr w:type="gramEnd"/>
      <w:r w:rsidRPr="00012F37">
        <w:rPr>
          <w:lang w:val="fr-FR"/>
        </w:rPr>
        <w:t xml:space="preserve">), l’administration compétente d’une partie contractante qui a fait la notification en vertu de la règle 5.3) a le droit de déclarer qu’elle ne peut assurer la protection de l’appellation d’origine ou de l’indication géographique en raison de la modification.     Cette déclaration doit être adressée au Bureau international par ladite administration compétente dans un délai d’une année à compter de la date de réception de la notification du Bureau international relative à la modification.  Les règles 9 à 12 s’appliquent </w:t>
      </w:r>
      <w:r w:rsidRPr="00012F37">
        <w:rPr>
          <w:i/>
          <w:iCs/>
          <w:lang w:val="fr-FR"/>
        </w:rPr>
        <w:t>mutatis mutandis</w:t>
      </w:r>
      <w:r w:rsidRPr="00012F37">
        <w:rPr>
          <w:lang w:val="fr-FR"/>
        </w:rPr>
        <w:t xml:space="preserve">. </w:t>
      </w:r>
    </w:p>
    <w:bookmarkEnd w:id="9"/>
    <w:p w14:paraId="10AD4D85" w14:textId="77777777" w:rsidR="00EC2C53" w:rsidRPr="00012F37" w:rsidRDefault="00EC2C53" w:rsidP="00C962C9">
      <w:pPr>
        <w:pStyle w:val="BodyText"/>
        <w:spacing w:before="240"/>
        <w:rPr>
          <w:lang w:val="fr-FR"/>
        </w:rPr>
      </w:pPr>
      <w:r w:rsidRPr="00012F37">
        <w:rPr>
          <w:lang w:val="fr-FR"/>
        </w:rPr>
        <w:t>[…]</w:t>
      </w:r>
    </w:p>
    <w:p w14:paraId="63839732" w14:textId="77777777" w:rsidR="00EC2C53" w:rsidRPr="00012F37" w:rsidRDefault="00EC2C53" w:rsidP="00C962C9">
      <w:pPr>
        <w:pStyle w:val="BodyText"/>
        <w:spacing w:before="480"/>
        <w:rPr>
          <w:b/>
          <w:bCs/>
          <w:lang w:val="fr-FR"/>
        </w:rPr>
      </w:pPr>
      <w:r w:rsidRPr="00012F37">
        <w:rPr>
          <w:lang w:val="fr-FR"/>
        </w:rPr>
        <w:br w:type="page"/>
      </w:r>
    </w:p>
    <w:p w14:paraId="4A4C35A0" w14:textId="77777777" w:rsidR="00EC2C53" w:rsidRPr="00012F37" w:rsidRDefault="00EC2C53" w:rsidP="00C962C9">
      <w:pPr>
        <w:pStyle w:val="BodyText"/>
        <w:spacing w:before="480"/>
        <w:rPr>
          <w:b/>
          <w:bCs/>
          <w:lang w:val="fr-FR"/>
        </w:rPr>
      </w:pPr>
      <w:r w:rsidRPr="00012F37">
        <w:rPr>
          <w:b/>
          <w:lang w:val="fr-FR"/>
        </w:rPr>
        <w:lastRenderedPageBreak/>
        <w:t xml:space="preserve">Règle 18 </w:t>
      </w:r>
      <w:r w:rsidRPr="00012F37">
        <w:rPr>
          <w:b/>
          <w:lang w:val="fr-FR"/>
        </w:rPr>
        <w:br/>
        <w:t>Rectifications apportées au registre international</w:t>
      </w:r>
    </w:p>
    <w:p w14:paraId="68B21A82" w14:textId="77777777" w:rsidR="00EC2C53" w:rsidRPr="00012F37" w:rsidRDefault="00EC2C53" w:rsidP="00C962C9">
      <w:pPr>
        <w:pStyle w:val="BodyText"/>
        <w:spacing w:before="240"/>
        <w:rPr>
          <w:lang w:val="fr-FR"/>
        </w:rPr>
      </w:pPr>
      <w:r w:rsidRPr="00012F37">
        <w:rPr>
          <w:lang w:val="fr-FR"/>
        </w:rPr>
        <w:t>[…]</w:t>
      </w:r>
    </w:p>
    <w:p w14:paraId="13AFCFD6" w14:textId="79E0DB2F" w:rsidR="00EC2C53" w:rsidRPr="00012F37" w:rsidRDefault="00EC2C53" w:rsidP="00C962C9">
      <w:pPr>
        <w:pStyle w:val="BodyText"/>
        <w:tabs>
          <w:tab w:val="left" w:pos="567"/>
        </w:tabs>
        <w:spacing w:before="240"/>
        <w:rPr>
          <w:iCs/>
          <w:lang w:val="fr-FR"/>
        </w:rPr>
      </w:pPr>
      <w:r w:rsidRPr="00012F37">
        <w:rPr>
          <w:lang w:val="fr-FR"/>
        </w:rPr>
        <w:t>4)</w:t>
      </w:r>
      <w:r w:rsidRPr="00012F37">
        <w:rPr>
          <w:lang w:val="fr-FR"/>
        </w:rPr>
        <w:tab/>
      </w:r>
      <w:r w:rsidRPr="00012F37">
        <w:rPr>
          <w:i/>
          <w:lang w:val="fr-FR"/>
        </w:rPr>
        <w:t>[Application des règles 9 à 12</w:t>
      </w:r>
      <w:proofErr w:type="gramStart"/>
      <w:r w:rsidRPr="00012F37">
        <w:rPr>
          <w:i/>
          <w:lang w:val="fr-FR"/>
        </w:rPr>
        <w:t>]</w:t>
      </w:r>
      <w:r w:rsidRPr="00012F37">
        <w:rPr>
          <w:lang w:val="fr-FR"/>
        </w:rPr>
        <w:t xml:space="preserve"> </w:t>
      </w:r>
      <w:r w:rsidR="00F9788B">
        <w:rPr>
          <w:lang w:val="fr-FR"/>
        </w:rPr>
        <w:t xml:space="preserve"> </w:t>
      </w:r>
      <w:r w:rsidRPr="00012F37">
        <w:rPr>
          <w:lang w:val="fr-FR"/>
        </w:rPr>
        <w:t>Lorsque</w:t>
      </w:r>
      <w:proofErr w:type="gramEnd"/>
      <w:r w:rsidRPr="00012F37">
        <w:rPr>
          <w:lang w:val="fr-FR"/>
        </w:rPr>
        <w:t xml:space="preserve"> la rectification d’une erreur concerne l’appellation d’origine ou l’indication géographique, ou le ou les produits auxquels s’applique l’appellation d’origine ou l’indication géographique, l’administration compétente d’une partie contractante a le droit de déclarer qu’elle ne peut assurer la protection de l’appellation d’origine ou de l’indication géographique en raison de la rectification.  Cette déclaration doit être adressée au Bureau international par ladite administration compétente dans un délai d’une année à compter de la date de réception de la notification du Bureau international relative à la rectification.  Les règles 9 à 12 s’appliquent </w:t>
      </w:r>
      <w:r w:rsidRPr="00012F37">
        <w:rPr>
          <w:i/>
          <w:lang w:val="fr-FR"/>
        </w:rPr>
        <w:t>mutatis mutandis</w:t>
      </w:r>
      <w:r w:rsidRPr="00012F37">
        <w:rPr>
          <w:lang w:val="fr-FR"/>
        </w:rPr>
        <w:t>.</w:t>
      </w:r>
    </w:p>
    <w:p w14:paraId="5AC4F9B7" w14:textId="77777777" w:rsidR="00EC2C53" w:rsidRPr="00012F37" w:rsidRDefault="00EC2C53" w:rsidP="00C962C9">
      <w:pPr>
        <w:pStyle w:val="BodyText"/>
        <w:spacing w:before="240"/>
        <w:rPr>
          <w:lang w:val="fr-FR"/>
        </w:rPr>
      </w:pPr>
      <w:r w:rsidRPr="00012F37">
        <w:rPr>
          <w:lang w:val="fr-FR"/>
        </w:rPr>
        <w:t>[…]</w:t>
      </w:r>
    </w:p>
    <w:p w14:paraId="43E3E1A0" w14:textId="7957652B" w:rsidR="000F5E56" w:rsidRPr="00012F37" w:rsidRDefault="00EC2C53" w:rsidP="00C962C9">
      <w:pPr>
        <w:pStyle w:val="Endofdocument-Annex"/>
        <w:spacing w:before="720"/>
        <w:rPr>
          <w:lang w:val="fr-FR"/>
        </w:rPr>
      </w:pPr>
      <w:r w:rsidRPr="00012F37">
        <w:rPr>
          <w:lang w:val="fr-FR"/>
        </w:rPr>
        <w:t>[Fin de l’annexe et du document]</w:t>
      </w:r>
    </w:p>
    <w:sectPr w:rsidR="000F5E56" w:rsidRPr="00012F37" w:rsidSect="00C962C9">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1657" w14:textId="77777777" w:rsidR="00716513" w:rsidRDefault="00716513">
      <w:r>
        <w:separator/>
      </w:r>
    </w:p>
  </w:endnote>
  <w:endnote w:type="continuationSeparator" w:id="0">
    <w:p w14:paraId="5AFB1209" w14:textId="77777777" w:rsidR="00716513" w:rsidRPr="009D30E6" w:rsidRDefault="00716513" w:rsidP="00D45252">
      <w:pPr>
        <w:rPr>
          <w:sz w:val="17"/>
          <w:szCs w:val="17"/>
        </w:rPr>
      </w:pPr>
      <w:r w:rsidRPr="009D30E6">
        <w:rPr>
          <w:sz w:val="17"/>
          <w:szCs w:val="17"/>
        </w:rPr>
        <w:separator/>
      </w:r>
    </w:p>
    <w:p w14:paraId="6CEFCD11" w14:textId="77777777" w:rsidR="00716513" w:rsidRPr="009D30E6" w:rsidRDefault="00716513" w:rsidP="00D45252">
      <w:pPr>
        <w:spacing w:after="60"/>
        <w:rPr>
          <w:sz w:val="17"/>
          <w:szCs w:val="17"/>
        </w:rPr>
      </w:pPr>
      <w:r w:rsidRPr="009D30E6">
        <w:rPr>
          <w:sz w:val="17"/>
          <w:szCs w:val="17"/>
        </w:rPr>
        <w:t>[Suite de la note de la page précédente]</w:t>
      </w:r>
    </w:p>
  </w:endnote>
  <w:endnote w:type="continuationNotice" w:id="1">
    <w:p w14:paraId="4127CEA5" w14:textId="77777777" w:rsidR="00716513" w:rsidRPr="009D30E6" w:rsidRDefault="0071651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D082C" w14:textId="77777777" w:rsidR="00716513" w:rsidRDefault="00716513">
      <w:r>
        <w:separator/>
      </w:r>
    </w:p>
  </w:footnote>
  <w:footnote w:type="continuationSeparator" w:id="0">
    <w:p w14:paraId="37CAE97B" w14:textId="77777777" w:rsidR="00716513" w:rsidRDefault="00716513" w:rsidP="007461F1">
      <w:r>
        <w:separator/>
      </w:r>
    </w:p>
    <w:p w14:paraId="7E6BDE29" w14:textId="77777777" w:rsidR="00716513" w:rsidRPr="009D30E6" w:rsidRDefault="00716513" w:rsidP="007461F1">
      <w:pPr>
        <w:spacing w:after="60"/>
        <w:rPr>
          <w:sz w:val="17"/>
          <w:szCs w:val="17"/>
        </w:rPr>
      </w:pPr>
      <w:r w:rsidRPr="009D30E6">
        <w:rPr>
          <w:sz w:val="17"/>
          <w:szCs w:val="17"/>
        </w:rPr>
        <w:t>[Suite de la note de la page précédente]</w:t>
      </w:r>
    </w:p>
  </w:footnote>
  <w:footnote w:type="continuationNotice" w:id="1">
    <w:p w14:paraId="4D852D93" w14:textId="77777777" w:rsidR="00716513" w:rsidRPr="009D30E6" w:rsidRDefault="0071651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F840" w14:textId="7CCAE747" w:rsidR="00F16975" w:rsidRDefault="00716513" w:rsidP="00477D6B">
    <w:pPr>
      <w:jc w:val="right"/>
    </w:pPr>
    <w:bookmarkStart w:id="5" w:name="Code2"/>
    <w:bookmarkEnd w:id="5"/>
    <w:r>
      <w:t>LI/A/42/3</w:t>
    </w:r>
  </w:p>
  <w:p w14:paraId="099B1989" w14:textId="32A5FF98" w:rsidR="004F4E31" w:rsidRDefault="00F16975" w:rsidP="00143286">
    <w:pPr>
      <w:spacing w:after="480"/>
      <w:jc w:val="right"/>
    </w:pPr>
    <w:proofErr w:type="gramStart"/>
    <w:r>
      <w:t>page</w:t>
    </w:r>
    <w:proofErr w:type="gramEnd"/>
    <w:r w:rsidR="008F20CD">
      <w:t> </w:t>
    </w:r>
    <w:r>
      <w:fldChar w:fldCharType="begin"/>
    </w:r>
    <w:r>
      <w:instrText xml:space="preserve"> PAGE  \* MERGEFORMAT </w:instrText>
    </w:r>
    <w:r>
      <w:fldChar w:fldCharType="separate"/>
    </w:r>
    <w:r w:rsidR="004F4E3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0EA7" w14:textId="37FCEB97" w:rsidR="00F16975" w:rsidRDefault="00F47853" w:rsidP="00477D6B">
    <w:pPr>
      <w:jc w:val="right"/>
    </w:pPr>
    <w:r>
      <w:t>LI/A/42/3</w:t>
    </w:r>
  </w:p>
  <w:p w14:paraId="761018BF" w14:textId="77777777" w:rsidR="004F4E31" w:rsidRDefault="00F47853" w:rsidP="00983BB6">
    <w:pPr>
      <w:spacing w:after="480"/>
      <w:jc w:val="right"/>
    </w:pPr>
    <w:r>
      <w:t xml:space="preserve">Annexe,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1B0E" w14:textId="7870D650" w:rsidR="00F47853" w:rsidRPr="00F47853" w:rsidRDefault="00F47853" w:rsidP="00983BB6">
    <w:pPr>
      <w:jc w:val="right"/>
      <w:rPr>
        <w:caps/>
      </w:rPr>
    </w:pPr>
    <w:r w:rsidRPr="00F47853">
      <w:rPr>
        <w:caps/>
      </w:rPr>
      <w:t>LI/A/42/3</w:t>
    </w:r>
  </w:p>
  <w:p w14:paraId="4576A8AD" w14:textId="77777777" w:rsidR="00F47853" w:rsidRPr="00983BB6" w:rsidRDefault="00F47853" w:rsidP="00983BB6">
    <w:pPr>
      <w:spacing w:after="440"/>
      <w:jc w:val="right"/>
      <w:rPr>
        <w:caps/>
      </w:rPr>
    </w:pPr>
    <w:r w:rsidRPr="00983BB6">
      <w:rPr>
        <w:caps/>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6A654C"/>
    <w:multiLevelType w:val="multilevel"/>
    <w:tmpl w:val="E208EC1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57863244">
    <w:abstractNumId w:val="2"/>
  </w:num>
  <w:num w:numId="2" w16cid:durableId="232158839">
    <w:abstractNumId w:val="4"/>
  </w:num>
  <w:num w:numId="3" w16cid:durableId="77558718">
    <w:abstractNumId w:val="0"/>
  </w:num>
  <w:num w:numId="4" w16cid:durableId="1427532965">
    <w:abstractNumId w:val="5"/>
  </w:num>
  <w:num w:numId="5" w16cid:durableId="425928250">
    <w:abstractNumId w:val="1"/>
  </w:num>
  <w:num w:numId="6" w16cid:durableId="713846950">
    <w:abstractNumId w:val="3"/>
  </w:num>
  <w:num w:numId="7" w16cid:durableId="67693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13"/>
    <w:rsid w:val="00011B7D"/>
    <w:rsid w:val="00012F37"/>
    <w:rsid w:val="00075432"/>
    <w:rsid w:val="000843D8"/>
    <w:rsid w:val="000F5E56"/>
    <w:rsid w:val="001362EE"/>
    <w:rsid w:val="00143286"/>
    <w:rsid w:val="001832A6"/>
    <w:rsid w:val="00195C6E"/>
    <w:rsid w:val="001B266A"/>
    <w:rsid w:val="001D3D56"/>
    <w:rsid w:val="00240654"/>
    <w:rsid w:val="002634C4"/>
    <w:rsid w:val="00276E11"/>
    <w:rsid w:val="002D4918"/>
    <w:rsid w:val="002E4D1A"/>
    <w:rsid w:val="002F16BC"/>
    <w:rsid w:val="002F2F41"/>
    <w:rsid w:val="002F4E68"/>
    <w:rsid w:val="00315FCA"/>
    <w:rsid w:val="003845C1"/>
    <w:rsid w:val="00396AFC"/>
    <w:rsid w:val="003A1BCD"/>
    <w:rsid w:val="003E66BC"/>
    <w:rsid w:val="004008A2"/>
    <w:rsid w:val="004025DF"/>
    <w:rsid w:val="00423E3E"/>
    <w:rsid w:val="00427AF4"/>
    <w:rsid w:val="004647DA"/>
    <w:rsid w:val="00477D6B"/>
    <w:rsid w:val="004965B0"/>
    <w:rsid w:val="004C7FBC"/>
    <w:rsid w:val="004D6471"/>
    <w:rsid w:val="004E6631"/>
    <w:rsid w:val="004F4E31"/>
    <w:rsid w:val="00525B63"/>
    <w:rsid w:val="00547476"/>
    <w:rsid w:val="00561DB8"/>
    <w:rsid w:val="00567A4C"/>
    <w:rsid w:val="0057087F"/>
    <w:rsid w:val="005823DF"/>
    <w:rsid w:val="005E6516"/>
    <w:rsid w:val="005F06F4"/>
    <w:rsid w:val="00605827"/>
    <w:rsid w:val="00676936"/>
    <w:rsid w:val="006B0DB5"/>
    <w:rsid w:val="006E4243"/>
    <w:rsid w:val="007112DD"/>
    <w:rsid w:val="00716513"/>
    <w:rsid w:val="007461F1"/>
    <w:rsid w:val="007747BD"/>
    <w:rsid w:val="007D6961"/>
    <w:rsid w:val="007E1246"/>
    <w:rsid w:val="007E7DAC"/>
    <w:rsid w:val="007F07CB"/>
    <w:rsid w:val="00810CEF"/>
    <w:rsid w:val="0081208D"/>
    <w:rsid w:val="008267CB"/>
    <w:rsid w:val="00842A13"/>
    <w:rsid w:val="008536CA"/>
    <w:rsid w:val="0087147A"/>
    <w:rsid w:val="00893297"/>
    <w:rsid w:val="008945B0"/>
    <w:rsid w:val="008B2CC1"/>
    <w:rsid w:val="008E7930"/>
    <w:rsid w:val="008F20CD"/>
    <w:rsid w:val="0090731E"/>
    <w:rsid w:val="009547C4"/>
    <w:rsid w:val="00966A22"/>
    <w:rsid w:val="00974CD6"/>
    <w:rsid w:val="009B7A6B"/>
    <w:rsid w:val="009D30E6"/>
    <w:rsid w:val="009E012C"/>
    <w:rsid w:val="009E3F6F"/>
    <w:rsid w:val="009F499F"/>
    <w:rsid w:val="00A02BD3"/>
    <w:rsid w:val="00A070CF"/>
    <w:rsid w:val="00A1235E"/>
    <w:rsid w:val="00A95F8F"/>
    <w:rsid w:val="00AA1F20"/>
    <w:rsid w:val="00AC0AE4"/>
    <w:rsid w:val="00AD61DB"/>
    <w:rsid w:val="00B8323A"/>
    <w:rsid w:val="00B86861"/>
    <w:rsid w:val="00B87BCF"/>
    <w:rsid w:val="00BA62D4"/>
    <w:rsid w:val="00C333A5"/>
    <w:rsid w:val="00C40E15"/>
    <w:rsid w:val="00C55080"/>
    <w:rsid w:val="00C664C8"/>
    <w:rsid w:val="00C76A79"/>
    <w:rsid w:val="00C962C9"/>
    <w:rsid w:val="00CA15F5"/>
    <w:rsid w:val="00CC3C8A"/>
    <w:rsid w:val="00CF0460"/>
    <w:rsid w:val="00D066C1"/>
    <w:rsid w:val="00D45252"/>
    <w:rsid w:val="00D71B4D"/>
    <w:rsid w:val="00D75962"/>
    <w:rsid w:val="00D75C1E"/>
    <w:rsid w:val="00D93D55"/>
    <w:rsid w:val="00DB0349"/>
    <w:rsid w:val="00DB5891"/>
    <w:rsid w:val="00DD6A16"/>
    <w:rsid w:val="00E0091A"/>
    <w:rsid w:val="00E01D68"/>
    <w:rsid w:val="00E203AA"/>
    <w:rsid w:val="00E527A5"/>
    <w:rsid w:val="00E7512A"/>
    <w:rsid w:val="00E76456"/>
    <w:rsid w:val="00EC2C53"/>
    <w:rsid w:val="00EE71CB"/>
    <w:rsid w:val="00F16975"/>
    <w:rsid w:val="00F47853"/>
    <w:rsid w:val="00F66152"/>
    <w:rsid w:val="00F72C12"/>
    <w:rsid w:val="00F9788B"/>
    <w:rsid w:val="00FA093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ED7DC"/>
  <w15:docId w15:val="{68779C3C-B899-438A-94E6-7ABB5535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716513"/>
    <w:rPr>
      <w:rFonts w:ascii="Arial" w:eastAsia="SimSun" w:hAnsi="Arial" w:cs="Arial"/>
      <w:sz w:val="22"/>
      <w:lang w:eastAsia="zh-CN"/>
    </w:rPr>
  </w:style>
  <w:style w:type="character" w:styleId="Hyperlink">
    <w:name w:val="Hyperlink"/>
    <w:basedOn w:val="DefaultParagraphFont"/>
    <w:unhideWhenUsed/>
    <w:rsid w:val="00716513"/>
    <w:rPr>
      <w:color w:val="0000FF" w:themeColor="hyperlink"/>
      <w:u w:val="single"/>
    </w:rPr>
  </w:style>
  <w:style w:type="paragraph" w:styleId="Revision">
    <w:name w:val="Revision"/>
    <w:hidden/>
    <w:uiPriority w:val="99"/>
    <w:semiHidden/>
    <w:rsid w:val="00893297"/>
    <w:rPr>
      <w:rFonts w:ascii="Arial" w:eastAsia="SimSun" w:hAnsi="Arial" w:cs="Arial"/>
      <w:sz w:val="22"/>
      <w:lang w:eastAsia="zh-CN"/>
    </w:rPr>
  </w:style>
  <w:style w:type="character" w:styleId="UnresolvedMention">
    <w:name w:val="Unresolved Mention"/>
    <w:basedOn w:val="DefaultParagraphFont"/>
    <w:uiPriority w:val="99"/>
    <w:semiHidden/>
    <w:unhideWhenUsed/>
    <w:rsid w:val="00C962C9"/>
    <w:rPr>
      <w:color w:val="605E5C"/>
      <w:shd w:val="clear" w:color="auto" w:fill="E1DFDD"/>
    </w:rPr>
  </w:style>
  <w:style w:type="character" w:styleId="FollowedHyperlink">
    <w:name w:val="FollowedHyperlink"/>
    <w:basedOn w:val="DefaultParagraphFont"/>
    <w:semiHidden/>
    <w:unhideWhenUsed/>
    <w:rsid w:val="00C962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edocs/mdocs/govbody/fr/li_a_42/li_a_42_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ipo.int/edocs/mdocs/govbody/fr/a_66/a_66_1.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docs/mdocs/govbody/fr/li_a_42/li_a_42_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_A_4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61441-9DD5-4DCA-9F35-F80B4CF61138}">
  <ds:schemaRefs>
    <ds:schemaRef ds:uri="http://schemas.openxmlformats.org/officeDocument/2006/bibliography"/>
  </ds:schemaRefs>
</ds:datastoreItem>
</file>

<file path=customXml/itemProps2.xml><?xml version="1.0" encoding="utf-8"?>
<ds:datastoreItem xmlns:ds="http://schemas.openxmlformats.org/officeDocument/2006/customXml" ds:itemID="{582F4E36-962D-4534-A4F2-657032591A79}">
  <ds:schemaRefs>
    <ds:schemaRef ds:uri="http://schemas.microsoft.com/sharepoint/v3/contenttype/forms"/>
  </ds:schemaRefs>
</ds:datastoreItem>
</file>

<file path=customXml/itemProps3.xml><?xml version="1.0" encoding="utf-8"?>
<ds:datastoreItem xmlns:ds="http://schemas.openxmlformats.org/officeDocument/2006/customXml" ds:itemID="{7AC7581F-6018-4454-A30F-0F47ED1655D6}">
  <ds:schemaRefs>
    <ds:schemaRef ds:uri="http://www.w3.org/XML/1998/namespace"/>
    <ds:schemaRef ds:uri="b1a73aef-ce8f-442d-a5fc-a13bc475f3fd"/>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81c9f64-295c-457e-9e5f-c4eb841d6909"/>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7336033-61D6-450A-9EB7-5E432BD4C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LI_A_42 (F).dotm</Template>
  <TotalTime>46</TotalTime>
  <Pages>10</Pages>
  <Words>4715</Words>
  <Characters>26965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LI/A/42/3</vt:lpstr>
    </vt:vector>
  </TitlesOfParts>
  <Company>WIPO</Company>
  <LinksUpToDate>false</LinksUpToDate>
  <CharactersWithSpaces>31617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LI/A/42/3</dc:title>
  <dc:creator>WIPO</dc:creator>
  <cp:keywords/>
  <cp:lastModifiedBy>RUSSO Antonella</cp:lastModifiedBy>
  <cp:revision>18</cp:revision>
  <cp:lastPrinted>2025-09-25T08:42:00Z</cp:lastPrinted>
  <dcterms:created xsi:type="dcterms:W3CDTF">2025-07-25T15:03:00Z</dcterms:created>
  <dcterms:modified xsi:type="dcterms:W3CDTF">2025-09-25T08:42:00Z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02303d75-3da5-441b-847c-a7b88047b468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2025-02-18T10:17:07Z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3709152b-df76-4116-821d-9e614b4b37cf</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