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72B17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372B17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372B17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5CD8A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372B17" w:rsidRDefault="009650C2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72B17">
        <w:rPr>
          <w:rFonts w:ascii="Arial Black" w:hAnsi="Arial Black"/>
          <w:caps/>
          <w:sz w:val="15"/>
          <w:szCs w:val="15"/>
          <w:lang w:val="fr-FR"/>
        </w:rPr>
        <w:t>LI/A/38/</w:t>
      </w:r>
      <w:bookmarkStart w:id="1" w:name="Code"/>
      <w:bookmarkEnd w:id="1"/>
      <w:r w:rsidR="008B2D91" w:rsidRPr="00372B17">
        <w:rPr>
          <w:rFonts w:ascii="Arial Black" w:hAnsi="Arial Black"/>
          <w:caps/>
          <w:sz w:val="15"/>
          <w:szCs w:val="15"/>
          <w:lang w:val="fr-FR"/>
        </w:rPr>
        <w:t>2</w:t>
      </w:r>
    </w:p>
    <w:p w:rsidR="008B2CC1" w:rsidRPr="00372B17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72B17">
        <w:rPr>
          <w:rFonts w:ascii="Arial Black" w:hAnsi="Arial Black"/>
          <w:caps/>
          <w:sz w:val="15"/>
          <w:szCs w:val="15"/>
          <w:lang w:val="fr-FR"/>
        </w:rPr>
        <w:t>Original</w:t>
      </w:r>
      <w:r w:rsidR="00435F66" w:rsidRPr="00372B17">
        <w:rPr>
          <w:rFonts w:ascii="Arial Black" w:hAnsi="Arial Black"/>
          <w:caps/>
          <w:sz w:val="15"/>
          <w:szCs w:val="15"/>
          <w:lang w:val="fr-FR"/>
        </w:rPr>
        <w:t> :</w:t>
      </w:r>
      <w:r w:rsidRPr="00372B1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8B2D91" w:rsidRPr="00372B17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372B17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72B17">
        <w:rPr>
          <w:rFonts w:ascii="Arial Black" w:hAnsi="Arial Black"/>
          <w:caps/>
          <w:sz w:val="15"/>
          <w:szCs w:val="15"/>
          <w:lang w:val="fr-FR"/>
        </w:rPr>
        <w:t>date</w:t>
      </w:r>
      <w:r w:rsidR="00435F66" w:rsidRPr="00372B17">
        <w:rPr>
          <w:rFonts w:ascii="Arial Black" w:hAnsi="Arial Black"/>
          <w:caps/>
          <w:sz w:val="15"/>
          <w:szCs w:val="15"/>
          <w:lang w:val="fr-FR"/>
        </w:rPr>
        <w:t> :</w:t>
      </w:r>
      <w:r w:rsidRPr="00372B1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8B2D91" w:rsidRPr="00372B17">
        <w:rPr>
          <w:rFonts w:ascii="Arial Black" w:hAnsi="Arial Black"/>
          <w:caps/>
          <w:sz w:val="15"/>
          <w:szCs w:val="15"/>
          <w:lang w:val="fr-FR"/>
        </w:rPr>
        <w:t>2 juillet 2021</w:t>
      </w:r>
    </w:p>
    <w:bookmarkEnd w:id="3"/>
    <w:p w:rsidR="00C40E15" w:rsidRPr="00372B17" w:rsidRDefault="009650C2" w:rsidP="00DB0349">
      <w:pPr>
        <w:spacing w:after="600"/>
        <w:rPr>
          <w:b/>
          <w:sz w:val="28"/>
          <w:szCs w:val="28"/>
          <w:lang w:val="fr-FR"/>
        </w:rPr>
      </w:pPr>
      <w:r w:rsidRPr="00372B17">
        <w:rPr>
          <w:b/>
          <w:sz w:val="28"/>
          <w:lang w:val="fr-FR"/>
        </w:rPr>
        <w:t>Union particulière pour la protection des appellations d</w:t>
      </w:r>
      <w:r w:rsidR="00EA4B5D">
        <w:rPr>
          <w:b/>
          <w:sz w:val="28"/>
          <w:lang w:val="fr-FR"/>
        </w:rPr>
        <w:t>’</w:t>
      </w:r>
      <w:r w:rsidRPr="00372B17">
        <w:rPr>
          <w:b/>
          <w:sz w:val="28"/>
          <w:lang w:val="fr-FR"/>
        </w:rPr>
        <w:t>origine et leur enregistrement international (Union de Lisbonne)</w:t>
      </w:r>
    </w:p>
    <w:p w:rsidR="003845C1" w:rsidRPr="00372B17" w:rsidRDefault="00C40E15" w:rsidP="00DB0349">
      <w:pPr>
        <w:spacing w:after="720"/>
        <w:rPr>
          <w:b/>
          <w:sz w:val="28"/>
          <w:szCs w:val="28"/>
          <w:lang w:val="fr-FR"/>
        </w:rPr>
      </w:pPr>
      <w:r w:rsidRPr="00372B17">
        <w:rPr>
          <w:b/>
          <w:sz w:val="28"/>
          <w:szCs w:val="28"/>
          <w:lang w:val="fr-FR"/>
        </w:rPr>
        <w:t>Assemblée</w:t>
      </w:r>
    </w:p>
    <w:p w:rsidR="008B2CC1" w:rsidRPr="00372B17" w:rsidRDefault="009650C2" w:rsidP="008B2CC1">
      <w:pPr>
        <w:rPr>
          <w:b/>
          <w:sz w:val="24"/>
          <w:szCs w:val="24"/>
          <w:lang w:val="fr-FR"/>
        </w:rPr>
      </w:pPr>
      <w:r w:rsidRPr="00372B17">
        <w:rPr>
          <w:b/>
          <w:sz w:val="24"/>
          <w:szCs w:val="24"/>
          <w:lang w:val="fr-FR"/>
        </w:rPr>
        <w:t>Trente</w:t>
      </w:r>
      <w:r w:rsidR="00DA5CC8">
        <w:rPr>
          <w:b/>
          <w:sz w:val="24"/>
          <w:szCs w:val="24"/>
          <w:lang w:val="fr-FR"/>
        </w:rPr>
        <w:noBreakHyphen/>
      </w:r>
      <w:r w:rsidRPr="00372B17">
        <w:rPr>
          <w:b/>
          <w:sz w:val="24"/>
          <w:szCs w:val="24"/>
          <w:lang w:val="fr-FR"/>
        </w:rPr>
        <w:t>huit</w:t>
      </w:r>
      <w:r w:rsidR="00435F66" w:rsidRPr="00372B17">
        <w:rPr>
          <w:b/>
          <w:sz w:val="24"/>
          <w:szCs w:val="24"/>
          <w:lang w:val="fr-FR"/>
        </w:rPr>
        <w:t>ième session</w:t>
      </w:r>
      <w:r w:rsidRPr="00372B17">
        <w:rPr>
          <w:b/>
          <w:sz w:val="24"/>
          <w:szCs w:val="24"/>
          <w:lang w:val="fr-FR"/>
        </w:rPr>
        <w:t xml:space="preserve"> (24</w:t>
      </w:r>
      <w:r w:rsidRPr="00372B17">
        <w:rPr>
          <w:b/>
          <w:sz w:val="24"/>
          <w:szCs w:val="24"/>
          <w:vertAlign w:val="superscript"/>
          <w:lang w:val="fr-FR"/>
        </w:rPr>
        <w:t>e</w:t>
      </w:r>
      <w:r w:rsidR="00DA5CC8">
        <w:rPr>
          <w:b/>
          <w:sz w:val="24"/>
          <w:szCs w:val="24"/>
          <w:lang w:val="fr-FR"/>
        </w:rPr>
        <w:t> </w:t>
      </w:r>
      <w:r w:rsidRPr="00372B17">
        <w:rPr>
          <w:b/>
          <w:sz w:val="24"/>
          <w:szCs w:val="24"/>
          <w:lang w:val="fr-FR"/>
        </w:rPr>
        <w:t>session ordinaire)</w:t>
      </w:r>
    </w:p>
    <w:p w:rsidR="008B2CC1" w:rsidRPr="00372B17" w:rsidRDefault="009650C2" w:rsidP="00DB0349">
      <w:pPr>
        <w:spacing w:after="720"/>
        <w:rPr>
          <w:b/>
          <w:sz w:val="24"/>
          <w:szCs w:val="24"/>
          <w:lang w:val="fr-FR"/>
        </w:rPr>
      </w:pPr>
      <w:r w:rsidRPr="00372B17">
        <w:rPr>
          <w:b/>
          <w:sz w:val="24"/>
          <w:szCs w:val="24"/>
          <w:lang w:val="fr-FR"/>
        </w:rPr>
        <w:t xml:space="preserve">Genève, 4 – </w:t>
      </w:r>
      <w:r w:rsidR="00435F66" w:rsidRPr="00372B17">
        <w:rPr>
          <w:b/>
          <w:sz w:val="24"/>
          <w:szCs w:val="24"/>
          <w:lang w:val="fr-FR"/>
        </w:rPr>
        <w:t>8 octobre 20</w:t>
      </w:r>
      <w:r w:rsidRPr="00372B17">
        <w:rPr>
          <w:b/>
          <w:sz w:val="24"/>
          <w:szCs w:val="24"/>
          <w:lang w:val="fr-FR"/>
        </w:rPr>
        <w:t>21</w:t>
      </w:r>
    </w:p>
    <w:p w:rsidR="008B2CC1" w:rsidRPr="00372B17" w:rsidRDefault="008B2D91" w:rsidP="008B2D91">
      <w:pPr>
        <w:spacing w:after="360"/>
        <w:rPr>
          <w:caps/>
          <w:sz w:val="24"/>
          <w:lang w:val="fr-FR"/>
        </w:rPr>
      </w:pPr>
      <w:bookmarkStart w:id="4" w:name="TitleOfDoc"/>
      <w:r w:rsidRPr="00372B17">
        <w:rPr>
          <w:caps/>
          <w:sz w:val="24"/>
          <w:lang w:val="fr-FR"/>
        </w:rPr>
        <w:t>Propositions de modification du règlement d</w:t>
      </w:r>
      <w:r w:rsidR="00EA4B5D">
        <w:rPr>
          <w:caps/>
          <w:sz w:val="24"/>
          <w:lang w:val="fr-FR"/>
        </w:rPr>
        <w:t>’</w:t>
      </w:r>
      <w:r w:rsidRPr="00372B17">
        <w:rPr>
          <w:caps/>
          <w:sz w:val="24"/>
          <w:lang w:val="fr-FR"/>
        </w:rPr>
        <w:t>exécution commun à l</w:t>
      </w:r>
      <w:r w:rsidR="00EA4B5D">
        <w:rPr>
          <w:caps/>
          <w:sz w:val="24"/>
          <w:lang w:val="fr-FR"/>
        </w:rPr>
        <w:t>’</w:t>
      </w:r>
      <w:r w:rsidRPr="00372B17">
        <w:rPr>
          <w:caps/>
          <w:sz w:val="24"/>
          <w:lang w:val="fr-FR"/>
        </w:rPr>
        <w:t>Arrangement de Lisbonne et à l</w:t>
      </w:r>
      <w:r w:rsidR="00EA4B5D">
        <w:rPr>
          <w:caps/>
          <w:sz w:val="24"/>
          <w:lang w:val="fr-FR"/>
        </w:rPr>
        <w:t>’</w:t>
      </w:r>
      <w:r w:rsidRPr="00372B17">
        <w:rPr>
          <w:caps/>
          <w:sz w:val="24"/>
          <w:lang w:val="fr-FR"/>
        </w:rPr>
        <w:t>Acte de Genève de l</w:t>
      </w:r>
      <w:r w:rsidR="00EA4B5D">
        <w:rPr>
          <w:caps/>
          <w:sz w:val="24"/>
          <w:lang w:val="fr-FR"/>
        </w:rPr>
        <w:t>’</w:t>
      </w:r>
      <w:r w:rsidRPr="00372B17">
        <w:rPr>
          <w:caps/>
          <w:sz w:val="24"/>
          <w:lang w:val="fr-FR"/>
        </w:rPr>
        <w:t>Arrangement de Lisbonne</w:t>
      </w:r>
    </w:p>
    <w:p w:rsidR="00525B63" w:rsidRPr="00372B17" w:rsidRDefault="008B2D91" w:rsidP="00DB0349">
      <w:pPr>
        <w:spacing w:after="960"/>
        <w:rPr>
          <w:lang w:val="fr-FR"/>
        </w:rPr>
      </w:pPr>
      <w:bookmarkStart w:id="5" w:name="Prepared"/>
      <w:bookmarkEnd w:id="4"/>
      <w:r w:rsidRPr="00372B17">
        <w:rPr>
          <w:i/>
          <w:lang w:val="fr-FR"/>
        </w:rPr>
        <w:t>Document établi par le Secrétariat</w:t>
      </w:r>
    </w:p>
    <w:bookmarkEnd w:id="5"/>
    <w:p w:rsidR="008B2D91" w:rsidRPr="005E238A" w:rsidRDefault="008B2D91" w:rsidP="003464BA">
      <w:pPr>
        <w:pStyle w:val="ONUMFS"/>
        <w:rPr>
          <w:spacing w:val="-2"/>
          <w:lang w:val="fr-FR"/>
        </w:rPr>
      </w:pPr>
      <w:r w:rsidRPr="005E238A">
        <w:rPr>
          <w:spacing w:val="-2"/>
          <w:lang w:val="fr-FR"/>
        </w:rPr>
        <w:t>À sa trois</w:t>
      </w:r>
      <w:r w:rsidR="00435F66" w:rsidRPr="005E238A">
        <w:rPr>
          <w:spacing w:val="-2"/>
          <w:lang w:val="fr-FR"/>
        </w:rPr>
        <w:t>ième session</w:t>
      </w:r>
      <w:r w:rsidRPr="005E238A">
        <w:rPr>
          <w:spacing w:val="-2"/>
          <w:lang w:val="fr-FR"/>
        </w:rPr>
        <w:t xml:space="preserve"> tenue les 2 et 3 novembre 2020, le Groupe de travail sur le développement du système de Lisbonne (ci</w:t>
      </w:r>
      <w:r w:rsidR="00DA5CC8" w:rsidRPr="005E238A">
        <w:rPr>
          <w:spacing w:val="-2"/>
          <w:lang w:val="fr-FR"/>
        </w:rPr>
        <w:noBreakHyphen/>
      </w:r>
      <w:r w:rsidRPr="005E238A">
        <w:rPr>
          <w:spacing w:val="-2"/>
          <w:lang w:val="fr-FR"/>
        </w:rPr>
        <w:t xml:space="preserve">après dénommé </w:t>
      </w:r>
      <w:r w:rsidR="00EA4B5D">
        <w:rPr>
          <w:spacing w:val="-2"/>
          <w:lang w:val="fr-FR"/>
        </w:rPr>
        <w:t>“</w:t>
      </w:r>
      <w:r w:rsidRPr="005E238A">
        <w:rPr>
          <w:spacing w:val="-2"/>
          <w:lang w:val="fr-FR"/>
        </w:rPr>
        <w:t>groupe de travail</w:t>
      </w:r>
      <w:r w:rsidR="00EA4B5D">
        <w:rPr>
          <w:spacing w:val="-2"/>
          <w:lang w:val="fr-FR"/>
        </w:rPr>
        <w:t>”</w:t>
      </w:r>
      <w:r w:rsidRPr="005E238A">
        <w:rPr>
          <w:spacing w:val="-2"/>
          <w:lang w:val="fr-FR"/>
        </w:rPr>
        <w:t>) a recommandé que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Assemblée de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Union de Lisbonne adopte, à sa trente</w:t>
      </w:r>
      <w:r w:rsidR="00DA5CC8" w:rsidRPr="005E238A">
        <w:rPr>
          <w:spacing w:val="-2"/>
          <w:lang w:val="fr-FR"/>
        </w:rPr>
        <w:noBreakHyphen/>
      </w:r>
      <w:r w:rsidRPr="005E238A">
        <w:rPr>
          <w:spacing w:val="-2"/>
          <w:lang w:val="fr-FR"/>
        </w:rPr>
        <w:t>huit</w:t>
      </w:r>
      <w:r w:rsidR="00435F66" w:rsidRPr="005E238A">
        <w:rPr>
          <w:spacing w:val="-2"/>
          <w:lang w:val="fr-FR"/>
        </w:rPr>
        <w:t>ième session</w:t>
      </w:r>
      <w:r w:rsidRPr="005E238A">
        <w:rPr>
          <w:spacing w:val="-2"/>
          <w:lang w:val="fr-FR"/>
        </w:rPr>
        <w:t>, des modifications du règlement d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exécution commun à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Arrangement de Lisbonne concernant la protection des appellations d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origine et leur enregistrement international et à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Acte de Genève de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Arrangement de Lisbonne concernant les appellations d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origine et les indications géographiques (ci</w:t>
      </w:r>
      <w:r w:rsidR="00DA5CC8" w:rsidRPr="005E238A">
        <w:rPr>
          <w:spacing w:val="-2"/>
          <w:lang w:val="fr-FR"/>
        </w:rPr>
        <w:noBreakHyphen/>
      </w:r>
      <w:r w:rsidRPr="005E238A">
        <w:rPr>
          <w:spacing w:val="-2"/>
          <w:lang w:val="fr-FR"/>
        </w:rPr>
        <w:t xml:space="preserve">après dénommé </w:t>
      </w:r>
      <w:r w:rsidR="00EA4B5D">
        <w:rPr>
          <w:spacing w:val="-2"/>
          <w:lang w:val="fr-FR"/>
        </w:rPr>
        <w:t>“</w:t>
      </w:r>
      <w:r w:rsidRPr="005E238A">
        <w:rPr>
          <w:spacing w:val="-2"/>
          <w:lang w:val="fr-FR"/>
        </w:rPr>
        <w:t>règlement d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exécution commun</w:t>
      </w:r>
      <w:r w:rsidR="00EA4B5D">
        <w:rPr>
          <w:spacing w:val="-2"/>
          <w:lang w:val="fr-FR"/>
        </w:rPr>
        <w:t>”</w:t>
      </w:r>
      <w:r w:rsidRPr="005E238A">
        <w:rPr>
          <w:spacing w:val="-2"/>
          <w:lang w:val="fr-FR"/>
        </w:rPr>
        <w:t>) en ce qui concerne l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adjonction d</w:t>
      </w:r>
      <w:r w:rsidR="00EA4B5D">
        <w:rPr>
          <w:spacing w:val="-2"/>
          <w:lang w:val="fr-FR"/>
        </w:rPr>
        <w:t>’</w:t>
      </w:r>
      <w:r w:rsidRPr="005E238A">
        <w:rPr>
          <w:spacing w:val="-2"/>
          <w:lang w:val="fr-FR"/>
        </w:rPr>
        <w:t>une nouvelle règle 2</w:t>
      </w:r>
      <w:r w:rsidRPr="005E238A">
        <w:rPr>
          <w:i/>
          <w:spacing w:val="-2"/>
          <w:lang w:val="fr-FR"/>
        </w:rPr>
        <w:t>bis</w:t>
      </w:r>
      <w:r w:rsidRPr="005E238A">
        <w:rPr>
          <w:spacing w:val="-2"/>
          <w:lang w:val="fr-FR"/>
        </w:rPr>
        <w:t xml:space="preserve"> (voir le paragraphe 14 du document</w:t>
      </w:r>
      <w:r w:rsidR="00DA5CC8" w:rsidRPr="005E238A">
        <w:rPr>
          <w:spacing w:val="-2"/>
          <w:lang w:val="fr-FR"/>
        </w:rPr>
        <w:t xml:space="preserve"> </w:t>
      </w:r>
      <w:r w:rsidRPr="005E238A">
        <w:rPr>
          <w:spacing w:val="-2"/>
          <w:lang w:val="fr-FR"/>
        </w:rPr>
        <w:t>LI/WG/DEV</w:t>
      </w:r>
      <w:r w:rsidR="00DA5CC8" w:rsidRPr="005E238A">
        <w:rPr>
          <w:spacing w:val="-2"/>
          <w:lang w:val="fr-FR"/>
        </w:rPr>
        <w:noBreakHyphen/>
      </w:r>
      <w:r w:rsidRPr="005E238A">
        <w:rPr>
          <w:spacing w:val="-2"/>
          <w:lang w:val="fr-FR"/>
        </w:rPr>
        <w:t xml:space="preserve">SYS/3/4).  Les délibérations au sein du groupe de travail ont eu lieu sur la base </w:t>
      </w:r>
      <w:r w:rsidR="003464BA" w:rsidRPr="005E238A">
        <w:rPr>
          <w:spacing w:val="-2"/>
          <w:lang w:val="fr-FR"/>
        </w:rPr>
        <w:t xml:space="preserve">du </w:t>
      </w:r>
      <w:r w:rsidR="00435F66" w:rsidRPr="005E238A">
        <w:rPr>
          <w:spacing w:val="-2"/>
          <w:lang w:val="fr-FR"/>
        </w:rPr>
        <w:t>document LI</w:t>
      </w:r>
      <w:r w:rsidR="003464BA" w:rsidRPr="005E238A">
        <w:rPr>
          <w:spacing w:val="-2"/>
          <w:lang w:val="fr-FR"/>
        </w:rPr>
        <w:t>/WG/DEV</w:t>
      </w:r>
      <w:r w:rsidR="00DA5CC8" w:rsidRPr="005E238A">
        <w:rPr>
          <w:spacing w:val="-2"/>
          <w:lang w:val="fr-FR"/>
        </w:rPr>
        <w:noBreakHyphen/>
      </w:r>
      <w:r w:rsidR="003464BA" w:rsidRPr="005E238A">
        <w:rPr>
          <w:spacing w:val="-2"/>
          <w:lang w:val="fr-FR"/>
        </w:rPr>
        <w:t>SYS/3/3 </w:t>
      </w:r>
      <w:r w:rsidRPr="005E238A">
        <w:rPr>
          <w:spacing w:val="-2"/>
          <w:lang w:val="fr-FR"/>
        </w:rPr>
        <w:t>Rev</w:t>
      </w:r>
      <w:r w:rsidRPr="005E238A">
        <w:rPr>
          <w:spacing w:val="-2"/>
          <w:szCs w:val="22"/>
          <w:lang w:val="fr-FR"/>
        </w:rPr>
        <w:t>.</w:t>
      </w:r>
    </w:p>
    <w:p w:rsidR="008B2D91" w:rsidRPr="00372B17" w:rsidRDefault="008B2D91" w:rsidP="003464BA">
      <w:pPr>
        <w:pStyle w:val="ONUMFS"/>
        <w:rPr>
          <w:lang w:val="fr-FR"/>
        </w:rPr>
      </w:pPr>
      <w:r w:rsidRPr="00372B17">
        <w:rPr>
          <w:lang w:val="fr-FR"/>
        </w:rPr>
        <w:t>La nouvelle règle 2</w:t>
      </w:r>
      <w:r w:rsidRPr="00372B17">
        <w:rPr>
          <w:i/>
          <w:lang w:val="fr-FR"/>
        </w:rPr>
        <w:t>bis</w:t>
      </w:r>
      <w:r w:rsidRPr="00372B17">
        <w:rPr>
          <w:lang w:val="fr-FR"/>
        </w:rPr>
        <w:t xml:space="preserve"> du règlement d</w:t>
      </w:r>
      <w:r w:rsidR="00EA4B5D">
        <w:rPr>
          <w:lang w:val="fr-FR"/>
        </w:rPr>
        <w:t>’</w:t>
      </w:r>
      <w:r w:rsidRPr="00372B17">
        <w:rPr>
          <w:lang w:val="fr-FR"/>
        </w:rPr>
        <w:t>exécution commun proposée serait utile aux utilisateurs du système de Lisbonne confrontés à une situation de force majeure les empêchant de prendre les mesures requises dans le délai impar</w:t>
      </w:r>
      <w:r w:rsidR="00372B17" w:rsidRPr="00372B17">
        <w:rPr>
          <w:lang w:val="fr-FR"/>
        </w:rPr>
        <w:t>ti.  Ce</w:t>
      </w:r>
      <w:r w:rsidRPr="00372B17">
        <w:rPr>
          <w:lang w:val="fr-FR"/>
        </w:rPr>
        <w:t>s modifications leur permettraient de jouir d</w:t>
      </w:r>
      <w:r w:rsidR="00EA4B5D">
        <w:rPr>
          <w:lang w:val="fr-FR"/>
        </w:rPr>
        <w:t>’</w:t>
      </w:r>
      <w:r w:rsidRPr="00372B17">
        <w:rPr>
          <w:lang w:val="fr-FR"/>
        </w:rPr>
        <w:t>un sursis équivalent à celui prévu dans les autres systèmes mondiaux de propriété intellectuelle de l</w:t>
      </w:r>
      <w:r w:rsidR="00EA4B5D">
        <w:rPr>
          <w:lang w:val="fr-FR"/>
        </w:rPr>
        <w:t>’</w:t>
      </w:r>
      <w:r w:rsidRPr="00372B17">
        <w:rPr>
          <w:lang w:val="fr-FR"/>
        </w:rPr>
        <w:t>O</w:t>
      </w:r>
      <w:r w:rsidR="00372B17" w:rsidRPr="00372B17">
        <w:rPr>
          <w:lang w:val="fr-FR"/>
        </w:rPr>
        <w:t>MPI.  La</w:t>
      </w:r>
      <w:r w:rsidRPr="00372B17">
        <w:rPr>
          <w:lang w:val="fr-FR"/>
        </w:rPr>
        <w:t xml:space="preserve"> nouvelle règle exigerait que l</w:t>
      </w:r>
      <w:r w:rsidR="00EA4B5D">
        <w:rPr>
          <w:lang w:val="fr-FR"/>
        </w:rPr>
        <w:t>’</w:t>
      </w:r>
      <w:r w:rsidRPr="00372B17">
        <w:rPr>
          <w:lang w:val="fr-FR"/>
        </w:rPr>
        <w:t>acte soit accompli et que les preuves soient présentées dès que cela est raisonnablement possible et au plus tard six mois après l</w:t>
      </w:r>
      <w:r w:rsidR="00EA4B5D">
        <w:rPr>
          <w:lang w:val="fr-FR"/>
        </w:rPr>
        <w:t>’</w:t>
      </w:r>
      <w:r w:rsidRPr="00372B17">
        <w:rPr>
          <w:lang w:val="fr-FR"/>
        </w:rPr>
        <w:t>expiration du délai applicab</w:t>
      </w:r>
      <w:r w:rsidR="00372B17" w:rsidRPr="00372B17">
        <w:rPr>
          <w:lang w:val="fr-FR"/>
        </w:rPr>
        <w:t>le.  Le</w:t>
      </w:r>
      <w:r w:rsidRPr="00372B17">
        <w:rPr>
          <w:lang w:val="fr-FR"/>
        </w:rPr>
        <w:t>s modifications qu</w:t>
      </w:r>
      <w:r w:rsidR="00EA4B5D">
        <w:rPr>
          <w:lang w:val="fr-FR"/>
        </w:rPr>
        <w:t>’</w:t>
      </w:r>
      <w:r w:rsidRPr="00372B17">
        <w:rPr>
          <w:lang w:val="fr-FR"/>
        </w:rPr>
        <w:t>il est proposé d</w:t>
      </w:r>
      <w:r w:rsidR="00EA4B5D">
        <w:rPr>
          <w:lang w:val="fr-FR"/>
        </w:rPr>
        <w:t>’</w:t>
      </w:r>
      <w:r w:rsidRPr="00372B17">
        <w:rPr>
          <w:lang w:val="fr-FR"/>
        </w:rPr>
        <w:t xml:space="preserve">apporter au règlement </w:t>
      </w:r>
      <w:r w:rsidRPr="00372B17">
        <w:rPr>
          <w:lang w:val="fr-FR"/>
        </w:rPr>
        <w:lastRenderedPageBreak/>
        <w:t>d</w:t>
      </w:r>
      <w:r w:rsidR="00EA4B5D">
        <w:rPr>
          <w:lang w:val="fr-FR"/>
        </w:rPr>
        <w:t>’</w:t>
      </w:r>
      <w:r w:rsidRPr="00372B17">
        <w:rPr>
          <w:lang w:val="fr-FR"/>
        </w:rPr>
        <w:t>exécution commun sont reproduites dans l</w:t>
      </w:r>
      <w:r w:rsidR="00EA4B5D">
        <w:rPr>
          <w:lang w:val="fr-FR"/>
        </w:rPr>
        <w:t>’</w:t>
      </w:r>
      <w:r w:rsidRPr="00372B17">
        <w:rPr>
          <w:lang w:val="fr-FR"/>
        </w:rPr>
        <w:t>annexe du présent document (les modifications proposées sont soulignées ou biffées).</w:t>
      </w:r>
    </w:p>
    <w:p w:rsidR="008B2D91" w:rsidRPr="00372B17" w:rsidRDefault="008B2D91" w:rsidP="003464BA">
      <w:pPr>
        <w:pStyle w:val="ONUMFS"/>
        <w:rPr>
          <w:lang w:val="fr-FR"/>
        </w:rPr>
      </w:pPr>
      <w:r w:rsidRPr="00372B17">
        <w:rPr>
          <w:lang w:val="fr-FR"/>
        </w:rPr>
        <w:t>Le groupe de travail a également recommandé que les propositions de modification du règlement d</w:t>
      </w:r>
      <w:r w:rsidR="00EA4B5D">
        <w:rPr>
          <w:lang w:val="fr-FR"/>
        </w:rPr>
        <w:t>’</w:t>
      </w:r>
      <w:r w:rsidRPr="00372B17">
        <w:rPr>
          <w:lang w:val="fr-FR"/>
        </w:rPr>
        <w:t>exécution commun entrent en vigueur deux mois après leur adoption par l</w:t>
      </w:r>
      <w:r w:rsidR="00EA4B5D">
        <w:rPr>
          <w:lang w:val="fr-FR"/>
        </w:rPr>
        <w:t>’</w:t>
      </w:r>
      <w:r w:rsidRPr="00372B17">
        <w:rPr>
          <w:lang w:val="fr-FR"/>
        </w:rPr>
        <w:t>Assemblée de l</w:t>
      </w:r>
      <w:r w:rsidR="00EA4B5D">
        <w:rPr>
          <w:lang w:val="fr-FR"/>
        </w:rPr>
        <w:t>’</w:t>
      </w:r>
      <w:r w:rsidRPr="00372B17">
        <w:rPr>
          <w:lang w:val="fr-FR"/>
        </w:rPr>
        <w:t xml:space="preserve">Union de Lisbonne, </w:t>
      </w:r>
      <w:r w:rsidR="00435F66" w:rsidRPr="00372B17">
        <w:rPr>
          <w:lang w:val="fr-FR"/>
        </w:rPr>
        <w:t>à savoir</w:t>
      </w:r>
      <w:r w:rsidRPr="00372B17">
        <w:rPr>
          <w:lang w:val="fr-FR"/>
        </w:rPr>
        <w:t xml:space="preserve"> le 8 décembre 2021 (voir le paragraphe 14 du document</w:t>
      </w:r>
      <w:r w:rsidR="00DA5CC8">
        <w:rPr>
          <w:lang w:val="fr-FR"/>
        </w:rPr>
        <w:t> </w:t>
      </w:r>
      <w:r w:rsidRPr="00372B17">
        <w:rPr>
          <w:lang w:val="fr-FR"/>
        </w:rPr>
        <w:t>LI/WG/DEV</w:t>
      </w:r>
      <w:r w:rsidR="00DA5CC8">
        <w:rPr>
          <w:lang w:val="fr-FR"/>
        </w:rPr>
        <w:noBreakHyphen/>
      </w:r>
      <w:r w:rsidRPr="00372B17">
        <w:rPr>
          <w:lang w:val="fr-FR"/>
        </w:rPr>
        <w:t>SYS/3/4).</w:t>
      </w:r>
    </w:p>
    <w:p w:rsidR="008B2D91" w:rsidRPr="00372B17" w:rsidRDefault="008B2D91" w:rsidP="003464BA">
      <w:pPr>
        <w:pStyle w:val="ONUMFS"/>
        <w:ind w:left="5533"/>
        <w:rPr>
          <w:i/>
          <w:lang w:val="fr-FR"/>
        </w:rPr>
      </w:pPr>
      <w:r w:rsidRPr="00372B17">
        <w:rPr>
          <w:i/>
          <w:lang w:val="fr-FR"/>
        </w:rPr>
        <w:t>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Assemblée de 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Union de Lisbonne est invitée à adopter les modifications apportées au règlement d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exécution commun à 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Arrangement de Lisbonne et à 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Acte de Genève de 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Arrangement de Lisbonne, telles qu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>elles figurent dans l</w:t>
      </w:r>
      <w:r w:rsidR="00EA4B5D">
        <w:rPr>
          <w:i/>
          <w:lang w:val="fr-FR"/>
        </w:rPr>
        <w:t>’</w:t>
      </w:r>
      <w:r w:rsidRPr="00372B17">
        <w:rPr>
          <w:i/>
          <w:lang w:val="fr-FR"/>
        </w:rPr>
        <w:t xml:space="preserve">annexe du </w:t>
      </w:r>
      <w:r w:rsidR="00435F66" w:rsidRPr="00372B17">
        <w:rPr>
          <w:i/>
          <w:lang w:val="fr-FR"/>
        </w:rPr>
        <w:t>document</w:t>
      </w:r>
      <w:r w:rsidR="00DA5CC8">
        <w:rPr>
          <w:i/>
          <w:lang w:val="fr-FR"/>
        </w:rPr>
        <w:t> </w:t>
      </w:r>
      <w:r w:rsidR="00435F66" w:rsidRPr="00372B17">
        <w:rPr>
          <w:i/>
          <w:lang w:val="fr-FR"/>
        </w:rPr>
        <w:t>LI</w:t>
      </w:r>
      <w:r w:rsidRPr="00372B17">
        <w:rPr>
          <w:i/>
          <w:lang w:val="fr-FR"/>
        </w:rPr>
        <w:t>/A/38/2.</w:t>
      </w:r>
    </w:p>
    <w:p w:rsidR="008B2D91" w:rsidRPr="00372B17" w:rsidRDefault="008B2D91" w:rsidP="003464BA">
      <w:pPr>
        <w:pStyle w:val="Endofdocument-Annex"/>
        <w:sectPr w:rsidR="008B2D91" w:rsidRPr="00372B17" w:rsidSect="0033746E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72B17">
        <w:t>[L</w:t>
      </w:r>
      <w:r w:rsidR="00EA4B5D">
        <w:t>’</w:t>
      </w:r>
      <w:r w:rsidRPr="00372B17">
        <w:t>annexe suit]</w:t>
      </w:r>
    </w:p>
    <w:p w:rsidR="00435F66" w:rsidRPr="00372B17" w:rsidRDefault="008B2D91" w:rsidP="008B2D91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372B17">
        <w:rPr>
          <w:rFonts w:eastAsia="MS Mincho"/>
          <w:b/>
          <w:bCs/>
          <w:szCs w:val="22"/>
          <w:lang w:val="fr-FR" w:eastAsia="en-US"/>
        </w:rPr>
        <w:lastRenderedPageBreak/>
        <w:t>Règlement d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exécution commun</w:t>
      </w:r>
    </w:p>
    <w:p w:rsidR="008B2D91" w:rsidRPr="00372B17" w:rsidRDefault="008B2D91" w:rsidP="008B2D91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372B17">
        <w:rPr>
          <w:rFonts w:eastAsia="MS Mincho"/>
          <w:b/>
          <w:bCs/>
          <w:szCs w:val="22"/>
          <w:lang w:val="fr-FR" w:eastAsia="en-US"/>
        </w:rPr>
        <w:t>à l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Arrangement de Lisbonne concernant la protection des appellations d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origine et leur enregistrement international et à l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Acte de Genève de l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Arrangement de Lisbonne sur les appellations d</w:t>
      </w:r>
      <w:r w:rsidR="00EA4B5D">
        <w:rPr>
          <w:rFonts w:eastAsia="MS Mincho"/>
          <w:b/>
          <w:bCs/>
          <w:szCs w:val="22"/>
          <w:lang w:val="fr-FR" w:eastAsia="en-US"/>
        </w:rPr>
        <w:t>’</w:t>
      </w:r>
      <w:r w:rsidRPr="00372B17">
        <w:rPr>
          <w:rFonts w:eastAsia="MS Mincho"/>
          <w:b/>
          <w:bCs/>
          <w:szCs w:val="22"/>
          <w:lang w:val="fr-FR" w:eastAsia="en-US"/>
        </w:rPr>
        <w:t>origine et les indications géographiques</w:t>
      </w:r>
    </w:p>
    <w:p w:rsidR="008B2D91" w:rsidRPr="00372B17" w:rsidRDefault="008B2D91" w:rsidP="008B2D91">
      <w:pPr>
        <w:spacing w:before="240"/>
        <w:jc w:val="center"/>
        <w:rPr>
          <w:rFonts w:eastAsia="MS Mincho"/>
          <w:szCs w:val="22"/>
          <w:lang w:val="fr-FR" w:eastAsia="en-US"/>
        </w:rPr>
      </w:pPr>
      <w:r w:rsidRPr="00372B17">
        <w:rPr>
          <w:rFonts w:eastAsia="MS Mincho"/>
          <w:szCs w:val="22"/>
          <w:lang w:val="fr-FR" w:eastAsia="en-US"/>
        </w:rPr>
        <w:t>(en vigueur le</w:t>
      </w:r>
      <w:r w:rsidRPr="00372B17">
        <w:rPr>
          <w:szCs w:val="22"/>
          <w:lang w:val="fr-FR"/>
        </w:rPr>
        <w:t xml:space="preserve"> </w:t>
      </w:r>
      <w:r w:rsidRPr="00372B17">
        <w:rPr>
          <w:color w:val="1F497D" w:themeColor="text2"/>
          <w:sz w:val="20"/>
          <w:szCs w:val="22"/>
          <w:lang w:val="fr-FR"/>
        </w:rPr>
        <w:t>[</w:t>
      </w:r>
      <w:r w:rsidRPr="00372B17">
        <w:rPr>
          <w:color w:val="0070C0"/>
          <w:szCs w:val="22"/>
          <w:u w:val="single"/>
          <w:lang w:val="fr-FR"/>
        </w:rPr>
        <w:t>8 décembre 2021]</w:t>
      </w:r>
      <w:r w:rsidRPr="00372B17">
        <w:rPr>
          <w:rFonts w:eastAsia="MS Mincho"/>
          <w:szCs w:val="22"/>
          <w:lang w:val="fr-FR" w:eastAsia="en-US"/>
        </w:rPr>
        <w:t>)</w:t>
      </w:r>
    </w:p>
    <w:p w:rsidR="008B2D91" w:rsidRPr="00372B17" w:rsidRDefault="008B2D91" w:rsidP="008B2D91">
      <w:pPr>
        <w:spacing w:before="240"/>
        <w:jc w:val="center"/>
        <w:rPr>
          <w:rFonts w:eastAsia="Times New Roman"/>
          <w:szCs w:val="22"/>
          <w:lang w:val="fr-FR" w:eastAsia="ja-JP"/>
        </w:rPr>
      </w:pPr>
      <w:r w:rsidRPr="00372B17">
        <w:rPr>
          <w:rFonts w:eastAsia="Times New Roman"/>
          <w:szCs w:val="22"/>
          <w:lang w:val="fr-FR" w:eastAsia="ja-JP"/>
        </w:rPr>
        <w:t>[…]</w:t>
      </w:r>
    </w:p>
    <w:p w:rsidR="008B2D91" w:rsidRPr="00372B17" w:rsidRDefault="008B2D91" w:rsidP="008B2D91">
      <w:pPr>
        <w:spacing w:before="240"/>
        <w:jc w:val="center"/>
        <w:rPr>
          <w:rFonts w:eastAsia="MS Mincho"/>
          <w:b/>
          <w:bCs/>
          <w:szCs w:val="22"/>
          <w:lang w:val="fr-FR" w:eastAsia="en-US"/>
        </w:rPr>
      </w:pPr>
      <w:r w:rsidRPr="00372B17">
        <w:rPr>
          <w:rFonts w:eastAsia="MS Mincho"/>
          <w:b/>
          <w:bCs/>
          <w:szCs w:val="22"/>
          <w:lang w:val="fr-FR" w:eastAsia="en-US"/>
        </w:rPr>
        <w:t>CHAPITRE </w:t>
      </w:r>
      <w:r w:rsidRPr="00372B17">
        <w:rPr>
          <w:rFonts w:eastAsia="MS Mincho"/>
          <w:b/>
          <w:bCs/>
          <w:caps/>
          <w:szCs w:val="22"/>
          <w:lang w:val="fr-FR" w:eastAsia="en-US"/>
        </w:rPr>
        <w:t>premier</w:t>
      </w:r>
    </w:p>
    <w:p w:rsidR="008B2D91" w:rsidRPr="00372B17" w:rsidRDefault="008B2D91" w:rsidP="008B2D91">
      <w:pPr>
        <w:jc w:val="center"/>
        <w:rPr>
          <w:rFonts w:eastAsia="MS Mincho"/>
          <w:b/>
          <w:bCs/>
          <w:szCs w:val="22"/>
          <w:lang w:val="fr-FR" w:eastAsia="en-US"/>
        </w:rPr>
      </w:pPr>
      <w:r w:rsidRPr="00372B17">
        <w:rPr>
          <w:rFonts w:eastAsia="MS Mincho"/>
          <w:b/>
          <w:bCs/>
          <w:szCs w:val="22"/>
          <w:lang w:val="fr-FR" w:eastAsia="en-US"/>
        </w:rPr>
        <w:t>Dispositions générales et liminaires</w:t>
      </w:r>
    </w:p>
    <w:p w:rsidR="008B2D91" w:rsidRPr="00372B17" w:rsidRDefault="008B2D91" w:rsidP="008B2D91">
      <w:pPr>
        <w:spacing w:before="240"/>
        <w:jc w:val="center"/>
        <w:rPr>
          <w:rFonts w:eastAsia="Times New Roman"/>
          <w:szCs w:val="22"/>
          <w:lang w:val="fr-FR" w:eastAsia="ja-JP"/>
        </w:rPr>
      </w:pPr>
      <w:r w:rsidRPr="00372B17">
        <w:rPr>
          <w:rFonts w:eastAsia="Times New Roman"/>
          <w:szCs w:val="22"/>
          <w:lang w:val="fr-FR" w:eastAsia="ja-JP"/>
        </w:rPr>
        <w:t>[…]</w:t>
      </w:r>
    </w:p>
    <w:p w:rsidR="008B2D91" w:rsidRPr="00372B17" w:rsidRDefault="008B2D91" w:rsidP="008B2D91">
      <w:pPr>
        <w:spacing w:before="480" w:after="240"/>
        <w:jc w:val="center"/>
        <w:outlineLvl w:val="3"/>
        <w:rPr>
          <w:bCs/>
          <w:i/>
          <w:color w:val="0070C0"/>
          <w:szCs w:val="28"/>
          <w:u w:val="single"/>
          <w:lang w:val="fr-FR"/>
        </w:rPr>
      </w:pPr>
      <w:r w:rsidRPr="00372B17">
        <w:rPr>
          <w:b/>
          <w:bCs/>
          <w:color w:val="0070C0"/>
          <w:szCs w:val="28"/>
          <w:u w:val="single"/>
          <w:lang w:val="fr-FR"/>
        </w:rPr>
        <w:t>Règle 2</w:t>
      </w:r>
      <w:r w:rsidRPr="00372B17">
        <w:rPr>
          <w:b/>
          <w:bCs/>
          <w:i/>
          <w:color w:val="0070C0"/>
          <w:szCs w:val="28"/>
          <w:u w:val="single"/>
          <w:lang w:val="fr-FR"/>
        </w:rPr>
        <w:t>bis</w:t>
      </w:r>
      <w:r w:rsidRPr="00372B17">
        <w:rPr>
          <w:b/>
          <w:bCs/>
          <w:i/>
          <w:color w:val="0070C0"/>
          <w:szCs w:val="28"/>
          <w:u w:val="single"/>
          <w:lang w:val="fr-FR"/>
        </w:rPr>
        <w:br/>
      </w:r>
      <w:r w:rsidRPr="00372B17">
        <w:rPr>
          <w:bCs/>
          <w:color w:val="0070C0"/>
          <w:szCs w:val="28"/>
          <w:u w:val="single"/>
          <w:lang w:val="fr-FR"/>
        </w:rPr>
        <w:t>Excuse de retard dans l</w:t>
      </w:r>
      <w:r w:rsidR="00EA4B5D">
        <w:rPr>
          <w:bCs/>
          <w:color w:val="0070C0"/>
          <w:szCs w:val="28"/>
          <w:u w:val="single"/>
          <w:lang w:val="fr-FR"/>
        </w:rPr>
        <w:t>’</w:t>
      </w:r>
      <w:r w:rsidRPr="00372B17">
        <w:rPr>
          <w:bCs/>
          <w:color w:val="0070C0"/>
          <w:szCs w:val="28"/>
          <w:u w:val="single"/>
          <w:lang w:val="fr-FR"/>
        </w:rPr>
        <w:t>observation de délais</w:t>
      </w:r>
    </w:p>
    <w:p w:rsidR="008B2D91" w:rsidRPr="00372B17" w:rsidRDefault="008B2D91" w:rsidP="008B2D91">
      <w:pPr>
        <w:spacing w:before="240" w:after="240"/>
        <w:outlineLvl w:val="3"/>
        <w:rPr>
          <w:color w:val="0070C0"/>
          <w:u w:val="single"/>
          <w:lang w:val="fr-FR"/>
        </w:rPr>
      </w:pPr>
      <w:r w:rsidRPr="00372B17">
        <w:rPr>
          <w:color w:val="0070C0"/>
          <w:u w:val="single"/>
          <w:lang w:val="fr-FR"/>
        </w:rPr>
        <w:t>1)</w:t>
      </w:r>
      <w:r w:rsidRPr="00372B17">
        <w:rPr>
          <w:color w:val="0070C0"/>
          <w:u w:val="single"/>
          <w:lang w:val="fr-FR"/>
        </w:rPr>
        <w:tab/>
      </w:r>
      <w:r w:rsidRPr="00372B17">
        <w:rPr>
          <w:i/>
          <w:color w:val="0070C0"/>
          <w:u w:val="single"/>
          <w:lang w:val="fr-FR"/>
        </w:rPr>
        <w:t>[Excuse de retard dans l</w:t>
      </w:r>
      <w:r w:rsidR="00EA4B5D">
        <w:rPr>
          <w:i/>
          <w:color w:val="0070C0"/>
          <w:u w:val="single"/>
          <w:lang w:val="fr-FR"/>
        </w:rPr>
        <w:t>’</w:t>
      </w:r>
      <w:r w:rsidRPr="00372B17">
        <w:rPr>
          <w:i/>
          <w:color w:val="0070C0"/>
          <w:u w:val="single"/>
          <w:lang w:val="fr-FR"/>
        </w:rPr>
        <w:t>observation de délais dû à des causes de force majeure]</w:t>
      </w:r>
      <w:r w:rsidRPr="00372B17">
        <w:rPr>
          <w:color w:val="0070C0"/>
          <w:u w:val="single"/>
          <w:lang w:val="fr-FR"/>
        </w:rPr>
        <w:t> 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inobservation, par une administration compétente ou, dans le cas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5.3)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Acte de Genève, par les bénéficiaires ou une personne physique ou morale visée à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5.2)ii) de cet Acte, du délai prescrit dans le règlement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exécution pour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accomplissement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un acte devant le Bureau international est excusée si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administration compétente ou, dans le cas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5.3)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Acte de Genève, les bénéficiaires ou la personne physique ou morale visée à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5.2)ii) de cet Acte, apporte</w:t>
      </w:r>
      <w:r w:rsidR="00AE6C49">
        <w:rPr>
          <w:color w:val="0070C0"/>
          <w:u w:val="single"/>
          <w:lang w:val="fr-FR"/>
        </w:rPr>
        <w:t>nt</w:t>
      </w:r>
      <w:r w:rsidRPr="00372B17">
        <w:rPr>
          <w:color w:val="0070C0"/>
          <w:u w:val="single"/>
          <w:lang w:val="fr-FR"/>
        </w:rPr>
        <w:t xml:space="preserve"> la preuve,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une façon satisfaisante pour le Bureau international, que ce délai n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 pas été respecté pour raison de guerre, de révolution, de désordre civil, de grève, de calamité naturelle, de perturbations dans les services postaux,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une entreprise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acheminement du courrier ou de communication électronique dues à des circonstances indépendantes de la volonté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administration compétente ou, dans le cas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5.3) de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Acte de Genève, des bénéficiaires ou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une personne physique ou morale visée à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article 5.2)ii) de cet acte ou pour une autre cause de force majeure.</w:t>
      </w:r>
    </w:p>
    <w:p w:rsidR="008B2D91" w:rsidRPr="00372B17" w:rsidRDefault="008B2D91" w:rsidP="008B2D91">
      <w:pPr>
        <w:spacing w:before="240"/>
        <w:rPr>
          <w:color w:val="0070C0"/>
          <w:u w:val="single"/>
          <w:lang w:val="fr-FR"/>
        </w:rPr>
      </w:pPr>
      <w:r w:rsidRPr="00372B17">
        <w:rPr>
          <w:color w:val="0070C0"/>
          <w:u w:val="single"/>
          <w:lang w:val="fr-FR"/>
        </w:rPr>
        <w:t xml:space="preserve">2) </w:t>
      </w:r>
      <w:r w:rsidRPr="00372B17">
        <w:rPr>
          <w:color w:val="0070C0"/>
          <w:u w:val="single"/>
          <w:lang w:val="fr-FR"/>
        </w:rPr>
        <w:tab/>
      </w:r>
      <w:r w:rsidRPr="00372B17">
        <w:rPr>
          <w:i/>
          <w:color w:val="0070C0"/>
          <w:u w:val="single"/>
          <w:lang w:val="fr-FR"/>
        </w:rPr>
        <w:t>[Limites à l</w:t>
      </w:r>
      <w:r w:rsidR="00EA4B5D">
        <w:rPr>
          <w:i/>
          <w:color w:val="0070C0"/>
          <w:u w:val="single"/>
          <w:lang w:val="fr-FR"/>
        </w:rPr>
        <w:t>’</w:t>
      </w:r>
      <w:r w:rsidRPr="00372B17">
        <w:rPr>
          <w:i/>
          <w:color w:val="0070C0"/>
          <w:u w:val="single"/>
          <w:lang w:val="fr-FR"/>
        </w:rPr>
        <w:t>excuse]</w:t>
      </w:r>
      <w:r w:rsidRPr="00372B17">
        <w:rPr>
          <w:color w:val="0070C0"/>
          <w:u w:val="single"/>
          <w:lang w:val="fr-FR"/>
        </w:rPr>
        <w:t xml:space="preserve"> 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inobservation d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un délai n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est excusée en vertu de la présente règle que si la preuve et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acte visés à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alinéa 1) sont reçus par le Bureau international, et accomplis devant celui</w:t>
      </w:r>
      <w:r w:rsidR="00DA5CC8">
        <w:rPr>
          <w:color w:val="0070C0"/>
          <w:u w:val="single"/>
          <w:lang w:val="fr-FR"/>
        </w:rPr>
        <w:noBreakHyphen/>
      </w:r>
      <w:r w:rsidRPr="00372B17">
        <w:rPr>
          <w:color w:val="0070C0"/>
          <w:u w:val="single"/>
          <w:lang w:val="fr-FR"/>
        </w:rPr>
        <w:t>ci, dès qu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il est raisonnablement possible de le faire et au plus tard six mois après l</w:t>
      </w:r>
      <w:r w:rsidR="00EA4B5D">
        <w:rPr>
          <w:color w:val="0070C0"/>
          <w:u w:val="single"/>
          <w:lang w:val="fr-FR"/>
        </w:rPr>
        <w:t>’</w:t>
      </w:r>
      <w:r w:rsidRPr="00372B17">
        <w:rPr>
          <w:color w:val="0070C0"/>
          <w:u w:val="single"/>
          <w:lang w:val="fr-FR"/>
        </w:rPr>
        <w:t>expiration du délai applicable.</w:t>
      </w:r>
    </w:p>
    <w:p w:rsidR="008B2D91" w:rsidRPr="00372B17" w:rsidRDefault="008B2D91" w:rsidP="008B2D91">
      <w:pPr>
        <w:spacing w:before="240" w:after="840"/>
        <w:ind w:firstLine="567"/>
        <w:jc w:val="both"/>
        <w:rPr>
          <w:rFonts w:eastAsia="Times New Roman"/>
          <w:szCs w:val="22"/>
          <w:lang w:val="fr-FR" w:eastAsia="ja-JP"/>
        </w:rPr>
      </w:pPr>
      <w:r w:rsidRPr="00372B17">
        <w:rPr>
          <w:rFonts w:eastAsia="Times New Roman"/>
          <w:szCs w:val="22"/>
          <w:lang w:val="fr-FR" w:eastAsia="ja-JP"/>
        </w:rPr>
        <w:t>[</w:t>
      </w:r>
      <w:r w:rsidR="008A2155" w:rsidRPr="00372B17">
        <w:rPr>
          <w:rFonts w:eastAsia="Times New Roman"/>
          <w:szCs w:val="22"/>
          <w:lang w:val="fr-FR" w:eastAsia="ja-JP"/>
        </w:rPr>
        <w:t>…</w:t>
      </w:r>
      <w:r w:rsidRPr="00372B17">
        <w:rPr>
          <w:rFonts w:eastAsia="Times New Roman"/>
          <w:szCs w:val="22"/>
          <w:lang w:val="fr-FR" w:eastAsia="ja-JP"/>
        </w:rPr>
        <w:t>]</w:t>
      </w:r>
    </w:p>
    <w:p w:rsidR="000F5E56" w:rsidRPr="00372B17" w:rsidRDefault="008B2D91" w:rsidP="003464BA">
      <w:pPr>
        <w:pStyle w:val="Endofdocument-Annex"/>
      </w:pPr>
      <w:r w:rsidRPr="00372B17">
        <w:t>[Fin de l</w:t>
      </w:r>
      <w:r w:rsidR="00EA4B5D">
        <w:t>’</w:t>
      </w:r>
      <w:r w:rsidRPr="00372B17">
        <w:t>annexe et du document]</w:t>
      </w:r>
    </w:p>
    <w:sectPr w:rsidR="000F5E56" w:rsidRPr="00372B17" w:rsidSect="008B2D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9E" w:rsidRDefault="00E92D9E">
      <w:r>
        <w:separator/>
      </w:r>
    </w:p>
  </w:endnote>
  <w:endnote w:type="continuationSeparator" w:id="0">
    <w:p w:rsidR="00E92D9E" w:rsidRPr="009D30E6" w:rsidRDefault="00E92D9E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92D9E" w:rsidRPr="009D30E6" w:rsidRDefault="00E92D9E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92D9E" w:rsidRPr="009D30E6" w:rsidRDefault="00E92D9E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 w:rsidP="0033746E">
    <w:pPr>
      <w:pStyle w:val="Footer"/>
    </w:pPr>
  </w:p>
  <w:p w:rsidR="00DA5CC8" w:rsidRDefault="00DA5CC8" w:rsidP="003374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 w:rsidP="0033746E">
    <w:pPr>
      <w:pStyle w:val="Footer"/>
    </w:pPr>
  </w:p>
  <w:p w:rsidR="0033746E" w:rsidRDefault="0033746E" w:rsidP="00337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9E" w:rsidRDefault="00E92D9E">
      <w:r>
        <w:separator/>
      </w:r>
    </w:p>
  </w:footnote>
  <w:footnote w:type="continuationSeparator" w:id="0">
    <w:p w:rsidR="00E92D9E" w:rsidRDefault="00E92D9E" w:rsidP="007461F1">
      <w:r>
        <w:separator/>
      </w:r>
    </w:p>
    <w:p w:rsidR="00E92D9E" w:rsidRPr="009D30E6" w:rsidRDefault="00E92D9E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92D9E" w:rsidRPr="009D30E6" w:rsidRDefault="00E92D9E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 w:rsidP="0033746E">
    <w:pPr>
      <w:jc w:val="right"/>
    </w:pPr>
    <w:r>
      <w:t>LI/A/38/2</w:t>
    </w:r>
  </w:p>
  <w:p w:rsidR="0033746E" w:rsidRPr="00BA0078" w:rsidRDefault="0033746E" w:rsidP="0033746E">
    <w:pPr>
      <w:pStyle w:val="Header"/>
      <w:spacing w:after="480"/>
      <w:jc w:val="right"/>
    </w:pPr>
    <w:r>
      <w:t>page 2</w:t>
    </w:r>
  </w:p>
  <w:p w:rsidR="00DA5CC8" w:rsidRDefault="00DA5CC8" w:rsidP="00337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91" w:rsidRDefault="008B2D91" w:rsidP="006A0BF0">
    <w:pPr>
      <w:jc w:val="right"/>
    </w:pPr>
    <w:r>
      <w:t>LI/A/38/2</w:t>
    </w:r>
  </w:p>
  <w:p w:rsidR="008B2D91" w:rsidRPr="00BA0078" w:rsidRDefault="008B2D91" w:rsidP="00BA0078">
    <w:pPr>
      <w:pStyle w:val="Header"/>
      <w:spacing w:after="480"/>
      <w:jc w:val="right"/>
    </w:pPr>
    <w:r>
      <w:t>page</w:t>
    </w:r>
    <w:r w:rsidR="00DA5CC8">
      <w:t> 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C8" w:rsidRDefault="00DA5C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46E" w:rsidRDefault="0033746E" w:rsidP="0033746E">
    <w:pPr>
      <w:jc w:val="right"/>
    </w:pPr>
    <w:r>
      <w:t>LI/A/38/2</w:t>
    </w:r>
  </w:p>
  <w:p w:rsidR="0033746E" w:rsidRDefault="0033746E" w:rsidP="0033746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3746E" w:rsidRDefault="0033746E" w:rsidP="0033746E">
    <w:pPr>
      <w:jc w:val="right"/>
    </w:pPr>
  </w:p>
  <w:p w:rsidR="0033746E" w:rsidRDefault="0033746E" w:rsidP="0033746E">
    <w:pPr>
      <w:jc w:val="right"/>
    </w:pPr>
  </w:p>
  <w:p w:rsidR="0033746E" w:rsidRDefault="0033746E" w:rsidP="0033746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8B2D91" w:rsidP="00477D6B">
    <w:pPr>
      <w:jc w:val="right"/>
    </w:pPr>
    <w:bookmarkStart w:id="6" w:name="Code2"/>
    <w:bookmarkEnd w:id="6"/>
    <w:r>
      <w:t>LI/A/38/2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439C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  <w:p w:rsidR="004F4E31" w:rsidRDefault="004F4E31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91" w:rsidRDefault="008B2D91" w:rsidP="008B2D91">
    <w:pPr>
      <w:jc w:val="right"/>
    </w:pPr>
    <w:r>
      <w:t>LI/A/38/2</w:t>
    </w:r>
  </w:p>
  <w:p w:rsidR="008B2D91" w:rsidRPr="00BA0078" w:rsidRDefault="008B2D91" w:rsidP="008B2D91">
    <w:pPr>
      <w:pStyle w:val="Header"/>
      <w:spacing w:after="480"/>
      <w:jc w:val="right"/>
    </w:pPr>
    <w: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91"/>
    <w:rsid w:val="00011B7D"/>
    <w:rsid w:val="00055671"/>
    <w:rsid w:val="00075432"/>
    <w:rsid w:val="000F5E56"/>
    <w:rsid w:val="0012558C"/>
    <w:rsid w:val="001362EE"/>
    <w:rsid w:val="001832A6"/>
    <w:rsid w:val="00195C6E"/>
    <w:rsid w:val="001B266A"/>
    <w:rsid w:val="001D3D56"/>
    <w:rsid w:val="00206D5E"/>
    <w:rsid w:val="00240654"/>
    <w:rsid w:val="002634C4"/>
    <w:rsid w:val="002D4918"/>
    <w:rsid w:val="002E4D1A"/>
    <w:rsid w:val="002F16BC"/>
    <w:rsid w:val="002F4E68"/>
    <w:rsid w:val="00315FCA"/>
    <w:rsid w:val="0033746E"/>
    <w:rsid w:val="003464BA"/>
    <w:rsid w:val="00372B17"/>
    <w:rsid w:val="003845C1"/>
    <w:rsid w:val="00397817"/>
    <w:rsid w:val="003A1BCD"/>
    <w:rsid w:val="004008A2"/>
    <w:rsid w:val="004025DF"/>
    <w:rsid w:val="00423E3E"/>
    <w:rsid w:val="00427AF4"/>
    <w:rsid w:val="00435F66"/>
    <w:rsid w:val="004647DA"/>
    <w:rsid w:val="00477D6B"/>
    <w:rsid w:val="004D6471"/>
    <w:rsid w:val="004F4E31"/>
    <w:rsid w:val="00525B63"/>
    <w:rsid w:val="00547476"/>
    <w:rsid w:val="00561DB8"/>
    <w:rsid w:val="00567A4C"/>
    <w:rsid w:val="005E238A"/>
    <w:rsid w:val="005E6516"/>
    <w:rsid w:val="00605827"/>
    <w:rsid w:val="006224C3"/>
    <w:rsid w:val="00676936"/>
    <w:rsid w:val="006B0DB5"/>
    <w:rsid w:val="006E3406"/>
    <w:rsid w:val="006E4243"/>
    <w:rsid w:val="007461F1"/>
    <w:rsid w:val="007B5966"/>
    <w:rsid w:val="007D6961"/>
    <w:rsid w:val="007F07CB"/>
    <w:rsid w:val="00810CEF"/>
    <w:rsid w:val="0081208D"/>
    <w:rsid w:val="00832F24"/>
    <w:rsid w:val="00842A13"/>
    <w:rsid w:val="008A2155"/>
    <w:rsid w:val="008B2CC1"/>
    <w:rsid w:val="008B2D91"/>
    <w:rsid w:val="008C19D3"/>
    <w:rsid w:val="008E7930"/>
    <w:rsid w:val="0090731E"/>
    <w:rsid w:val="009650C2"/>
    <w:rsid w:val="00966A22"/>
    <w:rsid w:val="00974CD6"/>
    <w:rsid w:val="009D30E6"/>
    <w:rsid w:val="009E3F6F"/>
    <w:rsid w:val="009F499F"/>
    <w:rsid w:val="00AA439C"/>
    <w:rsid w:val="00AC0AE4"/>
    <w:rsid w:val="00AD61DB"/>
    <w:rsid w:val="00AE6C49"/>
    <w:rsid w:val="00B87BCF"/>
    <w:rsid w:val="00BA62D4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A5CC8"/>
    <w:rsid w:val="00DB0349"/>
    <w:rsid w:val="00DD6A16"/>
    <w:rsid w:val="00E0091A"/>
    <w:rsid w:val="00E203AA"/>
    <w:rsid w:val="00E527A5"/>
    <w:rsid w:val="00E76456"/>
    <w:rsid w:val="00E92D9E"/>
    <w:rsid w:val="00EA4B5D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B4C0FC4-7B2B-48C9-8D27-78CC301A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3464BA"/>
    <w:pPr>
      <w:spacing w:before="720"/>
      <w:ind w:left="5534"/>
    </w:pPr>
    <w:rPr>
      <w:lang w:val="fr-FR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ONUMEChar">
    <w:name w:val="ONUM E Char"/>
    <w:basedOn w:val="DefaultParagraphFont"/>
    <w:link w:val="ONUME"/>
    <w:locked/>
    <w:rsid w:val="008B2D91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B2D9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372B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A4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39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LI_A_3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LI_A_38 (F)</Template>
  <TotalTime>3</TotalTime>
  <Pages>3</Pages>
  <Words>676</Words>
  <Characters>3868</Characters>
  <Application>Microsoft Office Word</Application>
  <DocSecurity>0</DocSecurity>
  <Lines>77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LI/A/38/2</vt:lpstr>
    </vt:vector>
  </TitlesOfParts>
  <Company>WIPO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LI/A/38/2</dc:title>
  <dc:subject>Sixty-Second Series of Meetings</dc:subject>
  <dc:creator>WIPO</dc:creator>
  <cp:keywords>PUBLIC</cp:keywords>
  <cp:lastModifiedBy>MARIN-CUDRAZ DAVI Nicoletta</cp:lastModifiedBy>
  <cp:revision>5</cp:revision>
  <cp:lastPrinted>2021-06-14T07:55:00Z</cp:lastPrinted>
  <dcterms:created xsi:type="dcterms:W3CDTF">2021-06-14T14:17:00Z</dcterms:created>
  <dcterms:modified xsi:type="dcterms:W3CDTF">2021-06-29T12:39:00Z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0cde9780-d421-4b1c-adb5-6ba68e988a3b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