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F8174" w14:textId="77777777" w:rsidR="00863EE5" w:rsidRDefault="00863EE5" w:rsidP="00E5566B">
      <w:pPr>
        <w:widowControl w:val="0"/>
        <w:jc w:val="right"/>
        <w:rPr>
          <w:b/>
          <w:sz w:val="2"/>
          <w:szCs w:val="40"/>
          <w:lang w:val="fr-FR"/>
        </w:rPr>
      </w:pPr>
      <w:bookmarkStart w:id="0" w:name="_GoBack"/>
      <w:bookmarkEnd w:id="0"/>
    </w:p>
    <w:p w14:paraId="6A057FE3" w14:textId="77777777" w:rsidR="00863EE5" w:rsidRDefault="000F6D3D" w:rsidP="006E4F5F">
      <w:pPr>
        <w:spacing w:line="360" w:lineRule="auto"/>
        <w:ind w:left="4592"/>
        <w:rPr>
          <w:rFonts w:ascii="Arial Black" w:hAnsi="Arial Black"/>
          <w:caps/>
          <w:sz w:val="15"/>
          <w:lang w:val="fr-FR"/>
        </w:rPr>
      </w:pPr>
      <w:r w:rsidRPr="000F6D3D">
        <w:rPr>
          <w:noProof/>
          <w:lang w:eastAsia="en-US"/>
        </w:rPr>
        <w:drawing>
          <wp:inline distT="0" distB="0" distL="0" distR="0" wp14:anchorId="30569CA6" wp14:editId="05C44B79">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003D86F5" w14:textId="77777777" w:rsidR="00863EE5" w:rsidRDefault="008166B3" w:rsidP="00086241">
      <w:pPr>
        <w:pBdr>
          <w:top w:val="single" w:sz="4" w:space="10" w:color="auto"/>
        </w:pBdr>
        <w:spacing w:before="120"/>
        <w:jc w:val="right"/>
        <w:rPr>
          <w:rFonts w:ascii="Arial Black" w:hAnsi="Arial Black"/>
          <w:b/>
          <w:caps/>
          <w:sz w:val="15"/>
          <w:lang w:val="fr-FR"/>
        </w:rPr>
      </w:pPr>
      <w:r w:rsidRPr="000F6D3D">
        <w:rPr>
          <w:rFonts w:ascii="Arial Black" w:hAnsi="Arial Black"/>
          <w:b/>
          <w:caps/>
          <w:sz w:val="15"/>
          <w:lang w:val="fr-FR"/>
        </w:rPr>
        <w:t>LI/A/3</w:t>
      </w:r>
      <w:r w:rsidR="00F50C57">
        <w:rPr>
          <w:rFonts w:ascii="Arial Black" w:hAnsi="Arial Black"/>
          <w:b/>
          <w:caps/>
          <w:sz w:val="15"/>
          <w:lang w:val="fr-FR"/>
        </w:rPr>
        <w:t>8</w:t>
      </w:r>
      <w:r w:rsidR="006E4F5F" w:rsidRPr="000F6D3D">
        <w:rPr>
          <w:rFonts w:ascii="Arial Black" w:hAnsi="Arial Black"/>
          <w:b/>
          <w:caps/>
          <w:sz w:val="15"/>
          <w:lang w:val="fr-FR"/>
        </w:rPr>
        <w:t>/</w:t>
      </w:r>
      <w:bookmarkStart w:id="1" w:name="Code"/>
      <w:bookmarkEnd w:id="1"/>
      <w:r w:rsidR="000F0B28" w:rsidRPr="000F6D3D">
        <w:rPr>
          <w:rFonts w:ascii="Arial Black" w:hAnsi="Arial Black"/>
          <w:b/>
          <w:caps/>
          <w:sz w:val="15"/>
          <w:lang w:val="fr-FR"/>
        </w:rPr>
        <w:t>1</w:t>
      </w:r>
    </w:p>
    <w:p w14:paraId="681677D6" w14:textId="093A7904" w:rsidR="00863EE5" w:rsidRDefault="006E4F5F" w:rsidP="006E4F5F">
      <w:pPr>
        <w:jc w:val="right"/>
        <w:rPr>
          <w:rFonts w:ascii="Arial Black" w:hAnsi="Arial Black"/>
          <w:b/>
          <w:caps/>
          <w:sz w:val="15"/>
          <w:lang w:val="fr-FR"/>
        </w:rPr>
      </w:pPr>
      <w:r w:rsidRPr="000F6D3D">
        <w:rPr>
          <w:rFonts w:ascii="Arial Black" w:hAnsi="Arial Black"/>
          <w:b/>
          <w:caps/>
          <w:sz w:val="15"/>
          <w:lang w:val="fr-FR"/>
        </w:rPr>
        <w:t>ORIGINAL</w:t>
      </w:r>
      <w:r w:rsidR="00A8217D">
        <w:rPr>
          <w:rFonts w:ascii="Arial Black" w:hAnsi="Arial Black"/>
          <w:b/>
          <w:caps/>
          <w:sz w:val="15"/>
          <w:lang w:val="fr-FR"/>
        </w:rPr>
        <w:t> :</w:t>
      </w:r>
      <w:r w:rsidR="00781DB8" w:rsidRPr="000F6D3D">
        <w:rPr>
          <w:rFonts w:ascii="Arial Black" w:hAnsi="Arial Black"/>
          <w:b/>
          <w:caps/>
          <w:sz w:val="15"/>
          <w:lang w:val="fr-FR"/>
        </w:rPr>
        <w:t xml:space="preserve"> </w:t>
      </w:r>
      <w:r w:rsidR="000F6D3D" w:rsidRPr="000F6D3D">
        <w:rPr>
          <w:rFonts w:ascii="Arial Black" w:hAnsi="Arial Black"/>
          <w:b/>
          <w:caps/>
          <w:sz w:val="15"/>
          <w:lang w:val="fr-FR"/>
        </w:rPr>
        <w:t>anglais</w:t>
      </w:r>
      <w:bookmarkStart w:id="2" w:name="Original"/>
      <w:bookmarkEnd w:id="2"/>
    </w:p>
    <w:p w14:paraId="4332F5FC" w14:textId="181569F3" w:rsidR="00863EE5" w:rsidRDefault="006E4F5F" w:rsidP="006E4F5F">
      <w:pPr>
        <w:spacing w:line="1680" w:lineRule="auto"/>
        <w:jc w:val="right"/>
        <w:rPr>
          <w:rFonts w:ascii="Arial Black" w:hAnsi="Arial Black"/>
          <w:b/>
          <w:caps/>
          <w:sz w:val="15"/>
          <w:lang w:val="fr-FR"/>
        </w:rPr>
      </w:pPr>
      <w:r w:rsidRPr="000F6D3D">
        <w:rPr>
          <w:rFonts w:ascii="Arial Black" w:hAnsi="Arial Black"/>
          <w:b/>
          <w:caps/>
          <w:sz w:val="15"/>
          <w:lang w:val="fr-FR"/>
        </w:rPr>
        <w:t>DATE</w:t>
      </w:r>
      <w:r w:rsidR="00A8217D">
        <w:rPr>
          <w:rFonts w:ascii="Arial Black" w:hAnsi="Arial Black"/>
          <w:b/>
          <w:caps/>
          <w:sz w:val="15"/>
          <w:lang w:val="fr-FR"/>
        </w:rPr>
        <w:t> :</w:t>
      </w:r>
      <w:r w:rsidR="00781DB8" w:rsidRPr="000F6D3D">
        <w:rPr>
          <w:rFonts w:ascii="Arial Black" w:hAnsi="Arial Black"/>
          <w:b/>
          <w:caps/>
          <w:sz w:val="15"/>
          <w:lang w:val="fr-FR"/>
        </w:rPr>
        <w:t xml:space="preserve"> </w:t>
      </w:r>
      <w:r w:rsidR="000F6D3D" w:rsidRPr="000F6D3D">
        <w:rPr>
          <w:rFonts w:ascii="Arial Black" w:hAnsi="Arial Black"/>
          <w:b/>
          <w:caps/>
          <w:sz w:val="15"/>
          <w:lang w:val="fr-FR"/>
        </w:rPr>
        <w:t>2 juillet </w:t>
      </w:r>
      <w:bookmarkStart w:id="3" w:name="Date"/>
      <w:bookmarkEnd w:id="3"/>
      <w:r w:rsidR="008166B3" w:rsidRPr="000F6D3D">
        <w:rPr>
          <w:rFonts w:ascii="Arial Black" w:hAnsi="Arial Black"/>
          <w:b/>
          <w:caps/>
          <w:sz w:val="15"/>
          <w:lang w:val="fr-FR"/>
        </w:rPr>
        <w:t>202</w:t>
      </w:r>
      <w:r w:rsidR="00F50C57">
        <w:rPr>
          <w:rFonts w:ascii="Arial Black" w:hAnsi="Arial Black"/>
          <w:b/>
          <w:caps/>
          <w:sz w:val="15"/>
          <w:lang w:val="fr-FR"/>
        </w:rPr>
        <w:t>1</w:t>
      </w:r>
    </w:p>
    <w:p w14:paraId="2A9F256F" w14:textId="3E278687" w:rsidR="00863EE5" w:rsidRDefault="000F6D3D" w:rsidP="00A60917">
      <w:pPr>
        <w:pStyle w:val="Heading1"/>
        <w:rPr>
          <w:lang w:val="fr-FR"/>
        </w:rPr>
      </w:pPr>
      <w:r w:rsidRPr="000F6D3D">
        <w:rPr>
          <w:lang w:val="fr-FR"/>
        </w:rPr>
        <w:t>Union particulière pour la protection des appellations d</w:t>
      </w:r>
      <w:r w:rsidR="00A8217D">
        <w:rPr>
          <w:lang w:val="fr-FR"/>
        </w:rPr>
        <w:t>’</w:t>
      </w:r>
      <w:r w:rsidRPr="000F6D3D">
        <w:rPr>
          <w:lang w:val="fr-FR"/>
        </w:rPr>
        <w:t>origine et leur enregistrement international (Union de Lisbonne</w:t>
      </w:r>
      <w:r w:rsidR="00A60917" w:rsidRPr="000F6D3D">
        <w:rPr>
          <w:lang w:val="fr-FR"/>
        </w:rPr>
        <w:t>)</w:t>
      </w:r>
    </w:p>
    <w:p w14:paraId="640C0639" w14:textId="77777777" w:rsidR="00863EE5" w:rsidRDefault="000F6D3D" w:rsidP="00A60917">
      <w:pPr>
        <w:pStyle w:val="Heading1"/>
        <w:rPr>
          <w:lang w:val="fr-FR"/>
        </w:rPr>
      </w:pPr>
      <w:r w:rsidRPr="000F6D3D">
        <w:rPr>
          <w:lang w:val="fr-FR"/>
        </w:rPr>
        <w:t>Assemblée</w:t>
      </w:r>
    </w:p>
    <w:p w14:paraId="09A033E0" w14:textId="25C9CF1A" w:rsidR="00863EE5" w:rsidRDefault="000F6D3D" w:rsidP="003D2030">
      <w:pPr>
        <w:spacing w:after="720"/>
        <w:rPr>
          <w:b/>
          <w:sz w:val="24"/>
          <w:lang w:val="fr-FR"/>
        </w:rPr>
      </w:pPr>
      <w:r w:rsidRPr="000F6D3D">
        <w:rPr>
          <w:b/>
          <w:sz w:val="24"/>
          <w:lang w:val="fr-FR"/>
        </w:rPr>
        <w:t>Trente</w:t>
      </w:r>
      <w:r w:rsidR="00A8217D">
        <w:rPr>
          <w:b/>
          <w:sz w:val="24"/>
          <w:lang w:val="fr-FR"/>
        </w:rPr>
        <w:t>-</w:t>
      </w:r>
      <w:r w:rsidR="00F50C57">
        <w:rPr>
          <w:b/>
          <w:sz w:val="24"/>
          <w:lang w:val="fr-FR"/>
        </w:rPr>
        <w:t>huit</w:t>
      </w:r>
      <w:r w:rsidR="00A8217D">
        <w:rPr>
          <w:b/>
          <w:sz w:val="24"/>
          <w:lang w:val="fr-FR"/>
        </w:rPr>
        <w:t>ième session</w:t>
      </w:r>
      <w:r w:rsidR="00F50C57">
        <w:rPr>
          <w:b/>
          <w:sz w:val="24"/>
          <w:lang w:val="fr-FR"/>
        </w:rPr>
        <w:t xml:space="preserve"> (2</w:t>
      </w:r>
      <w:r w:rsidRPr="000F6D3D">
        <w:rPr>
          <w:b/>
          <w:sz w:val="24"/>
          <w:lang w:val="fr-FR"/>
        </w:rPr>
        <w:t>4</w:t>
      </w:r>
      <w:r w:rsidRPr="000F6D3D">
        <w:rPr>
          <w:b/>
          <w:sz w:val="24"/>
          <w:vertAlign w:val="superscript"/>
          <w:lang w:val="fr-FR"/>
        </w:rPr>
        <w:t>e</w:t>
      </w:r>
      <w:r w:rsidR="00D41E55">
        <w:rPr>
          <w:b/>
          <w:sz w:val="24"/>
          <w:lang w:val="fr-FR"/>
        </w:rPr>
        <w:t> </w:t>
      </w:r>
      <w:r w:rsidRPr="000F6D3D">
        <w:rPr>
          <w:b/>
          <w:sz w:val="24"/>
          <w:lang w:val="fr-FR"/>
        </w:rPr>
        <w:t>session ordinaire)</w:t>
      </w:r>
      <w:r w:rsidR="003D57B0" w:rsidRPr="000F6D3D">
        <w:rPr>
          <w:b/>
          <w:sz w:val="24"/>
          <w:lang w:val="fr-FR"/>
        </w:rPr>
        <w:br/>
      </w:r>
      <w:r w:rsidR="00F33C1C" w:rsidRPr="000F6D3D">
        <w:rPr>
          <w:b/>
          <w:sz w:val="24"/>
          <w:lang w:val="fr-FR"/>
        </w:rPr>
        <w:t>Gen</w:t>
      </w:r>
      <w:r w:rsidR="00F50C57">
        <w:rPr>
          <w:b/>
          <w:sz w:val="24"/>
          <w:lang w:val="fr-FR"/>
        </w:rPr>
        <w:t>ève, 4</w:t>
      </w:r>
      <w:r w:rsidRPr="000F6D3D">
        <w:rPr>
          <w:b/>
          <w:sz w:val="24"/>
          <w:lang w:val="fr-FR"/>
        </w:rPr>
        <w:t xml:space="preserve"> – </w:t>
      </w:r>
      <w:r w:rsidR="00F50C57">
        <w:rPr>
          <w:b/>
          <w:sz w:val="24"/>
          <w:lang w:val="fr-FR"/>
        </w:rPr>
        <w:t>8</w:t>
      </w:r>
      <w:r w:rsidRPr="000F6D3D">
        <w:rPr>
          <w:b/>
          <w:sz w:val="24"/>
          <w:lang w:val="fr-FR"/>
        </w:rPr>
        <w:t> </w:t>
      </w:r>
      <w:r w:rsidR="00F50C57">
        <w:rPr>
          <w:b/>
          <w:sz w:val="24"/>
          <w:lang w:val="fr-FR"/>
        </w:rPr>
        <w:t>octobre</w:t>
      </w:r>
      <w:r w:rsidRPr="000F6D3D">
        <w:rPr>
          <w:b/>
          <w:sz w:val="24"/>
          <w:lang w:val="fr-FR"/>
        </w:rPr>
        <w:t> </w:t>
      </w:r>
      <w:r w:rsidR="00A60917" w:rsidRPr="000F6D3D">
        <w:rPr>
          <w:b/>
          <w:sz w:val="24"/>
          <w:lang w:val="fr-FR"/>
        </w:rPr>
        <w:t>20</w:t>
      </w:r>
      <w:r w:rsidR="008166B3" w:rsidRPr="000F6D3D">
        <w:rPr>
          <w:b/>
          <w:sz w:val="24"/>
          <w:lang w:val="fr-FR"/>
        </w:rPr>
        <w:t>2</w:t>
      </w:r>
      <w:r w:rsidR="00555872">
        <w:rPr>
          <w:b/>
          <w:sz w:val="24"/>
          <w:lang w:val="fr-FR"/>
        </w:rPr>
        <w:t>1</w:t>
      </w:r>
    </w:p>
    <w:p w14:paraId="3BA86EAD" w14:textId="77777777" w:rsidR="00863EE5" w:rsidRDefault="000F0B28" w:rsidP="000F0B28">
      <w:pPr>
        <w:spacing w:after="360"/>
        <w:rPr>
          <w:caps/>
          <w:sz w:val="24"/>
          <w:lang w:val="fr-FR"/>
        </w:rPr>
      </w:pPr>
      <w:bookmarkStart w:id="4" w:name="TitleOfDoc"/>
      <w:bookmarkStart w:id="5" w:name="Prepared"/>
      <w:bookmarkEnd w:id="4"/>
      <w:bookmarkEnd w:id="5"/>
      <w:r w:rsidRPr="000F6D3D">
        <w:rPr>
          <w:caps/>
          <w:sz w:val="24"/>
          <w:lang w:val="fr-FR"/>
        </w:rPr>
        <w:t>D</w:t>
      </w:r>
      <w:r w:rsidR="00B1206B">
        <w:rPr>
          <w:caps/>
          <w:sz w:val="24"/>
          <w:lang w:val="fr-FR"/>
        </w:rPr>
        <w:t>É</w:t>
      </w:r>
      <w:r w:rsidR="007343E5">
        <w:rPr>
          <w:caps/>
          <w:sz w:val="24"/>
          <w:lang w:val="fr-FR"/>
        </w:rPr>
        <w:t>ve</w:t>
      </w:r>
      <w:r w:rsidRPr="000F6D3D">
        <w:rPr>
          <w:caps/>
          <w:sz w:val="24"/>
          <w:lang w:val="fr-FR"/>
        </w:rPr>
        <w:t>lop</w:t>
      </w:r>
      <w:r w:rsidR="007343E5">
        <w:rPr>
          <w:caps/>
          <w:sz w:val="24"/>
          <w:lang w:val="fr-FR"/>
        </w:rPr>
        <w:t>pe</w:t>
      </w:r>
      <w:r w:rsidRPr="000F6D3D">
        <w:rPr>
          <w:caps/>
          <w:sz w:val="24"/>
          <w:lang w:val="fr-FR"/>
        </w:rPr>
        <w:t xml:space="preserve">ment </w:t>
      </w:r>
      <w:r w:rsidR="007343E5">
        <w:rPr>
          <w:caps/>
          <w:sz w:val="24"/>
          <w:lang w:val="fr-FR"/>
        </w:rPr>
        <w:t>du syst</w:t>
      </w:r>
      <w:r w:rsidR="00B1206B">
        <w:rPr>
          <w:caps/>
          <w:sz w:val="24"/>
          <w:lang w:val="fr-FR"/>
        </w:rPr>
        <w:t>È</w:t>
      </w:r>
      <w:r w:rsidR="007343E5">
        <w:rPr>
          <w:caps/>
          <w:sz w:val="24"/>
          <w:lang w:val="fr-FR"/>
        </w:rPr>
        <w:t xml:space="preserve">me de </w:t>
      </w:r>
      <w:r w:rsidRPr="000F6D3D">
        <w:rPr>
          <w:caps/>
          <w:sz w:val="24"/>
          <w:lang w:val="fr-FR"/>
        </w:rPr>
        <w:t>Lisbon</w:t>
      </w:r>
      <w:r w:rsidR="007343E5">
        <w:rPr>
          <w:caps/>
          <w:sz w:val="24"/>
          <w:lang w:val="fr-FR"/>
        </w:rPr>
        <w:t>ne</w:t>
      </w:r>
    </w:p>
    <w:p w14:paraId="7C437B89" w14:textId="77777777" w:rsidR="00863EE5" w:rsidRDefault="00E128A8" w:rsidP="009C127D">
      <w:pPr>
        <w:spacing w:after="960"/>
        <w:rPr>
          <w:i/>
          <w:lang w:val="fr-FR"/>
        </w:rPr>
      </w:pPr>
      <w:r w:rsidRPr="000F6D3D">
        <w:rPr>
          <w:i/>
          <w:lang w:val="fr-FR"/>
        </w:rPr>
        <w:t xml:space="preserve">Document </w:t>
      </w:r>
      <w:r w:rsidR="00686320">
        <w:rPr>
          <w:i/>
          <w:lang w:val="fr-FR"/>
        </w:rPr>
        <w:t>établi par le</w:t>
      </w:r>
      <w:r w:rsidR="000F0B28" w:rsidRPr="000F6D3D">
        <w:rPr>
          <w:i/>
          <w:lang w:val="fr-FR"/>
        </w:rPr>
        <w:t xml:space="preserve"> </w:t>
      </w:r>
      <w:r w:rsidR="005C582A" w:rsidRPr="000F6D3D">
        <w:rPr>
          <w:i/>
          <w:lang w:val="fr-FR"/>
        </w:rPr>
        <w:t>Secr</w:t>
      </w:r>
      <w:r w:rsidR="00686320">
        <w:rPr>
          <w:i/>
          <w:lang w:val="fr-FR"/>
        </w:rPr>
        <w:t>é</w:t>
      </w:r>
      <w:r w:rsidR="005C582A" w:rsidRPr="000F6D3D">
        <w:rPr>
          <w:i/>
          <w:lang w:val="fr-FR"/>
        </w:rPr>
        <w:t>tariat</w:t>
      </w:r>
    </w:p>
    <w:p w14:paraId="55BA53F8" w14:textId="36C0882A" w:rsidR="00A8217D" w:rsidRDefault="003059EA" w:rsidP="00D160DA">
      <w:pPr>
        <w:pStyle w:val="ONUME"/>
        <w:rPr>
          <w:lang w:val="fr-FR"/>
        </w:rPr>
      </w:pPr>
      <w:r w:rsidRPr="00D160DA">
        <w:rPr>
          <w:lang w:val="fr-FR"/>
        </w:rPr>
        <w:t>L</w:t>
      </w:r>
      <w:r w:rsidR="00D160DA" w:rsidRPr="00D160DA">
        <w:rPr>
          <w:lang w:val="fr-FR"/>
        </w:rPr>
        <w:t>a trois</w:t>
      </w:r>
      <w:r w:rsidR="00A8217D">
        <w:rPr>
          <w:lang w:val="fr-FR"/>
        </w:rPr>
        <w:t>ième session</w:t>
      </w:r>
      <w:r w:rsidR="00D160DA" w:rsidRPr="00D160DA">
        <w:rPr>
          <w:lang w:val="fr-FR"/>
        </w:rPr>
        <w:t xml:space="preserve"> du Groupe de travail sur le développement du système de Lisbonne (ci</w:t>
      </w:r>
      <w:r w:rsidR="00A8217D">
        <w:rPr>
          <w:lang w:val="fr-FR"/>
        </w:rPr>
        <w:t>-</w:t>
      </w:r>
      <w:r w:rsidR="00D160DA" w:rsidRPr="00D160DA">
        <w:rPr>
          <w:lang w:val="fr-FR"/>
        </w:rPr>
        <w:t xml:space="preserve">après dénommé </w:t>
      </w:r>
      <w:r w:rsidR="00B9481B">
        <w:rPr>
          <w:lang w:val="fr-FR"/>
        </w:rPr>
        <w:t>“</w:t>
      </w:r>
      <w:r w:rsidR="00D160DA" w:rsidRPr="00D160DA">
        <w:rPr>
          <w:lang w:val="fr-FR"/>
        </w:rPr>
        <w:t>groupe de travail</w:t>
      </w:r>
      <w:r w:rsidR="00B9481B">
        <w:rPr>
          <w:lang w:val="fr-FR"/>
        </w:rPr>
        <w:t>”</w:t>
      </w:r>
      <w:r w:rsidR="00D160DA" w:rsidRPr="00D160DA">
        <w:rPr>
          <w:lang w:val="fr-FR"/>
        </w:rPr>
        <w:t xml:space="preserve">), qui devait </w:t>
      </w:r>
      <w:r>
        <w:rPr>
          <w:lang w:val="fr-FR"/>
        </w:rPr>
        <w:t xml:space="preserve">initialement </w:t>
      </w:r>
      <w:r w:rsidR="00D160DA" w:rsidRPr="00D160DA">
        <w:rPr>
          <w:lang w:val="fr-FR"/>
        </w:rPr>
        <w:t>se tenir les 10 et 11</w:t>
      </w:r>
      <w:r w:rsidR="00D160DA">
        <w:rPr>
          <w:lang w:val="fr-FR"/>
        </w:rPr>
        <w:t> </w:t>
      </w:r>
      <w:r w:rsidR="00D160DA" w:rsidRPr="00D160DA">
        <w:rPr>
          <w:lang w:val="fr-FR"/>
        </w:rPr>
        <w:t>mars</w:t>
      </w:r>
      <w:r w:rsidR="00D160DA">
        <w:rPr>
          <w:lang w:val="fr-FR"/>
        </w:rPr>
        <w:t> </w:t>
      </w:r>
      <w:r w:rsidR="00D160DA" w:rsidRPr="00D160DA">
        <w:rPr>
          <w:lang w:val="fr-FR"/>
        </w:rPr>
        <w:t>2020, a dû être reportée en raison de la pandémie de COVID</w:t>
      </w:r>
      <w:r w:rsidR="00A8217D">
        <w:rPr>
          <w:lang w:val="fr-FR"/>
        </w:rPr>
        <w:t>-</w:t>
      </w:r>
      <w:r w:rsidR="00D160DA" w:rsidRPr="00D160DA">
        <w:rPr>
          <w:lang w:val="fr-FR"/>
        </w:rPr>
        <w:t>19</w:t>
      </w:r>
      <w:r>
        <w:rPr>
          <w:lang w:val="fr-FR"/>
        </w:rPr>
        <w:t xml:space="preserve"> et s</w:t>
      </w:r>
      <w:r w:rsidR="00A8217D">
        <w:rPr>
          <w:lang w:val="fr-FR"/>
        </w:rPr>
        <w:t>’</w:t>
      </w:r>
      <w:r>
        <w:rPr>
          <w:lang w:val="fr-FR"/>
        </w:rPr>
        <w:t xml:space="preserve">est déroulée les 2 et </w:t>
      </w:r>
      <w:r w:rsidR="00A8217D">
        <w:rPr>
          <w:lang w:val="fr-FR"/>
        </w:rPr>
        <w:t>3 novembre 20</w:t>
      </w:r>
      <w:r>
        <w:rPr>
          <w:lang w:val="fr-FR"/>
        </w:rPr>
        <w:t>20</w:t>
      </w:r>
      <w:r w:rsidR="000F0B28" w:rsidRPr="000F6D3D">
        <w:rPr>
          <w:lang w:val="fr-FR"/>
        </w:rPr>
        <w:t>.</w:t>
      </w:r>
    </w:p>
    <w:p w14:paraId="7D487C55" w14:textId="620B76AD" w:rsidR="00863EE5" w:rsidRDefault="004D4888" w:rsidP="004D4888">
      <w:pPr>
        <w:pStyle w:val="ONUME"/>
        <w:rPr>
          <w:szCs w:val="22"/>
          <w:lang w:val="fr-FR"/>
        </w:rPr>
      </w:pPr>
      <w:r w:rsidRPr="004D4888">
        <w:rPr>
          <w:lang w:val="fr-FR"/>
        </w:rPr>
        <w:t>L</w:t>
      </w:r>
      <w:r w:rsidR="00A8217D">
        <w:rPr>
          <w:lang w:val="fr-FR"/>
        </w:rPr>
        <w:t>’</w:t>
      </w:r>
      <w:r w:rsidRPr="004D4888">
        <w:rPr>
          <w:lang w:val="fr-FR"/>
        </w:rPr>
        <w:t>obje</w:t>
      </w:r>
      <w:r w:rsidR="003059EA">
        <w:rPr>
          <w:lang w:val="fr-FR"/>
        </w:rPr>
        <w:t>ctif</w:t>
      </w:r>
      <w:r w:rsidRPr="004D4888">
        <w:rPr>
          <w:lang w:val="fr-FR"/>
        </w:rPr>
        <w:t xml:space="preserve"> du présent document est de présenter les faits </w:t>
      </w:r>
      <w:r w:rsidR="00854D47">
        <w:rPr>
          <w:lang w:val="fr-FR"/>
        </w:rPr>
        <w:t xml:space="preserve">récents </w:t>
      </w:r>
      <w:r w:rsidRPr="004D4888">
        <w:rPr>
          <w:lang w:val="fr-FR"/>
        </w:rPr>
        <w:t xml:space="preserve">concernant le système de Lisbonne qui </w:t>
      </w:r>
      <w:r w:rsidR="003059EA">
        <w:rPr>
          <w:lang w:val="fr-FR"/>
        </w:rPr>
        <w:t>ont été</w:t>
      </w:r>
      <w:r w:rsidRPr="004D4888">
        <w:rPr>
          <w:lang w:val="fr-FR"/>
        </w:rPr>
        <w:t xml:space="preserve"> examinés à la trois</w:t>
      </w:r>
      <w:r w:rsidR="00A8217D">
        <w:rPr>
          <w:lang w:val="fr-FR"/>
        </w:rPr>
        <w:t>ième session</w:t>
      </w:r>
      <w:r w:rsidRPr="004D4888">
        <w:rPr>
          <w:lang w:val="fr-FR"/>
        </w:rPr>
        <w:t xml:space="preserve"> du groupe de trava</w:t>
      </w:r>
      <w:r w:rsidR="00D41E55" w:rsidRPr="004D4888">
        <w:rPr>
          <w:lang w:val="fr-FR"/>
        </w:rPr>
        <w:t>il</w:t>
      </w:r>
      <w:r w:rsidR="00D41E55">
        <w:rPr>
          <w:lang w:val="fr-FR"/>
        </w:rPr>
        <w:t xml:space="preserve">.  </w:t>
      </w:r>
      <w:r w:rsidR="00D41E55" w:rsidRPr="004D4888">
        <w:rPr>
          <w:lang w:val="fr-FR"/>
        </w:rPr>
        <w:t>Ce</w:t>
      </w:r>
      <w:r w:rsidRPr="004D4888">
        <w:rPr>
          <w:lang w:val="fr-FR"/>
        </w:rPr>
        <w:t>s faits nouveaux portent en particulier sur les éléments suivants</w:t>
      </w:r>
      <w:r w:rsidR="00A8217D">
        <w:rPr>
          <w:lang w:val="fr-FR"/>
        </w:rPr>
        <w:t> :</w:t>
      </w:r>
      <w:r w:rsidRPr="004D4888">
        <w:rPr>
          <w:lang w:val="fr-FR"/>
        </w:rPr>
        <w:t xml:space="preserve"> 1) l</w:t>
      </w:r>
      <w:r w:rsidR="00A8217D">
        <w:rPr>
          <w:lang w:val="fr-FR"/>
        </w:rPr>
        <w:t>’</w:t>
      </w:r>
      <w:r w:rsidRPr="004D4888">
        <w:rPr>
          <w:lang w:val="fr-FR"/>
        </w:rPr>
        <w:t>entrée en vigueur de l</w:t>
      </w:r>
      <w:r w:rsidR="00A8217D">
        <w:rPr>
          <w:lang w:val="fr-FR"/>
        </w:rPr>
        <w:t>’</w:t>
      </w:r>
      <w:r w:rsidRPr="004D4888">
        <w:rPr>
          <w:lang w:val="fr-FR"/>
        </w:rPr>
        <w:t>Acte de Genève de l</w:t>
      </w:r>
      <w:r w:rsidR="00A8217D">
        <w:rPr>
          <w:lang w:val="fr-FR"/>
        </w:rPr>
        <w:t>’</w:t>
      </w:r>
      <w:r w:rsidRPr="004D4888">
        <w:rPr>
          <w:lang w:val="fr-FR"/>
        </w:rPr>
        <w:t>Arrangement de Lisbonne sur les appellations d</w:t>
      </w:r>
      <w:r w:rsidR="00A8217D">
        <w:rPr>
          <w:lang w:val="fr-FR"/>
        </w:rPr>
        <w:t>’</w:t>
      </w:r>
      <w:r w:rsidRPr="004D4888">
        <w:rPr>
          <w:lang w:val="fr-FR"/>
        </w:rPr>
        <w:t>origine et les indications géographiques (ci</w:t>
      </w:r>
      <w:r w:rsidR="00A8217D">
        <w:rPr>
          <w:lang w:val="fr-FR"/>
        </w:rPr>
        <w:t>-</w:t>
      </w:r>
      <w:r w:rsidRPr="004D4888">
        <w:rPr>
          <w:lang w:val="fr-FR"/>
        </w:rPr>
        <w:t xml:space="preserve">après dénommé </w:t>
      </w:r>
      <w:r w:rsidR="00B9481B">
        <w:rPr>
          <w:lang w:val="fr-FR"/>
        </w:rPr>
        <w:t>“</w:t>
      </w:r>
      <w:r w:rsidRPr="004D4888">
        <w:rPr>
          <w:lang w:val="fr-FR"/>
        </w:rPr>
        <w:t>Acte de Genève de l</w:t>
      </w:r>
      <w:r w:rsidR="00A8217D">
        <w:rPr>
          <w:lang w:val="fr-FR"/>
        </w:rPr>
        <w:t>’</w:t>
      </w:r>
      <w:r w:rsidRPr="004D4888">
        <w:rPr>
          <w:lang w:val="fr-FR"/>
        </w:rPr>
        <w:t>Arrangement de Lisbonne</w:t>
      </w:r>
      <w:r w:rsidR="00B9481B">
        <w:rPr>
          <w:lang w:val="fr-FR"/>
        </w:rPr>
        <w:t>”</w:t>
      </w:r>
      <w:r w:rsidRPr="004D4888">
        <w:rPr>
          <w:lang w:val="fr-FR"/>
        </w:rPr>
        <w:t xml:space="preserve">);  2) le cadre juridique du système de Lisbonne </w:t>
      </w:r>
      <w:r w:rsidR="00206175">
        <w:rPr>
          <w:lang w:val="fr-FR"/>
        </w:rPr>
        <w:t>après</w:t>
      </w:r>
      <w:r w:rsidRPr="004D4888">
        <w:rPr>
          <w:lang w:val="fr-FR"/>
        </w:rPr>
        <w:t xml:space="preserve"> l</w:t>
      </w:r>
      <w:r w:rsidR="00A8217D">
        <w:rPr>
          <w:lang w:val="fr-FR"/>
        </w:rPr>
        <w:t>’</w:t>
      </w:r>
      <w:r w:rsidRPr="004D4888">
        <w:rPr>
          <w:lang w:val="fr-FR"/>
        </w:rPr>
        <w:t>adoption de l</w:t>
      </w:r>
      <w:r w:rsidR="00A8217D">
        <w:rPr>
          <w:lang w:val="fr-FR"/>
        </w:rPr>
        <w:t>’</w:t>
      </w:r>
      <w:r w:rsidRPr="004D4888">
        <w:rPr>
          <w:lang w:val="fr-FR"/>
        </w:rPr>
        <w:t xml:space="preserve">Acte de Genève et son entrée en vigueur;  et 3) les </w:t>
      </w:r>
      <w:r w:rsidR="001345DE">
        <w:rPr>
          <w:lang w:val="fr-FR"/>
        </w:rPr>
        <w:t xml:space="preserve">discussions </w:t>
      </w:r>
      <w:r w:rsidRPr="004D4888">
        <w:rPr>
          <w:lang w:val="fr-FR"/>
        </w:rPr>
        <w:t>en cours concernant la viabilité financière de l</w:t>
      </w:r>
      <w:r w:rsidR="00A8217D">
        <w:rPr>
          <w:lang w:val="fr-FR"/>
        </w:rPr>
        <w:t>’</w:t>
      </w:r>
      <w:r w:rsidRPr="004D4888">
        <w:rPr>
          <w:lang w:val="fr-FR"/>
        </w:rPr>
        <w:t>Union de Lisbonne</w:t>
      </w:r>
      <w:r w:rsidR="00C16A6E" w:rsidRPr="000F6D3D">
        <w:rPr>
          <w:szCs w:val="22"/>
          <w:lang w:val="fr-FR"/>
        </w:rPr>
        <w:t>.</w:t>
      </w:r>
    </w:p>
    <w:p w14:paraId="2AC79E22" w14:textId="77777777" w:rsidR="00863EE5" w:rsidRDefault="00F77EF5">
      <w:pPr>
        <w:rPr>
          <w:szCs w:val="22"/>
          <w:lang w:val="fr-FR"/>
        </w:rPr>
      </w:pPr>
      <w:r w:rsidRPr="000F6D3D">
        <w:rPr>
          <w:szCs w:val="22"/>
          <w:lang w:val="fr-FR"/>
        </w:rPr>
        <w:br w:type="page"/>
      </w:r>
    </w:p>
    <w:p w14:paraId="71735227" w14:textId="0FF19040" w:rsidR="00863EE5" w:rsidRDefault="00BA3CF8" w:rsidP="005C582A">
      <w:pPr>
        <w:pStyle w:val="ONUME"/>
        <w:numPr>
          <w:ilvl w:val="0"/>
          <w:numId w:val="0"/>
        </w:numPr>
        <w:spacing w:after="240"/>
        <w:rPr>
          <w:szCs w:val="22"/>
          <w:lang w:val="fr-FR"/>
        </w:rPr>
      </w:pPr>
      <w:r w:rsidRPr="000F6D3D">
        <w:rPr>
          <w:szCs w:val="22"/>
          <w:lang w:val="fr-FR"/>
        </w:rPr>
        <w:lastRenderedPageBreak/>
        <w:t>ENTR</w:t>
      </w:r>
      <w:r w:rsidR="004D4888">
        <w:rPr>
          <w:szCs w:val="22"/>
          <w:lang w:val="fr-FR"/>
        </w:rPr>
        <w:t>ÉE EN VIGUEUR DE L</w:t>
      </w:r>
      <w:r w:rsidR="00A8217D">
        <w:rPr>
          <w:szCs w:val="22"/>
          <w:lang w:val="fr-FR"/>
        </w:rPr>
        <w:t>’</w:t>
      </w:r>
      <w:r w:rsidR="004D4888">
        <w:rPr>
          <w:szCs w:val="22"/>
          <w:lang w:val="fr-FR"/>
        </w:rPr>
        <w:t>ACTE DE GENÈVE DE L</w:t>
      </w:r>
      <w:r w:rsidR="00A8217D">
        <w:rPr>
          <w:szCs w:val="22"/>
          <w:lang w:val="fr-FR"/>
        </w:rPr>
        <w:t>’</w:t>
      </w:r>
      <w:r w:rsidR="004D4888">
        <w:rPr>
          <w:szCs w:val="22"/>
          <w:lang w:val="fr-FR"/>
        </w:rPr>
        <w:t>ARRANGEMENT DE LISBONNE</w:t>
      </w:r>
    </w:p>
    <w:p w14:paraId="330F93A1" w14:textId="6CD4B684" w:rsidR="00A8217D" w:rsidRDefault="005A6762" w:rsidP="005A6762">
      <w:pPr>
        <w:pStyle w:val="ONUME"/>
        <w:rPr>
          <w:lang w:val="fr-FR"/>
        </w:rPr>
      </w:pPr>
      <w:r w:rsidRPr="005A6762">
        <w:rPr>
          <w:lang w:val="fr-FR"/>
        </w:rPr>
        <w:t>Conformément à une décision prise par l</w:t>
      </w:r>
      <w:r w:rsidR="00A8217D">
        <w:rPr>
          <w:lang w:val="fr-FR"/>
        </w:rPr>
        <w:t>’</w:t>
      </w:r>
      <w:r w:rsidRPr="005A6762">
        <w:rPr>
          <w:lang w:val="fr-FR"/>
        </w:rPr>
        <w:t>Assemblée de l</w:t>
      </w:r>
      <w:r w:rsidR="00A8217D">
        <w:rPr>
          <w:lang w:val="fr-FR"/>
        </w:rPr>
        <w:t>’</w:t>
      </w:r>
      <w:r w:rsidRPr="005A6762">
        <w:rPr>
          <w:lang w:val="fr-FR"/>
        </w:rPr>
        <w:t>Union de Lisbonne à sa vingt</w:t>
      </w:r>
      <w:r w:rsidR="006D720A">
        <w:rPr>
          <w:lang w:val="fr-FR"/>
        </w:rPr>
        <w:noBreakHyphen/>
      </w:r>
      <w:r w:rsidRPr="005A6762">
        <w:rPr>
          <w:lang w:val="fr-FR"/>
        </w:rPr>
        <w:t>neuv</w:t>
      </w:r>
      <w:r w:rsidR="00A8217D">
        <w:rPr>
          <w:lang w:val="fr-FR"/>
        </w:rPr>
        <w:t>ième session</w:t>
      </w:r>
      <w:r w:rsidRPr="005A6762">
        <w:rPr>
          <w:lang w:val="fr-FR"/>
        </w:rPr>
        <w:t xml:space="preserve"> (20</w:t>
      </w:r>
      <w:r w:rsidR="00206175" w:rsidRPr="00206175">
        <w:rPr>
          <w:vertAlign w:val="superscript"/>
          <w:lang w:val="fr-FR"/>
        </w:rPr>
        <w:t>e</w:t>
      </w:r>
      <w:r w:rsidR="00206175">
        <w:rPr>
          <w:lang w:val="fr-FR"/>
        </w:rPr>
        <w:t> </w:t>
      </w:r>
      <w:r w:rsidRPr="005A6762">
        <w:rPr>
          <w:lang w:val="fr-FR"/>
        </w:rPr>
        <w:t>session ordinaire) (23</w:t>
      </w:r>
      <w:r w:rsidR="00206175">
        <w:rPr>
          <w:lang w:val="fr-FR"/>
        </w:rPr>
        <w:t> </w:t>
      </w:r>
      <w:r w:rsidRPr="005A6762">
        <w:rPr>
          <w:lang w:val="fr-FR"/>
        </w:rPr>
        <w:t>septembre – 2</w:t>
      </w:r>
      <w:r w:rsidR="00206175">
        <w:rPr>
          <w:lang w:val="fr-FR"/>
        </w:rPr>
        <w:t> </w:t>
      </w:r>
      <w:r w:rsidRPr="005A6762">
        <w:rPr>
          <w:lang w:val="fr-FR"/>
        </w:rPr>
        <w:t>octobre</w:t>
      </w:r>
      <w:r w:rsidR="00206175">
        <w:rPr>
          <w:lang w:val="fr-FR"/>
        </w:rPr>
        <w:t> </w:t>
      </w:r>
      <w:r w:rsidRPr="005A6762">
        <w:rPr>
          <w:lang w:val="fr-FR"/>
        </w:rPr>
        <w:t>2013) (paragraphe</w:t>
      </w:r>
      <w:r w:rsidR="00206175">
        <w:rPr>
          <w:lang w:val="fr-FR"/>
        </w:rPr>
        <w:t> </w:t>
      </w:r>
      <w:r w:rsidRPr="005A6762">
        <w:rPr>
          <w:lang w:val="fr-FR"/>
        </w:rPr>
        <w:t>29.ii) du document</w:t>
      </w:r>
      <w:r w:rsidR="00D41E55">
        <w:rPr>
          <w:lang w:val="fr-FR"/>
        </w:rPr>
        <w:t> </w:t>
      </w:r>
      <w:r w:rsidRPr="005A6762">
        <w:rPr>
          <w:lang w:val="fr-FR"/>
        </w:rPr>
        <w:t>LI/A/29/2), la Conférence diplomatique pour l</w:t>
      </w:r>
      <w:r w:rsidR="00A8217D">
        <w:rPr>
          <w:lang w:val="fr-FR"/>
        </w:rPr>
        <w:t>’</w:t>
      </w:r>
      <w:r w:rsidRPr="005A6762">
        <w:rPr>
          <w:lang w:val="fr-FR"/>
        </w:rPr>
        <w:t>adoption d</w:t>
      </w:r>
      <w:r w:rsidR="00A8217D">
        <w:rPr>
          <w:lang w:val="fr-FR"/>
        </w:rPr>
        <w:t>’</w:t>
      </w:r>
      <w:r w:rsidRPr="005A6762">
        <w:rPr>
          <w:lang w:val="fr-FR"/>
        </w:rPr>
        <w:t xml:space="preserve">un nouvel </w:t>
      </w:r>
      <w:r>
        <w:rPr>
          <w:lang w:val="fr-FR"/>
        </w:rPr>
        <w:t>A</w:t>
      </w:r>
      <w:r w:rsidRPr="005A6762">
        <w:rPr>
          <w:lang w:val="fr-FR"/>
        </w:rPr>
        <w:t>cte de l</w:t>
      </w:r>
      <w:r w:rsidR="00A8217D">
        <w:rPr>
          <w:lang w:val="fr-FR"/>
        </w:rPr>
        <w:t>’</w:t>
      </w:r>
      <w:r w:rsidRPr="005A6762">
        <w:rPr>
          <w:lang w:val="fr-FR"/>
        </w:rPr>
        <w:t xml:space="preserve">Arrangement de Lisbonne </w:t>
      </w:r>
      <w:r w:rsidR="0059183E">
        <w:rPr>
          <w:lang w:val="fr-FR"/>
        </w:rPr>
        <w:t>concernant</w:t>
      </w:r>
      <w:r w:rsidRPr="005A6762">
        <w:rPr>
          <w:lang w:val="fr-FR"/>
        </w:rPr>
        <w:t xml:space="preserve"> la protection des appellations d</w:t>
      </w:r>
      <w:r w:rsidR="00A8217D">
        <w:rPr>
          <w:lang w:val="fr-FR"/>
        </w:rPr>
        <w:t>’</w:t>
      </w:r>
      <w:r w:rsidRPr="005A6762">
        <w:rPr>
          <w:lang w:val="fr-FR"/>
        </w:rPr>
        <w:t xml:space="preserve">origine et leur enregistrement international a été convoquée </w:t>
      </w:r>
      <w:r w:rsidR="00206175" w:rsidRPr="005A6762">
        <w:rPr>
          <w:lang w:val="fr-FR"/>
        </w:rPr>
        <w:t>au siège de l</w:t>
      </w:r>
      <w:r w:rsidR="00A8217D">
        <w:rPr>
          <w:lang w:val="fr-FR"/>
        </w:rPr>
        <w:t>’</w:t>
      </w:r>
      <w:r w:rsidR="00206175" w:rsidRPr="005A6762">
        <w:rPr>
          <w:lang w:val="fr-FR"/>
        </w:rPr>
        <w:t xml:space="preserve">Organisation </w:t>
      </w:r>
      <w:r w:rsidR="00B1206B">
        <w:rPr>
          <w:lang w:val="fr-FR"/>
        </w:rPr>
        <w:t>M</w:t>
      </w:r>
      <w:r w:rsidR="00206175" w:rsidRPr="005A6762">
        <w:rPr>
          <w:lang w:val="fr-FR"/>
        </w:rPr>
        <w:t xml:space="preserve">ondiale de la </w:t>
      </w:r>
      <w:r w:rsidR="00B1206B">
        <w:rPr>
          <w:lang w:val="fr-FR"/>
        </w:rPr>
        <w:t>P</w:t>
      </w:r>
      <w:r w:rsidR="00206175" w:rsidRPr="005A6762">
        <w:rPr>
          <w:lang w:val="fr-FR"/>
        </w:rPr>
        <w:t xml:space="preserve">ropriété </w:t>
      </w:r>
      <w:r w:rsidR="00B1206B">
        <w:rPr>
          <w:lang w:val="fr-FR"/>
        </w:rPr>
        <w:t>I</w:t>
      </w:r>
      <w:r w:rsidR="00206175" w:rsidRPr="005A6762">
        <w:rPr>
          <w:lang w:val="fr-FR"/>
        </w:rPr>
        <w:t>ntellectuelle (OMPI)</w:t>
      </w:r>
      <w:r w:rsidR="00206175">
        <w:rPr>
          <w:lang w:val="fr-FR"/>
        </w:rPr>
        <w:t xml:space="preserve"> </w:t>
      </w:r>
      <w:r w:rsidRPr="005A6762">
        <w:rPr>
          <w:lang w:val="fr-FR"/>
        </w:rPr>
        <w:t>à Genève, du 11 au 21</w:t>
      </w:r>
      <w:r w:rsidR="00206175">
        <w:rPr>
          <w:lang w:val="fr-FR"/>
        </w:rPr>
        <w:t> mai </w:t>
      </w:r>
      <w:r w:rsidRPr="005A6762">
        <w:rPr>
          <w:lang w:val="fr-FR"/>
        </w:rPr>
        <w:t>2015</w:t>
      </w:r>
      <w:r w:rsidR="00A65A52" w:rsidRPr="000F6D3D">
        <w:rPr>
          <w:lang w:val="fr-FR"/>
        </w:rPr>
        <w:t>.</w:t>
      </w:r>
    </w:p>
    <w:p w14:paraId="217CBF4F" w14:textId="2993EC19" w:rsidR="00863EE5" w:rsidRPr="00141DC7" w:rsidRDefault="0060200C" w:rsidP="0060200C">
      <w:pPr>
        <w:pStyle w:val="ONUME"/>
        <w:rPr>
          <w:lang w:val="fr-FR"/>
        </w:rPr>
      </w:pPr>
      <w:r>
        <w:rPr>
          <w:lang w:val="fr-FR"/>
        </w:rPr>
        <w:t>Le 20 mai </w:t>
      </w:r>
      <w:r w:rsidR="00BA3CF8" w:rsidRPr="000F6D3D">
        <w:rPr>
          <w:lang w:val="fr-FR"/>
        </w:rPr>
        <w:t xml:space="preserve">2015, </w:t>
      </w:r>
      <w:r>
        <w:rPr>
          <w:lang w:val="fr-FR"/>
        </w:rPr>
        <w:t>la conférence diplomatique a adopté l</w:t>
      </w:r>
      <w:r w:rsidR="00A8217D">
        <w:rPr>
          <w:lang w:val="fr-FR"/>
        </w:rPr>
        <w:t>’</w:t>
      </w:r>
      <w:r>
        <w:rPr>
          <w:lang w:val="fr-FR"/>
        </w:rPr>
        <w:t>Acte de Genève de l</w:t>
      </w:r>
      <w:r w:rsidR="00A8217D">
        <w:rPr>
          <w:lang w:val="fr-FR"/>
        </w:rPr>
        <w:t>’</w:t>
      </w:r>
      <w:r>
        <w:rPr>
          <w:lang w:val="fr-FR"/>
        </w:rPr>
        <w:t xml:space="preserve">Arrangement de Lisbonne et le règlement </w:t>
      </w:r>
      <w:r w:rsidRPr="0060200C">
        <w:rPr>
          <w:szCs w:val="22"/>
          <w:lang w:val="fr-FR"/>
        </w:rPr>
        <w:t>d</w:t>
      </w:r>
      <w:r w:rsidR="00A8217D">
        <w:rPr>
          <w:szCs w:val="22"/>
          <w:lang w:val="fr-FR"/>
        </w:rPr>
        <w:t>’</w:t>
      </w:r>
      <w:r w:rsidRPr="0060200C">
        <w:rPr>
          <w:szCs w:val="22"/>
          <w:lang w:val="fr-FR"/>
        </w:rPr>
        <w:t>exécution de l</w:t>
      </w:r>
      <w:r w:rsidR="00A8217D">
        <w:rPr>
          <w:szCs w:val="22"/>
          <w:lang w:val="fr-FR"/>
        </w:rPr>
        <w:t>’</w:t>
      </w:r>
      <w:r w:rsidRPr="0060200C">
        <w:rPr>
          <w:szCs w:val="22"/>
          <w:lang w:val="fr-FR"/>
        </w:rPr>
        <w:t>Acte de Genève de l</w:t>
      </w:r>
      <w:r w:rsidR="00A8217D">
        <w:rPr>
          <w:szCs w:val="22"/>
          <w:lang w:val="fr-FR"/>
        </w:rPr>
        <w:t>’</w:t>
      </w:r>
      <w:r w:rsidRPr="0060200C">
        <w:rPr>
          <w:szCs w:val="22"/>
          <w:lang w:val="fr-FR"/>
        </w:rPr>
        <w:t xml:space="preserve">Arrangement de Lisbonne </w:t>
      </w:r>
      <w:r w:rsidR="00C16A6E" w:rsidRPr="000F6D3D">
        <w:rPr>
          <w:lang w:val="fr-FR"/>
        </w:rPr>
        <w:t>(</w:t>
      </w:r>
      <w:r w:rsidR="00A8217D" w:rsidRPr="000F6D3D">
        <w:rPr>
          <w:lang w:val="fr-FR"/>
        </w:rPr>
        <w:t>document</w:t>
      </w:r>
      <w:r w:rsidR="000A40C9">
        <w:rPr>
          <w:lang w:val="fr-FR"/>
        </w:rPr>
        <w:t>s</w:t>
      </w:r>
      <w:r w:rsidR="00D41E55">
        <w:rPr>
          <w:lang w:val="fr-FR"/>
        </w:rPr>
        <w:t> </w:t>
      </w:r>
      <w:r w:rsidR="00A8217D" w:rsidRPr="000F6D3D">
        <w:rPr>
          <w:lang w:val="fr-FR"/>
        </w:rPr>
        <w:t>LI</w:t>
      </w:r>
      <w:r w:rsidR="00C16A6E" w:rsidRPr="000F6D3D">
        <w:rPr>
          <w:lang w:val="fr-FR"/>
        </w:rPr>
        <w:t>/DC/19</w:t>
      </w:r>
      <w:r w:rsidR="000A40C9">
        <w:rPr>
          <w:lang w:val="fr-FR"/>
        </w:rPr>
        <w:t xml:space="preserve"> </w:t>
      </w:r>
      <w:r w:rsidR="000A40C9" w:rsidRPr="00141DC7">
        <w:rPr>
          <w:lang w:val="fr-FR"/>
        </w:rPr>
        <w:t>et LI/DC/19 CORR.</w:t>
      </w:r>
      <w:r w:rsidR="00C16A6E" w:rsidRPr="00141DC7">
        <w:rPr>
          <w:lang w:val="fr-FR"/>
        </w:rPr>
        <w:t>).</w:t>
      </w:r>
    </w:p>
    <w:p w14:paraId="00E6B58D" w14:textId="27BCAC0D" w:rsidR="00863EE5" w:rsidRDefault="0060200C" w:rsidP="0060200C">
      <w:pPr>
        <w:pStyle w:val="ONUME"/>
        <w:rPr>
          <w:lang w:val="fr-FR"/>
        </w:rPr>
      </w:pPr>
      <w:r w:rsidRPr="0060200C">
        <w:rPr>
          <w:szCs w:val="22"/>
          <w:lang w:val="fr-FR"/>
        </w:rPr>
        <w:t>Des instruments de ratification de l</w:t>
      </w:r>
      <w:r w:rsidR="00A8217D">
        <w:rPr>
          <w:szCs w:val="22"/>
          <w:lang w:val="fr-FR"/>
        </w:rPr>
        <w:t>’</w:t>
      </w:r>
      <w:r w:rsidRPr="0060200C">
        <w:rPr>
          <w:szCs w:val="22"/>
          <w:lang w:val="fr-FR"/>
        </w:rPr>
        <w:t>Acte de Genève de l</w:t>
      </w:r>
      <w:r w:rsidR="00A8217D">
        <w:rPr>
          <w:szCs w:val="22"/>
          <w:lang w:val="fr-FR"/>
        </w:rPr>
        <w:t>’</w:t>
      </w:r>
      <w:r w:rsidRPr="0060200C">
        <w:rPr>
          <w:szCs w:val="22"/>
          <w:lang w:val="fr-FR"/>
        </w:rPr>
        <w:t>Arrangement de Lisbonne ou d</w:t>
      </w:r>
      <w:r w:rsidR="00A8217D">
        <w:rPr>
          <w:szCs w:val="22"/>
          <w:lang w:val="fr-FR"/>
        </w:rPr>
        <w:t>’</w:t>
      </w:r>
      <w:r w:rsidRPr="0060200C">
        <w:rPr>
          <w:szCs w:val="22"/>
          <w:lang w:val="fr-FR"/>
        </w:rPr>
        <w:t>adhésion à cet acte ont été déposés</w:t>
      </w:r>
      <w:r w:rsidR="00A8217D">
        <w:rPr>
          <w:szCs w:val="22"/>
          <w:lang w:val="fr-FR"/>
        </w:rPr>
        <w:t> :</w:t>
      </w:r>
    </w:p>
    <w:p w14:paraId="1107B62F" w14:textId="77777777" w:rsidR="00863EE5" w:rsidRDefault="0060200C" w:rsidP="0060200C">
      <w:pPr>
        <w:pStyle w:val="Default"/>
        <w:numPr>
          <w:ilvl w:val="0"/>
          <w:numId w:val="12"/>
        </w:numPr>
        <w:rPr>
          <w:sz w:val="22"/>
          <w:szCs w:val="22"/>
          <w:lang w:val="fr-FR"/>
        </w:rPr>
      </w:pPr>
      <w:r w:rsidRPr="0060200C">
        <w:rPr>
          <w:sz w:val="22"/>
          <w:szCs w:val="22"/>
          <w:lang w:val="fr-FR"/>
        </w:rPr>
        <w:t>le 9</w:t>
      </w:r>
      <w:r>
        <w:rPr>
          <w:sz w:val="22"/>
          <w:szCs w:val="22"/>
          <w:lang w:val="fr-FR"/>
        </w:rPr>
        <w:t> </w:t>
      </w:r>
      <w:r w:rsidRPr="0060200C">
        <w:rPr>
          <w:sz w:val="22"/>
          <w:szCs w:val="22"/>
          <w:lang w:val="fr-FR"/>
        </w:rPr>
        <w:t>mars</w:t>
      </w:r>
      <w:r>
        <w:rPr>
          <w:sz w:val="22"/>
          <w:szCs w:val="22"/>
          <w:lang w:val="fr-FR"/>
        </w:rPr>
        <w:t> </w:t>
      </w:r>
      <w:r w:rsidRPr="0060200C">
        <w:rPr>
          <w:sz w:val="22"/>
          <w:szCs w:val="22"/>
          <w:lang w:val="fr-FR"/>
        </w:rPr>
        <w:t>2018 par le Cambodge</w:t>
      </w:r>
      <w:r w:rsidR="00BA3CF8" w:rsidRPr="000F6D3D">
        <w:rPr>
          <w:sz w:val="22"/>
          <w:szCs w:val="22"/>
          <w:lang w:val="fr-FR"/>
        </w:rPr>
        <w:t>;</w:t>
      </w:r>
    </w:p>
    <w:p w14:paraId="3C36D494" w14:textId="71688AD2" w:rsidR="00863EE5" w:rsidRDefault="0060200C" w:rsidP="0060200C">
      <w:pPr>
        <w:pStyle w:val="Default"/>
        <w:numPr>
          <w:ilvl w:val="0"/>
          <w:numId w:val="12"/>
        </w:numPr>
        <w:rPr>
          <w:sz w:val="22"/>
          <w:szCs w:val="22"/>
          <w:lang w:val="fr-FR"/>
        </w:rPr>
      </w:pPr>
      <w:r w:rsidRPr="0060200C">
        <w:rPr>
          <w:sz w:val="22"/>
          <w:szCs w:val="22"/>
          <w:lang w:val="fr-FR"/>
        </w:rPr>
        <w:t>le 26</w:t>
      </w:r>
      <w:r>
        <w:rPr>
          <w:sz w:val="22"/>
          <w:szCs w:val="22"/>
          <w:lang w:val="fr-FR"/>
        </w:rPr>
        <w:t> </w:t>
      </w:r>
      <w:r w:rsidRPr="0060200C">
        <w:rPr>
          <w:sz w:val="22"/>
          <w:szCs w:val="22"/>
          <w:lang w:val="fr-FR"/>
        </w:rPr>
        <w:t>juin</w:t>
      </w:r>
      <w:r>
        <w:rPr>
          <w:sz w:val="22"/>
          <w:szCs w:val="22"/>
          <w:lang w:val="fr-FR"/>
        </w:rPr>
        <w:t> </w:t>
      </w:r>
      <w:r w:rsidRPr="0060200C">
        <w:rPr>
          <w:sz w:val="22"/>
          <w:szCs w:val="22"/>
          <w:lang w:val="fr-FR"/>
        </w:rPr>
        <w:t>2019 par l</w:t>
      </w:r>
      <w:r w:rsidR="00A8217D">
        <w:rPr>
          <w:sz w:val="22"/>
          <w:szCs w:val="22"/>
          <w:lang w:val="fr-FR"/>
        </w:rPr>
        <w:t>’</w:t>
      </w:r>
      <w:r w:rsidRPr="0060200C">
        <w:rPr>
          <w:sz w:val="22"/>
          <w:szCs w:val="22"/>
          <w:lang w:val="fr-FR"/>
        </w:rPr>
        <w:t>Albanie</w:t>
      </w:r>
      <w:r w:rsidR="00BA3CF8" w:rsidRPr="000F6D3D">
        <w:rPr>
          <w:sz w:val="22"/>
          <w:szCs w:val="22"/>
          <w:lang w:val="fr-FR"/>
        </w:rPr>
        <w:t>;</w:t>
      </w:r>
    </w:p>
    <w:p w14:paraId="1555E38E" w14:textId="77777777" w:rsidR="00863EE5" w:rsidRDefault="0060200C" w:rsidP="0060200C">
      <w:pPr>
        <w:pStyle w:val="Default"/>
        <w:numPr>
          <w:ilvl w:val="0"/>
          <w:numId w:val="12"/>
        </w:numPr>
        <w:rPr>
          <w:sz w:val="22"/>
          <w:szCs w:val="22"/>
          <w:lang w:val="fr-FR"/>
        </w:rPr>
      </w:pPr>
      <w:r w:rsidRPr="0060200C">
        <w:rPr>
          <w:sz w:val="22"/>
          <w:szCs w:val="22"/>
          <w:lang w:val="fr-FR"/>
        </w:rPr>
        <w:t>le 2</w:t>
      </w:r>
      <w:r>
        <w:rPr>
          <w:sz w:val="22"/>
          <w:szCs w:val="22"/>
          <w:lang w:val="fr-FR"/>
        </w:rPr>
        <w:t> </w:t>
      </w:r>
      <w:r w:rsidRPr="0060200C">
        <w:rPr>
          <w:sz w:val="22"/>
          <w:szCs w:val="22"/>
          <w:lang w:val="fr-FR"/>
        </w:rPr>
        <w:t>octobre</w:t>
      </w:r>
      <w:r>
        <w:rPr>
          <w:sz w:val="22"/>
          <w:szCs w:val="22"/>
          <w:lang w:val="fr-FR"/>
        </w:rPr>
        <w:t> </w:t>
      </w:r>
      <w:r w:rsidRPr="0060200C">
        <w:rPr>
          <w:sz w:val="22"/>
          <w:szCs w:val="22"/>
          <w:lang w:val="fr-FR"/>
        </w:rPr>
        <w:t>2019 par le Samoa</w:t>
      </w:r>
      <w:r w:rsidR="00BA3CF8" w:rsidRPr="000F6D3D">
        <w:rPr>
          <w:sz w:val="22"/>
          <w:szCs w:val="22"/>
          <w:lang w:val="fr-FR"/>
        </w:rPr>
        <w:t>;</w:t>
      </w:r>
    </w:p>
    <w:p w14:paraId="09FA071B" w14:textId="77777777" w:rsidR="00863EE5" w:rsidRDefault="0060200C" w:rsidP="0060200C">
      <w:pPr>
        <w:pStyle w:val="Default"/>
        <w:numPr>
          <w:ilvl w:val="0"/>
          <w:numId w:val="12"/>
        </w:numPr>
        <w:rPr>
          <w:sz w:val="22"/>
          <w:szCs w:val="22"/>
          <w:lang w:val="fr-FR"/>
        </w:rPr>
      </w:pPr>
      <w:r w:rsidRPr="0060200C">
        <w:rPr>
          <w:sz w:val="22"/>
          <w:szCs w:val="22"/>
          <w:lang w:val="fr-FR"/>
        </w:rPr>
        <w:t>le 8</w:t>
      </w:r>
      <w:r>
        <w:rPr>
          <w:sz w:val="22"/>
          <w:szCs w:val="22"/>
          <w:lang w:val="fr-FR"/>
        </w:rPr>
        <w:t> </w:t>
      </w:r>
      <w:r w:rsidRPr="0060200C">
        <w:rPr>
          <w:sz w:val="22"/>
          <w:szCs w:val="22"/>
          <w:lang w:val="fr-FR"/>
        </w:rPr>
        <w:t>octobre</w:t>
      </w:r>
      <w:r>
        <w:rPr>
          <w:sz w:val="22"/>
          <w:szCs w:val="22"/>
          <w:lang w:val="fr-FR"/>
        </w:rPr>
        <w:t> </w:t>
      </w:r>
      <w:r w:rsidRPr="0060200C">
        <w:rPr>
          <w:sz w:val="22"/>
          <w:szCs w:val="22"/>
          <w:lang w:val="fr-FR"/>
        </w:rPr>
        <w:t xml:space="preserve">2019 par la République populaire démocratique de Corée; </w:t>
      </w:r>
      <w:r>
        <w:rPr>
          <w:sz w:val="22"/>
          <w:szCs w:val="22"/>
          <w:lang w:val="fr-FR"/>
        </w:rPr>
        <w:t xml:space="preserve"> </w:t>
      </w:r>
      <w:r w:rsidRPr="0060200C">
        <w:rPr>
          <w:sz w:val="22"/>
          <w:szCs w:val="22"/>
          <w:lang w:val="fr-FR"/>
        </w:rPr>
        <w:t>et</w:t>
      </w:r>
    </w:p>
    <w:p w14:paraId="126EDF48" w14:textId="42BA4959" w:rsidR="00863EE5" w:rsidRDefault="0060200C" w:rsidP="0060200C">
      <w:pPr>
        <w:pStyle w:val="Default"/>
        <w:numPr>
          <w:ilvl w:val="0"/>
          <w:numId w:val="12"/>
        </w:numPr>
        <w:spacing w:after="240"/>
        <w:rPr>
          <w:sz w:val="22"/>
          <w:szCs w:val="22"/>
          <w:lang w:val="fr-FR"/>
        </w:rPr>
      </w:pPr>
      <w:r w:rsidRPr="0060200C">
        <w:rPr>
          <w:sz w:val="22"/>
          <w:szCs w:val="22"/>
          <w:lang w:val="fr-FR"/>
        </w:rPr>
        <w:t>le 26</w:t>
      </w:r>
      <w:r>
        <w:rPr>
          <w:sz w:val="22"/>
          <w:szCs w:val="22"/>
          <w:lang w:val="fr-FR"/>
        </w:rPr>
        <w:t> </w:t>
      </w:r>
      <w:r w:rsidRPr="0060200C">
        <w:rPr>
          <w:sz w:val="22"/>
          <w:szCs w:val="22"/>
          <w:lang w:val="fr-FR"/>
        </w:rPr>
        <w:t>novembre</w:t>
      </w:r>
      <w:r>
        <w:rPr>
          <w:sz w:val="22"/>
          <w:szCs w:val="22"/>
          <w:lang w:val="fr-FR"/>
        </w:rPr>
        <w:t> </w:t>
      </w:r>
      <w:r w:rsidRPr="0060200C">
        <w:rPr>
          <w:sz w:val="22"/>
          <w:szCs w:val="22"/>
          <w:lang w:val="fr-FR"/>
        </w:rPr>
        <w:t>2019 par l</w:t>
      </w:r>
      <w:r w:rsidR="00A8217D">
        <w:rPr>
          <w:sz w:val="22"/>
          <w:szCs w:val="22"/>
          <w:lang w:val="fr-FR"/>
        </w:rPr>
        <w:t>’</w:t>
      </w:r>
      <w:r w:rsidRPr="0060200C">
        <w:rPr>
          <w:sz w:val="22"/>
          <w:szCs w:val="22"/>
          <w:lang w:val="fr-FR"/>
        </w:rPr>
        <w:t>Union européenne</w:t>
      </w:r>
      <w:r w:rsidR="00BA3CF8" w:rsidRPr="000F6D3D">
        <w:rPr>
          <w:sz w:val="22"/>
          <w:szCs w:val="22"/>
          <w:lang w:val="fr-FR"/>
        </w:rPr>
        <w:t>.</w:t>
      </w:r>
    </w:p>
    <w:p w14:paraId="3B15EC7F" w14:textId="1B263D0B" w:rsidR="00A8217D" w:rsidRDefault="0060200C" w:rsidP="003059EA">
      <w:pPr>
        <w:pStyle w:val="ONUME"/>
        <w:numPr>
          <w:ilvl w:val="0"/>
          <w:numId w:val="0"/>
        </w:numPr>
        <w:rPr>
          <w:lang w:val="fr-FR"/>
        </w:rPr>
      </w:pPr>
      <w:r w:rsidRPr="0060200C">
        <w:rPr>
          <w:szCs w:val="22"/>
          <w:lang w:val="fr-FR"/>
        </w:rPr>
        <w:t xml:space="preserve">Par conséquent, conformément </w:t>
      </w:r>
      <w:r w:rsidR="001345DE">
        <w:rPr>
          <w:szCs w:val="22"/>
          <w:lang w:val="fr-FR"/>
        </w:rPr>
        <w:t xml:space="preserve">à </w:t>
      </w:r>
      <w:r w:rsidRPr="0060200C">
        <w:rPr>
          <w:szCs w:val="22"/>
          <w:lang w:val="fr-FR"/>
        </w:rPr>
        <w:t>l</w:t>
      </w:r>
      <w:r w:rsidR="00A8217D">
        <w:rPr>
          <w:szCs w:val="22"/>
          <w:lang w:val="fr-FR"/>
        </w:rPr>
        <w:t>’</w:t>
      </w:r>
      <w:r w:rsidRPr="0060200C">
        <w:rPr>
          <w:szCs w:val="22"/>
          <w:lang w:val="fr-FR"/>
        </w:rPr>
        <w:t>article</w:t>
      </w:r>
      <w:r>
        <w:rPr>
          <w:szCs w:val="22"/>
          <w:lang w:val="fr-FR"/>
        </w:rPr>
        <w:t> </w:t>
      </w:r>
      <w:r w:rsidRPr="0060200C">
        <w:rPr>
          <w:szCs w:val="22"/>
          <w:lang w:val="fr-FR"/>
        </w:rPr>
        <w:t>29.2) de l</w:t>
      </w:r>
      <w:r w:rsidR="00A8217D">
        <w:rPr>
          <w:szCs w:val="22"/>
          <w:lang w:val="fr-FR"/>
        </w:rPr>
        <w:t>’</w:t>
      </w:r>
      <w:r w:rsidRPr="0060200C">
        <w:rPr>
          <w:szCs w:val="22"/>
          <w:lang w:val="fr-FR"/>
        </w:rPr>
        <w:t>Acte de Genève de l</w:t>
      </w:r>
      <w:r w:rsidR="00A8217D">
        <w:rPr>
          <w:szCs w:val="22"/>
          <w:lang w:val="fr-FR"/>
        </w:rPr>
        <w:t>’</w:t>
      </w:r>
      <w:r w:rsidRPr="0060200C">
        <w:rPr>
          <w:szCs w:val="22"/>
          <w:lang w:val="fr-FR"/>
        </w:rPr>
        <w:t>Arrangement de Lisbonne, l</w:t>
      </w:r>
      <w:r w:rsidR="00A8217D">
        <w:rPr>
          <w:szCs w:val="22"/>
          <w:lang w:val="fr-FR"/>
        </w:rPr>
        <w:t>’</w:t>
      </w:r>
      <w:r w:rsidRPr="0060200C">
        <w:rPr>
          <w:szCs w:val="22"/>
          <w:lang w:val="fr-FR"/>
        </w:rPr>
        <w:t xml:space="preserve">Acte </w:t>
      </w:r>
      <w:r w:rsidR="001345DE">
        <w:rPr>
          <w:szCs w:val="22"/>
          <w:lang w:val="fr-FR"/>
        </w:rPr>
        <w:t xml:space="preserve">est entré </w:t>
      </w:r>
      <w:r w:rsidRPr="0060200C">
        <w:rPr>
          <w:szCs w:val="22"/>
          <w:lang w:val="fr-FR"/>
        </w:rPr>
        <w:t>en vigueur le 26</w:t>
      </w:r>
      <w:r>
        <w:rPr>
          <w:szCs w:val="22"/>
          <w:lang w:val="fr-FR"/>
        </w:rPr>
        <w:t> </w:t>
      </w:r>
      <w:r w:rsidRPr="0060200C">
        <w:rPr>
          <w:szCs w:val="22"/>
          <w:lang w:val="fr-FR"/>
        </w:rPr>
        <w:t>février</w:t>
      </w:r>
      <w:r>
        <w:rPr>
          <w:szCs w:val="22"/>
          <w:lang w:val="fr-FR"/>
        </w:rPr>
        <w:t> </w:t>
      </w:r>
      <w:r w:rsidRPr="0060200C">
        <w:rPr>
          <w:szCs w:val="22"/>
          <w:lang w:val="fr-FR"/>
        </w:rPr>
        <w:t xml:space="preserve">2020 </w:t>
      </w:r>
      <w:r w:rsidR="00A8217D">
        <w:rPr>
          <w:szCs w:val="22"/>
          <w:lang w:val="fr-FR"/>
        </w:rPr>
        <w:t>à l’égard</w:t>
      </w:r>
      <w:r w:rsidRPr="0060200C">
        <w:rPr>
          <w:szCs w:val="22"/>
          <w:lang w:val="fr-FR"/>
        </w:rPr>
        <w:t xml:space="preserve"> des quatre</w:t>
      </w:r>
      <w:r w:rsidR="00F07617">
        <w:rPr>
          <w:szCs w:val="22"/>
          <w:lang w:val="fr-FR"/>
        </w:rPr>
        <w:t> </w:t>
      </w:r>
      <w:r w:rsidRPr="0060200C">
        <w:rPr>
          <w:szCs w:val="22"/>
          <w:lang w:val="fr-FR"/>
        </w:rPr>
        <w:t>États et de l</w:t>
      </w:r>
      <w:r w:rsidR="00A8217D">
        <w:rPr>
          <w:szCs w:val="22"/>
          <w:lang w:val="fr-FR"/>
        </w:rPr>
        <w:t>’</w:t>
      </w:r>
      <w:r w:rsidRPr="0060200C">
        <w:rPr>
          <w:szCs w:val="22"/>
          <w:lang w:val="fr-FR"/>
        </w:rPr>
        <w:t>organisation intergouvernementale susmentionn</w:t>
      </w:r>
      <w:r w:rsidR="00D41E55" w:rsidRPr="0060200C">
        <w:rPr>
          <w:szCs w:val="22"/>
          <w:lang w:val="fr-FR"/>
        </w:rPr>
        <w:t>és</w:t>
      </w:r>
      <w:r w:rsidR="00D41E55">
        <w:rPr>
          <w:szCs w:val="22"/>
          <w:lang w:val="fr-FR"/>
        </w:rPr>
        <w:t xml:space="preserve">.  </w:t>
      </w:r>
      <w:r w:rsidR="00D41E55" w:rsidRPr="00F07617">
        <w:rPr>
          <w:szCs w:val="22"/>
          <w:lang w:val="fr-FR"/>
        </w:rPr>
        <w:t>Un</w:t>
      </w:r>
      <w:r w:rsidR="00F07617" w:rsidRPr="00F07617">
        <w:rPr>
          <w:szCs w:val="22"/>
          <w:lang w:val="fr-FR"/>
        </w:rPr>
        <w:t xml:space="preserve"> instrument d</w:t>
      </w:r>
      <w:r w:rsidR="00A8217D">
        <w:rPr>
          <w:szCs w:val="22"/>
          <w:lang w:val="fr-FR"/>
        </w:rPr>
        <w:t>’</w:t>
      </w:r>
      <w:r w:rsidR="00F07617" w:rsidRPr="00F07617">
        <w:rPr>
          <w:szCs w:val="22"/>
          <w:lang w:val="fr-FR"/>
        </w:rPr>
        <w:t>adhésion a également été déposé, le 28</w:t>
      </w:r>
      <w:r w:rsidR="00F07617">
        <w:rPr>
          <w:szCs w:val="22"/>
          <w:lang w:val="fr-FR"/>
        </w:rPr>
        <w:t> </w:t>
      </w:r>
      <w:r w:rsidR="00F07617" w:rsidRPr="00F07617">
        <w:rPr>
          <w:szCs w:val="22"/>
          <w:lang w:val="fr-FR"/>
        </w:rPr>
        <w:t>septembre</w:t>
      </w:r>
      <w:r w:rsidR="00F07617">
        <w:rPr>
          <w:szCs w:val="22"/>
          <w:lang w:val="fr-FR"/>
        </w:rPr>
        <w:t> </w:t>
      </w:r>
      <w:r w:rsidR="00F07617" w:rsidRPr="00F07617">
        <w:rPr>
          <w:szCs w:val="22"/>
          <w:lang w:val="fr-FR"/>
        </w:rPr>
        <w:t>2018, par la Côte</w:t>
      </w:r>
      <w:r w:rsidR="00F07617">
        <w:rPr>
          <w:szCs w:val="22"/>
          <w:lang w:val="fr-FR"/>
        </w:rPr>
        <w:t> </w:t>
      </w:r>
      <w:r w:rsidR="00F07617" w:rsidRPr="00F07617">
        <w:rPr>
          <w:szCs w:val="22"/>
          <w:lang w:val="fr-FR"/>
        </w:rPr>
        <w:t>d</w:t>
      </w:r>
      <w:r w:rsidR="00A8217D">
        <w:rPr>
          <w:szCs w:val="22"/>
          <w:lang w:val="fr-FR"/>
        </w:rPr>
        <w:t>’</w:t>
      </w:r>
      <w:r w:rsidR="00F07617" w:rsidRPr="00F07617">
        <w:rPr>
          <w:szCs w:val="22"/>
          <w:lang w:val="fr-FR"/>
        </w:rPr>
        <w:t>Ivoi</w:t>
      </w:r>
      <w:r w:rsidR="00D41E55" w:rsidRPr="00F07617">
        <w:rPr>
          <w:szCs w:val="22"/>
          <w:lang w:val="fr-FR"/>
        </w:rPr>
        <w:t>re</w:t>
      </w:r>
      <w:r w:rsidR="00D41E55">
        <w:rPr>
          <w:szCs w:val="22"/>
          <w:lang w:val="fr-FR"/>
        </w:rPr>
        <w:t>.  Co</w:t>
      </w:r>
      <w:r w:rsidR="00F07617">
        <w:rPr>
          <w:szCs w:val="22"/>
          <w:lang w:val="fr-FR"/>
        </w:rPr>
        <w:t>nformément à l</w:t>
      </w:r>
      <w:r w:rsidR="00A8217D">
        <w:rPr>
          <w:szCs w:val="22"/>
          <w:lang w:val="fr-FR"/>
        </w:rPr>
        <w:t>’</w:t>
      </w:r>
      <w:r w:rsidR="00F07617">
        <w:rPr>
          <w:szCs w:val="22"/>
          <w:lang w:val="fr-FR"/>
        </w:rPr>
        <w:t>article </w:t>
      </w:r>
      <w:r w:rsidR="00BA3CF8" w:rsidRPr="000F6D3D">
        <w:rPr>
          <w:szCs w:val="22"/>
          <w:lang w:val="fr-FR"/>
        </w:rPr>
        <w:t>28</w:t>
      </w:r>
      <w:r w:rsidR="00F07617">
        <w:rPr>
          <w:szCs w:val="22"/>
          <w:lang w:val="fr-FR"/>
        </w:rPr>
        <w:t>.</w:t>
      </w:r>
      <w:r w:rsidR="00BA3CF8" w:rsidRPr="000F6D3D">
        <w:rPr>
          <w:szCs w:val="22"/>
          <w:lang w:val="fr-FR"/>
        </w:rPr>
        <w:t>3)b)</w:t>
      </w:r>
      <w:r w:rsidR="00DC6126" w:rsidRPr="000F6D3D">
        <w:rPr>
          <w:szCs w:val="22"/>
          <w:lang w:val="fr-FR"/>
        </w:rPr>
        <w:t xml:space="preserve">, </w:t>
      </w:r>
      <w:r w:rsidR="00F07617">
        <w:rPr>
          <w:szCs w:val="22"/>
          <w:lang w:val="fr-FR"/>
        </w:rPr>
        <w:t>l</w:t>
      </w:r>
      <w:r w:rsidR="00A8217D">
        <w:rPr>
          <w:szCs w:val="22"/>
          <w:lang w:val="fr-FR"/>
        </w:rPr>
        <w:t>’</w:t>
      </w:r>
      <w:r w:rsidR="00F07617">
        <w:rPr>
          <w:szCs w:val="22"/>
          <w:lang w:val="fr-FR"/>
        </w:rPr>
        <w:t xml:space="preserve">adhésion de la </w:t>
      </w:r>
      <w:r w:rsidR="00DC6126" w:rsidRPr="000F6D3D">
        <w:rPr>
          <w:szCs w:val="22"/>
          <w:lang w:val="fr-FR"/>
        </w:rPr>
        <w:t>Côte</w:t>
      </w:r>
      <w:r w:rsidR="00F07617">
        <w:rPr>
          <w:szCs w:val="22"/>
          <w:lang w:val="fr-FR"/>
        </w:rPr>
        <w:t> </w:t>
      </w:r>
      <w:r w:rsidR="00DC6126" w:rsidRPr="000F6D3D">
        <w:rPr>
          <w:szCs w:val="22"/>
          <w:lang w:val="fr-FR"/>
        </w:rPr>
        <w:t>d</w:t>
      </w:r>
      <w:r w:rsidR="00A8217D">
        <w:rPr>
          <w:szCs w:val="22"/>
          <w:lang w:val="fr-FR"/>
        </w:rPr>
        <w:t>’</w:t>
      </w:r>
      <w:r w:rsidR="00DC6126" w:rsidRPr="000F6D3D">
        <w:rPr>
          <w:szCs w:val="22"/>
          <w:lang w:val="fr-FR"/>
        </w:rPr>
        <w:t xml:space="preserve">Ivoire </w:t>
      </w:r>
      <w:r w:rsidR="00F07617">
        <w:rPr>
          <w:szCs w:val="22"/>
          <w:lang w:val="fr-FR"/>
        </w:rPr>
        <w:t>entrera en vigueur trois mois après le dépôt par l</w:t>
      </w:r>
      <w:r w:rsidR="00A8217D">
        <w:rPr>
          <w:szCs w:val="22"/>
          <w:lang w:val="fr-FR"/>
        </w:rPr>
        <w:t>’</w:t>
      </w:r>
      <w:r w:rsidR="00F07617">
        <w:rPr>
          <w:szCs w:val="22"/>
          <w:lang w:val="fr-FR"/>
        </w:rPr>
        <w:t xml:space="preserve">Organisation africaine de la propriété intellectuelle </w:t>
      </w:r>
      <w:r w:rsidR="00DC6126" w:rsidRPr="000F6D3D">
        <w:rPr>
          <w:szCs w:val="22"/>
          <w:lang w:val="fr-FR"/>
        </w:rPr>
        <w:t xml:space="preserve">(OAPI) </w:t>
      </w:r>
      <w:r w:rsidR="00F07617">
        <w:rPr>
          <w:szCs w:val="22"/>
          <w:lang w:val="fr-FR"/>
        </w:rPr>
        <w:t>de son</w:t>
      </w:r>
      <w:r w:rsidR="00DC6126" w:rsidRPr="000F6D3D">
        <w:rPr>
          <w:szCs w:val="22"/>
          <w:lang w:val="fr-FR"/>
        </w:rPr>
        <w:t xml:space="preserve"> instrument </w:t>
      </w:r>
      <w:r w:rsidR="00F07617">
        <w:rPr>
          <w:szCs w:val="22"/>
          <w:lang w:val="fr-FR"/>
        </w:rPr>
        <w:t>d</w:t>
      </w:r>
      <w:r w:rsidR="00A8217D">
        <w:rPr>
          <w:szCs w:val="22"/>
          <w:lang w:val="fr-FR"/>
        </w:rPr>
        <w:t>’</w:t>
      </w:r>
      <w:r w:rsidR="00F07617">
        <w:rPr>
          <w:szCs w:val="22"/>
          <w:lang w:val="fr-FR"/>
        </w:rPr>
        <w:t>adhésion</w:t>
      </w:r>
      <w:r w:rsidR="00BA3CF8" w:rsidRPr="000F6D3D">
        <w:rPr>
          <w:szCs w:val="22"/>
          <w:lang w:val="fr-FR"/>
        </w:rPr>
        <w:t>.</w:t>
      </w:r>
    </w:p>
    <w:p w14:paraId="463D4508" w14:textId="2B4A1F94" w:rsidR="00863EE5" w:rsidRDefault="00863EE5" w:rsidP="00863EE5">
      <w:pPr>
        <w:pStyle w:val="ONUME"/>
        <w:spacing w:after="120"/>
        <w:rPr>
          <w:lang w:val="fr-CH"/>
        </w:rPr>
      </w:pPr>
      <w:r w:rsidRPr="00863EE5">
        <w:rPr>
          <w:color w:val="000000"/>
          <w:lang w:val="fr-CH"/>
        </w:rPr>
        <w:t>Depuis l</w:t>
      </w:r>
      <w:r w:rsidR="00A8217D">
        <w:rPr>
          <w:color w:val="000000"/>
          <w:lang w:val="fr-CH"/>
        </w:rPr>
        <w:t>’</w:t>
      </w:r>
      <w:r w:rsidRPr="00863EE5">
        <w:rPr>
          <w:color w:val="000000"/>
          <w:lang w:val="fr-CH"/>
        </w:rPr>
        <w:t>entrée en vigueur de l</w:t>
      </w:r>
      <w:r w:rsidR="00A8217D">
        <w:rPr>
          <w:color w:val="000000"/>
          <w:lang w:val="fr-CH"/>
        </w:rPr>
        <w:t>’</w:t>
      </w:r>
      <w:r w:rsidRPr="00863EE5">
        <w:rPr>
          <w:color w:val="000000"/>
          <w:lang w:val="fr-CH"/>
        </w:rPr>
        <w:t>Acte de Genève de l</w:t>
      </w:r>
      <w:r w:rsidR="00A8217D">
        <w:rPr>
          <w:color w:val="000000"/>
          <w:lang w:val="fr-CH"/>
        </w:rPr>
        <w:t>’</w:t>
      </w:r>
      <w:r w:rsidRPr="00863EE5">
        <w:rPr>
          <w:color w:val="000000"/>
          <w:lang w:val="fr-CH"/>
        </w:rPr>
        <w:t>Arrangement de Lisbonne le 2</w:t>
      </w:r>
      <w:r w:rsidR="00A8217D" w:rsidRPr="00863EE5">
        <w:rPr>
          <w:color w:val="000000"/>
          <w:lang w:val="fr-CH"/>
        </w:rPr>
        <w:t>6</w:t>
      </w:r>
      <w:r w:rsidR="00A8217D">
        <w:rPr>
          <w:color w:val="000000"/>
          <w:lang w:val="fr-CH"/>
        </w:rPr>
        <w:t> </w:t>
      </w:r>
      <w:r w:rsidR="00A8217D" w:rsidRPr="00863EE5">
        <w:rPr>
          <w:color w:val="000000"/>
          <w:lang w:val="fr-CH"/>
        </w:rPr>
        <w:t>février</w:t>
      </w:r>
      <w:r w:rsidR="00A8217D">
        <w:rPr>
          <w:color w:val="000000"/>
          <w:lang w:val="fr-CH"/>
        </w:rPr>
        <w:t> </w:t>
      </w:r>
      <w:r w:rsidR="00A8217D" w:rsidRPr="00863EE5">
        <w:rPr>
          <w:color w:val="000000"/>
          <w:lang w:val="fr-CH"/>
        </w:rPr>
        <w:t>20</w:t>
      </w:r>
      <w:r w:rsidRPr="00863EE5">
        <w:rPr>
          <w:color w:val="000000"/>
          <w:lang w:val="fr-CH"/>
        </w:rPr>
        <w:t xml:space="preserve">20, les instruments </w:t>
      </w:r>
      <w:r w:rsidR="00555872">
        <w:rPr>
          <w:color w:val="000000"/>
          <w:lang w:val="fr-CH"/>
        </w:rPr>
        <w:t>ci-après</w:t>
      </w:r>
      <w:r w:rsidRPr="00863EE5">
        <w:rPr>
          <w:color w:val="000000"/>
          <w:lang w:val="fr-CH"/>
        </w:rPr>
        <w:t xml:space="preserve"> de ratification ou d</w:t>
      </w:r>
      <w:r w:rsidR="00A8217D">
        <w:rPr>
          <w:color w:val="000000"/>
          <w:lang w:val="fr-CH"/>
        </w:rPr>
        <w:t>’</w:t>
      </w:r>
      <w:r w:rsidRPr="00863EE5">
        <w:rPr>
          <w:color w:val="000000"/>
          <w:lang w:val="fr-CH"/>
        </w:rPr>
        <w:t>adhésion ont été déposés (au 1</w:t>
      </w:r>
      <w:r w:rsidR="00A8217D" w:rsidRPr="00863EE5">
        <w:rPr>
          <w:color w:val="000000"/>
          <w:lang w:val="fr-CH"/>
        </w:rPr>
        <w:t>0</w:t>
      </w:r>
      <w:r w:rsidR="00A8217D">
        <w:rPr>
          <w:color w:val="000000"/>
          <w:lang w:val="fr-CH"/>
        </w:rPr>
        <w:t> </w:t>
      </w:r>
      <w:r w:rsidR="00A8217D" w:rsidRPr="00863EE5">
        <w:rPr>
          <w:color w:val="000000"/>
          <w:lang w:val="fr-CH"/>
        </w:rPr>
        <w:t>juin</w:t>
      </w:r>
      <w:r w:rsidR="00A8217D">
        <w:rPr>
          <w:color w:val="000000"/>
          <w:lang w:val="fr-CH"/>
        </w:rPr>
        <w:t> </w:t>
      </w:r>
      <w:r w:rsidR="00A8217D" w:rsidRPr="00863EE5">
        <w:rPr>
          <w:color w:val="000000"/>
          <w:lang w:val="fr-CH"/>
        </w:rPr>
        <w:t>20</w:t>
      </w:r>
      <w:r w:rsidRPr="00863EE5">
        <w:rPr>
          <w:color w:val="000000"/>
          <w:lang w:val="fr-CH"/>
        </w:rPr>
        <w:t>21)</w:t>
      </w:r>
      <w:r w:rsidR="00A8217D">
        <w:rPr>
          <w:color w:val="000000"/>
          <w:lang w:val="fr-CH"/>
        </w:rPr>
        <w:t> :</w:t>
      </w:r>
    </w:p>
    <w:p w14:paraId="35D9228C" w14:textId="78E46409" w:rsidR="00A8217D" w:rsidRDefault="00863EE5" w:rsidP="00863EE5">
      <w:pPr>
        <w:pStyle w:val="Default"/>
        <w:numPr>
          <w:ilvl w:val="0"/>
          <w:numId w:val="12"/>
        </w:numPr>
        <w:rPr>
          <w:sz w:val="22"/>
          <w:szCs w:val="22"/>
          <w:lang w:val="fr-CH"/>
        </w:rPr>
      </w:pPr>
      <w:r w:rsidRPr="00863EE5">
        <w:rPr>
          <w:sz w:val="22"/>
          <w:szCs w:val="22"/>
          <w:lang w:val="fr-CH"/>
        </w:rPr>
        <w:t xml:space="preserve">le </w:t>
      </w:r>
      <w:r w:rsidR="00555872">
        <w:rPr>
          <w:sz w:val="22"/>
          <w:szCs w:val="22"/>
          <w:lang w:val="fr-CH"/>
        </w:rPr>
        <w:t>2</w:t>
      </w:r>
      <w:r w:rsidR="00A8217D" w:rsidRPr="00863EE5">
        <w:rPr>
          <w:sz w:val="22"/>
          <w:szCs w:val="22"/>
          <w:lang w:val="fr-CH"/>
        </w:rPr>
        <w:t>0</w:t>
      </w:r>
      <w:r w:rsidR="00A8217D">
        <w:rPr>
          <w:sz w:val="22"/>
          <w:szCs w:val="22"/>
          <w:lang w:val="fr-CH"/>
        </w:rPr>
        <w:t> </w:t>
      </w:r>
      <w:r w:rsidR="00A8217D" w:rsidRPr="00863EE5">
        <w:rPr>
          <w:sz w:val="22"/>
          <w:szCs w:val="22"/>
          <w:lang w:val="fr-CH"/>
        </w:rPr>
        <w:t>novembre</w:t>
      </w:r>
      <w:r w:rsidR="00A8217D">
        <w:rPr>
          <w:sz w:val="22"/>
          <w:szCs w:val="22"/>
          <w:lang w:val="fr-CH"/>
        </w:rPr>
        <w:t> </w:t>
      </w:r>
      <w:r w:rsidR="00A8217D" w:rsidRPr="00863EE5">
        <w:rPr>
          <w:sz w:val="22"/>
          <w:szCs w:val="22"/>
          <w:lang w:val="fr-CH"/>
        </w:rPr>
        <w:t>20</w:t>
      </w:r>
      <w:r w:rsidRPr="00863EE5">
        <w:rPr>
          <w:sz w:val="22"/>
          <w:szCs w:val="22"/>
          <w:lang w:val="fr-CH"/>
        </w:rPr>
        <w:t>20 par la République démocratique populaire lao;</w:t>
      </w:r>
    </w:p>
    <w:p w14:paraId="2D944C63" w14:textId="0AF88C4C" w:rsidR="00863EE5" w:rsidRDefault="00863EE5" w:rsidP="00863EE5">
      <w:pPr>
        <w:pStyle w:val="Default"/>
        <w:numPr>
          <w:ilvl w:val="0"/>
          <w:numId w:val="12"/>
        </w:numPr>
        <w:ind w:left="994"/>
        <w:rPr>
          <w:sz w:val="22"/>
          <w:szCs w:val="22"/>
          <w:lang w:val="fr-CH"/>
        </w:rPr>
      </w:pPr>
      <w:r w:rsidRPr="00863EE5">
        <w:rPr>
          <w:sz w:val="22"/>
          <w:szCs w:val="22"/>
          <w:lang w:val="fr-CH"/>
        </w:rPr>
        <w:t>le 2</w:t>
      </w:r>
      <w:r w:rsidR="00A8217D" w:rsidRPr="00863EE5">
        <w:rPr>
          <w:sz w:val="22"/>
          <w:szCs w:val="22"/>
          <w:lang w:val="fr-CH"/>
        </w:rPr>
        <w:t>1</w:t>
      </w:r>
      <w:r w:rsidR="00A8217D">
        <w:rPr>
          <w:sz w:val="22"/>
          <w:szCs w:val="22"/>
          <w:lang w:val="fr-CH"/>
        </w:rPr>
        <w:t> </w:t>
      </w:r>
      <w:r w:rsidR="00A8217D" w:rsidRPr="00863EE5">
        <w:rPr>
          <w:sz w:val="22"/>
          <w:szCs w:val="22"/>
          <w:lang w:val="fr-CH"/>
        </w:rPr>
        <w:t>janvier</w:t>
      </w:r>
      <w:r w:rsidR="00A8217D">
        <w:rPr>
          <w:sz w:val="22"/>
          <w:szCs w:val="22"/>
          <w:lang w:val="fr-CH"/>
        </w:rPr>
        <w:t> </w:t>
      </w:r>
      <w:r w:rsidR="00A8217D" w:rsidRPr="00863EE5">
        <w:rPr>
          <w:sz w:val="22"/>
          <w:szCs w:val="22"/>
          <w:lang w:val="fr-CH"/>
        </w:rPr>
        <w:t>20</w:t>
      </w:r>
      <w:r w:rsidRPr="00863EE5">
        <w:rPr>
          <w:sz w:val="22"/>
          <w:szCs w:val="22"/>
          <w:lang w:val="fr-CH"/>
        </w:rPr>
        <w:t>21 par la France;</w:t>
      </w:r>
    </w:p>
    <w:p w14:paraId="0894FCF6" w14:textId="40A30D74" w:rsidR="00863EE5" w:rsidRDefault="00863EE5" w:rsidP="00863EE5">
      <w:pPr>
        <w:pStyle w:val="Default"/>
        <w:numPr>
          <w:ilvl w:val="0"/>
          <w:numId w:val="12"/>
        </w:numPr>
        <w:ind w:left="994"/>
        <w:rPr>
          <w:sz w:val="22"/>
          <w:szCs w:val="22"/>
          <w:lang w:val="fr-CH"/>
        </w:rPr>
      </w:pPr>
      <w:r w:rsidRPr="00863EE5">
        <w:rPr>
          <w:sz w:val="22"/>
          <w:szCs w:val="22"/>
          <w:lang w:val="fr-CH"/>
        </w:rPr>
        <w:t>le 3</w:t>
      </w:r>
      <w:r w:rsidR="00A8217D" w:rsidRPr="00863EE5">
        <w:rPr>
          <w:sz w:val="22"/>
          <w:szCs w:val="22"/>
          <w:lang w:val="fr-CH"/>
        </w:rPr>
        <w:t>0</w:t>
      </w:r>
      <w:r w:rsidR="00A8217D">
        <w:rPr>
          <w:sz w:val="22"/>
          <w:szCs w:val="22"/>
          <w:lang w:val="fr-CH"/>
        </w:rPr>
        <w:t> </w:t>
      </w:r>
      <w:r w:rsidR="00A8217D" w:rsidRPr="00863EE5">
        <w:rPr>
          <w:sz w:val="22"/>
          <w:szCs w:val="22"/>
          <w:lang w:val="fr-CH"/>
        </w:rPr>
        <w:t>mars</w:t>
      </w:r>
      <w:r w:rsidR="00A8217D">
        <w:rPr>
          <w:sz w:val="22"/>
          <w:szCs w:val="22"/>
          <w:lang w:val="fr-CH"/>
        </w:rPr>
        <w:t> </w:t>
      </w:r>
      <w:r w:rsidR="00A8217D" w:rsidRPr="00863EE5">
        <w:rPr>
          <w:sz w:val="22"/>
          <w:szCs w:val="22"/>
          <w:lang w:val="fr-CH"/>
        </w:rPr>
        <w:t>20</w:t>
      </w:r>
      <w:r w:rsidRPr="00863EE5">
        <w:rPr>
          <w:sz w:val="22"/>
          <w:szCs w:val="22"/>
          <w:lang w:val="fr-CH"/>
        </w:rPr>
        <w:t>21 par Oman;  et</w:t>
      </w:r>
    </w:p>
    <w:p w14:paraId="552159B6" w14:textId="3330B9E3" w:rsidR="00A8217D" w:rsidRDefault="00863EE5" w:rsidP="00863EE5">
      <w:pPr>
        <w:pStyle w:val="Default"/>
        <w:numPr>
          <w:ilvl w:val="0"/>
          <w:numId w:val="12"/>
        </w:numPr>
        <w:spacing w:after="480"/>
        <w:ind w:left="994"/>
        <w:rPr>
          <w:sz w:val="22"/>
          <w:szCs w:val="22"/>
          <w:lang w:val="fr-CH"/>
        </w:rPr>
      </w:pPr>
      <w:r w:rsidRPr="00863EE5">
        <w:rPr>
          <w:sz w:val="22"/>
          <w:szCs w:val="22"/>
          <w:lang w:val="fr-CH"/>
        </w:rPr>
        <w:t>le 1</w:t>
      </w:r>
      <w:r w:rsidR="00A8217D" w:rsidRPr="00863EE5">
        <w:rPr>
          <w:sz w:val="22"/>
          <w:szCs w:val="22"/>
          <w:lang w:val="fr-CH"/>
        </w:rPr>
        <w:t>0</w:t>
      </w:r>
      <w:r w:rsidR="00A8217D">
        <w:rPr>
          <w:sz w:val="22"/>
          <w:szCs w:val="22"/>
          <w:lang w:val="fr-CH"/>
        </w:rPr>
        <w:t> </w:t>
      </w:r>
      <w:r w:rsidR="00A8217D" w:rsidRPr="00863EE5">
        <w:rPr>
          <w:sz w:val="22"/>
          <w:szCs w:val="22"/>
          <w:lang w:val="fr-CH"/>
        </w:rPr>
        <w:t>juin</w:t>
      </w:r>
      <w:r w:rsidR="00A8217D">
        <w:rPr>
          <w:sz w:val="22"/>
          <w:szCs w:val="22"/>
          <w:lang w:val="fr-CH"/>
        </w:rPr>
        <w:t> </w:t>
      </w:r>
      <w:r w:rsidR="00A8217D" w:rsidRPr="00863EE5">
        <w:rPr>
          <w:sz w:val="22"/>
          <w:szCs w:val="22"/>
          <w:lang w:val="fr-CH"/>
        </w:rPr>
        <w:t>20</w:t>
      </w:r>
      <w:r w:rsidRPr="00863EE5">
        <w:rPr>
          <w:sz w:val="22"/>
          <w:szCs w:val="22"/>
          <w:lang w:val="fr-CH"/>
        </w:rPr>
        <w:t>21 par la Hongrie.</w:t>
      </w:r>
    </w:p>
    <w:p w14:paraId="1ACD3C73" w14:textId="531E86AC" w:rsidR="00863EE5" w:rsidRDefault="00AA391D" w:rsidP="003059EA">
      <w:pPr>
        <w:pStyle w:val="Default"/>
        <w:spacing w:after="240"/>
        <w:rPr>
          <w:sz w:val="22"/>
          <w:szCs w:val="22"/>
          <w:lang w:val="fr-FR"/>
        </w:rPr>
      </w:pPr>
      <w:r w:rsidRPr="003059EA">
        <w:rPr>
          <w:sz w:val="22"/>
          <w:szCs w:val="22"/>
          <w:lang w:val="fr-FR"/>
        </w:rPr>
        <w:t>CADRE JURIDIQUE DU SYSTÈME DE LISBONNE</w:t>
      </w:r>
    </w:p>
    <w:p w14:paraId="3B7BB74D" w14:textId="39811EEF" w:rsidR="00863EE5" w:rsidRDefault="00AA391D" w:rsidP="00AA391D">
      <w:pPr>
        <w:pStyle w:val="ONUME"/>
        <w:rPr>
          <w:lang w:val="fr-FR"/>
        </w:rPr>
      </w:pPr>
      <w:r w:rsidRPr="00AA391D">
        <w:rPr>
          <w:lang w:val="fr-FR"/>
        </w:rPr>
        <w:t>À sa trente</w:t>
      </w:r>
      <w:r w:rsidR="00A8217D">
        <w:rPr>
          <w:lang w:val="fr-FR"/>
        </w:rPr>
        <w:t>-</w:t>
      </w:r>
      <w:r w:rsidRPr="00AA391D">
        <w:rPr>
          <w:lang w:val="fr-FR"/>
        </w:rPr>
        <w:t>deux</w:t>
      </w:r>
      <w:r w:rsidR="00A8217D">
        <w:rPr>
          <w:lang w:val="fr-FR"/>
        </w:rPr>
        <w:t>ième session</w:t>
      </w:r>
      <w:r w:rsidRPr="00AA391D">
        <w:rPr>
          <w:lang w:val="fr-FR"/>
        </w:rPr>
        <w:t xml:space="preserve"> (21</w:t>
      </w:r>
      <w:r w:rsidRPr="00AA391D">
        <w:rPr>
          <w:vertAlign w:val="superscript"/>
          <w:lang w:val="fr-FR"/>
        </w:rPr>
        <w:t>e</w:t>
      </w:r>
      <w:r>
        <w:rPr>
          <w:lang w:val="fr-FR"/>
        </w:rPr>
        <w:t> </w:t>
      </w:r>
      <w:r w:rsidRPr="00AA391D">
        <w:rPr>
          <w:lang w:val="fr-FR"/>
        </w:rPr>
        <w:t>session ordinaire) tenue à Genève du 5 au 14</w:t>
      </w:r>
      <w:r>
        <w:rPr>
          <w:lang w:val="fr-FR"/>
        </w:rPr>
        <w:t> </w:t>
      </w:r>
      <w:r w:rsidRPr="00AA391D">
        <w:rPr>
          <w:lang w:val="fr-FR"/>
        </w:rPr>
        <w:t>octobre</w:t>
      </w:r>
      <w:r>
        <w:rPr>
          <w:lang w:val="fr-FR"/>
        </w:rPr>
        <w:t> </w:t>
      </w:r>
      <w:r w:rsidRPr="00AA391D">
        <w:rPr>
          <w:lang w:val="fr-FR"/>
        </w:rPr>
        <w:t>2015, l</w:t>
      </w:r>
      <w:r w:rsidR="00A8217D">
        <w:rPr>
          <w:lang w:val="fr-FR"/>
        </w:rPr>
        <w:t>’</w:t>
      </w:r>
      <w:r w:rsidRPr="00AA391D">
        <w:rPr>
          <w:lang w:val="fr-FR"/>
        </w:rPr>
        <w:t>Assemblée de l</w:t>
      </w:r>
      <w:r w:rsidR="00A8217D">
        <w:rPr>
          <w:lang w:val="fr-FR"/>
        </w:rPr>
        <w:t>’</w:t>
      </w:r>
      <w:r w:rsidRPr="00AA391D">
        <w:rPr>
          <w:lang w:val="fr-FR"/>
        </w:rPr>
        <w:t>Union de Lisbonne a établi un groupe de travail chargé d</w:t>
      </w:r>
      <w:r w:rsidR="00A8217D">
        <w:rPr>
          <w:lang w:val="fr-FR"/>
        </w:rPr>
        <w:t>’</w:t>
      </w:r>
      <w:r w:rsidRPr="00AA391D">
        <w:rPr>
          <w:lang w:val="fr-FR"/>
        </w:rPr>
        <w:t>élaborer un règlement d</w:t>
      </w:r>
      <w:r w:rsidR="00A8217D">
        <w:rPr>
          <w:lang w:val="fr-FR"/>
        </w:rPr>
        <w:t>’</w:t>
      </w:r>
      <w:r w:rsidRPr="00AA391D">
        <w:rPr>
          <w:lang w:val="fr-FR"/>
        </w:rPr>
        <w:t>exécution commun à l</w:t>
      </w:r>
      <w:r w:rsidR="00A8217D">
        <w:rPr>
          <w:lang w:val="fr-FR"/>
        </w:rPr>
        <w:t>’</w:t>
      </w:r>
      <w:r w:rsidRPr="00AA391D">
        <w:rPr>
          <w:lang w:val="fr-FR"/>
        </w:rPr>
        <w:t>Arrangement de Lisbonne et à l</w:t>
      </w:r>
      <w:r w:rsidR="00A8217D">
        <w:rPr>
          <w:lang w:val="fr-FR"/>
        </w:rPr>
        <w:t>’</w:t>
      </w:r>
      <w:r w:rsidRPr="00AA391D">
        <w:rPr>
          <w:lang w:val="fr-FR"/>
        </w:rPr>
        <w:t>Acte de Genève de l</w:t>
      </w:r>
      <w:r w:rsidR="00A8217D">
        <w:rPr>
          <w:lang w:val="fr-FR"/>
        </w:rPr>
        <w:t>’</w:t>
      </w:r>
      <w:r w:rsidRPr="00AA391D">
        <w:rPr>
          <w:lang w:val="fr-FR"/>
        </w:rPr>
        <w:t>Arrangement de Lisbonne (ci</w:t>
      </w:r>
      <w:r w:rsidR="00A8217D">
        <w:rPr>
          <w:lang w:val="fr-FR"/>
        </w:rPr>
        <w:t>-</w:t>
      </w:r>
      <w:r w:rsidRPr="00AA391D">
        <w:rPr>
          <w:lang w:val="fr-FR"/>
        </w:rPr>
        <w:t xml:space="preserve">après dénommé </w:t>
      </w:r>
      <w:r w:rsidR="00B9481B">
        <w:rPr>
          <w:lang w:val="fr-FR"/>
        </w:rPr>
        <w:t>“</w:t>
      </w:r>
      <w:r w:rsidRPr="00AA391D">
        <w:rPr>
          <w:lang w:val="fr-FR"/>
        </w:rPr>
        <w:t>groupe de travail”)</w:t>
      </w:r>
      <w:r w:rsidR="00BA3CF8" w:rsidRPr="000F6D3D">
        <w:rPr>
          <w:lang w:val="fr-FR"/>
        </w:rPr>
        <w:t xml:space="preserve">.  </w:t>
      </w:r>
      <w:r w:rsidRPr="00AA391D">
        <w:rPr>
          <w:lang w:val="fr-FR"/>
        </w:rPr>
        <w:t>Le groupe de travail a tenu deux</w:t>
      </w:r>
      <w:r>
        <w:rPr>
          <w:lang w:val="fr-FR"/>
        </w:rPr>
        <w:t> </w:t>
      </w:r>
      <w:r w:rsidRPr="00AA391D">
        <w:rPr>
          <w:lang w:val="fr-FR"/>
        </w:rPr>
        <w:t>sessions à Genève</w:t>
      </w:r>
      <w:r w:rsidR="00A8217D">
        <w:rPr>
          <w:lang w:val="fr-FR"/>
        </w:rPr>
        <w:t> :</w:t>
      </w:r>
      <w:r w:rsidRPr="00AA391D">
        <w:rPr>
          <w:lang w:val="fr-FR"/>
        </w:rPr>
        <w:t xml:space="preserve"> la première du 7 au 9</w:t>
      </w:r>
      <w:r>
        <w:rPr>
          <w:lang w:val="fr-FR"/>
        </w:rPr>
        <w:t> </w:t>
      </w:r>
      <w:r w:rsidRPr="00AA391D">
        <w:rPr>
          <w:lang w:val="fr-FR"/>
        </w:rPr>
        <w:t>juin</w:t>
      </w:r>
      <w:r>
        <w:rPr>
          <w:lang w:val="fr-FR"/>
        </w:rPr>
        <w:t> </w:t>
      </w:r>
      <w:r w:rsidRPr="00AA391D">
        <w:rPr>
          <w:lang w:val="fr-FR"/>
        </w:rPr>
        <w:t>2016 et la deuxième du 3 au 5</w:t>
      </w:r>
      <w:r>
        <w:rPr>
          <w:lang w:val="fr-FR"/>
        </w:rPr>
        <w:t> </w:t>
      </w:r>
      <w:r w:rsidRPr="00AA391D">
        <w:rPr>
          <w:lang w:val="fr-FR"/>
        </w:rPr>
        <w:t>avril</w:t>
      </w:r>
      <w:r>
        <w:rPr>
          <w:lang w:val="fr-FR"/>
        </w:rPr>
        <w:t> </w:t>
      </w:r>
      <w:r w:rsidRPr="00AA391D">
        <w:rPr>
          <w:lang w:val="fr-FR"/>
        </w:rPr>
        <w:t>2017</w:t>
      </w:r>
      <w:r w:rsidR="00BA3CF8" w:rsidRPr="000F6D3D">
        <w:rPr>
          <w:lang w:val="fr-FR"/>
        </w:rPr>
        <w:t>.</w:t>
      </w:r>
    </w:p>
    <w:p w14:paraId="260B96D2" w14:textId="0AB81369" w:rsidR="00863EE5" w:rsidRDefault="00AA391D" w:rsidP="00FD5F59">
      <w:pPr>
        <w:pStyle w:val="ONUME"/>
        <w:rPr>
          <w:szCs w:val="22"/>
          <w:lang w:val="fr-FR"/>
        </w:rPr>
      </w:pPr>
      <w:r w:rsidRPr="003059EA">
        <w:rPr>
          <w:lang w:val="fr-FR"/>
        </w:rPr>
        <w:t>À ses deux</w:t>
      </w:r>
      <w:r w:rsidR="009F683B" w:rsidRPr="003059EA">
        <w:rPr>
          <w:lang w:val="fr-FR"/>
        </w:rPr>
        <w:t> </w:t>
      </w:r>
      <w:r w:rsidRPr="003059EA">
        <w:rPr>
          <w:lang w:val="fr-FR"/>
        </w:rPr>
        <w:t>sessions, le groupe de travail a examiné le projet de règlement d</w:t>
      </w:r>
      <w:r w:rsidR="00A8217D">
        <w:rPr>
          <w:lang w:val="fr-FR"/>
        </w:rPr>
        <w:t>’</w:t>
      </w:r>
      <w:r w:rsidRPr="003059EA">
        <w:rPr>
          <w:lang w:val="fr-FR"/>
        </w:rPr>
        <w:t>exécution commun à l</w:t>
      </w:r>
      <w:r w:rsidR="00A8217D">
        <w:rPr>
          <w:lang w:val="fr-FR"/>
        </w:rPr>
        <w:t>’</w:t>
      </w:r>
      <w:r w:rsidRPr="003059EA">
        <w:rPr>
          <w:lang w:val="fr-FR"/>
        </w:rPr>
        <w:t>Arrangement de Lisbonne concernant la protection des appellations d</w:t>
      </w:r>
      <w:r w:rsidR="00A8217D">
        <w:rPr>
          <w:lang w:val="fr-FR"/>
        </w:rPr>
        <w:t>’</w:t>
      </w:r>
      <w:r w:rsidRPr="003059EA">
        <w:rPr>
          <w:lang w:val="fr-FR"/>
        </w:rPr>
        <w:t>origine et leur enregistrement international et à l</w:t>
      </w:r>
      <w:r w:rsidR="00A8217D">
        <w:rPr>
          <w:lang w:val="fr-FR"/>
        </w:rPr>
        <w:t>’</w:t>
      </w:r>
      <w:r w:rsidRPr="003059EA">
        <w:rPr>
          <w:lang w:val="fr-FR"/>
        </w:rPr>
        <w:t>Acte de Genève de l</w:t>
      </w:r>
      <w:r w:rsidR="00A8217D">
        <w:rPr>
          <w:lang w:val="fr-FR"/>
        </w:rPr>
        <w:t>’</w:t>
      </w:r>
      <w:r w:rsidRPr="003059EA">
        <w:rPr>
          <w:lang w:val="fr-FR"/>
        </w:rPr>
        <w:t>Arrangement de Lisbonne sur les appellations d</w:t>
      </w:r>
      <w:r w:rsidR="00A8217D">
        <w:rPr>
          <w:lang w:val="fr-FR"/>
        </w:rPr>
        <w:t>’</w:t>
      </w:r>
      <w:r w:rsidRPr="003059EA">
        <w:rPr>
          <w:lang w:val="fr-FR"/>
        </w:rPr>
        <w:t>origine et les indications géographiques (ci</w:t>
      </w:r>
      <w:r w:rsidR="00A8217D">
        <w:rPr>
          <w:lang w:val="fr-FR"/>
        </w:rPr>
        <w:t>-</w:t>
      </w:r>
      <w:r w:rsidRPr="003059EA">
        <w:rPr>
          <w:lang w:val="fr-FR"/>
        </w:rPr>
        <w:t xml:space="preserve">après dénommé </w:t>
      </w:r>
      <w:r w:rsidR="00B9481B" w:rsidRPr="003059EA">
        <w:rPr>
          <w:lang w:val="fr-FR"/>
        </w:rPr>
        <w:t>“</w:t>
      </w:r>
      <w:r w:rsidRPr="003059EA">
        <w:rPr>
          <w:lang w:val="fr-FR"/>
        </w:rPr>
        <w:t>règlement d</w:t>
      </w:r>
      <w:r w:rsidR="00A8217D">
        <w:rPr>
          <w:lang w:val="fr-FR"/>
        </w:rPr>
        <w:t>’</w:t>
      </w:r>
      <w:r w:rsidRPr="003059EA">
        <w:rPr>
          <w:lang w:val="fr-FR"/>
        </w:rPr>
        <w:t xml:space="preserve">exécution commun”) </w:t>
      </w:r>
      <w:r w:rsidR="00BA3CF8" w:rsidRPr="003059EA">
        <w:rPr>
          <w:lang w:val="fr-FR"/>
        </w:rPr>
        <w:t>(</w:t>
      </w:r>
      <w:r w:rsidR="00A8217D" w:rsidRPr="003059EA">
        <w:rPr>
          <w:lang w:val="fr-FR"/>
        </w:rPr>
        <w:t>documents</w:t>
      </w:r>
      <w:r w:rsidR="00D41E55">
        <w:rPr>
          <w:lang w:val="fr-FR"/>
        </w:rPr>
        <w:t> </w:t>
      </w:r>
      <w:r w:rsidR="00A8217D" w:rsidRPr="003059EA">
        <w:rPr>
          <w:lang w:val="fr-FR"/>
        </w:rPr>
        <w:t>LI</w:t>
      </w:r>
      <w:r w:rsidR="00BA3CF8" w:rsidRPr="003059EA">
        <w:rPr>
          <w:lang w:val="fr-FR"/>
        </w:rPr>
        <w:t xml:space="preserve">/WG/PCR/1/2 </w:t>
      </w:r>
      <w:r w:rsidR="00CF49B2" w:rsidRPr="003059EA">
        <w:rPr>
          <w:lang w:val="fr-FR"/>
        </w:rPr>
        <w:t>et</w:t>
      </w:r>
      <w:r w:rsidR="00BA3CF8" w:rsidRPr="003059EA">
        <w:rPr>
          <w:lang w:val="fr-FR"/>
        </w:rPr>
        <w:t xml:space="preserve"> LI/WG/PCR/2/2).  </w:t>
      </w:r>
      <w:r w:rsidR="009F683B" w:rsidRPr="003059EA">
        <w:rPr>
          <w:szCs w:val="22"/>
          <w:lang w:val="fr-FR"/>
        </w:rPr>
        <w:t>À sa deux</w:t>
      </w:r>
      <w:r w:rsidR="00A8217D">
        <w:rPr>
          <w:szCs w:val="22"/>
          <w:lang w:val="fr-FR"/>
        </w:rPr>
        <w:t>ième session</w:t>
      </w:r>
      <w:r w:rsidR="009F683B" w:rsidRPr="003059EA">
        <w:rPr>
          <w:szCs w:val="22"/>
          <w:lang w:val="fr-FR"/>
        </w:rPr>
        <w:t>, le groupe de travail a également examiné le projet d</w:t>
      </w:r>
      <w:r w:rsidR="00A8217D">
        <w:rPr>
          <w:szCs w:val="22"/>
          <w:lang w:val="fr-FR"/>
        </w:rPr>
        <w:t>’</w:t>
      </w:r>
      <w:r w:rsidR="009F683B" w:rsidRPr="003059EA">
        <w:rPr>
          <w:szCs w:val="22"/>
          <w:lang w:val="fr-FR"/>
        </w:rPr>
        <w:t>instructions administratives pour l</w:t>
      </w:r>
      <w:r w:rsidR="00A8217D">
        <w:rPr>
          <w:szCs w:val="22"/>
          <w:lang w:val="fr-FR"/>
        </w:rPr>
        <w:t>’</w:t>
      </w:r>
      <w:r w:rsidR="009F683B" w:rsidRPr="003059EA">
        <w:rPr>
          <w:szCs w:val="22"/>
          <w:lang w:val="fr-FR"/>
        </w:rPr>
        <w:t>application de l</w:t>
      </w:r>
      <w:r w:rsidR="00A8217D">
        <w:rPr>
          <w:szCs w:val="22"/>
          <w:lang w:val="fr-FR"/>
        </w:rPr>
        <w:t>’</w:t>
      </w:r>
      <w:r w:rsidR="009F683B" w:rsidRPr="003059EA">
        <w:rPr>
          <w:szCs w:val="22"/>
          <w:lang w:val="fr-FR"/>
        </w:rPr>
        <w:t>Arrangement de Lisbonne concernant la protection des appellations d</w:t>
      </w:r>
      <w:r w:rsidR="00A8217D">
        <w:rPr>
          <w:szCs w:val="22"/>
          <w:lang w:val="fr-FR"/>
        </w:rPr>
        <w:t>’</w:t>
      </w:r>
      <w:r w:rsidR="009F683B" w:rsidRPr="003059EA">
        <w:rPr>
          <w:szCs w:val="22"/>
          <w:lang w:val="fr-FR"/>
        </w:rPr>
        <w:t>origine et leur enregistrement international et de l</w:t>
      </w:r>
      <w:r w:rsidR="00A8217D">
        <w:rPr>
          <w:szCs w:val="22"/>
          <w:lang w:val="fr-FR"/>
        </w:rPr>
        <w:t>’</w:t>
      </w:r>
      <w:r w:rsidR="009F683B" w:rsidRPr="003059EA">
        <w:rPr>
          <w:szCs w:val="22"/>
          <w:lang w:val="fr-FR"/>
        </w:rPr>
        <w:t>Acte de Genève de l</w:t>
      </w:r>
      <w:r w:rsidR="00A8217D">
        <w:rPr>
          <w:szCs w:val="22"/>
          <w:lang w:val="fr-FR"/>
        </w:rPr>
        <w:t>’</w:t>
      </w:r>
      <w:r w:rsidR="009F683B" w:rsidRPr="003059EA">
        <w:rPr>
          <w:szCs w:val="22"/>
          <w:lang w:val="fr-FR"/>
        </w:rPr>
        <w:t xml:space="preserve">Arrangement de Lisbonne sur les </w:t>
      </w:r>
      <w:r w:rsidR="009F683B" w:rsidRPr="003059EA">
        <w:rPr>
          <w:szCs w:val="22"/>
          <w:lang w:val="fr-FR"/>
        </w:rPr>
        <w:lastRenderedPageBreak/>
        <w:t>appellations d</w:t>
      </w:r>
      <w:r w:rsidR="00A8217D">
        <w:rPr>
          <w:szCs w:val="22"/>
          <w:lang w:val="fr-FR"/>
        </w:rPr>
        <w:t>’</w:t>
      </w:r>
      <w:r w:rsidR="009F683B" w:rsidRPr="003059EA">
        <w:rPr>
          <w:szCs w:val="22"/>
          <w:lang w:val="fr-FR"/>
        </w:rPr>
        <w:t>origine et les indications géographiques (ci</w:t>
      </w:r>
      <w:r w:rsidR="00A8217D">
        <w:rPr>
          <w:szCs w:val="22"/>
          <w:lang w:val="fr-FR"/>
        </w:rPr>
        <w:t>-</w:t>
      </w:r>
      <w:r w:rsidR="009F683B" w:rsidRPr="003059EA">
        <w:rPr>
          <w:szCs w:val="22"/>
          <w:lang w:val="fr-FR"/>
        </w:rPr>
        <w:t xml:space="preserve">après dénommées </w:t>
      </w:r>
      <w:r w:rsidR="00B9481B" w:rsidRPr="003059EA">
        <w:rPr>
          <w:szCs w:val="22"/>
          <w:lang w:val="fr-FR"/>
        </w:rPr>
        <w:t>“</w:t>
      </w:r>
      <w:r w:rsidR="009F683B" w:rsidRPr="003059EA">
        <w:rPr>
          <w:szCs w:val="22"/>
          <w:lang w:val="fr-FR"/>
        </w:rPr>
        <w:t xml:space="preserve">instructions administratives”) </w:t>
      </w:r>
      <w:r w:rsidR="00BA3CF8" w:rsidRPr="003059EA">
        <w:rPr>
          <w:lang w:val="fr-FR"/>
        </w:rPr>
        <w:t>(document</w:t>
      </w:r>
      <w:r w:rsidR="00D41E55">
        <w:rPr>
          <w:lang w:val="fr-FR"/>
        </w:rPr>
        <w:t> </w:t>
      </w:r>
      <w:r w:rsidR="00BA3CF8" w:rsidRPr="003059EA">
        <w:rPr>
          <w:lang w:val="fr-FR"/>
        </w:rPr>
        <w:t>LI/WG/PCR/2/4).</w:t>
      </w:r>
    </w:p>
    <w:p w14:paraId="63512920" w14:textId="7B6BCA02" w:rsidR="00863EE5" w:rsidRDefault="003A6E47" w:rsidP="003A6E47">
      <w:pPr>
        <w:pStyle w:val="ONUME"/>
        <w:rPr>
          <w:szCs w:val="22"/>
          <w:lang w:val="fr-FR"/>
        </w:rPr>
      </w:pPr>
      <w:r w:rsidRPr="003A6E47">
        <w:rPr>
          <w:szCs w:val="22"/>
          <w:lang w:val="fr-FR"/>
        </w:rPr>
        <w:t>Le règlement d</w:t>
      </w:r>
      <w:r w:rsidR="00A8217D">
        <w:rPr>
          <w:szCs w:val="22"/>
          <w:lang w:val="fr-FR"/>
        </w:rPr>
        <w:t>’</w:t>
      </w:r>
      <w:r w:rsidRPr="003A6E47">
        <w:rPr>
          <w:szCs w:val="22"/>
          <w:lang w:val="fr-FR"/>
        </w:rPr>
        <w:t>exécution commun vise à rationaliser le cadre juridique du système de Lisbonne, dans l</w:t>
      </w:r>
      <w:r w:rsidR="00A8217D">
        <w:rPr>
          <w:szCs w:val="22"/>
          <w:lang w:val="fr-FR"/>
        </w:rPr>
        <w:t>’</w:t>
      </w:r>
      <w:r w:rsidRPr="003A6E47">
        <w:rPr>
          <w:szCs w:val="22"/>
          <w:lang w:val="fr-FR"/>
        </w:rPr>
        <w:t>intérêt des administrations compétentes des membres de l</w:t>
      </w:r>
      <w:r w:rsidR="00A8217D">
        <w:rPr>
          <w:szCs w:val="22"/>
          <w:lang w:val="fr-FR"/>
        </w:rPr>
        <w:t>’</w:t>
      </w:r>
      <w:r w:rsidRPr="003A6E47">
        <w:rPr>
          <w:szCs w:val="22"/>
          <w:lang w:val="fr-FR"/>
        </w:rPr>
        <w:t>Union de Lisbonne, des utilisateurs du système et du Bureau international, en remplaçant les deux</w:t>
      </w:r>
      <w:r w:rsidR="00C0591E">
        <w:rPr>
          <w:szCs w:val="22"/>
          <w:lang w:val="fr-FR"/>
        </w:rPr>
        <w:t> </w:t>
      </w:r>
      <w:r w:rsidRPr="003A6E47">
        <w:rPr>
          <w:szCs w:val="22"/>
          <w:lang w:val="fr-FR"/>
        </w:rPr>
        <w:t>règlements d</w:t>
      </w:r>
      <w:r w:rsidR="00A8217D">
        <w:rPr>
          <w:szCs w:val="22"/>
          <w:lang w:val="fr-FR"/>
        </w:rPr>
        <w:t>’</w:t>
      </w:r>
      <w:r w:rsidRPr="003A6E47">
        <w:rPr>
          <w:szCs w:val="22"/>
          <w:lang w:val="fr-FR"/>
        </w:rPr>
        <w:t>exécution régissant d</w:t>
      </w:r>
      <w:r w:rsidR="00A8217D">
        <w:rPr>
          <w:szCs w:val="22"/>
          <w:lang w:val="fr-FR"/>
        </w:rPr>
        <w:t>’</w:t>
      </w:r>
      <w:r w:rsidRPr="003A6E47">
        <w:rPr>
          <w:szCs w:val="22"/>
          <w:lang w:val="fr-FR"/>
        </w:rPr>
        <w:t>une part l</w:t>
      </w:r>
      <w:r w:rsidR="00A8217D">
        <w:rPr>
          <w:szCs w:val="22"/>
          <w:lang w:val="fr-FR"/>
        </w:rPr>
        <w:t>’</w:t>
      </w:r>
      <w:r w:rsidRPr="003A6E47">
        <w:rPr>
          <w:szCs w:val="22"/>
          <w:lang w:val="fr-FR"/>
        </w:rPr>
        <w:t>Arrangement de Lisbonne concernant la protection des appellations d</w:t>
      </w:r>
      <w:r w:rsidR="00A8217D">
        <w:rPr>
          <w:szCs w:val="22"/>
          <w:lang w:val="fr-FR"/>
        </w:rPr>
        <w:t>’</w:t>
      </w:r>
      <w:r w:rsidRPr="003A6E47">
        <w:rPr>
          <w:szCs w:val="22"/>
          <w:lang w:val="fr-FR"/>
        </w:rPr>
        <w:t>origine et leur enregistrement international (ci</w:t>
      </w:r>
      <w:r w:rsidR="00A8217D">
        <w:rPr>
          <w:szCs w:val="22"/>
          <w:lang w:val="fr-FR"/>
        </w:rPr>
        <w:t>-</w:t>
      </w:r>
      <w:r w:rsidRPr="003A6E47">
        <w:rPr>
          <w:szCs w:val="22"/>
          <w:lang w:val="fr-FR"/>
        </w:rPr>
        <w:t xml:space="preserve">après dénommé </w:t>
      </w:r>
      <w:r w:rsidR="00B9481B">
        <w:rPr>
          <w:szCs w:val="22"/>
          <w:lang w:val="fr-FR"/>
        </w:rPr>
        <w:t>“</w:t>
      </w:r>
      <w:r w:rsidRPr="003A6E47">
        <w:rPr>
          <w:szCs w:val="22"/>
          <w:lang w:val="fr-FR"/>
        </w:rPr>
        <w:t xml:space="preserve">Acte </w:t>
      </w:r>
      <w:r w:rsidR="00A8217D" w:rsidRPr="003A6E47">
        <w:rPr>
          <w:szCs w:val="22"/>
          <w:lang w:val="fr-FR"/>
        </w:rPr>
        <w:t>de</w:t>
      </w:r>
      <w:r w:rsidR="00A8217D">
        <w:rPr>
          <w:szCs w:val="22"/>
          <w:lang w:val="fr-FR"/>
        </w:rPr>
        <w:t> </w:t>
      </w:r>
      <w:r w:rsidR="00A8217D" w:rsidRPr="003A6E47">
        <w:rPr>
          <w:szCs w:val="22"/>
          <w:lang w:val="fr-FR"/>
        </w:rPr>
        <w:t>1967</w:t>
      </w:r>
      <w:r w:rsidRPr="003A6E47">
        <w:rPr>
          <w:szCs w:val="22"/>
          <w:lang w:val="fr-FR"/>
        </w:rPr>
        <w:t>”) et, d</w:t>
      </w:r>
      <w:r w:rsidR="00A8217D">
        <w:rPr>
          <w:szCs w:val="22"/>
          <w:lang w:val="fr-FR"/>
        </w:rPr>
        <w:t>’</w:t>
      </w:r>
      <w:r w:rsidRPr="003A6E47">
        <w:rPr>
          <w:szCs w:val="22"/>
          <w:lang w:val="fr-FR"/>
        </w:rPr>
        <w:t>autre part, l</w:t>
      </w:r>
      <w:r w:rsidR="00A8217D">
        <w:rPr>
          <w:szCs w:val="22"/>
          <w:lang w:val="fr-FR"/>
        </w:rPr>
        <w:t>’</w:t>
      </w:r>
      <w:r w:rsidRPr="003A6E47">
        <w:rPr>
          <w:szCs w:val="22"/>
          <w:lang w:val="fr-FR"/>
        </w:rPr>
        <w:t>Acte de Genève de l</w:t>
      </w:r>
      <w:r w:rsidR="00A8217D">
        <w:rPr>
          <w:szCs w:val="22"/>
          <w:lang w:val="fr-FR"/>
        </w:rPr>
        <w:t>’</w:t>
      </w:r>
      <w:r w:rsidRPr="003A6E47">
        <w:rPr>
          <w:szCs w:val="22"/>
          <w:lang w:val="fr-FR"/>
        </w:rPr>
        <w:t>Arrangement de Lisbonne sur les appellations d</w:t>
      </w:r>
      <w:r w:rsidR="00A8217D">
        <w:rPr>
          <w:szCs w:val="22"/>
          <w:lang w:val="fr-FR"/>
        </w:rPr>
        <w:t>’</w:t>
      </w:r>
      <w:r w:rsidRPr="003A6E47">
        <w:rPr>
          <w:szCs w:val="22"/>
          <w:lang w:val="fr-FR"/>
        </w:rPr>
        <w:t>origine et les indications géographiques, par un seul règlement d</w:t>
      </w:r>
      <w:r w:rsidR="00A8217D">
        <w:rPr>
          <w:szCs w:val="22"/>
          <w:lang w:val="fr-FR"/>
        </w:rPr>
        <w:t>’</w:t>
      </w:r>
      <w:r w:rsidRPr="003A6E47">
        <w:rPr>
          <w:szCs w:val="22"/>
          <w:lang w:val="fr-FR"/>
        </w:rPr>
        <w:t>exécution régissant à la fois les enregistrements internationaux effectués en vertu de l</w:t>
      </w:r>
      <w:r w:rsidR="00A8217D">
        <w:rPr>
          <w:szCs w:val="22"/>
          <w:lang w:val="fr-FR"/>
        </w:rPr>
        <w:t>’</w:t>
      </w:r>
      <w:r w:rsidRPr="003A6E47">
        <w:rPr>
          <w:szCs w:val="22"/>
          <w:lang w:val="fr-FR"/>
        </w:rPr>
        <w:t xml:space="preserve">Acte </w:t>
      </w:r>
      <w:r w:rsidR="00A8217D" w:rsidRPr="003A6E47">
        <w:rPr>
          <w:szCs w:val="22"/>
          <w:lang w:val="fr-FR"/>
        </w:rPr>
        <w:t>de</w:t>
      </w:r>
      <w:r w:rsidR="00A8217D">
        <w:rPr>
          <w:szCs w:val="22"/>
          <w:lang w:val="fr-FR"/>
        </w:rPr>
        <w:t> </w:t>
      </w:r>
      <w:r w:rsidR="00A8217D" w:rsidRPr="003A6E47">
        <w:rPr>
          <w:szCs w:val="22"/>
          <w:lang w:val="fr-FR"/>
        </w:rPr>
        <w:t>1967</w:t>
      </w:r>
      <w:r w:rsidRPr="003A6E47">
        <w:rPr>
          <w:szCs w:val="22"/>
          <w:lang w:val="fr-FR"/>
        </w:rPr>
        <w:t xml:space="preserve"> et ceux effectués en vertu de l</w:t>
      </w:r>
      <w:r w:rsidR="00A8217D">
        <w:rPr>
          <w:szCs w:val="22"/>
          <w:lang w:val="fr-FR"/>
        </w:rPr>
        <w:t>’</w:t>
      </w:r>
      <w:r w:rsidRPr="003A6E47">
        <w:rPr>
          <w:szCs w:val="22"/>
          <w:lang w:val="fr-FR"/>
        </w:rPr>
        <w:t>Acte de Genève</w:t>
      </w:r>
      <w:r>
        <w:rPr>
          <w:szCs w:val="22"/>
          <w:lang w:val="fr-FR"/>
        </w:rPr>
        <w:t xml:space="preserve"> de l</w:t>
      </w:r>
      <w:r w:rsidR="00A8217D">
        <w:rPr>
          <w:szCs w:val="22"/>
          <w:lang w:val="fr-FR"/>
        </w:rPr>
        <w:t>’</w:t>
      </w:r>
      <w:r>
        <w:rPr>
          <w:szCs w:val="22"/>
          <w:lang w:val="fr-FR"/>
        </w:rPr>
        <w:t>Arrangement de Lisbonne</w:t>
      </w:r>
      <w:r w:rsidR="00BA3CF8" w:rsidRPr="000F6D3D">
        <w:rPr>
          <w:szCs w:val="22"/>
          <w:lang w:val="fr-FR"/>
        </w:rPr>
        <w:t>.</w:t>
      </w:r>
    </w:p>
    <w:p w14:paraId="10BB1297" w14:textId="66754FA2" w:rsidR="00863EE5" w:rsidRDefault="003A6E47" w:rsidP="00711ED6">
      <w:pPr>
        <w:pStyle w:val="ONUME"/>
        <w:rPr>
          <w:lang w:val="fr-FR"/>
        </w:rPr>
      </w:pPr>
      <w:r w:rsidRPr="003A6E47">
        <w:rPr>
          <w:lang w:val="fr-FR"/>
        </w:rPr>
        <w:t>À sa trente</w:t>
      </w:r>
      <w:r w:rsidR="00A8217D">
        <w:rPr>
          <w:lang w:val="fr-FR"/>
        </w:rPr>
        <w:t>-</w:t>
      </w:r>
      <w:r>
        <w:rPr>
          <w:lang w:val="fr-FR"/>
        </w:rPr>
        <w:t>quatr</w:t>
      </w:r>
      <w:r w:rsidR="00A8217D">
        <w:rPr>
          <w:lang w:val="fr-FR"/>
        </w:rPr>
        <w:t>ième session</w:t>
      </w:r>
      <w:r w:rsidRPr="003A6E47">
        <w:rPr>
          <w:lang w:val="fr-FR"/>
        </w:rPr>
        <w:t xml:space="preserve"> (22</w:t>
      </w:r>
      <w:r w:rsidRPr="003A6E47">
        <w:rPr>
          <w:vertAlign w:val="superscript"/>
          <w:lang w:val="fr-FR"/>
        </w:rPr>
        <w:t>e</w:t>
      </w:r>
      <w:r>
        <w:rPr>
          <w:lang w:val="fr-FR"/>
        </w:rPr>
        <w:t> </w:t>
      </w:r>
      <w:r w:rsidRPr="003A6E47">
        <w:rPr>
          <w:lang w:val="fr-FR"/>
        </w:rPr>
        <w:t>session ordinaire) tenue à Genève du 2 au 11</w:t>
      </w:r>
      <w:r>
        <w:rPr>
          <w:lang w:val="fr-FR"/>
        </w:rPr>
        <w:t> </w:t>
      </w:r>
      <w:r w:rsidRPr="003A6E47">
        <w:rPr>
          <w:lang w:val="fr-FR"/>
        </w:rPr>
        <w:t>octobre</w:t>
      </w:r>
      <w:r>
        <w:rPr>
          <w:lang w:val="fr-FR"/>
        </w:rPr>
        <w:t> </w:t>
      </w:r>
      <w:r w:rsidRPr="003A6E47">
        <w:rPr>
          <w:lang w:val="fr-FR"/>
        </w:rPr>
        <w:t>2017, l</w:t>
      </w:r>
      <w:r w:rsidR="00A8217D">
        <w:rPr>
          <w:lang w:val="fr-FR"/>
        </w:rPr>
        <w:t>’</w:t>
      </w:r>
      <w:r w:rsidRPr="003A6E47">
        <w:rPr>
          <w:lang w:val="fr-FR"/>
        </w:rPr>
        <w:t>Assemblée de l</w:t>
      </w:r>
      <w:r w:rsidR="00A8217D">
        <w:rPr>
          <w:lang w:val="fr-FR"/>
        </w:rPr>
        <w:t>’</w:t>
      </w:r>
      <w:r w:rsidRPr="003A6E47">
        <w:rPr>
          <w:lang w:val="fr-FR"/>
        </w:rPr>
        <w:t>Union de Lisbonne a adopté le règlement d</w:t>
      </w:r>
      <w:r w:rsidR="00A8217D">
        <w:rPr>
          <w:lang w:val="fr-FR"/>
        </w:rPr>
        <w:t>’</w:t>
      </w:r>
      <w:r w:rsidRPr="003A6E47">
        <w:rPr>
          <w:lang w:val="fr-FR"/>
        </w:rPr>
        <w:t>exécution commun (</w:t>
      </w:r>
      <w:r>
        <w:rPr>
          <w:lang w:val="fr-FR"/>
        </w:rPr>
        <w:t xml:space="preserve">paragraphe 24.i) et </w:t>
      </w:r>
      <w:r w:rsidRPr="003A6E47">
        <w:rPr>
          <w:lang w:val="fr-FR"/>
        </w:rPr>
        <w:t>annexe du document</w:t>
      </w:r>
      <w:r w:rsidR="00D41E55">
        <w:rPr>
          <w:lang w:val="fr-FR"/>
        </w:rPr>
        <w:t> </w:t>
      </w:r>
      <w:r w:rsidRPr="003A6E47">
        <w:rPr>
          <w:lang w:val="fr-FR"/>
        </w:rPr>
        <w:t>LI/A/34/4).  À cette occasion, l</w:t>
      </w:r>
      <w:r w:rsidR="00A8217D">
        <w:rPr>
          <w:lang w:val="fr-FR"/>
        </w:rPr>
        <w:t>’</w:t>
      </w:r>
      <w:r w:rsidRPr="003A6E47">
        <w:rPr>
          <w:lang w:val="fr-FR"/>
        </w:rPr>
        <w:t>assemblée a également décidé que l</w:t>
      </w:r>
      <w:r w:rsidR="00A8217D">
        <w:rPr>
          <w:lang w:val="fr-FR"/>
        </w:rPr>
        <w:t>’</w:t>
      </w:r>
      <w:r w:rsidRPr="003A6E47">
        <w:rPr>
          <w:lang w:val="fr-FR"/>
        </w:rPr>
        <w:t>entrée en vigueur du règlement d</w:t>
      </w:r>
      <w:r w:rsidR="00A8217D">
        <w:rPr>
          <w:lang w:val="fr-FR"/>
        </w:rPr>
        <w:t>’</w:t>
      </w:r>
      <w:r w:rsidRPr="003A6E47">
        <w:rPr>
          <w:lang w:val="fr-FR"/>
        </w:rPr>
        <w:t>exécution commun coïnciderait avec l</w:t>
      </w:r>
      <w:r w:rsidR="00A8217D">
        <w:rPr>
          <w:lang w:val="fr-FR"/>
        </w:rPr>
        <w:t>’</w:t>
      </w:r>
      <w:r w:rsidRPr="003A6E47">
        <w:rPr>
          <w:lang w:val="fr-FR"/>
        </w:rPr>
        <w:t>entrée en vigueur de l</w:t>
      </w:r>
      <w:r w:rsidR="00A8217D">
        <w:rPr>
          <w:lang w:val="fr-FR"/>
        </w:rPr>
        <w:t>’</w:t>
      </w:r>
      <w:r w:rsidRPr="003A6E47">
        <w:rPr>
          <w:lang w:val="fr-FR"/>
        </w:rPr>
        <w:t>Acte de Genève de l</w:t>
      </w:r>
      <w:r w:rsidR="00A8217D">
        <w:rPr>
          <w:lang w:val="fr-FR"/>
        </w:rPr>
        <w:t>’</w:t>
      </w:r>
      <w:r w:rsidRPr="003A6E47">
        <w:rPr>
          <w:lang w:val="fr-FR"/>
        </w:rPr>
        <w:t xml:space="preserve">Arrangement de Lisbonne </w:t>
      </w:r>
      <w:r w:rsidR="00010562" w:rsidRPr="003A6E47">
        <w:rPr>
          <w:lang w:val="fr-FR"/>
        </w:rPr>
        <w:t>(</w:t>
      </w:r>
      <w:r w:rsidRPr="003A6E47">
        <w:rPr>
          <w:lang w:val="fr-FR"/>
        </w:rPr>
        <w:t>paragraph</w:t>
      </w:r>
      <w:r>
        <w:rPr>
          <w:lang w:val="fr-FR"/>
        </w:rPr>
        <w:t>e </w:t>
      </w:r>
      <w:r w:rsidRPr="003A6E47">
        <w:rPr>
          <w:lang w:val="fr-FR"/>
        </w:rPr>
        <w:t>24</w:t>
      </w:r>
      <w:r>
        <w:rPr>
          <w:lang w:val="fr-FR"/>
        </w:rPr>
        <w:t>.</w:t>
      </w:r>
      <w:r w:rsidRPr="003A6E47">
        <w:rPr>
          <w:lang w:val="fr-FR"/>
        </w:rPr>
        <w:t>ii)</w:t>
      </w:r>
      <w:r>
        <w:rPr>
          <w:lang w:val="fr-FR"/>
        </w:rPr>
        <w:t xml:space="preserve"> du </w:t>
      </w:r>
      <w:r w:rsidR="00010562" w:rsidRPr="003A6E47">
        <w:rPr>
          <w:lang w:val="fr-FR"/>
        </w:rPr>
        <w:t>document</w:t>
      </w:r>
      <w:r w:rsidR="00D41E55">
        <w:rPr>
          <w:lang w:val="fr-FR"/>
        </w:rPr>
        <w:t> </w:t>
      </w:r>
      <w:r w:rsidR="00010562" w:rsidRPr="003A6E47">
        <w:rPr>
          <w:lang w:val="fr-FR"/>
        </w:rPr>
        <w:t>LI/A/34/4).</w:t>
      </w:r>
    </w:p>
    <w:p w14:paraId="61D47D16" w14:textId="2500834C" w:rsidR="00863EE5" w:rsidRDefault="00927E38" w:rsidP="00927E38">
      <w:pPr>
        <w:pStyle w:val="ONUME"/>
        <w:rPr>
          <w:lang w:val="fr-FR"/>
        </w:rPr>
      </w:pPr>
      <w:r w:rsidRPr="00927E38">
        <w:rPr>
          <w:szCs w:val="22"/>
          <w:lang w:val="fr-FR"/>
        </w:rPr>
        <w:t>Le barème des taxes figurant dans le règlement d</w:t>
      </w:r>
      <w:r w:rsidR="00A8217D">
        <w:rPr>
          <w:szCs w:val="22"/>
          <w:lang w:val="fr-FR"/>
        </w:rPr>
        <w:t>’</w:t>
      </w:r>
      <w:r w:rsidRPr="00927E38">
        <w:rPr>
          <w:szCs w:val="22"/>
          <w:lang w:val="fr-FR"/>
        </w:rPr>
        <w:t>exécution commun a également été modifié par une décision de l</w:t>
      </w:r>
      <w:r w:rsidR="00A8217D">
        <w:rPr>
          <w:szCs w:val="22"/>
          <w:lang w:val="fr-FR"/>
        </w:rPr>
        <w:t>’</w:t>
      </w:r>
      <w:r w:rsidRPr="00927E38">
        <w:rPr>
          <w:szCs w:val="22"/>
          <w:lang w:val="fr-FR"/>
        </w:rPr>
        <w:t>Assemblée de l</w:t>
      </w:r>
      <w:r w:rsidR="00A8217D">
        <w:rPr>
          <w:szCs w:val="22"/>
          <w:lang w:val="fr-FR"/>
        </w:rPr>
        <w:t>’</w:t>
      </w:r>
      <w:r w:rsidRPr="00927E38">
        <w:rPr>
          <w:szCs w:val="22"/>
          <w:lang w:val="fr-FR"/>
        </w:rPr>
        <w:t>Union de Lisbonne adoptée à sa trente</w:t>
      </w:r>
      <w:r w:rsidR="006D720A">
        <w:rPr>
          <w:szCs w:val="22"/>
          <w:lang w:val="fr-FR"/>
        </w:rPr>
        <w:noBreakHyphen/>
      </w:r>
      <w:r w:rsidRPr="00927E38">
        <w:rPr>
          <w:szCs w:val="22"/>
          <w:lang w:val="fr-FR"/>
        </w:rPr>
        <w:t>cinqu</w:t>
      </w:r>
      <w:r w:rsidR="00A8217D">
        <w:rPr>
          <w:szCs w:val="22"/>
          <w:lang w:val="fr-FR"/>
        </w:rPr>
        <w:t>ième session</w:t>
      </w:r>
      <w:r w:rsidRPr="00927E38">
        <w:rPr>
          <w:szCs w:val="22"/>
          <w:lang w:val="fr-FR"/>
        </w:rPr>
        <w:t xml:space="preserve"> (13</w:t>
      </w:r>
      <w:r w:rsidR="00B9481B" w:rsidRPr="00B9481B">
        <w:rPr>
          <w:szCs w:val="22"/>
          <w:vertAlign w:val="superscript"/>
          <w:lang w:val="fr-FR"/>
        </w:rPr>
        <w:t>e</w:t>
      </w:r>
      <w:r w:rsidR="00B9481B">
        <w:rPr>
          <w:szCs w:val="22"/>
          <w:lang w:val="fr-FR"/>
        </w:rPr>
        <w:t> session</w:t>
      </w:r>
      <w:r w:rsidRPr="00927E38">
        <w:rPr>
          <w:szCs w:val="22"/>
          <w:lang w:val="fr-FR"/>
        </w:rPr>
        <w:t xml:space="preserve"> extraordinaire) tenue à Genève du 24</w:t>
      </w:r>
      <w:r w:rsidR="00B9481B">
        <w:rPr>
          <w:szCs w:val="22"/>
          <w:lang w:val="fr-FR"/>
        </w:rPr>
        <w:t> </w:t>
      </w:r>
      <w:r w:rsidRPr="00927E38">
        <w:rPr>
          <w:szCs w:val="22"/>
          <w:lang w:val="fr-FR"/>
        </w:rPr>
        <w:t>septembre au 2</w:t>
      </w:r>
      <w:r w:rsidR="00B9481B">
        <w:rPr>
          <w:szCs w:val="22"/>
          <w:lang w:val="fr-FR"/>
        </w:rPr>
        <w:t> </w:t>
      </w:r>
      <w:r w:rsidR="00A8217D" w:rsidRPr="00927E38">
        <w:rPr>
          <w:szCs w:val="22"/>
          <w:lang w:val="fr-FR"/>
        </w:rPr>
        <w:t>octobre</w:t>
      </w:r>
      <w:r w:rsidR="00A8217D">
        <w:rPr>
          <w:szCs w:val="22"/>
          <w:lang w:val="fr-FR"/>
        </w:rPr>
        <w:t> </w:t>
      </w:r>
      <w:r w:rsidR="00A8217D" w:rsidRPr="00927E38">
        <w:rPr>
          <w:szCs w:val="22"/>
          <w:lang w:val="fr-FR"/>
        </w:rPr>
        <w:t>20</w:t>
      </w:r>
      <w:r w:rsidRPr="00927E38">
        <w:rPr>
          <w:szCs w:val="22"/>
          <w:lang w:val="fr-FR"/>
        </w:rPr>
        <w:t>18, en vue de mettre en œuvre la réduction des taxes prévue à l</w:t>
      </w:r>
      <w:r w:rsidR="00A8217D">
        <w:rPr>
          <w:szCs w:val="22"/>
          <w:lang w:val="fr-FR"/>
        </w:rPr>
        <w:t>’</w:t>
      </w:r>
      <w:r w:rsidRPr="00927E38">
        <w:rPr>
          <w:szCs w:val="22"/>
          <w:lang w:val="fr-FR"/>
        </w:rPr>
        <w:t>article</w:t>
      </w:r>
      <w:r w:rsidR="00B9481B">
        <w:rPr>
          <w:szCs w:val="22"/>
          <w:lang w:val="fr-FR"/>
        </w:rPr>
        <w:t> </w:t>
      </w:r>
      <w:r w:rsidRPr="00927E38">
        <w:rPr>
          <w:szCs w:val="22"/>
          <w:lang w:val="fr-FR"/>
        </w:rPr>
        <w:t>7.3) de l</w:t>
      </w:r>
      <w:r w:rsidR="00A8217D">
        <w:rPr>
          <w:szCs w:val="22"/>
          <w:lang w:val="fr-FR"/>
        </w:rPr>
        <w:t>’</w:t>
      </w:r>
      <w:r w:rsidRPr="00927E38">
        <w:rPr>
          <w:szCs w:val="22"/>
          <w:lang w:val="fr-FR"/>
        </w:rPr>
        <w:t>Acte de Genève de l</w:t>
      </w:r>
      <w:r w:rsidR="00A8217D">
        <w:rPr>
          <w:szCs w:val="22"/>
          <w:lang w:val="fr-FR"/>
        </w:rPr>
        <w:t>’</w:t>
      </w:r>
      <w:r w:rsidRPr="00927E38">
        <w:rPr>
          <w:szCs w:val="22"/>
          <w:lang w:val="fr-FR"/>
        </w:rPr>
        <w:t>Arrangement de Lisbonne (voir le paragraphe</w:t>
      </w:r>
      <w:r>
        <w:rPr>
          <w:szCs w:val="22"/>
          <w:lang w:val="fr-FR"/>
        </w:rPr>
        <w:t> </w:t>
      </w:r>
      <w:r w:rsidRPr="00927E38">
        <w:rPr>
          <w:szCs w:val="22"/>
          <w:lang w:val="fr-FR"/>
        </w:rPr>
        <w:t>23 et l</w:t>
      </w:r>
      <w:r w:rsidR="00A8217D">
        <w:rPr>
          <w:szCs w:val="22"/>
          <w:lang w:val="fr-FR"/>
        </w:rPr>
        <w:t>’</w:t>
      </w:r>
      <w:r w:rsidRPr="00927E38">
        <w:rPr>
          <w:szCs w:val="22"/>
          <w:lang w:val="fr-FR"/>
        </w:rPr>
        <w:t xml:space="preserve">annexe du </w:t>
      </w:r>
      <w:r w:rsidR="00A8217D" w:rsidRPr="000F6D3D">
        <w:rPr>
          <w:szCs w:val="22"/>
          <w:lang w:val="fr-FR"/>
        </w:rPr>
        <w:t>document</w:t>
      </w:r>
      <w:r w:rsidR="00D41E55">
        <w:rPr>
          <w:szCs w:val="22"/>
          <w:lang w:val="fr-FR"/>
        </w:rPr>
        <w:t> </w:t>
      </w:r>
      <w:r w:rsidR="00A8217D">
        <w:rPr>
          <w:szCs w:val="22"/>
          <w:lang w:val="fr-FR"/>
        </w:rPr>
        <w:t>LI</w:t>
      </w:r>
      <w:r>
        <w:rPr>
          <w:szCs w:val="22"/>
          <w:lang w:val="fr-FR"/>
        </w:rPr>
        <w:t>/A/35/3</w:t>
      </w:r>
      <w:r w:rsidR="00BA3CF8" w:rsidRPr="000F6D3D">
        <w:rPr>
          <w:szCs w:val="22"/>
          <w:lang w:val="fr-FR"/>
        </w:rPr>
        <w:t>).</w:t>
      </w:r>
    </w:p>
    <w:p w14:paraId="491A4DE1" w14:textId="7DE094B9" w:rsidR="00863EE5" w:rsidRDefault="003059EA" w:rsidP="00927E38">
      <w:pPr>
        <w:pStyle w:val="ONUME"/>
        <w:rPr>
          <w:lang w:val="fr-FR"/>
        </w:rPr>
      </w:pPr>
      <w:r>
        <w:rPr>
          <w:szCs w:val="22"/>
          <w:lang w:val="fr-FR"/>
        </w:rPr>
        <w:t>U</w:t>
      </w:r>
      <w:r w:rsidR="00927E38" w:rsidRPr="00927E38">
        <w:rPr>
          <w:szCs w:val="22"/>
          <w:lang w:val="fr-FR"/>
        </w:rPr>
        <w:t>ne version révisée des instructions administratives visant à compléter l</w:t>
      </w:r>
      <w:r w:rsidR="00A8217D">
        <w:rPr>
          <w:szCs w:val="22"/>
          <w:lang w:val="fr-FR"/>
        </w:rPr>
        <w:t>’</w:t>
      </w:r>
      <w:r w:rsidR="00927E38" w:rsidRPr="00927E38">
        <w:rPr>
          <w:szCs w:val="22"/>
          <w:lang w:val="fr-FR"/>
        </w:rPr>
        <w:t xml:space="preserve">ensemble des dispositions juridiques régissant le système de Lisbonne </w:t>
      </w:r>
      <w:r w:rsidR="00927E38">
        <w:rPr>
          <w:szCs w:val="22"/>
          <w:lang w:val="fr-FR"/>
        </w:rPr>
        <w:t xml:space="preserve">est </w:t>
      </w:r>
      <w:r w:rsidR="00927E38" w:rsidRPr="00927E38">
        <w:rPr>
          <w:szCs w:val="22"/>
          <w:lang w:val="fr-FR"/>
        </w:rPr>
        <w:t>entr</w:t>
      </w:r>
      <w:r w:rsidR="00927E38">
        <w:rPr>
          <w:szCs w:val="22"/>
          <w:lang w:val="fr-FR"/>
        </w:rPr>
        <w:t>é</w:t>
      </w:r>
      <w:r w:rsidR="00927E38" w:rsidRPr="00927E38">
        <w:rPr>
          <w:szCs w:val="22"/>
          <w:lang w:val="fr-FR"/>
        </w:rPr>
        <w:t>e en vigueur le 26</w:t>
      </w:r>
      <w:r w:rsidR="00927E38">
        <w:rPr>
          <w:szCs w:val="22"/>
          <w:lang w:val="fr-FR"/>
        </w:rPr>
        <w:t> </w:t>
      </w:r>
      <w:r w:rsidR="00927E38" w:rsidRPr="00927E38">
        <w:rPr>
          <w:szCs w:val="22"/>
          <w:lang w:val="fr-FR"/>
        </w:rPr>
        <w:t>février</w:t>
      </w:r>
      <w:r w:rsidR="00927E38">
        <w:rPr>
          <w:szCs w:val="22"/>
          <w:lang w:val="fr-FR"/>
        </w:rPr>
        <w:t> </w:t>
      </w:r>
      <w:r w:rsidR="00927E38" w:rsidRPr="00927E38">
        <w:rPr>
          <w:szCs w:val="22"/>
          <w:lang w:val="fr-FR"/>
        </w:rPr>
        <w:t>2020, à la suite de l</w:t>
      </w:r>
      <w:r w:rsidR="00A8217D">
        <w:rPr>
          <w:szCs w:val="22"/>
          <w:lang w:val="fr-FR"/>
        </w:rPr>
        <w:t>’</w:t>
      </w:r>
      <w:r w:rsidR="00927E38" w:rsidRPr="00927E38">
        <w:rPr>
          <w:szCs w:val="22"/>
          <w:lang w:val="fr-FR"/>
        </w:rPr>
        <w:t>entrée en vigueur de l</w:t>
      </w:r>
      <w:r w:rsidR="00A8217D">
        <w:rPr>
          <w:szCs w:val="22"/>
          <w:lang w:val="fr-FR"/>
        </w:rPr>
        <w:t>’</w:t>
      </w:r>
      <w:r w:rsidR="00927E38" w:rsidRPr="00927E38">
        <w:rPr>
          <w:szCs w:val="22"/>
          <w:lang w:val="fr-FR"/>
        </w:rPr>
        <w:t>Acte de Genève de l</w:t>
      </w:r>
      <w:r w:rsidR="00A8217D">
        <w:rPr>
          <w:szCs w:val="22"/>
          <w:lang w:val="fr-FR"/>
        </w:rPr>
        <w:t>’</w:t>
      </w:r>
      <w:r w:rsidR="00927E38" w:rsidRPr="00927E38">
        <w:rPr>
          <w:szCs w:val="22"/>
          <w:lang w:val="fr-FR"/>
        </w:rPr>
        <w:t>Arrangement de Lisbonne</w:t>
      </w:r>
      <w:r w:rsidR="00BA3CF8" w:rsidRPr="000F6D3D">
        <w:rPr>
          <w:szCs w:val="22"/>
          <w:lang w:val="fr-FR"/>
        </w:rPr>
        <w:t>.</w:t>
      </w:r>
    </w:p>
    <w:p w14:paraId="4C8A326C" w14:textId="1FB9CC35" w:rsidR="00A8217D" w:rsidRDefault="00A8217D" w:rsidP="00A8217D">
      <w:pPr>
        <w:pStyle w:val="ONUME"/>
        <w:spacing w:after="480"/>
        <w:rPr>
          <w:lang w:val="fr-CH"/>
        </w:rPr>
      </w:pPr>
      <w:r w:rsidRPr="00A8217D">
        <w:rPr>
          <w:color w:val="000000"/>
          <w:lang w:val="fr-CH"/>
        </w:rPr>
        <w:t>Enfin, à sa trois</w:t>
      </w:r>
      <w:r>
        <w:rPr>
          <w:color w:val="000000"/>
          <w:lang w:val="fr-CH"/>
        </w:rPr>
        <w:t>ième session</w:t>
      </w:r>
      <w:r w:rsidRPr="00A8217D">
        <w:rPr>
          <w:color w:val="000000"/>
          <w:lang w:val="fr-CH"/>
        </w:rPr>
        <w:t xml:space="preserve"> tenue les 2 et 3</w:t>
      </w:r>
      <w:r>
        <w:rPr>
          <w:color w:val="000000"/>
          <w:lang w:val="fr-CH"/>
        </w:rPr>
        <w:t> </w:t>
      </w:r>
      <w:r w:rsidRPr="00A8217D">
        <w:rPr>
          <w:color w:val="000000"/>
          <w:lang w:val="fr-CH"/>
        </w:rPr>
        <w:t>novembre</w:t>
      </w:r>
      <w:r>
        <w:rPr>
          <w:color w:val="000000"/>
          <w:lang w:val="fr-CH"/>
        </w:rPr>
        <w:t> </w:t>
      </w:r>
      <w:r w:rsidRPr="00A8217D">
        <w:rPr>
          <w:color w:val="000000"/>
          <w:lang w:val="fr-CH"/>
        </w:rPr>
        <w:t>2020, le groupe de travail a recommandé à l</w:t>
      </w:r>
      <w:r>
        <w:rPr>
          <w:color w:val="000000"/>
          <w:lang w:val="fr-CH"/>
        </w:rPr>
        <w:t>’</w:t>
      </w:r>
      <w:r w:rsidRPr="00A8217D">
        <w:rPr>
          <w:color w:val="000000"/>
          <w:lang w:val="fr-CH"/>
        </w:rPr>
        <w:t>Assemblée de l</w:t>
      </w:r>
      <w:r>
        <w:rPr>
          <w:color w:val="000000"/>
          <w:lang w:val="fr-CH"/>
        </w:rPr>
        <w:t>’</w:t>
      </w:r>
      <w:r w:rsidRPr="00A8217D">
        <w:rPr>
          <w:color w:val="000000"/>
          <w:lang w:val="fr-CH"/>
        </w:rPr>
        <w:t>Union de Lisbonne l</w:t>
      </w:r>
      <w:r>
        <w:rPr>
          <w:color w:val="000000"/>
          <w:lang w:val="fr-CH"/>
        </w:rPr>
        <w:t>’</w:t>
      </w:r>
      <w:r w:rsidRPr="00A8217D">
        <w:rPr>
          <w:color w:val="000000"/>
          <w:lang w:val="fr-CH"/>
        </w:rPr>
        <w:t>adoption des modifications du règlement d</w:t>
      </w:r>
      <w:r>
        <w:rPr>
          <w:color w:val="000000"/>
          <w:lang w:val="fr-CH"/>
        </w:rPr>
        <w:t>’</w:t>
      </w:r>
      <w:r w:rsidRPr="00A8217D">
        <w:rPr>
          <w:color w:val="000000"/>
          <w:lang w:val="fr-CH"/>
        </w:rPr>
        <w:t>exécution commun à l</w:t>
      </w:r>
      <w:r>
        <w:rPr>
          <w:color w:val="000000"/>
          <w:lang w:val="fr-CH"/>
        </w:rPr>
        <w:t>’</w:t>
      </w:r>
      <w:r w:rsidRPr="00A8217D">
        <w:rPr>
          <w:color w:val="000000"/>
          <w:lang w:val="fr-CH"/>
        </w:rPr>
        <w:t>Arrangement de Lisbonne concernant la protection des appellations d</w:t>
      </w:r>
      <w:r>
        <w:rPr>
          <w:color w:val="000000"/>
          <w:lang w:val="fr-CH"/>
        </w:rPr>
        <w:t>’</w:t>
      </w:r>
      <w:r w:rsidRPr="00A8217D">
        <w:rPr>
          <w:color w:val="000000"/>
          <w:lang w:val="fr-CH"/>
        </w:rPr>
        <w:t>origine et leur enregistrement international et à l</w:t>
      </w:r>
      <w:r>
        <w:rPr>
          <w:color w:val="000000"/>
          <w:lang w:val="fr-CH"/>
        </w:rPr>
        <w:t>’</w:t>
      </w:r>
      <w:r w:rsidRPr="00A8217D">
        <w:rPr>
          <w:color w:val="000000"/>
          <w:lang w:val="fr-CH"/>
        </w:rPr>
        <w:t>Acte de Genève de l</w:t>
      </w:r>
      <w:r>
        <w:rPr>
          <w:color w:val="000000"/>
          <w:lang w:val="fr-CH"/>
        </w:rPr>
        <w:t>’</w:t>
      </w:r>
      <w:r w:rsidRPr="00A8217D">
        <w:rPr>
          <w:color w:val="000000"/>
          <w:lang w:val="fr-CH"/>
        </w:rPr>
        <w:t>Arrangement de Lisbonne concernant les appellations d</w:t>
      </w:r>
      <w:r>
        <w:rPr>
          <w:color w:val="000000"/>
          <w:lang w:val="fr-CH"/>
        </w:rPr>
        <w:t>’</w:t>
      </w:r>
      <w:r w:rsidRPr="00A8217D">
        <w:rPr>
          <w:color w:val="000000"/>
          <w:lang w:val="fr-CH"/>
        </w:rPr>
        <w:t xml:space="preserve">origine et les indications géographiques en ce qui concerne </w:t>
      </w:r>
      <w:r w:rsidR="000A40C9">
        <w:rPr>
          <w:color w:val="000000"/>
          <w:lang w:val="fr-CH"/>
        </w:rPr>
        <w:t xml:space="preserve">l’adjonction </w:t>
      </w:r>
      <w:r w:rsidRPr="00A8217D">
        <w:rPr>
          <w:color w:val="000000"/>
          <w:lang w:val="fr-CH"/>
        </w:rPr>
        <w:t>d</w:t>
      </w:r>
      <w:r>
        <w:rPr>
          <w:color w:val="000000"/>
          <w:lang w:val="fr-CH"/>
        </w:rPr>
        <w:t>’</w:t>
      </w:r>
      <w:r w:rsidRPr="00A8217D">
        <w:rPr>
          <w:color w:val="000000"/>
          <w:lang w:val="fr-CH"/>
        </w:rPr>
        <w:t>une nouvelle règle</w:t>
      </w:r>
      <w:r>
        <w:rPr>
          <w:color w:val="000000"/>
          <w:lang w:val="fr-CH"/>
        </w:rPr>
        <w:t> </w:t>
      </w:r>
      <w:r w:rsidRPr="00A8217D">
        <w:rPr>
          <w:color w:val="000000"/>
          <w:lang w:val="fr-CH"/>
        </w:rPr>
        <w:t>2</w:t>
      </w:r>
      <w:r w:rsidRPr="00D41E55">
        <w:rPr>
          <w:i/>
          <w:color w:val="000000"/>
          <w:lang w:val="fr-CH"/>
        </w:rPr>
        <w:t>bis</w:t>
      </w:r>
      <w:r w:rsidRPr="00A8217D">
        <w:rPr>
          <w:color w:val="000000"/>
          <w:lang w:val="fr-CH"/>
        </w:rPr>
        <w:t xml:space="preserve"> (Excuse de retard dans l</w:t>
      </w:r>
      <w:r>
        <w:rPr>
          <w:color w:val="000000"/>
          <w:lang w:val="fr-CH"/>
        </w:rPr>
        <w:t>’</w:t>
      </w:r>
      <w:r w:rsidRPr="00A8217D">
        <w:rPr>
          <w:color w:val="000000"/>
          <w:lang w:val="fr-CH"/>
        </w:rPr>
        <w:t>observation des délais), tels qu</w:t>
      </w:r>
      <w:r>
        <w:rPr>
          <w:color w:val="000000"/>
          <w:lang w:val="fr-CH"/>
        </w:rPr>
        <w:t>’</w:t>
      </w:r>
      <w:r w:rsidRPr="00A8217D">
        <w:rPr>
          <w:color w:val="000000"/>
          <w:lang w:val="fr-CH"/>
        </w:rPr>
        <w:t>elles sont présentées dans l</w:t>
      </w:r>
      <w:r>
        <w:rPr>
          <w:color w:val="000000"/>
          <w:lang w:val="fr-CH"/>
        </w:rPr>
        <w:t>’</w:t>
      </w:r>
      <w:r w:rsidRPr="00A8217D">
        <w:rPr>
          <w:color w:val="000000"/>
          <w:lang w:val="fr-CH"/>
        </w:rPr>
        <w:t>annexe du document</w:t>
      </w:r>
      <w:r w:rsidR="00D41E55">
        <w:rPr>
          <w:color w:val="000000"/>
          <w:lang w:val="fr-CH"/>
        </w:rPr>
        <w:t> </w:t>
      </w:r>
      <w:r w:rsidRPr="00A8217D">
        <w:rPr>
          <w:color w:val="000000"/>
          <w:lang w:val="fr-CH"/>
        </w:rPr>
        <w:t>LI/A/38/2, pour leur entrée en vigueur deux</w:t>
      </w:r>
      <w:r w:rsidR="00C0591E">
        <w:rPr>
          <w:color w:val="000000"/>
          <w:lang w:val="fr-CH"/>
        </w:rPr>
        <w:t> </w:t>
      </w:r>
      <w:r w:rsidRPr="00A8217D">
        <w:rPr>
          <w:color w:val="000000"/>
          <w:lang w:val="fr-CH"/>
        </w:rPr>
        <w:t>mois après leur adoption par l</w:t>
      </w:r>
      <w:r>
        <w:rPr>
          <w:color w:val="000000"/>
          <w:lang w:val="fr-CH"/>
        </w:rPr>
        <w:t>’</w:t>
      </w:r>
      <w:r w:rsidRPr="00A8217D">
        <w:rPr>
          <w:color w:val="000000"/>
          <w:lang w:val="fr-CH"/>
        </w:rPr>
        <w:t>Assemblée de l</w:t>
      </w:r>
      <w:r>
        <w:rPr>
          <w:color w:val="000000"/>
          <w:lang w:val="fr-CH"/>
        </w:rPr>
        <w:t>’</w:t>
      </w:r>
      <w:r w:rsidRPr="00A8217D">
        <w:rPr>
          <w:color w:val="000000"/>
          <w:lang w:val="fr-CH"/>
        </w:rPr>
        <w:t>Union de Lisbonne, à sa trente</w:t>
      </w:r>
      <w:r w:rsidR="006B0DCC">
        <w:rPr>
          <w:color w:val="000000"/>
          <w:lang w:val="fr-CH"/>
        </w:rPr>
        <w:noBreakHyphen/>
      </w:r>
      <w:r w:rsidRPr="00A8217D">
        <w:rPr>
          <w:color w:val="000000"/>
          <w:lang w:val="fr-CH"/>
        </w:rPr>
        <w:t>huit</w:t>
      </w:r>
      <w:r>
        <w:rPr>
          <w:color w:val="000000"/>
          <w:lang w:val="fr-CH"/>
        </w:rPr>
        <w:t>ième session</w:t>
      </w:r>
      <w:r w:rsidRPr="00A8217D">
        <w:rPr>
          <w:color w:val="000000"/>
          <w:lang w:val="fr-CH"/>
        </w:rPr>
        <w:t>.</w:t>
      </w:r>
    </w:p>
    <w:p w14:paraId="005D335D" w14:textId="7B7B842A" w:rsidR="00863EE5" w:rsidRDefault="0033469A" w:rsidP="00762F54">
      <w:pPr>
        <w:pStyle w:val="ONUME"/>
        <w:numPr>
          <w:ilvl w:val="0"/>
          <w:numId w:val="0"/>
        </w:numPr>
        <w:spacing w:after="240"/>
        <w:rPr>
          <w:lang w:val="fr-FR"/>
        </w:rPr>
      </w:pPr>
      <w:r w:rsidRPr="003059EA">
        <w:rPr>
          <w:szCs w:val="22"/>
          <w:lang w:val="fr-FR"/>
        </w:rPr>
        <w:t xml:space="preserve">VIABILITÉ </w:t>
      </w:r>
      <w:r w:rsidR="0086648C" w:rsidRPr="003059EA">
        <w:rPr>
          <w:szCs w:val="22"/>
          <w:lang w:val="fr-FR"/>
        </w:rPr>
        <w:t>FINANCI</w:t>
      </w:r>
      <w:r w:rsidRPr="003059EA">
        <w:rPr>
          <w:szCs w:val="22"/>
          <w:lang w:val="fr-FR"/>
        </w:rPr>
        <w:t>ÈRE</w:t>
      </w:r>
    </w:p>
    <w:p w14:paraId="0C2C0521" w14:textId="602F7AD8" w:rsidR="00863EE5" w:rsidRDefault="0033469A" w:rsidP="0033469A">
      <w:pPr>
        <w:pStyle w:val="ONUME"/>
        <w:rPr>
          <w:lang w:val="fr-FR"/>
        </w:rPr>
      </w:pPr>
      <w:r w:rsidRPr="0033469A">
        <w:rPr>
          <w:szCs w:val="22"/>
          <w:lang w:val="fr-FR"/>
        </w:rPr>
        <w:t>S</w:t>
      </w:r>
      <w:r w:rsidR="00A8217D">
        <w:rPr>
          <w:szCs w:val="22"/>
          <w:lang w:val="fr-FR"/>
        </w:rPr>
        <w:t>’</w:t>
      </w:r>
      <w:r w:rsidRPr="0033469A">
        <w:rPr>
          <w:szCs w:val="22"/>
          <w:lang w:val="fr-FR"/>
        </w:rPr>
        <w:t>agissant des dis</w:t>
      </w:r>
      <w:r w:rsidR="00DD2905">
        <w:rPr>
          <w:szCs w:val="22"/>
          <w:lang w:val="fr-FR"/>
        </w:rPr>
        <w:t>c</w:t>
      </w:r>
      <w:r w:rsidRPr="0033469A">
        <w:rPr>
          <w:szCs w:val="22"/>
          <w:lang w:val="fr-FR"/>
        </w:rPr>
        <w:t>ussions concernant la viabilité financière de l</w:t>
      </w:r>
      <w:r w:rsidR="00A8217D">
        <w:rPr>
          <w:szCs w:val="22"/>
          <w:lang w:val="fr-FR"/>
        </w:rPr>
        <w:t>’</w:t>
      </w:r>
      <w:r w:rsidRPr="0033469A">
        <w:rPr>
          <w:szCs w:val="22"/>
          <w:lang w:val="fr-FR"/>
        </w:rPr>
        <w:t>Union de Lisbonne, l</w:t>
      </w:r>
      <w:r w:rsidR="00A8217D">
        <w:rPr>
          <w:szCs w:val="22"/>
          <w:lang w:val="fr-FR"/>
        </w:rPr>
        <w:t>’</w:t>
      </w:r>
      <w:r w:rsidRPr="0033469A">
        <w:rPr>
          <w:szCs w:val="22"/>
          <w:lang w:val="fr-FR"/>
        </w:rPr>
        <w:t>attention du groupe de travail est appelée sur la cinquante</w:t>
      </w:r>
      <w:r w:rsidR="00A8217D">
        <w:rPr>
          <w:szCs w:val="22"/>
          <w:lang w:val="fr-FR"/>
        </w:rPr>
        <w:t>-</w:t>
      </w:r>
      <w:r w:rsidRPr="0033469A">
        <w:rPr>
          <w:szCs w:val="22"/>
          <w:lang w:val="fr-FR"/>
        </w:rPr>
        <w:t>neuvième série de réunions (30</w:t>
      </w:r>
      <w:r>
        <w:rPr>
          <w:szCs w:val="22"/>
          <w:lang w:val="fr-FR"/>
        </w:rPr>
        <w:t> </w:t>
      </w:r>
      <w:r w:rsidRPr="0033469A">
        <w:rPr>
          <w:szCs w:val="22"/>
          <w:lang w:val="fr-FR"/>
        </w:rPr>
        <w:t>septembre – 9</w:t>
      </w:r>
      <w:r>
        <w:rPr>
          <w:szCs w:val="22"/>
          <w:lang w:val="fr-FR"/>
        </w:rPr>
        <w:t> </w:t>
      </w:r>
      <w:r w:rsidRPr="0033469A">
        <w:rPr>
          <w:szCs w:val="22"/>
          <w:lang w:val="fr-FR"/>
        </w:rPr>
        <w:t>octobre</w:t>
      </w:r>
      <w:r w:rsidR="00B9481B">
        <w:rPr>
          <w:szCs w:val="22"/>
          <w:lang w:val="fr-FR"/>
        </w:rPr>
        <w:t> </w:t>
      </w:r>
      <w:r w:rsidRPr="0033469A">
        <w:rPr>
          <w:szCs w:val="22"/>
          <w:lang w:val="fr-FR"/>
        </w:rPr>
        <w:t>2019) des assemblées des États membres de l</w:t>
      </w:r>
      <w:r w:rsidR="00A8217D">
        <w:rPr>
          <w:szCs w:val="22"/>
          <w:lang w:val="fr-FR"/>
        </w:rPr>
        <w:t>’</w:t>
      </w:r>
      <w:r w:rsidRPr="0033469A">
        <w:rPr>
          <w:szCs w:val="22"/>
          <w:lang w:val="fr-FR"/>
        </w:rPr>
        <w:t>OMPI et des unions administrées par l</w:t>
      </w:r>
      <w:r w:rsidR="00A8217D">
        <w:rPr>
          <w:szCs w:val="22"/>
          <w:lang w:val="fr-FR"/>
        </w:rPr>
        <w:t>’</w:t>
      </w:r>
      <w:r w:rsidRPr="0033469A">
        <w:rPr>
          <w:szCs w:val="22"/>
          <w:lang w:val="fr-FR"/>
        </w:rPr>
        <w:t>OMPI et sur la décision prise au sujet du programme et budget proposé pour l</w:t>
      </w:r>
      <w:r w:rsidR="00A8217D">
        <w:rPr>
          <w:szCs w:val="22"/>
          <w:lang w:val="fr-FR"/>
        </w:rPr>
        <w:t>’</w:t>
      </w:r>
      <w:r w:rsidRPr="0033469A">
        <w:rPr>
          <w:szCs w:val="22"/>
          <w:lang w:val="fr-FR"/>
        </w:rPr>
        <w:t xml:space="preserve">exercice </w:t>
      </w:r>
      <w:r w:rsidR="00A8217D" w:rsidRPr="0033469A">
        <w:rPr>
          <w:szCs w:val="22"/>
          <w:lang w:val="fr-FR"/>
        </w:rPr>
        <w:t>biennal</w:t>
      </w:r>
      <w:r w:rsidR="00A8217D">
        <w:rPr>
          <w:szCs w:val="22"/>
          <w:lang w:val="fr-FR"/>
        </w:rPr>
        <w:t> </w:t>
      </w:r>
      <w:r w:rsidR="00A8217D" w:rsidRPr="0033469A">
        <w:rPr>
          <w:szCs w:val="22"/>
          <w:lang w:val="fr-FR"/>
        </w:rPr>
        <w:t>2020</w:t>
      </w:r>
      <w:r w:rsidR="00A8217D">
        <w:rPr>
          <w:szCs w:val="22"/>
          <w:lang w:val="fr-FR"/>
        </w:rPr>
        <w:t>-</w:t>
      </w:r>
      <w:r w:rsidRPr="0033469A">
        <w:rPr>
          <w:szCs w:val="22"/>
          <w:lang w:val="fr-FR"/>
        </w:rPr>
        <w:t>2021</w:t>
      </w:r>
      <w:r w:rsidR="00A8217D">
        <w:rPr>
          <w:szCs w:val="22"/>
          <w:lang w:val="fr-FR"/>
        </w:rPr>
        <w:t> :</w:t>
      </w:r>
    </w:p>
    <w:p w14:paraId="59D55AF5" w14:textId="4D78D8F8" w:rsidR="00863EE5" w:rsidRDefault="0086648C" w:rsidP="00BB60F8">
      <w:pPr>
        <w:pStyle w:val="Default"/>
        <w:spacing w:after="240"/>
        <w:ind w:left="567"/>
        <w:rPr>
          <w:sz w:val="22"/>
          <w:szCs w:val="22"/>
          <w:lang w:val="fr-FR"/>
        </w:rPr>
      </w:pPr>
      <w:r w:rsidRPr="000F6D3D">
        <w:rPr>
          <w:sz w:val="22"/>
          <w:szCs w:val="22"/>
          <w:lang w:val="fr-FR"/>
        </w:rPr>
        <w:t>“</w:t>
      </w:r>
      <w:r w:rsidR="006315CA" w:rsidRPr="000F6D3D">
        <w:rPr>
          <w:sz w:val="22"/>
          <w:szCs w:val="22"/>
          <w:lang w:val="fr-FR"/>
        </w:rPr>
        <w:t xml:space="preserve">[…] </w:t>
      </w:r>
      <w:r w:rsidR="008A6F97" w:rsidRPr="008A6F97">
        <w:rPr>
          <w:sz w:val="22"/>
          <w:szCs w:val="22"/>
          <w:lang w:val="fr-FR"/>
        </w:rPr>
        <w:t>Les assemblées de l</w:t>
      </w:r>
      <w:r w:rsidR="00A8217D">
        <w:rPr>
          <w:sz w:val="22"/>
          <w:szCs w:val="22"/>
          <w:lang w:val="fr-FR"/>
        </w:rPr>
        <w:t>’</w:t>
      </w:r>
      <w:r w:rsidR="008A6F97" w:rsidRPr="008A6F97">
        <w:rPr>
          <w:sz w:val="22"/>
          <w:szCs w:val="22"/>
          <w:lang w:val="fr-FR"/>
        </w:rPr>
        <w:t>OMPI, chacune pour ce qui la concerne</w:t>
      </w:r>
      <w:r w:rsidR="00A8217D">
        <w:rPr>
          <w:sz w:val="22"/>
          <w:szCs w:val="22"/>
          <w:lang w:val="fr-FR"/>
        </w:rPr>
        <w:t> :</w:t>
      </w:r>
    </w:p>
    <w:p w14:paraId="6BE78415" w14:textId="1E6E1094" w:rsidR="00A8217D" w:rsidRDefault="00F952D1" w:rsidP="00BB60F8">
      <w:pPr>
        <w:pStyle w:val="Default"/>
        <w:spacing w:after="240"/>
        <w:ind w:left="567"/>
        <w:rPr>
          <w:sz w:val="22"/>
          <w:szCs w:val="22"/>
          <w:lang w:val="fr-FR"/>
        </w:rPr>
      </w:pPr>
      <w:r w:rsidRPr="000F6D3D">
        <w:rPr>
          <w:sz w:val="22"/>
          <w:szCs w:val="22"/>
          <w:lang w:val="fr-FR"/>
        </w:rPr>
        <w:t>“</w:t>
      </w:r>
      <w:r w:rsidR="0086648C" w:rsidRPr="000F6D3D">
        <w:rPr>
          <w:sz w:val="22"/>
          <w:szCs w:val="22"/>
          <w:lang w:val="fr-FR"/>
        </w:rPr>
        <w:t>i)</w:t>
      </w:r>
      <w:r w:rsidR="0086648C" w:rsidRPr="000F6D3D">
        <w:rPr>
          <w:sz w:val="22"/>
          <w:szCs w:val="22"/>
          <w:lang w:val="fr-FR"/>
        </w:rPr>
        <w:tab/>
      </w:r>
      <w:r w:rsidR="008A6F97" w:rsidRPr="008A6F97">
        <w:rPr>
          <w:sz w:val="22"/>
          <w:szCs w:val="22"/>
          <w:lang w:val="fr-FR"/>
        </w:rPr>
        <w:t>ont approuvé le programme et budget proposé pour l</w:t>
      </w:r>
      <w:r w:rsidR="00A8217D">
        <w:rPr>
          <w:sz w:val="22"/>
          <w:szCs w:val="22"/>
          <w:lang w:val="fr-FR"/>
        </w:rPr>
        <w:t>’</w:t>
      </w:r>
      <w:r w:rsidR="008A6F97" w:rsidRPr="008A6F97">
        <w:rPr>
          <w:sz w:val="22"/>
          <w:szCs w:val="22"/>
          <w:lang w:val="fr-FR"/>
        </w:rPr>
        <w:t xml:space="preserve">exercice </w:t>
      </w:r>
      <w:r w:rsidR="00A8217D" w:rsidRPr="008A6F97">
        <w:rPr>
          <w:sz w:val="22"/>
          <w:szCs w:val="22"/>
          <w:lang w:val="fr-FR"/>
        </w:rPr>
        <w:t>biennal</w:t>
      </w:r>
      <w:r w:rsidR="00A8217D">
        <w:rPr>
          <w:sz w:val="22"/>
          <w:szCs w:val="22"/>
          <w:lang w:val="fr-FR"/>
        </w:rPr>
        <w:t> </w:t>
      </w:r>
      <w:r w:rsidR="00A8217D" w:rsidRPr="008A6F97">
        <w:rPr>
          <w:sz w:val="22"/>
          <w:szCs w:val="22"/>
          <w:lang w:val="fr-FR"/>
        </w:rPr>
        <w:t>2020</w:t>
      </w:r>
      <w:r w:rsidR="00A8217D">
        <w:rPr>
          <w:sz w:val="22"/>
          <w:szCs w:val="22"/>
          <w:lang w:val="fr-FR"/>
        </w:rPr>
        <w:t>-</w:t>
      </w:r>
      <w:r w:rsidR="008A6F97" w:rsidRPr="008A6F97">
        <w:rPr>
          <w:sz w:val="22"/>
          <w:szCs w:val="22"/>
          <w:lang w:val="fr-FR"/>
        </w:rPr>
        <w:t>2021 (document</w:t>
      </w:r>
      <w:r w:rsidR="00D41E55">
        <w:rPr>
          <w:sz w:val="22"/>
          <w:szCs w:val="22"/>
          <w:lang w:val="fr-FR"/>
        </w:rPr>
        <w:t> </w:t>
      </w:r>
      <w:r w:rsidR="008A6F97" w:rsidRPr="008A6F97">
        <w:rPr>
          <w:sz w:val="22"/>
          <w:szCs w:val="22"/>
          <w:lang w:val="fr-FR"/>
        </w:rPr>
        <w:t>A/59/8) sous réserve de la répartition des recettes et des dépenses par union indiquée dans la version révisée ci</w:t>
      </w:r>
      <w:r w:rsidR="00A8217D">
        <w:rPr>
          <w:sz w:val="22"/>
          <w:szCs w:val="22"/>
          <w:lang w:val="fr-FR"/>
        </w:rPr>
        <w:t>-</w:t>
      </w:r>
      <w:r w:rsidR="008A6F97" w:rsidRPr="008A6F97">
        <w:rPr>
          <w:sz w:val="22"/>
          <w:szCs w:val="22"/>
          <w:lang w:val="fr-FR"/>
        </w:rPr>
        <w:t>jointe de l</w:t>
      </w:r>
      <w:r w:rsidR="00A8217D">
        <w:rPr>
          <w:sz w:val="22"/>
          <w:szCs w:val="22"/>
          <w:lang w:val="fr-FR"/>
        </w:rPr>
        <w:t>’</w:t>
      </w:r>
      <w:r w:rsidR="008A6F97" w:rsidRPr="008A6F97">
        <w:rPr>
          <w:sz w:val="22"/>
          <w:szCs w:val="22"/>
          <w:lang w:val="fr-FR"/>
        </w:rPr>
        <w:t>annexe</w:t>
      </w:r>
      <w:r w:rsidR="008A6F97">
        <w:rPr>
          <w:sz w:val="22"/>
          <w:szCs w:val="22"/>
          <w:lang w:val="fr-FR"/>
        </w:rPr>
        <w:t> </w:t>
      </w:r>
      <w:r w:rsidR="008A6F97" w:rsidRPr="008A6F97">
        <w:rPr>
          <w:sz w:val="22"/>
          <w:szCs w:val="22"/>
          <w:lang w:val="fr-FR"/>
        </w:rPr>
        <w:t xml:space="preserve">III, qui reprend la répartition des </w:t>
      </w:r>
      <w:r w:rsidR="008A6F97" w:rsidRPr="008A6F97">
        <w:rPr>
          <w:sz w:val="22"/>
          <w:szCs w:val="22"/>
          <w:lang w:val="fr-FR"/>
        </w:rPr>
        <w:lastRenderedPageBreak/>
        <w:t>recettes et des dépenses par union dans le programme et budget de l</w:t>
      </w:r>
      <w:r w:rsidR="00A8217D">
        <w:rPr>
          <w:sz w:val="22"/>
          <w:szCs w:val="22"/>
          <w:lang w:val="fr-FR"/>
        </w:rPr>
        <w:t>’</w:t>
      </w:r>
      <w:r w:rsidR="008A6F97" w:rsidRPr="008A6F97">
        <w:rPr>
          <w:sz w:val="22"/>
          <w:szCs w:val="22"/>
          <w:lang w:val="fr-FR"/>
        </w:rPr>
        <w:t xml:space="preserve">exercice </w:t>
      </w:r>
      <w:r w:rsidR="00A8217D" w:rsidRPr="008A6F97">
        <w:rPr>
          <w:sz w:val="22"/>
          <w:szCs w:val="22"/>
          <w:lang w:val="fr-FR"/>
        </w:rPr>
        <w:t>biennal</w:t>
      </w:r>
      <w:r w:rsidR="00A8217D">
        <w:rPr>
          <w:sz w:val="22"/>
          <w:szCs w:val="22"/>
          <w:lang w:val="fr-FR"/>
        </w:rPr>
        <w:t> </w:t>
      </w:r>
      <w:r w:rsidR="00A8217D" w:rsidRPr="008A6F97">
        <w:rPr>
          <w:sz w:val="22"/>
          <w:szCs w:val="22"/>
          <w:lang w:val="fr-FR"/>
        </w:rPr>
        <w:t>2018</w:t>
      </w:r>
      <w:r w:rsidR="00A8217D">
        <w:rPr>
          <w:sz w:val="22"/>
          <w:szCs w:val="22"/>
          <w:lang w:val="fr-FR"/>
        </w:rPr>
        <w:t>-</w:t>
      </w:r>
      <w:r w:rsidR="008A6F97" w:rsidRPr="008A6F97">
        <w:rPr>
          <w:sz w:val="22"/>
          <w:szCs w:val="22"/>
          <w:lang w:val="fr-FR"/>
        </w:rPr>
        <w:t>2019</w:t>
      </w:r>
      <w:r w:rsidR="0086648C" w:rsidRPr="000F6D3D">
        <w:rPr>
          <w:sz w:val="22"/>
          <w:szCs w:val="22"/>
          <w:lang w:val="fr-FR"/>
        </w:rPr>
        <w:t>;</w:t>
      </w:r>
    </w:p>
    <w:p w14:paraId="7319BC48" w14:textId="77777777" w:rsidR="00A8217D" w:rsidRDefault="00F952D1" w:rsidP="00BB60F8">
      <w:pPr>
        <w:pStyle w:val="Default"/>
        <w:spacing w:after="240"/>
        <w:ind w:left="567"/>
        <w:rPr>
          <w:sz w:val="22"/>
          <w:szCs w:val="22"/>
          <w:lang w:val="fr-FR"/>
        </w:rPr>
      </w:pPr>
      <w:r w:rsidRPr="000F6D3D">
        <w:rPr>
          <w:sz w:val="22"/>
          <w:szCs w:val="22"/>
          <w:lang w:val="fr-FR"/>
        </w:rPr>
        <w:t>“</w:t>
      </w:r>
      <w:r w:rsidR="0086648C" w:rsidRPr="000F6D3D">
        <w:rPr>
          <w:sz w:val="22"/>
          <w:szCs w:val="22"/>
          <w:lang w:val="fr-FR"/>
        </w:rPr>
        <w:t>ii)</w:t>
      </w:r>
      <w:r w:rsidR="0086648C" w:rsidRPr="000F6D3D">
        <w:rPr>
          <w:sz w:val="22"/>
          <w:szCs w:val="22"/>
          <w:lang w:val="fr-FR"/>
        </w:rPr>
        <w:tab/>
      </w:r>
      <w:r w:rsidR="008A6F97" w:rsidRPr="008A6F97">
        <w:rPr>
          <w:sz w:val="22"/>
          <w:szCs w:val="22"/>
          <w:lang w:val="fr-FR"/>
        </w:rPr>
        <w:t>ont rappelé que, en vertu des traités régissant les unions financées par des taxes, chaque union doit disposer de recettes suffisantes pour couvrir ses propres dépenses</w:t>
      </w:r>
      <w:r w:rsidR="0086648C" w:rsidRPr="000F6D3D">
        <w:rPr>
          <w:sz w:val="22"/>
          <w:szCs w:val="22"/>
          <w:lang w:val="fr-FR"/>
        </w:rPr>
        <w:t>;</w:t>
      </w:r>
    </w:p>
    <w:p w14:paraId="1ED26C8D" w14:textId="6ED22C9E" w:rsidR="00A8217D" w:rsidRDefault="00F952D1" w:rsidP="008A6F97">
      <w:pPr>
        <w:pStyle w:val="Default"/>
        <w:ind w:left="567"/>
        <w:rPr>
          <w:sz w:val="22"/>
          <w:szCs w:val="22"/>
          <w:lang w:val="fr-FR"/>
        </w:rPr>
      </w:pPr>
      <w:r w:rsidRPr="000F6D3D">
        <w:rPr>
          <w:sz w:val="22"/>
          <w:szCs w:val="22"/>
          <w:lang w:val="fr-FR"/>
        </w:rPr>
        <w:t>“</w:t>
      </w:r>
      <w:r w:rsidR="0086648C" w:rsidRPr="000F6D3D">
        <w:rPr>
          <w:sz w:val="22"/>
          <w:szCs w:val="22"/>
          <w:lang w:val="fr-FR"/>
        </w:rPr>
        <w:t>iii)</w:t>
      </w:r>
      <w:r w:rsidR="0086648C" w:rsidRPr="000F6D3D">
        <w:rPr>
          <w:sz w:val="22"/>
          <w:szCs w:val="22"/>
          <w:lang w:val="fr-FR"/>
        </w:rPr>
        <w:tab/>
      </w:r>
      <w:r w:rsidR="008A6F97" w:rsidRPr="008A6F97">
        <w:rPr>
          <w:sz w:val="22"/>
          <w:szCs w:val="22"/>
          <w:lang w:val="fr-FR"/>
        </w:rPr>
        <w:t>ont pris note du fait que les unions financées par des taxes avec un déficit biennal prévu au cours de l</w:t>
      </w:r>
      <w:r w:rsidR="00A8217D">
        <w:rPr>
          <w:sz w:val="22"/>
          <w:szCs w:val="22"/>
          <w:lang w:val="fr-FR"/>
        </w:rPr>
        <w:t>’</w:t>
      </w:r>
      <w:r w:rsidR="008A6F97" w:rsidRPr="008A6F97">
        <w:rPr>
          <w:sz w:val="22"/>
          <w:szCs w:val="22"/>
          <w:lang w:val="fr-FR"/>
        </w:rPr>
        <w:t xml:space="preserve">exercice </w:t>
      </w:r>
      <w:r w:rsidR="00A8217D" w:rsidRPr="008A6F97">
        <w:rPr>
          <w:sz w:val="22"/>
          <w:szCs w:val="22"/>
          <w:lang w:val="fr-FR"/>
        </w:rPr>
        <w:t>biennal</w:t>
      </w:r>
      <w:r w:rsidR="00A8217D">
        <w:rPr>
          <w:sz w:val="22"/>
          <w:szCs w:val="22"/>
          <w:lang w:val="fr-FR"/>
        </w:rPr>
        <w:t> </w:t>
      </w:r>
      <w:r w:rsidR="00A8217D" w:rsidRPr="008A6F97">
        <w:rPr>
          <w:sz w:val="22"/>
          <w:szCs w:val="22"/>
          <w:lang w:val="fr-FR"/>
        </w:rPr>
        <w:t>2020</w:t>
      </w:r>
      <w:r w:rsidR="00A8217D">
        <w:rPr>
          <w:sz w:val="22"/>
          <w:szCs w:val="22"/>
          <w:lang w:val="fr-FR"/>
        </w:rPr>
        <w:t>-</w:t>
      </w:r>
      <w:r w:rsidR="008A6F97" w:rsidRPr="008A6F97">
        <w:rPr>
          <w:sz w:val="22"/>
          <w:szCs w:val="22"/>
          <w:lang w:val="fr-FR"/>
        </w:rPr>
        <w:t>2021 devraient envisager des mesures conformément à leur propre traité afin de combler ce déficit</w:t>
      </w:r>
      <w:r w:rsidR="0086648C" w:rsidRPr="000F6D3D">
        <w:rPr>
          <w:sz w:val="22"/>
          <w:szCs w:val="22"/>
          <w:lang w:val="fr-FR"/>
        </w:rPr>
        <w:t>;</w:t>
      </w:r>
    </w:p>
    <w:p w14:paraId="1908CA71" w14:textId="3D591DA1" w:rsidR="00863EE5" w:rsidRDefault="00863EE5" w:rsidP="008A6F97">
      <w:pPr>
        <w:pStyle w:val="Default"/>
        <w:ind w:left="567"/>
        <w:rPr>
          <w:sz w:val="22"/>
          <w:szCs w:val="22"/>
          <w:lang w:val="fr-FR"/>
        </w:rPr>
      </w:pPr>
    </w:p>
    <w:p w14:paraId="2020EF11" w14:textId="7D44A0DF" w:rsidR="00A8217D" w:rsidRDefault="00F952D1" w:rsidP="00BB60F8">
      <w:pPr>
        <w:pStyle w:val="Default"/>
        <w:spacing w:after="240"/>
        <w:ind w:left="567"/>
        <w:rPr>
          <w:sz w:val="22"/>
          <w:szCs w:val="22"/>
          <w:lang w:val="fr-FR"/>
        </w:rPr>
      </w:pPr>
      <w:r w:rsidRPr="000F6D3D">
        <w:rPr>
          <w:sz w:val="22"/>
          <w:szCs w:val="22"/>
          <w:lang w:val="fr-FR"/>
        </w:rPr>
        <w:t>“</w:t>
      </w:r>
      <w:r w:rsidR="0086648C" w:rsidRPr="000F6D3D">
        <w:rPr>
          <w:sz w:val="22"/>
          <w:szCs w:val="22"/>
          <w:lang w:val="fr-FR"/>
        </w:rPr>
        <w:t>iv)</w:t>
      </w:r>
      <w:r w:rsidR="0086648C" w:rsidRPr="000F6D3D">
        <w:rPr>
          <w:sz w:val="22"/>
          <w:szCs w:val="22"/>
          <w:lang w:val="fr-FR"/>
        </w:rPr>
        <w:tab/>
      </w:r>
      <w:r w:rsidR="008A6F97" w:rsidRPr="008A6F97">
        <w:rPr>
          <w:sz w:val="22"/>
          <w:szCs w:val="22"/>
          <w:lang w:val="fr-FR"/>
        </w:rPr>
        <w:t>on</w:t>
      </w:r>
      <w:r w:rsidR="00DD2905">
        <w:rPr>
          <w:sz w:val="22"/>
          <w:szCs w:val="22"/>
          <w:lang w:val="fr-FR"/>
        </w:rPr>
        <w:t>t</w:t>
      </w:r>
      <w:r w:rsidR="008A6F97" w:rsidRPr="008A6F97">
        <w:rPr>
          <w:sz w:val="22"/>
          <w:szCs w:val="22"/>
          <w:lang w:val="fr-FR"/>
        </w:rPr>
        <w:t xml:space="preserve"> pris note du fait que, si une union au cours d</w:t>
      </w:r>
      <w:r w:rsidR="00A8217D">
        <w:rPr>
          <w:sz w:val="22"/>
          <w:szCs w:val="22"/>
          <w:lang w:val="fr-FR"/>
        </w:rPr>
        <w:t>’</w:t>
      </w:r>
      <w:r w:rsidR="008A6F97" w:rsidRPr="008A6F97">
        <w:rPr>
          <w:sz w:val="22"/>
          <w:szCs w:val="22"/>
          <w:lang w:val="fr-FR"/>
        </w:rPr>
        <w:t>un exercice biennal donné ne dispose pas de recettes et de réserves suffisantes pour couvrir les dépenses prévues, le montant nécessaire pour financer les opérations de cette union est prélevé sur les actifs nets de l</w:t>
      </w:r>
      <w:r w:rsidR="00A8217D">
        <w:rPr>
          <w:sz w:val="22"/>
          <w:szCs w:val="22"/>
          <w:lang w:val="fr-FR"/>
        </w:rPr>
        <w:t>’</w:t>
      </w:r>
      <w:r w:rsidR="008A6F97" w:rsidRPr="008A6F97">
        <w:rPr>
          <w:sz w:val="22"/>
          <w:szCs w:val="22"/>
          <w:lang w:val="fr-FR"/>
        </w:rPr>
        <w:t>Organisation et comptabilisé dans le Rapport financier annuel ainsi que dans les recettes, dépenses et réserves par segment de l</w:t>
      </w:r>
      <w:r w:rsidR="00A8217D">
        <w:rPr>
          <w:sz w:val="22"/>
          <w:szCs w:val="22"/>
          <w:lang w:val="fr-FR"/>
        </w:rPr>
        <w:t>’</w:t>
      </w:r>
      <w:r w:rsidR="008A6F97" w:rsidRPr="008A6F97">
        <w:rPr>
          <w:sz w:val="22"/>
          <w:szCs w:val="22"/>
          <w:lang w:val="fr-FR"/>
        </w:rPr>
        <w:t>Organisation présentant l</w:t>
      </w:r>
      <w:r w:rsidR="00A8217D">
        <w:rPr>
          <w:sz w:val="22"/>
          <w:szCs w:val="22"/>
          <w:lang w:val="fr-FR"/>
        </w:rPr>
        <w:t>’</w:t>
      </w:r>
      <w:r w:rsidR="008A6F97" w:rsidRPr="008A6F97">
        <w:rPr>
          <w:sz w:val="22"/>
          <w:szCs w:val="22"/>
          <w:lang w:val="fr-FR"/>
        </w:rPr>
        <w:t>excédent ou le déficit des unions et doit être remboursé lorsque les réserves de cette union le permettent</w:t>
      </w:r>
      <w:r w:rsidR="00C16A6E" w:rsidRPr="000F6D3D">
        <w:rPr>
          <w:sz w:val="22"/>
          <w:szCs w:val="22"/>
          <w:lang w:val="fr-FR"/>
        </w:rPr>
        <w:t>;</w:t>
      </w:r>
    </w:p>
    <w:p w14:paraId="1288921B" w14:textId="44232B4F" w:rsidR="00A8217D" w:rsidRDefault="00F952D1" w:rsidP="008A6F97">
      <w:pPr>
        <w:pStyle w:val="Default"/>
        <w:ind w:left="567"/>
        <w:rPr>
          <w:sz w:val="22"/>
          <w:szCs w:val="22"/>
          <w:lang w:val="fr-FR"/>
        </w:rPr>
      </w:pPr>
      <w:r w:rsidRPr="000F6D3D">
        <w:rPr>
          <w:sz w:val="22"/>
          <w:szCs w:val="22"/>
          <w:lang w:val="fr-FR"/>
        </w:rPr>
        <w:t>“</w:t>
      </w:r>
      <w:r w:rsidR="0086648C" w:rsidRPr="000F6D3D">
        <w:rPr>
          <w:sz w:val="22"/>
          <w:szCs w:val="22"/>
          <w:lang w:val="fr-FR"/>
        </w:rPr>
        <w:t>v)</w:t>
      </w:r>
      <w:r w:rsidR="0086648C" w:rsidRPr="000F6D3D">
        <w:rPr>
          <w:sz w:val="22"/>
          <w:szCs w:val="22"/>
          <w:lang w:val="fr-FR"/>
        </w:rPr>
        <w:tab/>
      </w:r>
      <w:r w:rsidR="008A6F97" w:rsidRPr="008A6F97">
        <w:rPr>
          <w:sz w:val="22"/>
          <w:szCs w:val="22"/>
          <w:lang w:val="fr-FR"/>
        </w:rPr>
        <w:t>ont décidé que, conformément au point</w:t>
      </w:r>
      <w:r w:rsidR="008A6F97">
        <w:rPr>
          <w:sz w:val="22"/>
          <w:szCs w:val="22"/>
          <w:lang w:val="fr-FR"/>
        </w:rPr>
        <w:t> iv) ci</w:t>
      </w:r>
      <w:r w:rsidR="00A8217D">
        <w:rPr>
          <w:sz w:val="22"/>
          <w:szCs w:val="22"/>
          <w:lang w:val="fr-FR"/>
        </w:rPr>
        <w:t>-</w:t>
      </w:r>
      <w:r w:rsidR="008A6F97" w:rsidRPr="008A6F97">
        <w:rPr>
          <w:sz w:val="22"/>
          <w:szCs w:val="22"/>
          <w:lang w:val="fr-FR"/>
        </w:rPr>
        <w:t>dessus, pour l</w:t>
      </w:r>
      <w:r w:rsidR="00A8217D">
        <w:rPr>
          <w:sz w:val="22"/>
          <w:szCs w:val="22"/>
          <w:lang w:val="fr-FR"/>
        </w:rPr>
        <w:t>’</w:t>
      </w:r>
      <w:r w:rsidR="008A6F97" w:rsidRPr="008A6F97">
        <w:rPr>
          <w:sz w:val="22"/>
          <w:szCs w:val="22"/>
          <w:lang w:val="fr-FR"/>
        </w:rPr>
        <w:t>exercice biennal</w:t>
      </w:r>
      <w:r w:rsidR="008A6F97">
        <w:rPr>
          <w:sz w:val="22"/>
          <w:szCs w:val="22"/>
          <w:lang w:val="fr-FR"/>
        </w:rPr>
        <w:t> 2020</w:t>
      </w:r>
      <w:r w:rsidR="00A8217D">
        <w:rPr>
          <w:sz w:val="22"/>
          <w:szCs w:val="22"/>
          <w:lang w:val="fr-FR"/>
        </w:rPr>
        <w:t>-</w:t>
      </w:r>
      <w:r w:rsidR="008A6F97" w:rsidRPr="008A6F97">
        <w:rPr>
          <w:sz w:val="22"/>
          <w:szCs w:val="22"/>
          <w:lang w:val="fr-FR"/>
        </w:rPr>
        <w:t>2021, si une union financée par des taxes ne dispose pas de recettes suffisantes pour couvrir ses dépenses, le montant nécessaire visé au point</w:t>
      </w:r>
      <w:r w:rsidR="008A6F97">
        <w:rPr>
          <w:sz w:val="22"/>
          <w:szCs w:val="22"/>
          <w:lang w:val="fr-FR"/>
        </w:rPr>
        <w:t> </w:t>
      </w:r>
      <w:r w:rsidR="008A6F97" w:rsidRPr="008A6F97">
        <w:rPr>
          <w:sz w:val="22"/>
          <w:szCs w:val="22"/>
          <w:lang w:val="fr-FR"/>
        </w:rPr>
        <w:t>iv) sera imputé aux réserves des unions financées par des contributions si ces réserves sont suffisantes, faute de quoi il sera prélevé sur les réserves des autres unions financées par des taxes, et sera comptabilisé dans les états financiers sous forme de notes</w:t>
      </w:r>
      <w:r w:rsidR="008A6F97">
        <w:rPr>
          <w:sz w:val="22"/>
          <w:szCs w:val="22"/>
          <w:lang w:val="fr-FR"/>
        </w:rPr>
        <w:t xml:space="preserve"> </w:t>
      </w:r>
      <w:r w:rsidR="0086648C" w:rsidRPr="000F6D3D">
        <w:rPr>
          <w:sz w:val="22"/>
          <w:szCs w:val="22"/>
          <w:lang w:val="fr-FR"/>
        </w:rPr>
        <w:t>(</w:t>
      </w:r>
      <w:r w:rsidR="008A6F97" w:rsidRPr="000F6D3D">
        <w:rPr>
          <w:sz w:val="22"/>
          <w:szCs w:val="22"/>
          <w:lang w:val="fr-FR"/>
        </w:rPr>
        <w:t>paragraph</w:t>
      </w:r>
      <w:r w:rsidR="008A6F97">
        <w:rPr>
          <w:sz w:val="22"/>
          <w:szCs w:val="22"/>
          <w:lang w:val="fr-FR"/>
        </w:rPr>
        <w:t>e </w:t>
      </w:r>
      <w:r w:rsidR="008A6F97" w:rsidRPr="000F6D3D">
        <w:rPr>
          <w:sz w:val="22"/>
          <w:szCs w:val="22"/>
          <w:lang w:val="fr-FR"/>
        </w:rPr>
        <w:t>152</w:t>
      </w:r>
      <w:r w:rsidR="008A6F97">
        <w:rPr>
          <w:sz w:val="22"/>
          <w:szCs w:val="22"/>
          <w:lang w:val="fr-FR"/>
        </w:rPr>
        <w:t>.</w:t>
      </w:r>
      <w:r w:rsidR="008A6F97" w:rsidRPr="000F6D3D">
        <w:rPr>
          <w:sz w:val="22"/>
          <w:szCs w:val="22"/>
          <w:lang w:val="fr-FR"/>
        </w:rPr>
        <w:t xml:space="preserve">i) </w:t>
      </w:r>
      <w:r w:rsidR="008A6F97">
        <w:rPr>
          <w:sz w:val="22"/>
          <w:szCs w:val="22"/>
          <w:lang w:val="fr-FR"/>
        </w:rPr>
        <w:t xml:space="preserve">à </w:t>
      </w:r>
      <w:r w:rsidR="008A6F97" w:rsidRPr="000F6D3D">
        <w:rPr>
          <w:sz w:val="22"/>
          <w:szCs w:val="22"/>
          <w:lang w:val="fr-FR"/>
        </w:rPr>
        <w:t>v)</w:t>
      </w:r>
      <w:r w:rsidR="008A6F97">
        <w:rPr>
          <w:sz w:val="22"/>
          <w:szCs w:val="22"/>
          <w:lang w:val="fr-FR"/>
        </w:rPr>
        <w:t xml:space="preserve"> du </w:t>
      </w:r>
      <w:r w:rsidR="0086648C" w:rsidRPr="000F6D3D">
        <w:rPr>
          <w:sz w:val="22"/>
          <w:szCs w:val="22"/>
          <w:lang w:val="fr-FR"/>
        </w:rPr>
        <w:t>document</w:t>
      </w:r>
      <w:r w:rsidR="008A6F97">
        <w:rPr>
          <w:sz w:val="22"/>
          <w:szCs w:val="22"/>
          <w:lang w:val="fr-FR"/>
        </w:rPr>
        <w:t> </w:t>
      </w:r>
      <w:r w:rsidR="0086648C" w:rsidRPr="000F6D3D">
        <w:rPr>
          <w:sz w:val="22"/>
          <w:szCs w:val="22"/>
          <w:lang w:val="fr-FR"/>
        </w:rPr>
        <w:t>A/59/14)</w:t>
      </w:r>
      <w:r w:rsidR="008A6F97">
        <w:rPr>
          <w:sz w:val="22"/>
          <w:szCs w:val="22"/>
          <w:lang w:val="fr-FR"/>
        </w:rPr>
        <w:t>.</w:t>
      </w:r>
      <w:r w:rsidR="00716432" w:rsidRPr="000F6D3D">
        <w:rPr>
          <w:sz w:val="22"/>
          <w:szCs w:val="22"/>
          <w:lang w:val="fr-FR"/>
        </w:rPr>
        <w:t>”</w:t>
      </w:r>
    </w:p>
    <w:p w14:paraId="02F5541D" w14:textId="2A802E9A" w:rsidR="00863EE5" w:rsidRDefault="00863EE5" w:rsidP="008A6F97">
      <w:pPr>
        <w:pStyle w:val="Default"/>
        <w:ind w:left="567"/>
        <w:rPr>
          <w:sz w:val="22"/>
          <w:szCs w:val="22"/>
          <w:lang w:val="fr-FR"/>
        </w:rPr>
      </w:pPr>
    </w:p>
    <w:p w14:paraId="12F4D3EF" w14:textId="4F20C231" w:rsidR="00863EE5" w:rsidRDefault="00B9481B" w:rsidP="001D565C">
      <w:pPr>
        <w:pStyle w:val="ONUME"/>
        <w:rPr>
          <w:lang w:val="fr-FR"/>
        </w:rPr>
      </w:pPr>
      <w:r>
        <w:rPr>
          <w:szCs w:val="22"/>
          <w:lang w:val="fr-FR"/>
        </w:rPr>
        <w:t xml:space="preserve">À </w:t>
      </w:r>
      <w:r w:rsidR="008A6F97" w:rsidRPr="008A6F97">
        <w:rPr>
          <w:szCs w:val="22"/>
          <w:lang w:val="fr-FR"/>
        </w:rPr>
        <w:t>sa trente</w:t>
      </w:r>
      <w:r w:rsidR="00A8217D">
        <w:rPr>
          <w:szCs w:val="22"/>
          <w:lang w:val="fr-FR"/>
        </w:rPr>
        <w:t>-</w:t>
      </w:r>
      <w:r w:rsidR="008A6F97" w:rsidRPr="008A6F97">
        <w:rPr>
          <w:szCs w:val="22"/>
          <w:lang w:val="fr-FR"/>
        </w:rPr>
        <w:t>six</w:t>
      </w:r>
      <w:r w:rsidR="00A8217D">
        <w:rPr>
          <w:szCs w:val="22"/>
          <w:lang w:val="fr-FR"/>
        </w:rPr>
        <w:t>ième session</w:t>
      </w:r>
      <w:r w:rsidR="008A6F97" w:rsidRPr="008A6F97">
        <w:rPr>
          <w:szCs w:val="22"/>
          <w:lang w:val="fr-FR"/>
        </w:rPr>
        <w:t xml:space="preserve"> (23</w:t>
      </w:r>
      <w:r w:rsidRPr="00B9481B">
        <w:rPr>
          <w:szCs w:val="22"/>
          <w:vertAlign w:val="superscript"/>
          <w:lang w:val="fr-FR"/>
        </w:rPr>
        <w:t>e</w:t>
      </w:r>
      <w:r>
        <w:rPr>
          <w:szCs w:val="22"/>
          <w:lang w:val="fr-FR"/>
        </w:rPr>
        <w:t> </w:t>
      </w:r>
      <w:r w:rsidR="008A6F97" w:rsidRPr="008A6F97">
        <w:rPr>
          <w:szCs w:val="22"/>
          <w:lang w:val="fr-FR"/>
        </w:rPr>
        <w:t>session ordinaire) (30</w:t>
      </w:r>
      <w:r>
        <w:rPr>
          <w:szCs w:val="22"/>
          <w:lang w:val="fr-FR"/>
        </w:rPr>
        <w:t> </w:t>
      </w:r>
      <w:r w:rsidR="008A6F97" w:rsidRPr="008A6F97">
        <w:rPr>
          <w:szCs w:val="22"/>
          <w:lang w:val="fr-FR"/>
        </w:rPr>
        <w:t>septembre – 9</w:t>
      </w:r>
      <w:r>
        <w:rPr>
          <w:szCs w:val="22"/>
          <w:lang w:val="fr-FR"/>
        </w:rPr>
        <w:t> </w:t>
      </w:r>
      <w:r w:rsidR="008A6F97" w:rsidRPr="008A6F97">
        <w:rPr>
          <w:szCs w:val="22"/>
          <w:lang w:val="fr-FR"/>
        </w:rPr>
        <w:t>octobre</w:t>
      </w:r>
      <w:r>
        <w:rPr>
          <w:szCs w:val="22"/>
          <w:lang w:val="fr-FR"/>
        </w:rPr>
        <w:t> </w:t>
      </w:r>
      <w:r w:rsidR="008A6F97" w:rsidRPr="008A6F97">
        <w:rPr>
          <w:szCs w:val="22"/>
          <w:lang w:val="fr-FR"/>
        </w:rPr>
        <w:t>2019), l</w:t>
      </w:r>
      <w:r w:rsidR="00A8217D">
        <w:rPr>
          <w:szCs w:val="22"/>
          <w:lang w:val="fr-FR"/>
        </w:rPr>
        <w:t>’</w:t>
      </w:r>
      <w:r w:rsidR="008A6F97" w:rsidRPr="008A6F97">
        <w:rPr>
          <w:szCs w:val="22"/>
          <w:lang w:val="fr-FR"/>
        </w:rPr>
        <w:t>Assemblée de l</w:t>
      </w:r>
      <w:r w:rsidR="00A8217D">
        <w:rPr>
          <w:szCs w:val="22"/>
          <w:lang w:val="fr-FR"/>
        </w:rPr>
        <w:t>’</w:t>
      </w:r>
      <w:r w:rsidR="008A6F97" w:rsidRPr="008A6F97">
        <w:rPr>
          <w:szCs w:val="22"/>
          <w:lang w:val="fr-FR"/>
        </w:rPr>
        <w:t xml:space="preserve">Union de Lisbonne a pris note du </w:t>
      </w:r>
      <w:r>
        <w:rPr>
          <w:szCs w:val="22"/>
          <w:lang w:val="fr-FR"/>
        </w:rPr>
        <w:t>“</w:t>
      </w:r>
      <w:r w:rsidR="008A6F97" w:rsidRPr="008A6F97">
        <w:rPr>
          <w:szCs w:val="22"/>
          <w:lang w:val="fr-FR"/>
        </w:rPr>
        <w:t>Rapport sur le Groupe de travail sur le développement du système de Lisbonne” (document</w:t>
      </w:r>
      <w:r w:rsidR="00D41E55">
        <w:rPr>
          <w:szCs w:val="22"/>
          <w:lang w:val="fr-FR"/>
        </w:rPr>
        <w:t> </w:t>
      </w:r>
      <w:r w:rsidR="008A6F97" w:rsidRPr="008A6F97">
        <w:rPr>
          <w:szCs w:val="22"/>
          <w:lang w:val="fr-FR"/>
        </w:rPr>
        <w:t>LI/A/36/1).  Plus précisément, en ce qui concerne la viabilité financière de l</w:t>
      </w:r>
      <w:r w:rsidR="00A8217D">
        <w:rPr>
          <w:szCs w:val="22"/>
          <w:lang w:val="fr-FR"/>
        </w:rPr>
        <w:t>’</w:t>
      </w:r>
      <w:r w:rsidR="008A6F97" w:rsidRPr="008A6F97">
        <w:rPr>
          <w:szCs w:val="22"/>
          <w:lang w:val="fr-FR"/>
        </w:rPr>
        <w:t>Union de Lisbonne, le groupe de travail a souligné l</w:t>
      </w:r>
      <w:r w:rsidR="00A8217D">
        <w:rPr>
          <w:szCs w:val="22"/>
          <w:lang w:val="fr-FR"/>
        </w:rPr>
        <w:t>’</w:t>
      </w:r>
      <w:r w:rsidR="008A6F97" w:rsidRPr="008A6F97">
        <w:rPr>
          <w:szCs w:val="22"/>
          <w:lang w:val="fr-FR"/>
        </w:rPr>
        <w:t xml:space="preserve">importance des activités de promotion visant à accroître le nombre de membres du système de Lisbonne, </w:t>
      </w:r>
      <w:r w:rsidR="00A8217D">
        <w:rPr>
          <w:szCs w:val="22"/>
          <w:lang w:val="fr-FR"/>
        </w:rPr>
        <w:t>y compris</w:t>
      </w:r>
      <w:r w:rsidR="008A6F97" w:rsidRPr="008A6F97">
        <w:rPr>
          <w:szCs w:val="22"/>
          <w:lang w:val="fr-FR"/>
        </w:rPr>
        <w:t xml:space="preserve"> de l</w:t>
      </w:r>
      <w:r w:rsidR="00A8217D">
        <w:rPr>
          <w:szCs w:val="22"/>
          <w:lang w:val="fr-FR"/>
        </w:rPr>
        <w:t>’</w:t>
      </w:r>
      <w:r w:rsidR="008A6F97" w:rsidRPr="008A6F97">
        <w:rPr>
          <w:szCs w:val="22"/>
          <w:lang w:val="fr-FR"/>
        </w:rPr>
        <w:t>Acte de Genève, et la nécessité de renforcer la coordination entre les membres de l</w:t>
      </w:r>
      <w:r w:rsidR="00A8217D">
        <w:rPr>
          <w:szCs w:val="22"/>
          <w:lang w:val="fr-FR"/>
        </w:rPr>
        <w:t>’</w:t>
      </w:r>
      <w:r w:rsidR="008A6F97" w:rsidRPr="008A6F97">
        <w:rPr>
          <w:szCs w:val="22"/>
          <w:lang w:val="fr-FR"/>
        </w:rPr>
        <w:t>Union de Lisbonne à cet éga</w:t>
      </w:r>
      <w:r w:rsidR="00D41E55" w:rsidRPr="008A6F97">
        <w:rPr>
          <w:szCs w:val="22"/>
          <w:lang w:val="fr-FR"/>
        </w:rPr>
        <w:t>rd</w:t>
      </w:r>
      <w:r w:rsidR="00D41E55">
        <w:rPr>
          <w:szCs w:val="22"/>
          <w:lang w:val="fr-FR"/>
        </w:rPr>
        <w:t xml:space="preserve">.  </w:t>
      </w:r>
      <w:r w:rsidR="00D41E55" w:rsidRPr="008A6F97">
        <w:rPr>
          <w:szCs w:val="22"/>
          <w:lang w:val="fr-FR"/>
        </w:rPr>
        <w:t>Au</w:t>
      </w:r>
      <w:r w:rsidR="008A6F97" w:rsidRPr="008A6F97">
        <w:rPr>
          <w:szCs w:val="22"/>
          <w:lang w:val="fr-FR"/>
        </w:rPr>
        <w:t xml:space="preserve"> cours de cette session, le groupe de travail a également décidé de poursuivre la réflexion sur les mesures à prendre pour assurer la viabilité financière de l</w:t>
      </w:r>
      <w:r w:rsidR="00A8217D">
        <w:rPr>
          <w:szCs w:val="22"/>
          <w:lang w:val="fr-FR"/>
        </w:rPr>
        <w:t>’</w:t>
      </w:r>
      <w:r w:rsidR="008A6F97" w:rsidRPr="008A6F97">
        <w:rPr>
          <w:szCs w:val="22"/>
          <w:lang w:val="fr-FR"/>
        </w:rPr>
        <w:t>Union de Lisbonne à l</w:t>
      </w:r>
      <w:r w:rsidR="00A8217D">
        <w:rPr>
          <w:szCs w:val="22"/>
          <w:lang w:val="fr-FR"/>
        </w:rPr>
        <w:t>’</w:t>
      </w:r>
      <w:r w:rsidR="008A6F97" w:rsidRPr="008A6F97">
        <w:rPr>
          <w:szCs w:val="22"/>
          <w:lang w:val="fr-FR"/>
        </w:rPr>
        <w:t xml:space="preserve">avenir, </w:t>
      </w:r>
      <w:r w:rsidR="00A8217D">
        <w:rPr>
          <w:szCs w:val="22"/>
          <w:lang w:val="fr-FR"/>
        </w:rPr>
        <w:t>y compris</w:t>
      </w:r>
      <w:r w:rsidR="008A6F97" w:rsidRPr="008A6F97">
        <w:rPr>
          <w:szCs w:val="22"/>
          <w:lang w:val="fr-FR"/>
        </w:rPr>
        <w:t xml:space="preserve"> le réexamen régulier du barème des taxes, tout en reconnaissant la nécessité d</w:t>
      </w:r>
      <w:r w:rsidR="00A8217D">
        <w:rPr>
          <w:szCs w:val="22"/>
          <w:lang w:val="fr-FR"/>
        </w:rPr>
        <w:t>’</w:t>
      </w:r>
      <w:r w:rsidR="008A6F97" w:rsidRPr="008A6F97">
        <w:rPr>
          <w:szCs w:val="22"/>
          <w:lang w:val="fr-FR"/>
        </w:rPr>
        <w:t>évaluer l</w:t>
      </w:r>
      <w:r w:rsidR="00A8217D">
        <w:rPr>
          <w:szCs w:val="22"/>
          <w:lang w:val="fr-FR"/>
        </w:rPr>
        <w:t>’</w:t>
      </w:r>
      <w:r w:rsidR="008A6F97" w:rsidRPr="008A6F97">
        <w:rPr>
          <w:szCs w:val="22"/>
          <w:lang w:val="fr-FR"/>
        </w:rPr>
        <w:t>incidence de l</w:t>
      </w:r>
      <w:r w:rsidR="00A8217D">
        <w:rPr>
          <w:szCs w:val="22"/>
          <w:lang w:val="fr-FR"/>
        </w:rPr>
        <w:t>’</w:t>
      </w:r>
      <w:r w:rsidR="008A6F97" w:rsidRPr="008A6F97">
        <w:rPr>
          <w:szCs w:val="22"/>
          <w:lang w:val="fr-FR"/>
        </w:rPr>
        <w:t>entrée en vigueur de l</w:t>
      </w:r>
      <w:r w:rsidR="00A8217D">
        <w:rPr>
          <w:szCs w:val="22"/>
          <w:lang w:val="fr-FR"/>
        </w:rPr>
        <w:t>’</w:t>
      </w:r>
      <w:r w:rsidR="008A6F97" w:rsidRPr="008A6F97">
        <w:rPr>
          <w:szCs w:val="22"/>
          <w:lang w:val="fr-FR"/>
        </w:rPr>
        <w:t>Acte de Genève sur la situation financière de l</w:t>
      </w:r>
      <w:r w:rsidR="00A8217D">
        <w:rPr>
          <w:szCs w:val="22"/>
          <w:lang w:val="fr-FR"/>
        </w:rPr>
        <w:t>’</w:t>
      </w:r>
      <w:r w:rsidR="008A6F97" w:rsidRPr="008A6F97">
        <w:rPr>
          <w:szCs w:val="22"/>
          <w:lang w:val="fr-FR"/>
        </w:rPr>
        <w:t>Union</w:t>
      </w:r>
      <w:r w:rsidR="00A65A52" w:rsidRPr="008A6F97">
        <w:rPr>
          <w:szCs w:val="22"/>
          <w:lang w:val="fr-FR"/>
        </w:rPr>
        <w:t xml:space="preserve"> (</w:t>
      </w:r>
      <w:r w:rsidR="00DD2905" w:rsidRPr="008A6F97">
        <w:rPr>
          <w:szCs w:val="22"/>
          <w:lang w:val="fr-FR"/>
        </w:rPr>
        <w:t>paragraph</w:t>
      </w:r>
      <w:r w:rsidR="00DD2905">
        <w:rPr>
          <w:szCs w:val="22"/>
          <w:lang w:val="fr-FR"/>
        </w:rPr>
        <w:t>e</w:t>
      </w:r>
      <w:r w:rsidR="00DD2905" w:rsidRPr="008A6F97">
        <w:rPr>
          <w:szCs w:val="22"/>
          <w:lang w:val="fr-FR"/>
        </w:rPr>
        <w:t>s</w:t>
      </w:r>
      <w:r w:rsidR="00DD2905">
        <w:rPr>
          <w:szCs w:val="22"/>
          <w:lang w:val="fr-FR"/>
        </w:rPr>
        <w:t> </w:t>
      </w:r>
      <w:r w:rsidR="00DD2905" w:rsidRPr="008A6F97">
        <w:rPr>
          <w:szCs w:val="22"/>
          <w:lang w:val="fr-FR"/>
        </w:rPr>
        <w:t xml:space="preserve">2 </w:t>
      </w:r>
      <w:r w:rsidR="00DD2905">
        <w:rPr>
          <w:szCs w:val="22"/>
          <w:lang w:val="fr-FR"/>
        </w:rPr>
        <w:t xml:space="preserve">et </w:t>
      </w:r>
      <w:r w:rsidR="00DD2905" w:rsidRPr="008A6F97">
        <w:rPr>
          <w:szCs w:val="22"/>
          <w:lang w:val="fr-FR"/>
        </w:rPr>
        <w:t>3</w:t>
      </w:r>
      <w:r w:rsidR="00DD2905">
        <w:rPr>
          <w:szCs w:val="22"/>
          <w:lang w:val="fr-FR"/>
        </w:rPr>
        <w:t xml:space="preserve"> du </w:t>
      </w:r>
      <w:r w:rsidR="00A8217D" w:rsidRPr="008A6F97">
        <w:rPr>
          <w:szCs w:val="22"/>
          <w:lang w:val="fr-FR"/>
        </w:rPr>
        <w:t>document</w:t>
      </w:r>
      <w:r w:rsidR="00D41E55">
        <w:rPr>
          <w:szCs w:val="22"/>
          <w:lang w:val="fr-FR"/>
        </w:rPr>
        <w:t> </w:t>
      </w:r>
      <w:r w:rsidR="00A8217D" w:rsidRPr="008A6F97">
        <w:rPr>
          <w:szCs w:val="22"/>
          <w:lang w:val="fr-FR"/>
        </w:rPr>
        <w:t>LI</w:t>
      </w:r>
      <w:r w:rsidR="00A65A52" w:rsidRPr="008A6F97">
        <w:rPr>
          <w:szCs w:val="22"/>
          <w:lang w:val="fr-FR"/>
        </w:rPr>
        <w:t>/A/36/1</w:t>
      </w:r>
      <w:r w:rsidR="00DD2905">
        <w:rPr>
          <w:szCs w:val="22"/>
          <w:lang w:val="fr-FR"/>
        </w:rPr>
        <w:t xml:space="preserve"> et paragraphes 13 et 14.ii) du </w:t>
      </w:r>
      <w:r w:rsidR="00A8217D">
        <w:rPr>
          <w:szCs w:val="22"/>
          <w:lang w:val="fr-FR"/>
        </w:rPr>
        <w:t>d</w:t>
      </w:r>
      <w:r w:rsidR="00A8217D" w:rsidRPr="008A6F97">
        <w:rPr>
          <w:szCs w:val="22"/>
          <w:lang w:val="fr-FR"/>
        </w:rPr>
        <w:t>ocument</w:t>
      </w:r>
      <w:r w:rsidR="00D41E55">
        <w:rPr>
          <w:szCs w:val="22"/>
          <w:lang w:val="fr-FR"/>
        </w:rPr>
        <w:t> </w:t>
      </w:r>
      <w:r w:rsidR="00A8217D">
        <w:rPr>
          <w:szCs w:val="22"/>
          <w:lang w:val="fr-FR"/>
        </w:rPr>
        <w:t>LI</w:t>
      </w:r>
      <w:r w:rsidR="00DD2905">
        <w:rPr>
          <w:szCs w:val="22"/>
          <w:lang w:val="fr-FR"/>
        </w:rPr>
        <w:t>/WG/DEV</w:t>
      </w:r>
      <w:r w:rsidR="00A8217D">
        <w:rPr>
          <w:szCs w:val="22"/>
          <w:lang w:val="fr-FR"/>
        </w:rPr>
        <w:t>-</w:t>
      </w:r>
      <w:r w:rsidR="00DD2905">
        <w:rPr>
          <w:szCs w:val="22"/>
          <w:lang w:val="fr-FR"/>
        </w:rPr>
        <w:t>SYS/2/3 annex</w:t>
      </w:r>
      <w:r w:rsidR="001345DE">
        <w:rPr>
          <w:szCs w:val="22"/>
          <w:lang w:val="fr-FR"/>
        </w:rPr>
        <w:t>é</w:t>
      </w:r>
      <w:r w:rsidR="00A65A52" w:rsidRPr="008A6F97">
        <w:rPr>
          <w:szCs w:val="22"/>
          <w:lang w:val="fr-FR"/>
        </w:rPr>
        <w:t>).</w:t>
      </w:r>
    </w:p>
    <w:p w14:paraId="326B656B" w14:textId="5DA21E41" w:rsidR="00A8217D" w:rsidRDefault="005E114B" w:rsidP="00BB60F8">
      <w:pPr>
        <w:spacing w:before="240"/>
        <w:ind w:left="5534"/>
        <w:rPr>
          <w:i/>
          <w:lang w:val="fr-FR"/>
        </w:rPr>
      </w:pPr>
      <w:r w:rsidRPr="000F6D3D">
        <w:rPr>
          <w:i/>
          <w:lang w:val="fr-FR"/>
        </w:rPr>
        <w:t>1</w:t>
      </w:r>
      <w:r w:rsidR="001D565C">
        <w:rPr>
          <w:i/>
          <w:lang w:val="fr-FR"/>
        </w:rPr>
        <w:t>6</w:t>
      </w:r>
      <w:r w:rsidR="000F0B28" w:rsidRPr="000F6D3D">
        <w:rPr>
          <w:i/>
          <w:lang w:val="fr-FR"/>
        </w:rPr>
        <w:t>.</w:t>
      </w:r>
      <w:r w:rsidR="000F0B28" w:rsidRPr="000F6D3D">
        <w:rPr>
          <w:i/>
          <w:lang w:val="fr-FR"/>
        </w:rPr>
        <w:tab/>
      </w:r>
      <w:r w:rsidR="00DD2905">
        <w:rPr>
          <w:i/>
          <w:lang w:val="fr-FR"/>
        </w:rPr>
        <w:t>L</w:t>
      </w:r>
      <w:r w:rsidR="00A8217D">
        <w:rPr>
          <w:i/>
          <w:lang w:val="fr-FR"/>
        </w:rPr>
        <w:t>’</w:t>
      </w:r>
      <w:r w:rsidR="000F0B28" w:rsidRPr="000F6D3D">
        <w:rPr>
          <w:i/>
          <w:lang w:val="fr-FR"/>
        </w:rPr>
        <w:t>Assembl</w:t>
      </w:r>
      <w:r w:rsidR="00DD2905">
        <w:rPr>
          <w:i/>
          <w:lang w:val="fr-FR"/>
        </w:rPr>
        <w:t>ée de l</w:t>
      </w:r>
      <w:r w:rsidR="00A8217D">
        <w:rPr>
          <w:i/>
          <w:lang w:val="fr-FR"/>
        </w:rPr>
        <w:t>’</w:t>
      </w:r>
      <w:r w:rsidR="00DD2905">
        <w:rPr>
          <w:i/>
          <w:lang w:val="fr-FR"/>
        </w:rPr>
        <w:t xml:space="preserve">Union de Lisbonne est invitée à prendre </w:t>
      </w:r>
      <w:r w:rsidR="000F0B28" w:rsidRPr="000F6D3D">
        <w:rPr>
          <w:i/>
          <w:lang w:val="fr-FR"/>
        </w:rPr>
        <w:t xml:space="preserve">note </w:t>
      </w:r>
      <w:r w:rsidR="00DD2905">
        <w:rPr>
          <w:i/>
          <w:lang w:val="fr-FR"/>
        </w:rPr>
        <w:t>du</w:t>
      </w:r>
      <w:r w:rsidR="00086241" w:rsidRPr="000F6D3D">
        <w:rPr>
          <w:i/>
          <w:lang w:val="fr-FR"/>
        </w:rPr>
        <w:t xml:space="preserve"> </w:t>
      </w:r>
      <w:r w:rsidR="000F251F" w:rsidRPr="000F6D3D">
        <w:rPr>
          <w:i/>
          <w:lang w:val="fr-FR"/>
        </w:rPr>
        <w:t xml:space="preserve">document </w:t>
      </w:r>
      <w:r w:rsidR="00D621C8" w:rsidRPr="000F6D3D">
        <w:rPr>
          <w:i/>
          <w:lang w:val="fr-FR"/>
        </w:rPr>
        <w:t>“D</w:t>
      </w:r>
      <w:r w:rsidR="00DD2905">
        <w:rPr>
          <w:i/>
          <w:lang w:val="fr-FR"/>
        </w:rPr>
        <w:t>é</w:t>
      </w:r>
      <w:r w:rsidR="00D621C8" w:rsidRPr="000F6D3D">
        <w:rPr>
          <w:i/>
          <w:lang w:val="fr-FR"/>
        </w:rPr>
        <w:t>velop</w:t>
      </w:r>
      <w:r w:rsidR="00DD2905">
        <w:rPr>
          <w:i/>
          <w:lang w:val="fr-FR"/>
        </w:rPr>
        <w:t>pe</w:t>
      </w:r>
      <w:r w:rsidR="00D621C8" w:rsidRPr="000F6D3D">
        <w:rPr>
          <w:i/>
          <w:lang w:val="fr-FR"/>
        </w:rPr>
        <w:t xml:space="preserve">ment </w:t>
      </w:r>
      <w:r w:rsidR="00DD2905">
        <w:rPr>
          <w:i/>
          <w:lang w:val="fr-FR"/>
        </w:rPr>
        <w:t xml:space="preserve">du système de </w:t>
      </w:r>
      <w:r w:rsidR="00D621C8" w:rsidRPr="000F6D3D">
        <w:rPr>
          <w:i/>
          <w:lang w:val="fr-FR"/>
        </w:rPr>
        <w:t>Lisbon</w:t>
      </w:r>
      <w:r w:rsidR="00DD2905">
        <w:rPr>
          <w:i/>
          <w:lang w:val="fr-FR"/>
        </w:rPr>
        <w:t>ne</w:t>
      </w:r>
      <w:r w:rsidR="00D621C8" w:rsidRPr="000F6D3D">
        <w:rPr>
          <w:i/>
          <w:lang w:val="fr-FR"/>
        </w:rPr>
        <w:t>” (</w:t>
      </w:r>
      <w:r w:rsidR="00A8217D" w:rsidRPr="000F6D3D">
        <w:rPr>
          <w:i/>
          <w:lang w:val="fr-FR"/>
        </w:rPr>
        <w:t>document</w:t>
      </w:r>
      <w:r w:rsidR="00D41E55">
        <w:rPr>
          <w:i/>
          <w:lang w:val="fr-FR"/>
        </w:rPr>
        <w:t> </w:t>
      </w:r>
      <w:r w:rsidR="00A8217D" w:rsidRPr="000F6D3D">
        <w:rPr>
          <w:i/>
          <w:lang w:val="fr-FR"/>
        </w:rPr>
        <w:t>LI</w:t>
      </w:r>
      <w:r w:rsidR="00D621C8" w:rsidRPr="000F6D3D">
        <w:rPr>
          <w:i/>
          <w:lang w:val="fr-FR"/>
        </w:rPr>
        <w:t>/A/3</w:t>
      </w:r>
      <w:r w:rsidR="001D565C">
        <w:rPr>
          <w:i/>
          <w:lang w:val="fr-FR"/>
        </w:rPr>
        <w:t>8</w:t>
      </w:r>
      <w:r w:rsidR="00D621C8" w:rsidRPr="000F6D3D">
        <w:rPr>
          <w:i/>
          <w:lang w:val="fr-FR"/>
        </w:rPr>
        <w:t>/1).</w:t>
      </w:r>
    </w:p>
    <w:p w14:paraId="6C74AD94" w14:textId="6CBD3A1D" w:rsidR="00863EE5" w:rsidRDefault="00BB60F8" w:rsidP="00CD52A9">
      <w:pPr>
        <w:spacing w:before="960"/>
        <w:ind w:left="5534"/>
        <w:rPr>
          <w:lang w:val="fr-FR"/>
        </w:rPr>
      </w:pPr>
      <w:r w:rsidRPr="000F6D3D">
        <w:rPr>
          <w:lang w:val="fr-FR"/>
        </w:rPr>
        <w:t>[</w:t>
      </w:r>
      <w:r w:rsidR="00DD2905">
        <w:rPr>
          <w:lang w:val="fr-FR"/>
        </w:rPr>
        <w:t>Fin du</w:t>
      </w:r>
      <w:r w:rsidRPr="000F6D3D">
        <w:rPr>
          <w:lang w:val="fr-FR"/>
        </w:rPr>
        <w:t xml:space="preserve"> document]</w:t>
      </w:r>
    </w:p>
    <w:p w14:paraId="023D55C0" w14:textId="5EC952A7" w:rsidR="000765C4" w:rsidRPr="000F6D3D" w:rsidRDefault="000765C4" w:rsidP="00CD52A9">
      <w:pPr>
        <w:spacing w:before="960"/>
        <w:ind w:left="5534"/>
        <w:rPr>
          <w:lang w:val="fr-FR"/>
        </w:rPr>
      </w:pPr>
    </w:p>
    <w:sectPr w:rsidR="000765C4" w:rsidRPr="000F6D3D" w:rsidSect="0065332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1C03C" w14:textId="77777777" w:rsidR="00050FA4" w:rsidRDefault="00050FA4">
      <w:r>
        <w:separator/>
      </w:r>
    </w:p>
  </w:endnote>
  <w:endnote w:type="continuationSeparator" w:id="0">
    <w:p w14:paraId="338BB052" w14:textId="77777777" w:rsidR="00050FA4" w:rsidRDefault="00050FA4" w:rsidP="003B38C1">
      <w:r>
        <w:separator/>
      </w:r>
    </w:p>
    <w:p w14:paraId="10F80386" w14:textId="77777777" w:rsidR="00050FA4" w:rsidRPr="003B38C1" w:rsidRDefault="00050FA4" w:rsidP="003B38C1">
      <w:pPr>
        <w:spacing w:after="60"/>
        <w:rPr>
          <w:sz w:val="17"/>
        </w:rPr>
      </w:pPr>
      <w:r>
        <w:rPr>
          <w:sz w:val="17"/>
        </w:rPr>
        <w:t>[Endnote continued from previous page]</w:t>
      </w:r>
    </w:p>
  </w:endnote>
  <w:endnote w:type="continuationNotice" w:id="1">
    <w:p w14:paraId="7C15E4CA" w14:textId="77777777" w:rsidR="00050FA4" w:rsidRPr="003B38C1" w:rsidRDefault="00050F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DA8F" w14:textId="77777777" w:rsidR="0065332F" w:rsidRDefault="0065332F" w:rsidP="00653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ACAB" w14:textId="083AA8DF" w:rsidR="00B9481B" w:rsidRDefault="00B94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CBE33" w14:textId="77777777" w:rsidR="00B9481B" w:rsidRDefault="00B9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45668" w14:textId="77777777" w:rsidR="00050FA4" w:rsidRDefault="00050FA4">
      <w:r>
        <w:separator/>
      </w:r>
    </w:p>
  </w:footnote>
  <w:footnote w:type="continuationSeparator" w:id="0">
    <w:p w14:paraId="1AD2AE24" w14:textId="77777777" w:rsidR="00050FA4" w:rsidRDefault="00050FA4" w:rsidP="008B60B2">
      <w:r>
        <w:separator/>
      </w:r>
    </w:p>
    <w:p w14:paraId="1F6F5FF1" w14:textId="77777777" w:rsidR="00050FA4" w:rsidRPr="00ED77FB" w:rsidRDefault="00050FA4" w:rsidP="008B60B2">
      <w:pPr>
        <w:spacing w:after="60"/>
        <w:rPr>
          <w:sz w:val="17"/>
          <w:szCs w:val="17"/>
        </w:rPr>
      </w:pPr>
      <w:r w:rsidRPr="00ED77FB">
        <w:rPr>
          <w:sz w:val="17"/>
          <w:szCs w:val="17"/>
        </w:rPr>
        <w:t>[Footnote continued from previous page]</w:t>
      </w:r>
    </w:p>
  </w:footnote>
  <w:footnote w:type="continuationNotice" w:id="1">
    <w:p w14:paraId="02FA0701" w14:textId="77777777" w:rsidR="00050FA4" w:rsidRPr="00ED77FB" w:rsidRDefault="00050FA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A0C0" w14:textId="643A0E13" w:rsidR="0065332F" w:rsidRDefault="0065332F" w:rsidP="0065332F">
    <w:pPr>
      <w:jc w:val="right"/>
    </w:pPr>
    <w:r>
      <w:t>LI/A/38/1</w:t>
    </w:r>
  </w:p>
  <w:p w14:paraId="200DB999" w14:textId="65679688" w:rsidR="0065332F" w:rsidRPr="00BA0078" w:rsidRDefault="0065332F" w:rsidP="0065332F">
    <w:pPr>
      <w:pStyle w:val="Header"/>
      <w:spacing w:after="480"/>
      <w:jc w:val="right"/>
    </w:pPr>
    <w:r>
      <w:t>page </w:t>
    </w:r>
    <w:sdt>
      <w:sdtPr>
        <w:id w:val="-369003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01804">
          <w:rPr>
            <w:noProof/>
          </w:rPr>
          <w:t>4</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BABF" w14:textId="5B881DC9" w:rsidR="006A0BF0" w:rsidRDefault="006A0BF0" w:rsidP="006A0BF0">
    <w:pPr>
      <w:jc w:val="right"/>
    </w:pPr>
    <w:r>
      <w:t>LI/A/3</w:t>
    </w:r>
    <w:r w:rsidR="00555872">
      <w:t>8</w:t>
    </w:r>
    <w:r>
      <w:t>/1</w:t>
    </w:r>
  </w:p>
  <w:p w14:paraId="76EFF1AC" w14:textId="1B359AF2" w:rsidR="006A0BF0" w:rsidRPr="00BA0078" w:rsidRDefault="006A0BF0" w:rsidP="00BA0078">
    <w:pPr>
      <w:pStyle w:val="Header"/>
      <w:spacing w:after="480"/>
      <w:jc w:val="right"/>
    </w:pPr>
    <w:r>
      <w:t>page</w:t>
    </w:r>
    <w:r w:rsidR="00D41E55">
      <w:t> </w:t>
    </w:r>
    <w:sdt>
      <w:sdtPr>
        <w:id w:val="-1413502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01804">
          <w:rPr>
            <w:noProof/>
          </w:rPr>
          <w:t>3</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55CE" w14:textId="342646F2" w:rsidR="00B9481B" w:rsidRDefault="00B94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C94C6F"/>
    <w:multiLevelType w:val="hybridMultilevel"/>
    <w:tmpl w:val="FF002892"/>
    <w:lvl w:ilvl="0" w:tplc="AF723B4A">
      <w:start w:val="1"/>
      <w:numFmt w:val="lowerRoman"/>
      <w:lvlText w:val="(%1)"/>
      <w:lvlJc w:val="left"/>
      <w:pPr>
        <w:ind w:left="1489" w:hanging="720"/>
      </w:pPr>
      <w:rPr>
        <w:rFonts w:hint="default"/>
      </w:rPr>
    </w:lvl>
    <w:lvl w:ilvl="1" w:tplc="100C0019" w:tentative="1">
      <w:start w:val="1"/>
      <w:numFmt w:val="lowerLetter"/>
      <w:lvlText w:val="%2."/>
      <w:lvlJc w:val="left"/>
      <w:pPr>
        <w:ind w:left="1849" w:hanging="360"/>
      </w:pPr>
    </w:lvl>
    <w:lvl w:ilvl="2" w:tplc="100C001B" w:tentative="1">
      <w:start w:val="1"/>
      <w:numFmt w:val="lowerRoman"/>
      <w:lvlText w:val="%3."/>
      <w:lvlJc w:val="right"/>
      <w:pPr>
        <w:ind w:left="2569" w:hanging="180"/>
      </w:pPr>
    </w:lvl>
    <w:lvl w:ilvl="3" w:tplc="100C000F" w:tentative="1">
      <w:start w:val="1"/>
      <w:numFmt w:val="decimal"/>
      <w:lvlText w:val="%4."/>
      <w:lvlJc w:val="left"/>
      <w:pPr>
        <w:ind w:left="3289" w:hanging="360"/>
      </w:pPr>
    </w:lvl>
    <w:lvl w:ilvl="4" w:tplc="100C0019" w:tentative="1">
      <w:start w:val="1"/>
      <w:numFmt w:val="lowerLetter"/>
      <w:lvlText w:val="%5."/>
      <w:lvlJc w:val="left"/>
      <w:pPr>
        <w:ind w:left="4009" w:hanging="360"/>
      </w:pPr>
    </w:lvl>
    <w:lvl w:ilvl="5" w:tplc="100C001B" w:tentative="1">
      <w:start w:val="1"/>
      <w:numFmt w:val="lowerRoman"/>
      <w:lvlText w:val="%6."/>
      <w:lvlJc w:val="right"/>
      <w:pPr>
        <w:ind w:left="4729" w:hanging="180"/>
      </w:pPr>
    </w:lvl>
    <w:lvl w:ilvl="6" w:tplc="100C000F" w:tentative="1">
      <w:start w:val="1"/>
      <w:numFmt w:val="decimal"/>
      <w:lvlText w:val="%7."/>
      <w:lvlJc w:val="left"/>
      <w:pPr>
        <w:ind w:left="5449" w:hanging="360"/>
      </w:pPr>
    </w:lvl>
    <w:lvl w:ilvl="7" w:tplc="100C0019" w:tentative="1">
      <w:start w:val="1"/>
      <w:numFmt w:val="lowerLetter"/>
      <w:lvlText w:val="%8."/>
      <w:lvlJc w:val="left"/>
      <w:pPr>
        <w:ind w:left="6169" w:hanging="360"/>
      </w:pPr>
    </w:lvl>
    <w:lvl w:ilvl="8" w:tplc="100C001B" w:tentative="1">
      <w:start w:val="1"/>
      <w:numFmt w:val="lowerRoman"/>
      <w:lvlText w:val="%9."/>
      <w:lvlJc w:val="right"/>
      <w:pPr>
        <w:ind w:left="6889"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F44399"/>
    <w:multiLevelType w:val="hybridMultilevel"/>
    <w:tmpl w:val="FCD05D9C"/>
    <w:lvl w:ilvl="0" w:tplc="B5261A58">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91A06D7"/>
    <w:multiLevelType w:val="hybridMultilevel"/>
    <w:tmpl w:val="1BD88F1A"/>
    <w:lvl w:ilvl="0" w:tplc="68C012F2">
      <w:start w:val="1"/>
      <w:numFmt w:val="bullet"/>
      <w:lvlText w:val="­"/>
      <w:lvlJc w:val="left"/>
      <w:pPr>
        <w:ind w:left="720" w:hanging="360"/>
      </w:pPr>
      <w:rPr>
        <w:rFonts w:ascii="Arial" w:hAnsi="Arial" w:hint="default"/>
        <w:caps w:val="0"/>
        <w:strike w:val="0"/>
        <w:dstrike w:val="0"/>
        <w:outline w:val="0"/>
        <w:shadow w:val="0"/>
        <w:emboss w:val="0"/>
        <w:imprint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7550A"/>
    <w:multiLevelType w:val="hybridMultilevel"/>
    <w:tmpl w:val="35E4F1E4"/>
    <w:lvl w:ilvl="0" w:tplc="8CC0200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D978C1"/>
    <w:multiLevelType w:val="hybridMultilevel"/>
    <w:tmpl w:val="878813FE"/>
    <w:lvl w:ilvl="0" w:tplc="F1FE3D0C">
      <w:start w:val="1"/>
      <w:numFmt w:val="lowerRoman"/>
      <w:lvlText w:val="(%1)"/>
      <w:lvlJc w:val="left"/>
      <w:pPr>
        <w:ind w:left="-1305" w:hanging="720"/>
      </w:pPr>
      <w:rPr>
        <w:rFonts w:hint="default"/>
      </w:rPr>
    </w:lvl>
    <w:lvl w:ilvl="1" w:tplc="100C0019" w:tentative="1">
      <w:start w:val="1"/>
      <w:numFmt w:val="lowerLetter"/>
      <w:lvlText w:val="%2."/>
      <w:lvlJc w:val="left"/>
      <w:pPr>
        <w:ind w:left="-945" w:hanging="360"/>
      </w:pPr>
    </w:lvl>
    <w:lvl w:ilvl="2" w:tplc="100C001B" w:tentative="1">
      <w:start w:val="1"/>
      <w:numFmt w:val="lowerRoman"/>
      <w:lvlText w:val="%3."/>
      <w:lvlJc w:val="right"/>
      <w:pPr>
        <w:ind w:left="-225" w:hanging="180"/>
      </w:pPr>
    </w:lvl>
    <w:lvl w:ilvl="3" w:tplc="100C000F" w:tentative="1">
      <w:start w:val="1"/>
      <w:numFmt w:val="decimal"/>
      <w:lvlText w:val="%4."/>
      <w:lvlJc w:val="left"/>
      <w:pPr>
        <w:ind w:left="495" w:hanging="360"/>
      </w:pPr>
    </w:lvl>
    <w:lvl w:ilvl="4" w:tplc="100C0019" w:tentative="1">
      <w:start w:val="1"/>
      <w:numFmt w:val="lowerLetter"/>
      <w:lvlText w:val="%5."/>
      <w:lvlJc w:val="left"/>
      <w:pPr>
        <w:ind w:left="1215" w:hanging="360"/>
      </w:pPr>
    </w:lvl>
    <w:lvl w:ilvl="5" w:tplc="100C001B" w:tentative="1">
      <w:start w:val="1"/>
      <w:numFmt w:val="lowerRoman"/>
      <w:lvlText w:val="%6."/>
      <w:lvlJc w:val="right"/>
      <w:pPr>
        <w:ind w:left="1935" w:hanging="180"/>
      </w:pPr>
    </w:lvl>
    <w:lvl w:ilvl="6" w:tplc="100C000F" w:tentative="1">
      <w:start w:val="1"/>
      <w:numFmt w:val="decimal"/>
      <w:lvlText w:val="%7."/>
      <w:lvlJc w:val="left"/>
      <w:pPr>
        <w:ind w:left="2655" w:hanging="360"/>
      </w:pPr>
    </w:lvl>
    <w:lvl w:ilvl="7" w:tplc="100C0019" w:tentative="1">
      <w:start w:val="1"/>
      <w:numFmt w:val="lowerLetter"/>
      <w:lvlText w:val="%8."/>
      <w:lvlJc w:val="left"/>
      <w:pPr>
        <w:ind w:left="3375" w:hanging="360"/>
      </w:pPr>
    </w:lvl>
    <w:lvl w:ilvl="8" w:tplc="100C001B" w:tentative="1">
      <w:start w:val="1"/>
      <w:numFmt w:val="lowerRoman"/>
      <w:lvlText w:val="%9."/>
      <w:lvlJc w:val="right"/>
      <w:pPr>
        <w:ind w:left="4095" w:hanging="180"/>
      </w:pPr>
    </w:lvl>
  </w:abstractNum>
  <w:abstractNum w:abstractNumId="11" w15:restartNumberingAfterBreak="0">
    <w:nsid w:val="53065E24"/>
    <w:multiLevelType w:val="hybridMultilevel"/>
    <w:tmpl w:val="B54A4A7E"/>
    <w:lvl w:ilvl="0" w:tplc="B5261A58">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2"/>
  </w:num>
  <w:num w:numId="8">
    <w:abstractNumId w:val="10"/>
  </w:num>
  <w:num w:numId="9">
    <w:abstractNumId w:val="7"/>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F0B28"/>
    <w:rsid w:val="00010562"/>
    <w:rsid w:val="00024058"/>
    <w:rsid w:val="0003253F"/>
    <w:rsid w:val="00043CAA"/>
    <w:rsid w:val="00046169"/>
    <w:rsid w:val="00050FA4"/>
    <w:rsid w:val="000677EA"/>
    <w:rsid w:val="00075432"/>
    <w:rsid w:val="000765C4"/>
    <w:rsid w:val="00086241"/>
    <w:rsid w:val="000921F3"/>
    <w:rsid w:val="000968ED"/>
    <w:rsid w:val="000A00F8"/>
    <w:rsid w:val="000A40C9"/>
    <w:rsid w:val="000B6731"/>
    <w:rsid w:val="000C0A6B"/>
    <w:rsid w:val="000C117A"/>
    <w:rsid w:val="000E181D"/>
    <w:rsid w:val="000E6FDE"/>
    <w:rsid w:val="000F0B28"/>
    <w:rsid w:val="000F251F"/>
    <w:rsid w:val="000F5E56"/>
    <w:rsid w:val="000F6D3D"/>
    <w:rsid w:val="0010331B"/>
    <w:rsid w:val="00134150"/>
    <w:rsid w:val="001345DE"/>
    <w:rsid w:val="00134C35"/>
    <w:rsid w:val="001362EE"/>
    <w:rsid w:val="00141DC7"/>
    <w:rsid w:val="00156693"/>
    <w:rsid w:val="00156C9A"/>
    <w:rsid w:val="001647D5"/>
    <w:rsid w:val="00164CB0"/>
    <w:rsid w:val="00172B30"/>
    <w:rsid w:val="00182325"/>
    <w:rsid w:val="001832A6"/>
    <w:rsid w:val="001B4018"/>
    <w:rsid w:val="001D565C"/>
    <w:rsid w:val="001E4E00"/>
    <w:rsid w:val="002000FB"/>
    <w:rsid w:val="00206175"/>
    <w:rsid w:val="0021217E"/>
    <w:rsid w:val="002173F6"/>
    <w:rsid w:val="00224A25"/>
    <w:rsid w:val="00253771"/>
    <w:rsid w:val="00256704"/>
    <w:rsid w:val="0026259E"/>
    <w:rsid w:val="002634C4"/>
    <w:rsid w:val="00267A31"/>
    <w:rsid w:val="00275857"/>
    <w:rsid w:val="002928D3"/>
    <w:rsid w:val="00296EEF"/>
    <w:rsid w:val="00297919"/>
    <w:rsid w:val="002A3E80"/>
    <w:rsid w:val="002D02F4"/>
    <w:rsid w:val="002F1FE6"/>
    <w:rsid w:val="002F4E68"/>
    <w:rsid w:val="002F6A4B"/>
    <w:rsid w:val="003059EA"/>
    <w:rsid w:val="00312F7F"/>
    <w:rsid w:val="003140AE"/>
    <w:rsid w:val="003178BA"/>
    <w:rsid w:val="00321326"/>
    <w:rsid w:val="00325DA0"/>
    <w:rsid w:val="0033469A"/>
    <w:rsid w:val="003348DA"/>
    <w:rsid w:val="00342182"/>
    <w:rsid w:val="00350AE2"/>
    <w:rsid w:val="00361450"/>
    <w:rsid w:val="003673CF"/>
    <w:rsid w:val="00373F08"/>
    <w:rsid w:val="003845C1"/>
    <w:rsid w:val="003855E4"/>
    <w:rsid w:val="00391C44"/>
    <w:rsid w:val="003A6E47"/>
    <w:rsid w:val="003A6F89"/>
    <w:rsid w:val="003B38C1"/>
    <w:rsid w:val="003D2030"/>
    <w:rsid w:val="003D3991"/>
    <w:rsid w:val="003D57B0"/>
    <w:rsid w:val="003F3520"/>
    <w:rsid w:val="00401804"/>
    <w:rsid w:val="00423E3E"/>
    <w:rsid w:val="00427AF4"/>
    <w:rsid w:val="00456307"/>
    <w:rsid w:val="004647DA"/>
    <w:rsid w:val="004718D0"/>
    <w:rsid w:val="00474062"/>
    <w:rsid w:val="00477CF3"/>
    <w:rsid w:val="00477D6B"/>
    <w:rsid w:val="00485C65"/>
    <w:rsid w:val="004C2469"/>
    <w:rsid w:val="004D4888"/>
    <w:rsid w:val="005019FF"/>
    <w:rsid w:val="00502264"/>
    <w:rsid w:val="0053057A"/>
    <w:rsid w:val="00531C21"/>
    <w:rsid w:val="00550034"/>
    <w:rsid w:val="00555872"/>
    <w:rsid w:val="00557BDA"/>
    <w:rsid w:val="00560A29"/>
    <w:rsid w:val="00585502"/>
    <w:rsid w:val="0059183E"/>
    <w:rsid w:val="005A4B73"/>
    <w:rsid w:val="005A4D59"/>
    <w:rsid w:val="005A6762"/>
    <w:rsid w:val="005C582A"/>
    <w:rsid w:val="005C6649"/>
    <w:rsid w:val="005D1F68"/>
    <w:rsid w:val="005D66BB"/>
    <w:rsid w:val="005E114B"/>
    <w:rsid w:val="00601E0B"/>
    <w:rsid w:val="0060200C"/>
    <w:rsid w:val="00605827"/>
    <w:rsid w:val="006315CA"/>
    <w:rsid w:val="006452A5"/>
    <w:rsid w:val="00646050"/>
    <w:rsid w:val="0065332F"/>
    <w:rsid w:val="006713CA"/>
    <w:rsid w:val="0067586F"/>
    <w:rsid w:val="00676C5C"/>
    <w:rsid w:val="00686320"/>
    <w:rsid w:val="006920AD"/>
    <w:rsid w:val="006A0BF0"/>
    <w:rsid w:val="006A5CAE"/>
    <w:rsid w:val="006B0DCC"/>
    <w:rsid w:val="006C2EFB"/>
    <w:rsid w:val="006D1B28"/>
    <w:rsid w:val="006D6EE2"/>
    <w:rsid w:val="006D720A"/>
    <w:rsid w:val="006E4F5F"/>
    <w:rsid w:val="00716432"/>
    <w:rsid w:val="00724CBF"/>
    <w:rsid w:val="0073282F"/>
    <w:rsid w:val="007343E5"/>
    <w:rsid w:val="0074083E"/>
    <w:rsid w:val="007438C0"/>
    <w:rsid w:val="00743A35"/>
    <w:rsid w:val="00746D27"/>
    <w:rsid w:val="007547F5"/>
    <w:rsid w:val="007609FC"/>
    <w:rsid w:val="00777FCC"/>
    <w:rsid w:val="00781DB8"/>
    <w:rsid w:val="00785CEC"/>
    <w:rsid w:val="007B326F"/>
    <w:rsid w:val="007D1613"/>
    <w:rsid w:val="007E117B"/>
    <w:rsid w:val="007E19D8"/>
    <w:rsid w:val="007E4C0E"/>
    <w:rsid w:val="008166B3"/>
    <w:rsid w:val="00835B19"/>
    <w:rsid w:val="0085042C"/>
    <w:rsid w:val="00854D47"/>
    <w:rsid w:val="00860537"/>
    <w:rsid w:val="00863EE5"/>
    <w:rsid w:val="0086648C"/>
    <w:rsid w:val="00874EBD"/>
    <w:rsid w:val="00877718"/>
    <w:rsid w:val="008865FA"/>
    <w:rsid w:val="008A134B"/>
    <w:rsid w:val="008A6F97"/>
    <w:rsid w:val="008B2CC1"/>
    <w:rsid w:val="008B60B2"/>
    <w:rsid w:val="008D2F97"/>
    <w:rsid w:val="008D3398"/>
    <w:rsid w:val="008E4224"/>
    <w:rsid w:val="008E470A"/>
    <w:rsid w:val="0090731E"/>
    <w:rsid w:val="00912C1D"/>
    <w:rsid w:val="00916EE2"/>
    <w:rsid w:val="00927E38"/>
    <w:rsid w:val="009362E7"/>
    <w:rsid w:val="0094464F"/>
    <w:rsid w:val="00966A22"/>
    <w:rsid w:val="0096722F"/>
    <w:rsid w:val="00980843"/>
    <w:rsid w:val="00997EFD"/>
    <w:rsid w:val="009B6777"/>
    <w:rsid w:val="009C127D"/>
    <w:rsid w:val="009D6695"/>
    <w:rsid w:val="009E2791"/>
    <w:rsid w:val="009E3F6F"/>
    <w:rsid w:val="009F499F"/>
    <w:rsid w:val="009F683B"/>
    <w:rsid w:val="009F7DB0"/>
    <w:rsid w:val="00A15403"/>
    <w:rsid w:val="00A37342"/>
    <w:rsid w:val="00A42DAF"/>
    <w:rsid w:val="00A4441F"/>
    <w:rsid w:val="00A45BD8"/>
    <w:rsid w:val="00A60917"/>
    <w:rsid w:val="00A623C5"/>
    <w:rsid w:val="00A65A52"/>
    <w:rsid w:val="00A81FF6"/>
    <w:rsid w:val="00A8217D"/>
    <w:rsid w:val="00A869B7"/>
    <w:rsid w:val="00A86CCE"/>
    <w:rsid w:val="00AA2DD4"/>
    <w:rsid w:val="00AA391D"/>
    <w:rsid w:val="00AC205C"/>
    <w:rsid w:val="00AF0A6B"/>
    <w:rsid w:val="00B05A69"/>
    <w:rsid w:val="00B1206B"/>
    <w:rsid w:val="00B16337"/>
    <w:rsid w:val="00B26D46"/>
    <w:rsid w:val="00B67858"/>
    <w:rsid w:val="00B9481B"/>
    <w:rsid w:val="00B9734B"/>
    <w:rsid w:val="00BA0078"/>
    <w:rsid w:val="00BA30E2"/>
    <w:rsid w:val="00BA3CF8"/>
    <w:rsid w:val="00BB60F8"/>
    <w:rsid w:val="00BD4A6F"/>
    <w:rsid w:val="00BD67CE"/>
    <w:rsid w:val="00C02596"/>
    <w:rsid w:val="00C0591E"/>
    <w:rsid w:val="00C115C4"/>
    <w:rsid w:val="00C11BFE"/>
    <w:rsid w:val="00C1218F"/>
    <w:rsid w:val="00C16A6E"/>
    <w:rsid w:val="00C3539D"/>
    <w:rsid w:val="00C5068F"/>
    <w:rsid w:val="00C60617"/>
    <w:rsid w:val="00C71AE3"/>
    <w:rsid w:val="00C72A6E"/>
    <w:rsid w:val="00C739D1"/>
    <w:rsid w:val="00C8106F"/>
    <w:rsid w:val="00C86D74"/>
    <w:rsid w:val="00C919E8"/>
    <w:rsid w:val="00C933E3"/>
    <w:rsid w:val="00CA39F1"/>
    <w:rsid w:val="00CA3F7F"/>
    <w:rsid w:val="00CA6BC1"/>
    <w:rsid w:val="00CB284C"/>
    <w:rsid w:val="00CC01C5"/>
    <w:rsid w:val="00CD04F1"/>
    <w:rsid w:val="00CD2964"/>
    <w:rsid w:val="00CD52A9"/>
    <w:rsid w:val="00CD7F59"/>
    <w:rsid w:val="00CF49B2"/>
    <w:rsid w:val="00CF7FB4"/>
    <w:rsid w:val="00D03CBC"/>
    <w:rsid w:val="00D160DA"/>
    <w:rsid w:val="00D22943"/>
    <w:rsid w:val="00D41E55"/>
    <w:rsid w:val="00D44A0B"/>
    <w:rsid w:val="00D45252"/>
    <w:rsid w:val="00D621C8"/>
    <w:rsid w:val="00D66E37"/>
    <w:rsid w:val="00D71B4D"/>
    <w:rsid w:val="00D72B16"/>
    <w:rsid w:val="00D74717"/>
    <w:rsid w:val="00D93D55"/>
    <w:rsid w:val="00D96C3B"/>
    <w:rsid w:val="00DA0642"/>
    <w:rsid w:val="00DA5152"/>
    <w:rsid w:val="00DC0E7C"/>
    <w:rsid w:val="00DC6126"/>
    <w:rsid w:val="00DC61A6"/>
    <w:rsid w:val="00DC6676"/>
    <w:rsid w:val="00DD2905"/>
    <w:rsid w:val="00DF023A"/>
    <w:rsid w:val="00DF383E"/>
    <w:rsid w:val="00DF724B"/>
    <w:rsid w:val="00E03315"/>
    <w:rsid w:val="00E128A8"/>
    <w:rsid w:val="00E15015"/>
    <w:rsid w:val="00E335FE"/>
    <w:rsid w:val="00E47DD3"/>
    <w:rsid w:val="00E5566B"/>
    <w:rsid w:val="00E64A23"/>
    <w:rsid w:val="00E64B82"/>
    <w:rsid w:val="00E85557"/>
    <w:rsid w:val="00E96DAD"/>
    <w:rsid w:val="00EA6A48"/>
    <w:rsid w:val="00EA6AFB"/>
    <w:rsid w:val="00EA7C5F"/>
    <w:rsid w:val="00EA7D6E"/>
    <w:rsid w:val="00EB2210"/>
    <w:rsid w:val="00EC4E49"/>
    <w:rsid w:val="00ED77FB"/>
    <w:rsid w:val="00EE45FA"/>
    <w:rsid w:val="00F07617"/>
    <w:rsid w:val="00F33C1C"/>
    <w:rsid w:val="00F50C57"/>
    <w:rsid w:val="00F66152"/>
    <w:rsid w:val="00F66F8A"/>
    <w:rsid w:val="00F71986"/>
    <w:rsid w:val="00F72CAC"/>
    <w:rsid w:val="00F73A67"/>
    <w:rsid w:val="00F77EF5"/>
    <w:rsid w:val="00F82119"/>
    <w:rsid w:val="00F952D1"/>
    <w:rsid w:val="00F96A04"/>
    <w:rsid w:val="00FD15C2"/>
    <w:rsid w:val="00FD53CC"/>
    <w:rsid w:val="00FF33B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CE73CF"/>
  <w15:docId w15:val="{68E9373C-48AB-4FBC-91E8-282DD146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basedOn w:val="DefaultParagraphFont"/>
    <w:link w:val="ONUME"/>
    <w:locked/>
    <w:rsid w:val="000F0B28"/>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rsid w:val="00182325"/>
    <w:rPr>
      <w:rFonts w:ascii="Arial" w:eastAsia="SimSun" w:hAnsi="Arial" w:cs="Arial"/>
      <w:sz w:val="18"/>
      <w:lang w:val="en-US" w:eastAsia="zh-CN"/>
    </w:rPr>
  </w:style>
  <w:style w:type="character" w:customStyle="1" w:styleId="HeaderChar">
    <w:name w:val="Header Char"/>
    <w:basedOn w:val="DefaultParagraphFont"/>
    <w:link w:val="Header"/>
    <w:uiPriority w:val="99"/>
    <w:rsid w:val="00182325"/>
    <w:rPr>
      <w:rFonts w:ascii="Arial" w:eastAsia="SimSun" w:hAnsi="Arial" w:cs="Arial"/>
      <w:sz w:val="22"/>
      <w:lang w:val="en-US" w:eastAsia="zh-CN"/>
    </w:rPr>
  </w:style>
  <w:style w:type="character" w:styleId="FootnoteReference">
    <w:name w:val="footnote reference"/>
    <w:uiPriority w:val="99"/>
    <w:rsid w:val="00182325"/>
    <w:rPr>
      <w:vertAlign w:val="superscript"/>
    </w:rPr>
  </w:style>
  <w:style w:type="paragraph" w:styleId="ListParagraph">
    <w:name w:val="List Paragraph"/>
    <w:basedOn w:val="Normal"/>
    <w:uiPriority w:val="34"/>
    <w:qFormat/>
    <w:rsid w:val="00A65A52"/>
    <w:pPr>
      <w:ind w:left="720"/>
      <w:contextualSpacing/>
    </w:pPr>
  </w:style>
  <w:style w:type="paragraph" w:customStyle="1" w:styleId="Default">
    <w:name w:val="Default"/>
    <w:rsid w:val="00A65A52"/>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unhideWhenUsed/>
    <w:rsid w:val="00F82119"/>
    <w:rPr>
      <w:sz w:val="16"/>
      <w:szCs w:val="16"/>
    </w:rPr>
  </w:style>
  <w:style w:type="paragraph" w:styleId="CommentSubject">
    <w:name w:val="annotation subject"/>
    <w:basedOn w:val="CommentText"/>
    <w:next w:val="CommentText"/>
    <w:link w:val="CommentSubjectChar"/>
    <w:semiHidden/>
    <w:unhideWhenUsed/>
    <w:rsid w:val="00F82119"/>
    <w:rPr>
      <w:b/>
      <w:bCs/>
      <w:sz w:val="20"/>
    </w:rPr>
  </w:style>
  <w:style w:type="character" w:customStyle="1" w:styleId="CommentTextChar">
    <w:name w:val="Comment Text Char"/>
    <w:basedOn w:val="DefaultParagraphFont"/>
    <w:link w:val="CommentText"/>
    <w:semiHidden/>
    <w:rsid w:val="00F8211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82119"/>
    <w:rPr>
      <w:rFonts w:ascii="Arial" w:eastAsia="SimSun" w:hAnsi="Arial" w:cs="Arial"/>
      <w:b/>
      <w:bCs/>
      <w:sz w:val="18"/>
      <w:lang w:val="en-US" w:eastAsia="zh-CN"/>
    </w:rPr>
  </w:style>
  <w:style w:type="paragraph" w:styleId="Revision">
    <w:name w:val="Revision"/>
    <w:hidden/>
    <w:uiPriority w:val="99"/>
    <w:semiHidden/>
    <w:rsid w:val="00F77EF5"/>
    <w:rPr>
      <w:rFonts w:ascii="Arial" w:eastAsia="SimSun" w:hAnsi="Arial" w:cs="Arial"/>
      <w:sz w:val="22"/>
      <w:lang w:val="en-US" w:eastAsia="zh-CN"/>
    </w:rPr>
  </w:style>
  <w:style w:type="character" w:styleId="Hyperlink">
    <w:name w:val="Hyperlink"/>
    <w:basedOn w:val="DefaultParagraphFont"/>
    <w:semiHidden/>
    <w:unhideWhenUsed/>
    <w:rsid w:val="00D41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2F27-8231-479A-B993-36A9744B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1685</Words>
  <Characters>9206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LI/A/38/1</vt:lpstr>
    </vt:vector>
  </TitlesOfParts>
  <Company>WIPO</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LI/A/38/1</dc:title>
  <dc:subject>Sixty-Second Series of Meetings</dc:subject>
  <dc:creator>WIPO</dc:creator>
  <cp:keywords>PUBLIC</cp:keywords>
  <cp:lastModifiedBy>MARIN-CUDRAZ DAVI Nicoletta</cp:lastModifiedBy>
  <cp:revision>8</cp:revision>
  <cp:lastPrinted>2020-07-03T10:09:00Z</cp:lastPrinted>
  <dcterms:created xsi:type="dcterms:W3CDTF">2021-06-15T08:45:00Z</dcterms:created>
  <dcterms:modified xsi:type="dcterms:W3CDTF">2021-06-30T14:03:00Z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9ad0ea34-2424-44aa-91a3-d01717fc7db5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