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2F7" w:rsidRDefault="00B169C4" w:rsidP="00E5566B">
      <w:pPr>
        <w:widowControl w:val="0"/>
        <w:jc w:val="right"/>
        <w:rPr>
          <w:b/>
          <w:sz w:val="2"/>
          <w:szCs w:val="40"/>
          <w:lang w:val="fr-CH"/>
        </w:rPr>
      </w:pPr>
      <w:bookmarkStart w:id="0" w:name="_GoBack"/>
      <w:bookmarkEnd w:id="0"/>
      <w:r>
        <w:rPr>
          <w:b/>
          <w:sz w:val="40"/>
          <w:szCs w:val="40"/>
          <w:lang w:val="fr-CH"/>
        </w:rPr>
        <w:t>F</w:t>
      </w:r>
    </w:p>
    <w:p w:rsidR="00DB32F7" w:rsidRDefault="00DB32F7" w:rsidP="006E4F5F">
      <w:pPr>
        <w:spacing w:line="360" w:lineRule="auto"/>
        <w:ind w:left="4592"/>
        <w:rPr>
          <w:rFonts w:ascii="Arial Black" w:hAnsi="Arial Black"/>
          <w:caps/>
          <w:sz w:val="15"/>
          <w:lang w:val="fr-CH"/>
        </w:rPr>
      </w:pPr>
      <w:r w:rsidRPr="008F0A73">
        <w:rPr>
          <w:noProof/>
          <w:lang w:eastAsia="en-US"/>
        </w:rPr>
        <w:drawing>
          <wp:inline distT="0" distB="0" distL="0" distR="0" wp14:anchorId="0E5FE446" wp14:editId="0FC502F6">
            <wp:extent cx="1857375" cy="1323975"/>
            <wp:effectExtent l="0" t="0" r="9525" b="9525"/>
            <wp:docPr id="2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F7" w:rsidRDefault="00A60917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DB32F7">
        <w:rPr>
          <w:rFonts w:ascii="Arial Black" w:hAnsi="Arial Black"/>
          <w:b/>
          <w:caps/>
          <w:sz w:val="15"/>
          <w:lang w:val="fr-CH"/>
        </w:rPr>
        <w:t>LI/A/36</w:t>
      </w:r>
      <w:r w:rsidR="006E4F5F" w:rsidRPr="00DB32F7">
        <w:rPr>
          <w:rFonts w:ascii="Arial Black" w:hAnsi="Arial Black"/>
          <w:b/>
          <w:caps/>
          <w:sz w:val="15"/>
          <w:lang w:val="fr-CH"/>
        </w:rPr>
        <w:t>/</w:t>
      </w:r>
      <w:bookmarkStart w:id="1" w:name="Code"/>
      <w:bookmarkEnd w:id="1"/>
      <w:r w:rsidR="000F0B28" w:rsidRPr="00DB32F7">
        <w:rPr>
          <w:rFonts w:ascii="Arial Black" w:hAnsi="Arial Black"/>
          <w:b/>
          <w:caps/>
          <w:sz w:val="15"/>
          <w:lang w:val="fr-CH"/>
        </w:rPr>
        <w:t>1</w:t>
      </w:r>
    </w:p>
    <w:p w:rsidR="00DB32F7" w:rsidRDefault="006E4F5F" w:rsidP="006E4F5F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DB32F7">
        <w:rPr>
          <w:rFonts w:ascii="Arial Black" w:hAnsi="Arial Black"/>
          <w:b/>
          <w:caps/>
          <w:sz w:val="15"/>
          <w:lang w:val="fr-CH"/>
        </w:rPr>
        <w:t>ORIGINAL</w:t>
      </w:r>
      <w:r w:rsidR="00B169C4" w:rsidRPr="00DB32F7">
        <w:rPr>
          <w:rFonts w:ascii="Arial Black" w:hAnsi="Arial Black"/>
          <w:b/>
          <w:caps/>
          <w:sz w:val="15"/>
          <w:lang w:val="fr-CH"/>
        </w:rPr>
        <w:t> </w:t>
      </w:r>
      <w:r w:rsidRPr="00DB32F7">
        <w:rPr>
          <w:rFonts w:ascii="Arial Black" w:hAnsi="Arial Black"/>
          <w:b/>
          <w:caps/>
          <w:sz w:val="15"/>
          <w:lang w:val="fr-CH"/>
        </w:rPr>
        <w:t>:</w:t>
      </w:r>
      <w:r w:rsidR="00781DB8" w:rsidRPr="00DB32F7">
        <w:rPr>
          <w:rFonts w:ascii="Arial Black" w:hAnsi="Arial Black"/>
          <w:b/>
          <w:caps/>
          <w:sz w:val="15"/>
          <w:lang w:val="fr-CH"/>
        </w:rPr>
        <w:t xml:space="preserve"> </w:t>
      </w:r>
      <w:r w:rsidR="00B169C4" w:rsidRPr="00DB32F7">
        <w:rPr>
          <w:rFonts w:ascii="Arial Black" w:hAnsi="Arial Black"/>
          <w:b/>
          <w:caps/>
          <w:sz w:val="15"/>
          <w:lang w:val="fr-CH"/>
        </w:rPr>
        <w:t>Anglais</w:t>
      </w:r>
    </w:p>
    <w:p w:rsidR="00DB32F7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DB32F7">
        <w:rPr>
          <w:rFonts w:ascii="Arial Black" w:hAnsi="Arial Black"/>
          <w:b/>
          <w:caps/>
          <w:sz w:val="15"/>
          <w:lang w:val="fr-CH"/>
        </w:rPr>
        <w:t>DATE</w:t>
      </w:r>
      <w:r w:rsidR="00B169C4" w:rsidRPr="00DB32F7">
        <w:rPr>
          <w:rFonts w:ascii="Arial Black" w:hAnsi="Arial Black"/>
          <w:b/>
          <w:caps/>
          <w:sz w:val="15"/>
          <w:lang w:val="fr-CH"/>
        </w:rPr>
        <w:t> </w:t>
      </w:r>
      <w:r w:rsidRPr="00DB32F7">
        <w:rPr>
          <w:rFonts w:ascii="Arial Black" w:hAnsi="Arial Black"/>
          <w:b/>
          <w:caps/>
          <w:sz w:val="15"/>
          <w:lang w:val="fr-CH"/>
        </w:rPr>
        <w:t>:</w:t>
      </w:r>
      <w:r w:rsidR="00781DB8" w:rsidRPr="00DB32F7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Date"/>
      <w:bookmarkEnd w:id="2"/>
      <w:r w:rsidR="00B169C4" w:rsidRPr="00DB32F7">
        <w:rPr>
          <w:rFonts w:ascii="Arial Black" w:hAnsi="Arial Black"/>
          <w:b/>
          <w:caps/>
          <w:sz w:val="15"/>
          <w:lang w:val="fr-CH"/>
        </w:rPr>
        <w:t>30 JUILLET 2019</w:t>
      </w:r>
    </w:p>
    <w:p w:rsidR="00DB32F7" w:rsidRDefault="00DB32F7" w:rsidP="00DB32F7">
      <w:pPr>
        <w:pStyle w:val="Heading1"/>
        <w:rPr>
          <w:lang w:val="fr-FR"/>
        </w:rPr>
      </w:pPr>
      <w:r w:rsidRPr="008F0A73">
        <w:rPr>
          <w:lang w:val="fr-FR"/>
        </w:rPr>
        <w:t>Union particulière pour la protection des appellations d</w:t>
      </w:r>
      <w:r>
        <w:rPr>
          <w:lang w:val="fr-FR"/>
        </w:rPr>
        <w:t>’</w:t>
      </w:r>
      <w:r w:rsidRPr="008F0A73">
        <w:rPr>
          <w:lang w:val="fr-FR"/>
        </w:rPr>
        <w:t>origine et leur enregistrement international (Union de Lisbonne)</w:t>
      </w:r>
    </w:p>
    <w:p w:rsidR="00DB32F7" w:rsidRPr="00DB32F7" w:rsidRDefault="00DB32F7" w:rsidP="00DB32F7">
      <w:pPr>
        <w:pStyle w:val="Heading1"/>
      </w:pPr>
      <w:r w:rsidRPr="00DB32F7">
        <w:t>Assemblée</w:t>
      </w:r>
    </w:p>
    <w:p w:rsidR="00DB32F7" w:rsidRPr="003E6344" w:rsidRDefault="00DB32F7" w:rsidP="00DB32F7">
      <w:pPr>
        <w:spacing w:after="720"/>
        <w:rPr>
          <w:b/>
          <w:sz w:val="24"/>
          <w:lang w:val="fr-CH"/>
        </w:rPr>
      </w:pPr>
      <w:r w:rsidRPr="003E6344">
        <w:rPr>
          <w:b/>
          <w:sz w:val="24"/>
          <w:lang w:val="fr-CH"/>
        </w:rPr>
        <w:t>Trente-sixième session (23</w:t>
      </w:r>
      <w:r w:rsidRPr="003E6344">
        <w:rPr>
          <w:b/>
          <w:sz w:val="24"/>
          <w:vertAlign w:val="superscript"/>
          <w:lang w:val="fr-CH"/>
        </w:rPr>
        <w:t>e</w:t>
      </w:r>
      <w:r w:rsidRPr="003E6344">
        <w:rPr>
          <w:b/>
          <w:sz w:val="24"/>
          <w:lang w:val="fr-CH"/>
        </w:rPr>
        <w:t xml:space="preserve"> session ordinaire)</w:t>
      </w:r>
      <w:r w:rsidRPr="003E6344">
        <w:rPr>
          <w:b/>
          <w:sz w:val="24"/>
          <w:lang w:val="fr-CH"/>
        </w:rPr>
        <w:br/>
        <w:t>Genève, 30 septembre – 9 octobre 2019</w:t>
      </w:r>
    </w:p>
    <w:p w:rsidR="00DB32F7" w:rsidRPr="003E6344" w:rsidRDefault="00215C1D" w:rsidP="00215C1D">
      <w:pPr>
        <w:spacing w:after="360"/>
        <w:rPr>
          <w:caps/>
          <w:sz w:val="24"/>
          <w:lang w:val="fr-CH"/>
        </w:rPr>
      </w:pPr>
      <w:bookmarkStart w:id="3" w:name="TitleOfDoc"/>
      <w:bookmarkStart w:id="4" w:name="Prepared"/>
      <w:bookmarkEnd w:id="3"/>
      <w:bookmarkEnd w:id="4"/>
      <w:r w:rsidRPr="003E6344">
        <w:rPr>
          <w:caps/>
          <w:sz w:val="24"/>
          <w:lang w:val="fr-CH"/>
        </w:rPr>
        <w:t>Rapport sur le Groupe de travail sur le développement du système de Lisbonne</w:t>
      </w:r>
    </w:p>
    <w:p w:rsidR="00DB32F7" w:rsidRPr="003E6344" w:rsidRDefault="00215C1D" w:rsidP="00215C1D">
      <w:pPr>
        <w:spacing w:after="960"/>
        <w:rPr>
          <w:i/>
          <w:lang w:val="fr-CH"/>
        </w:rPr>
      </w:pPr>
      <w:r w:rsidRPr="003E6344">
        <w:rPr>
          <w:i/>
          <w:lang w:val="fr-CH"/>
        </w:rPr>
        <w:t>établi par le Secrétariat</w:t>
      </w:r>
    </w:p>
    <w:p w:rsidR="00DB32F7" w:rsidRPr="003E6344" w:rsidRDefault="00215C1D" w:rsidP="00215C1D">
      <w:pPr>
        <w:pStyle w:val="ONUME"/>
        <w:rPr>
          <w:lang w:val="fr-CH"/>
        </w:rPr>
      </w:pPr>
      <w:r w:rsidRPr="003E6344">
        <w:rPr>
          <w:lang w:val="fr-CH"/>
        </w:rPr>
        <w:t>Depuis la précédente session de l</w:t>
      </w:r>
      <w:r w:rsidR="009E7BE5" w:rsidRPr="003E6344">
        <w:rPr>
          <w:lang w:val="fr-CH"/>
        </w:rPr>
        <w:t>’</w:t>
      </w:r>
      <w:r w:rsidRPr="003E6344">
        <w:rPr>
          <w:lang w:val="fr-CH"/>
        </w:rPr>
        <w:t>Assemblée de l</w:t>
      </w:r>
      <w:r w:rsidR="009E7BE5" w:rsidRPr="003E6344">
        <w:rPr>
          <w:lang w:val="fr-CH"/>
        </w:rPr>
        <w:t>’</w:t>
      </w:r>
      <w:r w:rsidRPr="003E6344">
        <w:rPr>
          <w:lang w:val="fr-CH"/>
        </w:rPr>
        <w:t>Union de Lisbonne, le Groupe de travail sur le développement du système de Lisbonne (ci</w:t>
      </w:r>
      <w:r w:rsidR="009E7BE5" w:rsidRPr="003E6344">
        <w:rPr>
          <w:lang w:val="fr-CH"/>
        </w:rPr>
        <w:t>-</w:t>
      </w:r>
      <w:r w:rsidRPr="003E6344">
        <w:rPr>
          <w:lang w:val="fr-CH"/>
        </w:rPr>
        <w:t>après dénommé “groupe de travail”) a tenu sa deux</w:t>
      </w:r>
      <w:r w:rsidR="009E7BE5" w:rsidRPr="003E6344">
        <w:rPr>
          <w:lang w:val="fr-CH"/>
        </w:rPr>
        <w:t>ième session</w:t>
      </w:r>
      <w:r w:rsidRPr="003E6344">
        <w:rPr>
          <w:lang w:val="fr-CH"/>
        </w:rPr>
        <w:t xml:space="preserve"> les 27 et 28</w:t>
      </w:r>
      <w:r w:rsidR="001E67FD" w:rsidRPr="003E6344">
        <w:rPr>
          <w:lang w:val="fr-CH"/>
        </w:rPr>
        <w:t> </w:t>
      </w:r>
      <w:r w:rsidRPr="003E6344">
        <w:rPr>
          <w:lang w:val="fr-CH"/>
        </w:rPr>
        <w:t>mai</w:t>
      </w:r>
      <w:r w:rsidR="001E67FD" w:rsidRPr="003E6344">
        <w:rPr>
          <w:lang w:val="fr-CH"/>
        </w:rPr>
        <w:t> </w:t>
      </w:r>
      <w:r w:rsidRPr="003E6344">
        <w:rPr>
          <w:lang w:val="fr-CH"/>
        </w:rPr>
        <w:t>2019.</w:t>
      </w:r>
      <w:r w:rsidR="000F0B28" w:rsidRPr="003E6344">
        <w:rPr>
          <w:lang w:val="fr-CH"/>
        </w:rPr>
        <w:t xml:space="preserve">  </w:t>
      </w:r>
      <w:r w:rsidRPr="003E6344">
        <w:rPr>
          <w:lang w:val="fr-CH"/>
        </w:rPr>
        <w:t>Les délégations ont échangé des vues sur des questions concernant la viabilité financière du système de Lisbonne, ainsi qu</w:t>
      </w:r>
      <w:r w:rsidR="009E7BE5" w:rsidRPr="003E6344">
        <w:rPr>
          <w:lang w:val="fr-CH"/>
        </w:rPr>
        <w:t>’</w:t>
      </w:r>
      <w:r w:rsidRPr="003E6344">
        <w:rPr>
          <w:lang w:val="fr-CH"/>
        </w:rPr>
        <w:t>il est indiqué dans l</w:t>
      </w:r>
      <w:r w:rsidR="009E7BE5" w:rsidRPr="003E6344">
        <w:rPr>
          <w:lang w:val="fr-CH"/>
        </w:rPr>
        <w:t>’</w:t>
      </w:r>
      <w:r w:rsidRPr="003E6344">
        <w:rPr>
          <w:lang w:val="fr-CH"/>
        </w:rPr>
        <w:t>annexe du présent document (</w:t>
      </w:r>
      <w:r w:rsidR="00BF44FB" w:rsidRPr="003E6344">
        <w:rPr>
          <w:lang w:val="fr-CH"/>
        </w:rPr>
        <w:t>document</w:t>
      </w:r>
      <w:r w:rsidR="00C2438A" w:rsidRPr="003E6344">
        <w:rPr>
          <w:lang w:val="fr-CH"/>
        </w:rPr>
        <w:t> </w:t>
      </w:r>
      <w:r w:rsidR="00BF44FB" w:rsidRPr="003E6344">
        <w:rPr>
          <w:lang w:val="fr-CH"/>
        </w:rPr>
        <w:t>LI</w:t>
      </w:r>
      <w:r w:rsidRPr="003E6344">
        <w:rPr>
          <w:lang w:val="fr-CH"/>
        </w:rPr>
        <w:t>/WG/DEV</w:t>
      </w:r>
      <w:r w:rsidR="009E7BE5" w:rsidRPr="003E6344">
        <w:rPr>
          <w:lang w:val="fr-CH"/>
        </w:rPr>
        <w:t>-</w:t>
      </w:r>
      <w:r w:rsidRPr="003E6344">
        <w:rPr>
          <w:lang w:val="fr-CH"/>
        </w:rPr>
        <w:t>SYS/2/3), approuvée par le groupe de travail.</w:t>
      </w:r>
    </w:p>
    <w:p w:rsidR="00DB32F7" w:rsidRPr="003E6344" w:rsidRDefault="00215C1D" w:rsidP="00215C1D">
      <w:pPr>
        <w:pStyle w:val="ONUME"/>
        <w:rPr>
          <w:lang w:val="fr-CH"/>
        </w:rPr>
      </w:pPr>
      <w:r w:rsidRPr="003E6344">
        <w:rPr>
          <w:lang w:val="fr-CH"/>
        </w:rPr>
        <w:t>Lors de ses délibérations, le groupe de travail a souligné l</w:t>
      </w:r>
      <w:r w:rsidR="009E7BE5" w:rsidRPr="003E6344">
        <w:rPr>
          <w:lang w:val="fr-CH"/>
        </w:rPr>
        <w:t>’</w:t>
      </w:r>
      <w:r w:rsidRPr="003E6344">
        <w:rPr>
          <w:lang w:val="fr-CH"/>
        </w:rPr>
        <w:t xml:space="preserve">importance des activités de promotion visant à accroître le nombre de membres du système de Lisbonne, </w:t>
      </w:r>
      <w:r w:rsidR="009E7BE5" w:rsidRPr="003E6344">
        <w:rPr>
          <w:lang w:val="fr-CH"/>
        </w:rPr>
        <w:t>y compris</w:t>
      </w:r>
      <w:r w:rsidRPr="003E6344">
        <w:rPr>
          <w:lang w:val="fr-CH"/>
        </w:rPr>
        <w:t xml:space="preserve"> de l</w:t>
      </w:r>
      <w:r w:rsidR="009E7BE5" w:rsidRPr="003E6344">
        <w:rPr>
          <w:lang w:val="fr-CH"/>
        </w:rPr>
        <w:t>’</w:t>
      </w:r>
      <w:r w:rsidRPr="003E6344">
        <w:rPr>
          <w:lang w:val="fr-CH"/>
        </w:rPr>
        <w:t>Acte de Genève, et la nécessité de renforcer la coordination entre les membres de l</w:t>
      </w:r>
      <w:r w:rsidR="009E7BE5" w:rsidRPr="003E6344">
        <w:rPr>
          <w:lang w:val="fr-CH"/>
        </w:rPr>
        <w:t>’</w:t>
      </w:r>
      <w:r w:rsidRPr="003E6344">
        <w:rPr>
          <w:lang w:val="fr-CH"/>
        </w:rPr>
        <w:t>Union de Lisbonne à cet égard.</w:t>
      </w:r>
    </w:p>
    <w:p w:rsidR="00DB32F7" w:rsidRPr="003E6344" w:rsidRDefault="00215C1D" w:rsidP="00215C1D">
      <w:pPr>
        <w:pStyle w:val="ONUME"/>
        <w:rPr>
          <w:lang w:val="fr-CH"/>
        </w:rPr>
      </w:pPr>
      <w:r w:rsidRPr="003E6344">
        <w:rPr>
          <w:lang w:val="fr-CH"/>
        </w:rPr>
        <w:t>À la fin de la session, le groupe de travail a décidé de poursuivre la réflexion sur les mesures à prendre pour assurer la viabilité financière de l</w:t>
      </w:r>
      <w:r w:rsidR="009E7BE5" w:rsidRPr="003E6344">
        <w:rPr>
          <w:lang w:val="fr-CH"/>
        </w:rPr>
        <w:t>’</w:t>
      </w:r>
      <w:r w:rsidRPr="003E6344">
        <w:rPr>
          <w:lang w:val="fr-CH"/>
        </w:rPr>
        <w:t>Union de Lisbonne à l</w:t>
      </w:r>
      <w:r w:rsidR="009E7BE5" w:rsidRPr="003E6344">
        <w:rPr>
          <w:lang w:val="fr-CH"/>
        </w:rPr>
        <w:t>’</w:t>
      </w:r>
      <w:r w:rsidRPr="003E6344">
        <w:rPr>
          <w:lang w:val="fr-CH"/>
        </w:rPr>
        <w:t xml:space="preserve">avenir, </w:t>
      </w:r>
      <w:r w:rsidR="009E7BE5" w:rsidRPr="003E6344">
        <w:rPr>
          <w:lang w:val="fr-CH"/>
        </w:rPr>
        <w:t>y compris</w:t>
      </w:r>
      <w:r w:rsidRPr="003E6344">
        <w:rPr>
          <w:lang w:val="fr-CH"/>
        </w:rPr>
        <w:t xml:space="preserve"> le réexamen régulier du barème des taxes, tout en reconnaissant la nécessité </w:t>
      </w:r>
      <w:r w:rsidRPr="003E6344">
        <w:rPr>
          <w:lang w:val="fr-CH"/>
        </w:rPr>
        <w:lastRenderedPageBreak/>
        <w:t>d</w:t>
      </w:r>
      <w:r w:rsidR="009E7BE5" w:rsidRPr="003E6344">
        <w:rPr>
          <w:lang w:val="fr-CH"/>
        </w:rPr>
        <w:t>’</w:t>
      </w:r>
      <w:r w:rsidRPr="003E6344">
        <w:rPr>
          <w:lang w:val="fr-CH"/>
        </w:rPr>
        <w:t>évaluer l</w:t>
      </w:r>
      <w:r w:rsidR="009E7BE5" w:rsidRPr="003E6344">
        <w:rPr>
          <w:lang w:val="fr-CH"/>
        </w:rPr>
        <w:t>’</w:t>
      </w:r>
      <w:r w:rsidRPr="003E6344">
        <w:rPr>
          <w:lang w:val="fr-CH"/>
        </w:rPr>
        <w:t>incidence de l</w:t>
      </w:r>
      <w:r w:rsidR="009E7BE5" w:rsidRPr="003E6344">
        <w:rPr>
          <w:lang w:val="fr-CH"/>
        </w:rPr>
        <w:t>’</w:t>
      </w:r>
      <w:r w:rsidRPr="003E6344">
        <w:rPr>
          <w:lang w:val="fr-CH"/>
        </w:rPr>
        <w:t>entrée en vigueur de l</w:t>
      </w:r>
      <w:r w:rsidR="009E7BE5" w:rsidRPr="003E6344">
        <w:rPr>
          <w:lang w:val="fr-CH"/>
        </w:rPr>
        <w:t>’</w:t>
      </w:r>
      <w:r w:rsidRPr="003E6344">
        <w:rPr>
          <w:lang w:val="fr-CH"/>
        </w:rPr>
        <w:t>Acte de Genève de l</w:t>
      </w:r>
      <w:r w:rsidR="009E7BE5" w:rsidRPr="003E6344">
        <w:rPr>
          <w:lang w:val="fr-CH"/>
        </w:rPr>
        <w:t>’</w:t>
      </w:r>
      <w:r w:rsidRPr="003E6344">
        <w:rPr>
          <w:lang w:val="fr-CH"/>
        </w:rPr>
        <w:t>Arrangement de Lisbonne sur la situation financière de l</w:t>
      </w:r>
      <w:r w:rsidR="009E7BE5" w:rsidRPr="003E6344">
        <w:rPr>
          <w:lang w:val="fr-CH"/>
        </w:rPr>
        <w:t>’</w:t>
      </w:r>
      <w:r w:rsidRPr="003E6344">
        <w:rPr>
          <w:lang w:val="fr-CH"/>
        </w:rPr>
        <w:t>Union.</w:t>
      </w:r>
    </w:p>
    <w:p w:rsidR="00DB32F7" w:rsidRPr="003E6344" w:rsidRDefault="00215C1D" w:rsidP="00215C1D">
      <w:pPr>
        <w:pStyle w:val="ONUME"/>
        <w:keepNext/>
        <w:keepLines/>
        <w:numPr>
          <w:ilvl w:val="0"/>
          <w:numId w:val="0"/>
        </w:numPr>
        <w:tabs>
          <w:tab w:val="left" w:pos="6096"/>
        </w:tabs>
        <w:spacing w:after="840"/>
        <w:ind w:left="5533"/>
        <w:rPr>
          <w:i/>
          <w:lang w:val="fr-CH"/>
        </w:rPr>
      </w:pPr>
      <w:r w:rsidRPr="003E6344">
        <w:rPr>
          <w:i/>
          <w:lang w:val="fr-CH"/>
        </w:rPr>
        <w:t>4.</w:t>
      </w:r>
      <w:r w:rsidRPr="003E6344">
        <w:rPr>
          <w:i/>
          <w:lang w:val="fr-CH"/>
        </w:rPr>
        <w:tab/>
        <w:t>L</w:t>
      </w:r>
      <w:r w:rsidR="009E7BE5" w:rsidRPr="003E6344">
        <w:rPr>
          <w:i/>
          <w:lang w:val="fr-CH"/>
        </w:rPr>
        <w:t>’</w:t>
      </w:r>
      <w:r w:rsidRPr="003E6344">
        <w:rPr>
          <w:i/>
          <w:lang w:val="fr-CH"/>
        </w:rPr>
        <w:t>Assemblée de l</w:t>
      </w:r>
      <w:r w:rsidR="009E7BE5" w:rsidRPr="003E6344">
        <w:rPr>
          <w:i/>
          <w:lang w:val="fr-CH"/>
        </w:rPr>
        <w:t>’</w:t>
      </w:r>
      <w:r w:rsidRPr="003E6344">
        <w:rPr>
          <w:i/>
          <w:lang w:val="fr-CH"/>
        </w:rPr>
        <w:t>Union de Lisbonne est invitée à prendre note du “Rapport sur le Groupe de travail sur le développement du système de Lisbonne” (</w:t>
      </w:r>
      <w:r w:rsidR="00BF44FB" w:rsidRPr="003E6344">
        <w:rPr>
          <w:i/>
          <w:lang w:val="fr-CH"/>
        </w:rPr>
        <w:t>document</w:t>
      </w:r>
      <w:r w:rsidR="00C2438A" w:rsidRPr="003E6344">
        <w:rPr>
          <w:i/>
          <w:lang w:val="fr-CH"/>
        </w:rPr>
        <w:t> </w:t>
      </w:r>
      <w:r w:rsidR="00BF44FB" w:rsidRPr="003E6344">
        <w:rPr>
          <w:i/>
          <w:lang w:val="fr-CH"/>
        </w:rPr>
        <w:t>LI</w:t>
      </w:r>
      <w:r w:rsidRPr="003E6344">
        <w:rPr>
          <w:i/>
          <w:lang w:val="fr-CH"/>
        </w:rPr>
        <w:t>/A/36/1).</w:t>
      </w:r>
    </w:p>
    <w:p w:rsidR="001E67FD" w:rsidRPr="003E6344" w:rsidRDefault="00215C1D" w:rsidP="003E6344">
      <w:pPr>
        <w:pStyle w:val="Endofdocument-Annex"/>
        <w:rPr>
          <w:lang w:val="fr-CH"/>
        </w:rPr>
        <w:sectPr w:rsidR="001E67FD" w:rsidRPr="003E6344" w:rsidSect="00A316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E6344">
        <w:rPr>
          <w:lang w:val="fr-CH"/>
        </w:rPr>
        <w:t xml:space="preserve">[Le </w:t>
      </w:r>
      <w:r w:rsidR="00BF44FB" w:rsidRPr="003E6344">
        <w:rPr>
          <w:lang w:val="fr-CH"/>
        </w:rPr>
        <w:t>document</w:t>
      </w:r>
      <w:r w:rsidR="00C2438A" w:rsidRPr="003E6344">
        <w:rPr>
          <w:lang w:val="fr-CH"/>
        </w:rPr>
        <w:t> </w:t>
      </w:r>
      <w:r w:rsidR="00BF44FB" w:rsidRPr="003E6344">
        <w:rPr>
          <w:lang w:val="fr-CH"/>
        </w:rPr>
        <w:t>LI</w:t>
      </w:r>
      <w:r w:rsidRPr="003E6344">
        <w:rPr>
          <w:lang w:val="fr-CH"/>
        </w:rPr>
        <w:t>/WG/DEV</w:t>
      </w:r>
      <w:r w:rsidR="009E7BE5" w:rsidRPr="003E6344">
        <w:rPr>
          <w:lang w:val="fr-CH"/>
        </w:rPr>
        <w:t>-</w:t>
      </w:r>
      <w:r w:rsidRPr="003E6344">
        <w:rPr>
          <w:lang w:val="fr-CH"/>
        </w:rPr>
        <w:t>SYS/2/3 suit]</w:t>
      </w:r>
      <w:r w:rsidR="001E67FD" w:rsidRPr="003E6344">
        <w:rPr>
          <w:lang w:val="fr-CH"/>
        </w:rPr>
        <w:t xml:space="preserve"> 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02444" w:rsidRPr="00D02444" w:rsidTr="0005634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02444" w:rsidRPr="00D02444" w:rsidRDefault="00D02444" w:rsidP="00D02444">
            <w:pPr>
              <w:rPr>
                <w:lang w:val="fr-CH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2444" w:rsidRPr="00D02444" w:rsidRDefault="00D02444" w:rsidP="00D02444">
            <w:pPr>
              <w:rPr>
                <w:lang w:val="fr-CH"/>
              </w:rPr>
            </w:pPr>
            <w:r w:rsidRPr="00D02444">
              <w:rPr>
                <w:noProof/>
                <w:lang w:eastAsia="en-US"/>
              </w:rPr>
              <w:drawing>
                <wp:inline distT="0" distB="0" distL="0" distR="0" wp14:anchorId="2A85122D" wp14:editId="4E171FF0">
                  <wp:extent cx="1857375" cy="1323975"/>
                  <wp:effectExtent l="0" t="0" r="9525" b="9525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2444" w:rsidRPr="00D02444" w:rsidRDefault="00D02444" w:rsidP="00D02444">
            <w:pPr>
              <w:jc w:val="right"/>
              <w:rPr>
                <w:lang w:val="fr-CH"/>
              </w:rPr>
            </w:pPr>
            <w:r w:rsidRPr="00D02444">
              <w:rPr>
                <w:b/>
                <w:sz w:val="40"/>
                <w:szCs w:val="40"/>
                <w:lang w:val="fr-CH"/>
              </w:rPr>
              <w:t>F</w:t>
            </w:r>
          </w:p>
        </w:tc>
      </w:tr>
      <w:tr w:rsidR="00D02444" w:rsidRPr="00D02444" w:rsidTr="0005634D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02444" w:rsidRPr="00D02444" w:rsidRDefault="00D02444" w:rsidP="00D0244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02444">
              <w:rPr>
                <w:rFonts w:ascii="Arial Black" w:hAnsi="Arial Black"/>
                <w:caps/>
                <w:sz w:val="15"/>
              </w:rPr>
              <w:t>Li/WG/DEV</w:t>
            </w:r>
            <w:r w:rsidR="009E7BE5">
              <w:rPr>
                <w:rFonts w:ascii="Arial Black" w:hAnsi="Arial Black"/>
                <w:caps/>
                <w:sz w:val="15"/>
              </w:rPr>
              <w:t>-</w:t>
            </w:r>
            <w:r w:rsidRPr="00D02444">
              <w:rPr>
                <w:rFonts w:ascii="Arial Black" w:hAnsi="Arial Black"/>
                <w:caps/>
                <w:sz w:val="15"/>
              </w:rPr>
              <w:t>SYS/2/3</w:t>
            </w:r>
          </w:p>
        </w:tc>
      </w:tr>
      <w:tr w:rsidR="00D02444" w:rsidRPr="00D02444" w:rsidTr="0005634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02444" w:rsidRPr="00D02444" w:rsidRDefault="00D02444" w:rsidP="00D02444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D02444">
              <w:rPr>
                <w:rFonts w:ascii="Arial Black" w:hAnsi="Arial Black"/>
                <w:caps/>
                <w:sz w:val="15"/>
                <w:lang w:val="fr-CH"/>
              </w:rPr>
              <w:t>ORIGINAL</w:t>
            </w:r>
            <w:r w:rsidR="009E7BE5">
              <w:rPr>
                <w:rFonts w:ascii="Arial Black" w:hAnsi="Arial Black"/>
                <w:caps/>
                <w:sz w:val="15"/>
                <w:lang w:val="fr-CH"/>
              </w:rPr>
              <w:t> :</w:t>
            </w:r>
            <w:r w:rsidRPr="00D02444">
              <w:rPr>
                <w:rFonts w:ascii="Arial Black" w:hAnsi="Arial Black"/>
                <w:caps/>
                <w:sz w:val="15"/>
                <w:lang w:val="fr-CH"/>
              </w:rPr>
              <w:t xml:space="preserve"> anglais </w:t>
            </w:r>
          </w:p>
        </w:tc>
      </w:tr>
      <w:tr w:rsidR="00D02444" w:rsidRPr="00D02444" w:rsidTr="0005634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02444" w:rsidRPr="00D02444" w:rsidRDefault="00D02444" w:rsidP="00D02444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D02444">
              <w:rPr>
                <w:rFonts w:ascii="Arial Black" w:hAnsi="Arial Black"/>
                <w:caps/>
                <w:sz w:val="15"/>
                <w:lang w:val="fr-CH"/>
              </w:rPr>
              <w:t>DATE</w:t>
            </w:r>
            <w:r w:rsidR="009E7BE5">
              <w:rPr>
                <w:rFonts w:ascii="Arial Black" w:hAnsi="Arial Black"/>
                <w:caps/>
                <w:sz w:val="15"/>
                <w:lang w:val="fr-CH"/>
              </w:rPr>
              <w:t> :</w:t>
            </w:r>
            <w:r w:rsidRPr="00D02444">
              <w:rPr>
                <w:rFonts w:ascii="Arial Black" w:hAnsi="Arial Black"/>
                <w:caps/>
                <w:sz w:val="15"/>
                <w:lang w:val="fr-CH"/>
              </w:rPr>
              <w:t xml:space="preserve"> 28 mai 2019 </w:t>
            </w:r>
          </w:p>
        </w:tc>
      </w:tr>
    </w:tbl>
    <w:p w:rsidR="00DB32F7" w:rsidRDefault="00DB32F7" w:rsidP="00D02444">
      <w:pPr>
        <w:rPr>
          <w:lang w:val="fr-CH"/>
        </w:rPr>
      </w:pPr>
    </w:p>
    <w:p w:rsidR="00DB32F7" w:rsidRDefault="00DB32F7" w:rsidP="00D02444">
      <w:pPr>
        <w:rPr>
          <w:lang w:val="fr-CH"/>
        </w:rPr>
      </w:pPr>
    </w:p>
    <w:p w:rsidR="00DB32F7" w:rsidRDefault="00DB32F7" w:rsidP="00D02444">
      <w:pPr>
        <w:rPr>
          <w:lang w:val="fr-CH"/>
        </w:rPr>
      </w:pPr>
    </w:p>
    <w:p w:rsidR="00DB32F7" w:rsidRDefault="00DB32F7" w:rsidP="00D02444">
      <w:pPr>
        <w:rPr>
          <w:lang w:val="fr-CH"/>
        </w:rPr>
      </w:pPr>
    </w:p>
    <w:p w:rsidR="00DB32F7" w:rsidRDefault="00DB32F7" w:rsidP="00D02444">
      <w:pPr>
        <w:rPr>
          <w:lang w:val="fr-CH"/>
        </w:rPr>
      </w:pPr>
    </w:p>
    <w:p w:rsidR="00DB32F7" w:rsidRDefault="00D02444" w:rsidP="00D02444">
      <w:pPr>
        <w:rPr>
          <w:b/>
          <w:sz w:val="28"/>
          <w:szCs w:val="28"/>
          <w:lang w:val="fr-CH"/>
        </w:rPr>
      </w:pPr>
      <w:r w:rsidRPr="00D02444">
        <w:rPr>
          <w:b/>
          <w:sz w:val="28"/>
          <w:szCs w:val="28"/>
          <w:lang w:val="fr-CH"/>
        </w:rPr>
        <w:t>Groupe de travail sur le développement du système de Lisbonne</w:t>
      </w:r>
    </w:p>
    <w:p w:rsidR="00DB32F7" w:rsidRDefault="00DB32F7" w:rsidP="00D02444">
      <w:pPr>
        <w:rPr>
          <w:lang w:val="fr-CH"/>
        </w:rPr>
      </w:pPr>
    </w:p>
    <w:p w:rsidR="00DB32F7" w:rsidRDefault="00DB32F7" w:rsidP="00D02444">
      <w:pPr>
        <w:rPr>
          <w:lang w:val="fr-CH"/>
        </w:rPr>
      </w:pPr>
    </w:p>
    <w:p w:rsidR="00DB32F7" w:rsidRDefault="00D02444" w:rsidP="00D02444">
      <w:pPr>
        <w:rPr>
          <w:b/>
          <w:sz w:val="24"/>
          <w:szCs w:val="24"/>
          <w:lang w:val="fr-CH"/>
        </w:rPr>
      </w:pPr>
      <w:r w:rsidRPr="00D02444">
        <w:rPr>
          <w:b/>
          <w:sz w:val="24"/>
          <w:szCs w:val="24"/>
          <w:lang w:val="fr-CH"/>
        </w:rPr>
        <w:t>Deux</w:t>
      </w:r>
      <w:r w:rsidR="009E7BE5">
        <w:rPr>
          <w:b/>
          <w:sz w:val="24"/>
          <w:szCs w:val="24"/>
          <w:lang w:val="fr-CH"/>
        </w:rPr>
        <w:t>ième session</w:t>
      </w:r>
    </w:p>
    <w:p w:rsidR="00DB32F7" w:rsidRDefault="00D02444" w:rsidP="00D02444">
      <w:pPr>
        <w:rPr>
          <w:b/>
          <w:sz w:val="24"/>
          <w:szCs w:val="24"/>
          <w:lang w:val="fr-CH"/>
        </w:rPr>
      </w:pPr>
      <w:r w:rsidRPr="00D02444">
        <w:rPr>
          <w:b/>
          <w:sz w:val="24"/>
          <w:szCs w:val="24"/>
          <w:lang w:val="fr-CH"/>
        </w:rPr>
        <w:t>Genève, 27 et 28 mai 2019</w:t>
      </w:r>
    </w:p>
    <w:p w:rsidR="00DB32F7" w:rsidRDefault="00DB32F7" w:rsidP="00D02444">
      <w:pPr>
        <w:rPr>
          <w:lang w:val="fr-CH"/>
        </w:rPr>
      </w:pPr>
    </w:p>
    <w:p w:rsidR="00DB32F7" w:rsidRDefault="00DB32F7" w:rsidP="00D02444">
      <w:pPr>
        <w:rPr>
          <w:lang w:val="fr-CH"/>
        </w:rPr>
      </w:pPr>
    </w:p>
    <w:p w:rsidR="00DB32F7" w:rsidRDefault="00DB32F7" w:rsidP="00D02444">
      <w:pPr>
        <w:rPr>
          <w:lang w:val="fr-CH"/>
        </w:rPr>
      </w:pPr>
    </w:p>
    <w:p w:rsidR="00DB32F7" w:rsidRDefault="00D02444" w:rsidP="00D02444">
      <w:pPr>
        <w:rPr>
          <w:caps/>
          <w:sz w:val="24"/>
          <w:lang w:val="fr-FR"/>
        </w:rPr>
      </w:pPr>
      <w:r w:rsidRPr="00D02444">
        <w:rPr>
          <w:caps/>
          <w:sz w:val="24"/>
          <w:lang w:val="fr-FR"/>
        </w:rPr>
        <w:t>Résumé présenté par le président</w:t>
      </w:r>
    </w:p>
    <w:p w:rsidR="00DB32F7" w:rsidRDefault="00DB32F7" w:rsidP="00D02444">
      <w:pPr>
        <w:rPr>
          <w:lang w:val="fr-FR"/>
        </w:rPr>
      </w:pPr>
    </w:p>
    <w:p w:rsidR="00DB32F7" w:rsidRDefault="00D02444" w:rsidP="00D02444">
      <w:pPr>
        <w:rPr>
          <w:i/>
          <w:lang w:val="fr-FR"/>
        </w:rPr>
      </w:pPr>
      <w:r w:rsidRPr="00D02444">
        <w:rPr>
          <w:i/>
          <w:lang w:val="fr-FR"/>
        </w:rPr>
        <w:t>adopté par le groupe de travail</w:t>
      </w:r>
    </w:p>
    <w:p w:rsidR="00DB32F7" w:rsidRDefault="00DB32F7" w:rsidP="00D02444">
      <w:pPr>
        <w:rPr>
          <w:szCs w:val="22"/>
          <w:lang w:val="fr-FR"/>
        </w:rPr>
      </w:pPr>
    </w:p>
    <w:p w:rsidR="00DB32F7" w:rsidRDefault="00DB32F7" w:rsidP="00D02444">
      <w:pPr>
        <w:rPr>
          <w:szCs w:val="22"/>
          <w:lang w:val="fr-FR"/>
        </w:rPr>
      </w:pPr>
    </w:p>
    <w:p w:rsidR="00DB32F7" w:rsidRDefault="00DB32F7" w:rsidP="00D02444">
      <w:pPr>
        <w:rPr>
          <w:szCs w:val="22"/>
          <w:lang w:val="fr-FR"/>
        </w:rPr>
      </w:pPr>
    </w:p>
    <w:p w:rsidR="00DB32F7" w:rsidRDefault="00DB32F7" w:rsidP="00D02444">
      <w:pPr>
        <w:rPr>
          <w:szCs w:val="22"/>
          <w:lang w:val="fr-FR"/>
        </w:rPr>
      </w:pPr>
    </w:p>
    <w:p w:rsidR="00DB32F7" w:rsidRDefault="00D02444" w:rsidP="002849B1">
      <w:pPr>
        <w:pStyle w:val="ONUMFS"/>
        <w:rPr>
          <w:lang w:val="fr-FR"/>
        </w:rPr>
      </w:pPr>
      <w:r w:rsidRPr="00D02444">
        <w:rPr>
          <w:lang w:val="fr-FR"/>
        </w:rPr>
        <w:t>Le Groupe de travail sur le développement du système de Lisbonne (ci</w:t>
      </w:r>
      <w:r w:rsidR="009E7BE5">
        <w:rPr>
          <w:lang w:val="fr-FR"/>
        </w:rPr>
        <w:t>-</w:t>
      </w:r>
      <w:r w:rsidRPr="00D02444">
        <w:rPr>
          <w:lang w:val="fr-FR"/>
        </w:rPr>
        <w:t>après dénommé “groupe de travail”) s</w:t>
      </w:r>
      <w:r w:rsidR="009E7BE5">
        <w:rPr>
          <w:lang w:val="fr-FR"/>
        </w:rPr>
        <w:t>’</w:t>
      </w:r>
      <w:r w:rsidRPr="00D02444">
        <w:rPr>
          <w:lang w:val="fr-FR"/>
        </w:rPr>
        <w:t>est réuni à Genève les 27 et 28 </w:t>
      </w:r>
      <w:r w:rsidRPr="00D02444">
        <w:rPr>
          <w:color w:val="000000"/>
          <w:lang w:val="fr-FR"/>
        </w:rPr>
        <w:t>mai </w:t>
      </w:r>
      <w:r w:rsidRPr="00D02444">
        <w:rPr>
          <w:lang w:val="fr-FR"/>
        </w:rPr>
        <w:t>2019.</w:t>
      </w:r>
    </w:p>
    <w:p w:rsidR="00DB32F7" w:rsidRDefault="00D02444" w:rsidP="002849B1">
      <w:pPr>
        <w:pStyle w:val="ONUMFS"/>
        <w:rPr>
          <w:lang w:val="fr-FR"/>
        </w:rPr>
      </w:pPr>
      <w:r w:rsidRPr="00D02444">
        <w:rPr>
          <w:lang w:val="fr-FR"/>
        </w:rPr>
        <w:t>Les parties contractantes ci</w:t>
      </w:r>
      <w:r w:rsidR="009E7BE5">
        <w:rPr>
          <w:lang w:val="fr-FR"/>
        </w:rPr>
        <w:t>-</w:t>
      </w:r>
      <w:r w:rsidRPr="00D02444">
        <w:rPr>
          <w:lang w:val="fr-FR"/>
        </w:rPr>
        <w:t>après de l</w:t>
      </w:r>
      <w:r w:rsidR="009E7BE5">
        <w:rPr>
          <w:lang w:val="fr-FR"/>
        </w:rPr>
        <w:t>’</w:t>
      </w:r>
      <w:r w:rsidRPr="00D02444">
        <w:rPr>
          <w:lang w:val="fr-FR"/>
        </w:rPr>
        <w:t>Union de Lisbonne étaient représentées à la session</w:t>
      </w:r>
      <w:r w:rsidR="009E7BE5">
        <w:rPr>
          <w:lang w:val="fr-FR"/>
        </w:rPr>
        <w:t> :</w:t>
      </w:r>
      <w:r w:rsidRPr="00D02444">
        <w:rPr>
          <w:lang w:val="fr-FR"/>
        </w:rPr>
        <w:t xml:space="preserve"> Burkina Faso, France, Gabon, Hongrie, Iran (République islamique de), Israël, Italie, Mexique, Nicaragua, Pérou, Portugal, République tchèque, Slovaquie (13).</w:t>
      </w:r>
    </w:p>
    <w:p w:rsidR="00DB32F7" w:rsidRDefault="00D02444" w:rsidP="002849B1">
      <w:pPr>
        <w:pStyle w:val="ONUMFS"/>
        <w:rPr>
          <w:lang w:val="fr-FR"/>
        </w:rPr>
      </w:pPr>
      <w:r w:rsidRPr="00D02444">
        <w:rPr>
          <w:lang w:val="fr-FR"/>
        </w:rPr>
        <w:t>Les États ci</w:t>
      </w:r>
      <w:r w:rsidR="009E7BE5">
        <w:rPr>
          <w:lang w:val="fr-FR"/>
        </w:rPr>
        <w:t>-</w:t>
      </w:r>
      <w:r w:rsidRPr="00D02444">
        <w:rPr>
          <w:lang w:val="fr-FR"/>
        </w:rPr>
        <w:t>après étaient représentés par des observateurs</w:t>
      </w:r>
      <w:r w:rsidR="009E7BE5">
        <w:rPr>
          <w:lang w:val="fr-FR"/>
        </w:rPr>
        <w:t> :</w:t>
      </w:r>
      <w:r w:rsidRPr="00D02444">
        <w:rPr>
          <w:lang w:val="fr-FR"/>
        </w:rPr>
        <w:t xml:space="preserve"> Afghanistan, Allemagne, Australie, Espagne, États</w:t>
      </w:r>
      <w:r w:rsidR="009E7BE5">
        <w:rPr>
          <w:lang w:val="fr-FR"/>
        </w:rPr>
        <w:t>-</w:t>
      </w:r>
      <w:r w:rsidRPr="00D02444">
        <w:rPr>
          <w:lang w:val="fr-FR"/>
        </w:rPr>
        <w:t>Unis d</w:t>
      </w:r>
      <w:r w:rsidR="009E7BE5">
        <w:rPr>
          <w:lang w:val="fr-FR"/>
        </w:rPr>
        <w:t>’</w:t>
      </w:r>
      <w:r w:rsidRPr="00D02444">
        <w:rPr>
          <w:lang w:val="fr-FR"/>
        </w:rPr>
        <w:t>Amérique, Fédération de Russie, Finlande, Guyana, Honduras, Inde, Irlande, Japon, Koweït, Nigéria, Paraguay, Pologne, République de Corée, Roumanie, Sénégal, Suisse (20).</w:t>
      </w:r>
    </w:p>
    <w:p w:rsidR="00DB32F7" w:rsidRDefault="00D02444" w:rsidP="002849B1">
      <w:pPr>
        <w:pStyle w:val="ONUMFS"/>
        <w:rPr>
          <w:lang w:val="fr-FR"/>
        </w:rPr>
      </w:pPr>
      <w:r w:rsidRPr="00D02444">
        <w:rPr>
          <w:lang w:val="fr-FR"/>
        </w:rPr>
        <w:t>Des représentants des organisations internationales intergouvernementales ci</w:t>
      </w:r>
      <w:r w:rsidR="009E7BE5">
        <w:rPr>
          <w:lang w:val="fr-FR"/>
        </w:rPr>
        <w:t>-</w:t>
      </w:r>
      <w:r w:rsidRPr="00D02444">
        <w:rPr>
          <w:lang w:val="fr-FR"/>
        </w:rPr>
        <w:t>après ont pris part à la session en qualité d</w:t>
      </w:r>
      <w:r w:rsidR="009E7BE5">
        <w:rPr>
          <w:lang w:val="fr-FR"/>
        </w:rPr>
        <w:t>’</w:t>
      </w:r>
      <w:r w:rsidRPr="00D02444">
        <w:rPr>
          <w:lang w:val="fr-FR"/>
        </w:rPr>
        <w:t>observateurs</w:t>
      </w:r>
      <w:r w:rsidR="009E7BE5">
        <w:rPr>
          <w:lang w:val="fr-FR"/>
        </w:rPr>
        <w:t> :</w:t>
      </w:r>
      <w:r w:rsidRPr="00D02444">
        <w:rPr>
          <w:lang w:val="fr-FR"/>
        </w:rPr>
        <w:t xml:space="preserve"> Organisation de la coopération islamique (OCI), Organisation mondiale du commerce (OMC)</w:t>
      </w:r>
      <w:r w:rsidRPr="00D02444">
        <w:rPr>
          <w:color w:val="000000"/>
          <w:lang w:val="fr-FR"/>
        </w:rPr>
        <w:t>,</w:t>
      </w:r>
      <w:r w:rsidRPr="00D02444">
        <w:rPr>
          <w:lang w:val="fr-FR"/>
        </w:rPr>
        <w:t xml:space="preserve"> Organisation des </w:t>
      </w:r>
      <w:r w:rsidR="009E7BE5">
        <w:rPr>
          <w:lang w:val="fr-FR"/>
        </w:rPr>
        <w:t>Nations Unies</w:t>
      </w:r>
      <w:r w:rsidRPr="00D02444">
        <w:rPr>
          <w:lang w:val="fr-FR"/>
        </w:rPr>
        <w:t xml:space="preserve"> pour l</w:t>
      </w:r>
      <w:r w:rsidR="009E7BE5">
        <w:rPr>
          <w:lang w:val="fr-FR"/>
        </w:rPr>
        <w:t>’</w:t>
      </w:r>
      <w:r w:rsidRPr="00D02444">
        <w:rPr>
          <w:lang w:val="fr-FR"/>
        </w:rPr>
        <w:t>alimentation et l</w:t>
      </w:r>
      <w:r w:rsidR="009E7BE5">
        <w:rPr>
          <w:lang w:val="fr-FR"/>
        </w:rPr>
        <w:t>’</w:t>
      </w:r>
      <w:r w:rsidRPr="00D02444">
        <w:rPr>
          <w:lang w:val="fr-FR"/>
        </w:rPr>
        <w:t>agriculture (FAO),</w:t>
      </w:r>
      <w:r w:rsidRPr="00D02444">
        <w:rPr>
          <w:color w:val="000000"/>
          <w:lang w:val="fr-FR"/>
        </w:rPr>
        <w:t xml:space="preserve"> </w:t>
      </w:r>
      <w:r w:rsidRPr="00D02444">
        <w:rPr>
          <w:lang w:val="fr-FR"/>
        </w:rPr>
        <w:t>Union européenne (UE)</w:t>
      </w:r>
      <w:r w:rsidRPr="00D02444">
        <w:rPr>
          <w:color w:val="000000"/>
          <w:lang w:val="fr-FR"/>
        </w:rPr>
        <w:t xml:space="preserve"> </w:t>
      </w:r>
      <w:r w:rsidRPr="00D02444">
        <w:rPr>
          <w:lang w:val="fr-FR"/>
        </w:rPr>
        <w:t>(4).</w:t>
      </w:r>
    </w:p>
    <w:p w:rsidR="00DB32F7" w:rsidRDefault="00D02444" w:rsidP="002849B1">
      <w:pPr>
        <w:pStyle w:val="ONUMFS"/>
        <w:rPr>
          <w:lang w:val="fr-FR"/>
        </w:rPr>
      </w:pPr>
      <w:r w:rsidRPr="00D02444">
        <w:rPr>
          <w:lang w:val="fr-FR"/>
        </w:rPr>
        <w:t>Des représentants des organisations nationales et internationales non gouvernementales ci</w:t>
      </w:r>
      <w:r w:rsidR="009E7BE5">
        <w:rPr>
          <w:lang w:val="fr-FR"/>
        </w:rPr>
        <w:t>-</w:t>
      </w:r>
      <w:r w:rsidRPr="00D02444">
        <w:rPr>
          <w:lang w:val="fr-FR"/>
        </w:rPr>
        <w:t>après ont pris part à la session en qualité d</w:t>
      </w:r>
      <w:r w:rsidR="009E7BE5">
        <w:rPr>
          <w:lang w:val="fr-FR"/>
        </w:rPr>
        <w:t>’</w:t>
      </w:r>
      <w:r w:rsidRPr="00D02444">
        <w:rPr>
          <w:lang w:val="fr-FR"/>
        </w:rPr>
        <w:t>observateurs</w:t>
      </w:r>
      <w:r w:rsidR="009E7BE5">
        <w:rPr>
          <w:lang w:val="fr-FR"/>
        </w:rPr>
        <w:t> :</w:t>
      </w:r>
      <w:r w:rsidRPr="00D02444">
        <w:rPr>
          <w:lang w:val="fr-FR"/>
        </w:rPr>
        <w:t xml:space="preserve"> Association congolaise pour le développement agricole (ACDA), Association internationale des juristes du droit de la vigne et du vin (AIDV), Centre d</w:t>
      </w:r>
      <w:r w:rsidR="009E7BE5">
        <w:rPr>
          <w:lang w:val="fr-FR"/>
        </w:rPr>
        <w:t>’</w:t>
      </w:r>
      <w:r w:rsidRPr="00D02444">
        <w:rPr>
          <w:lang w:val="fr-FR"/>
        </w:rPr>
        <w:t>études internationales de la propriété intellectuelle (CEIPI)</w:t>
      </w:r>
      <w:r w:rsidRPr="00D02444">
        <w:rPr>
          <w:color w:val="000000"/>
          <w:lang w:val="fr-FR"/>
        </w:rPr>
        <w:t>,</w:t>
      </w:r>
      <w:r w:rsidRPr="00D02444">
        <w:rPr>
          <w:lang w:val="fr-FR"/>
        </w:rPr>
        <w:t xml:space="preserve"> Health and Environment Program (HEP), MARQUES – Association des propriétaires européens de marques de commerce, Organisation pour un réseau international d</w:t>
      </w:r>
      <w:r w:rsidR="009E7BE5">
        <w:rPr>
          <w:lang w:val="fr-FR"/>
        </w:rPr>
        <w:t>’</w:t>
      </w:r>
      <w:r w:rsidRPr="00D02444">
        <w:rPr>
          <w:lang w:val="fr-FR"/>
        </w:rPr>
        <w:t>indications géographiques (oriGIn) (6).</w:t>
      </w:r>
    </w:p>
    <w:p w:rsidR="00DB32F7" w:rsidRDefault="00D02444" w:rsidP="002849B1">
      <w:pPr>
        <w:pStyle w:val="ONUMFS"/>
        <w:rPr>
          <w:lang w:val="fr-FR"/>
        </w:rPr>
      </w:pPr>
      <w:r w:rsidRPr="00D02444">
        <w:rPr>
          <w:lang w:val="fr-FR"/>
        </w:rPr>
        <w:lastRenderedPageBreak/>
        <w:t>La liste des participants figure dans le document</w:t>
      </w:r>
      <w:r w:rsidR="00C2438A">
        <w:rPr>
          <w:lang w:val="fr-FR"/>
        </w:rPr>
        <w:t> </w:t>
      </w:r>
      <w:r w:rsidRPr="00D02444">
        <w:rPr>
          <w:lang w:val="fr-FR"/>
        </w:rPr>
        <w:t>LI/WG/DEV</w:t>
      </w:r>
      <w:r w:rsidR="009E7BE5">
        <w:rPr>
          <w:lang w:val="fr-FR"/>
        </w:rPr>
        <w:t>-</w:t>
      </w:r>
      <w:r w:rsidRPr="00D02444">
        <w:rPr>
          <w:lang w:val="fr-FR"/>
        </w:rPr>
        <w:t>SYS/2/INF/1 Prov</w:t>
      </w:r>
      <w:r w:rsidRPr="00D02444">
        <w:rPr>
          <w:vertAlign w:val="superscript"/>
          <w:lang w:val="fr-CH"/>
        </w:rPr>
        <w:footnoteReference w:id="2"/>
      </w:r>
      <w:r w:rsidRPr="00D02444">
        <w:rPr>
          <w:lang w:val="fr-FR"/>
        </w:rPr>
        <w:t>.</w:t>
      </w:r>
    </w:p>
    <w:p w:rsidR="00DB32F7" w:rsidRDefault="00D02444" w:rsidP="002849B1">
      <w:pPr>
        <w:pStyle w:val="Heading2"/>
        <w:rPr>
          <w:lang w:val="fr-FR"/>
        </w:rPr>
      </w:pPr>
      <w:r w:rsidRPr="00D02444">
        <w:rPr>
          <w:lang w:val="fr-FR"/>
        </w:rPr>
        <w:t>Point 1 de l</w:t>
      </w:r>
      <w:r w:rsidR="009E7BE5">
        <w:rPr>
          <w:lang w:val="fr-FR"/>
        </w:rPr>
        <w:t>’</w:t>
      </w:r>
      <w:r w:rsidRPr="00D02444">
        <w:rPr>
          <w:lang w:val="fr-FR"/>
        </w:rPr>
        <w:t>ordre du jour</w:t>
      </w:r>
      <w:r w:rsidR="009E7BE5">
        <w:rPr>
          <w:lang w:val="fr-FR"/>
        </w:rPr>
        <w:t> :</w:t>
      </w:r>
      <w:r w:rsidRPr="00D02444">
        <w:rPr>
          <w:lang w:val="fr-FR"/>
        </w:rPr>
        <w:t xml:space="preserve"> ouverture de la session</w:t>
      </w:r>
    </w:p>
    <w:p w:rsidR="00DB32F7" w:rsidRDefault="00D02444" w:rsidP="00D02444">
      <w:pPr>
        <w:tabs>
          <w:tab w:val="num" w:pos="567"/>
        </w:tabs>
        <w:spacing w:after="220"/>
        <w:rPr>
          <w:lang w:val="fr-FR"/>
        </w:rPr>
      </w:pPr>
      <w:r w:rsidRPr="00D02444">
        <w:rPr>
          <w:lang w:val="fr-FR"/>
        </w:rPr>
        <w:t>M. Francis Gurry, Directeur général de l</w:t>
      </w:r>
      <w:r w:rsidR="009E7BE5">
        <w:rPr>
          <w:lang w:val="fr-FR"/>
        </w:rPr>
        <w:t>’</w:t>
      </w:r>
      <w:r w:rsidRPr="00D02444">
        <w:rPr>
          <w:lang w:val="fr-FR"/>
        </w:rPr>
        <w:t>Organisation Mondiale de la Propriété Intellectuelle (OMPI), a ouvert la session.</w:t>
      </w:r>
    </w:p>
    <w:p w:rsidR="00DB32F7" w:rsidRDefault="00D02444" w:rsidP="002849B1">
      <w:pPr>
        <w:pStyle w:val="Heading2"/>
        <w:rPr>
          <w:lang w:val="fr-FR"/>
        </w:rPr>
      </w:pPr>
      <w:r w:rsidRPr="00D02444">
        <w:rPr>
          <w:lang w:val="fr-FR"/>
        </w:rPr>
        <w:t>Point 2 de l</w:t>
      </w:r>
      <w:r w:rsidR="009E7BE5">
        <w:rPr>
          <w:lang w:val="fr-FR"/>
        </w:rPr>
        <w:t>’</w:t>
      </w:r>
      <w:r w:rsidRPr="00D02444">
        <w:rPr>
          <w:lang w:val="fr-FR"/>
        </w:rPr>
        <w:t>Ordre du jour</w:t>
      </w:r>
      <w:r w:rsidR="009E7BE5">
        <w:rPr>
          <w:lang w:val="fr-FR"/>
        </w:rPr>
        <w:t> :</w:t>
      </w:r>
      <w:r w:rsidRPr="00D02444">
        <w:rPr>
          <w:lang w:val="fr-FR"/>
        </w:rPr>
        <w:t xml:space="preserve"> élection d</w:t>
      </w:r>
      <w:r w:rsidR="009E7BE5">
        <w:rPr>
          <w:lang w:val="fr-FR"/>
        </w:rPr>
        <w:t>’</w:t>
      </w:r>
      <w:r w:rsidRPr="00D02444">
        <w:rPr>
          <w:lang w:val="fr-FR"/>
        </w:rPr>
        <w:t>un président et de deux vice</w:t>
      </w:r>
      <w:r w:rsidR="009E7BE5">
        <w:rPr>
          <w:lang w:val="fr-FR"/>
        </w:rPr>
        <w:t>-</w:t>
      </w:r>
      <w:r w:rsidRPr="00D02444">
        <w:rPr>
          <w:lang w:val="fr-FR"/>
        </w:rPr>
        <w:t>présidents</w:t>
      </w:r>
    </w:p>
    <w:p w:rsidR="00DB32F7" w:rsidRDefault="00D02444" w:rsidP="00D02444">
      <w:pPr>
        <w:tabs>
          <w:tab w:val="num" w:pos="567"/>
        </w:tabs>
        <w:spacing w:after="220"/>
        <w:rPr>
          <w:lang w:val="fr-FR"/>
        </w:rPr>
      </w:pPr>
      <w:r w:rsidRPr="00D02444">
        <w:rPr>
          <w:lang w:val="fr-FR"/>
        </w:rPr>
        <w:t>M. </w:t>
      </w:r>
      <w:r w:rsidRPr="00D02444">
        <w:rPr>
          <w:color w:val="000000"/>
          <w:lang w:val="fr-FR"/>
        </w:rPr>
        <w:t>Csaba</w:t>
      </w:r>
      <w:r w:rsidR="00C2438A">
        <w:rPr>
          <w:color w:val="000000"/>
          <w:lang w:val="fr-FR"/>
        </w:rPr>
        <w:t> </w:t>
      </w:r>
      <w:r w:rsidRPr="00D02444">
        <w:rPr>
          <w:color w:val="000000"/>
          <w:lang w:val="fr-FR"/>
        </w:rPr>
        <w:t xml:space="preserve">Baticz </w:t>
      </w:r>
      <w:r w:rsidRPr="00D02444">
        <w:rPr>
          <w:lang w:val="fr-FR"/>
        </w:rPr>
        <w:t>(Hongrie) a été élu à l</w:t>
      </w:r>
      <w:r w:rsidR="009E7BE5">
        <w:rPr>
          <w:lang w:val="fr-FR"/>
        </w:rPr>
        <w:t>’</w:t>
      </w:r>
      <w:r w:rsidRPr="00D02444">
        <w:rPr>
          <w:lang w:val="fr-FR"/>
        </w:rPr>
        <w:t>unanimité président du groupe de travail.</w:t>
      </w:r>
    </w:p>
    <w:p w:rsidR="00DB32F7" w:rsidRDefault="00D02444" w:rsidP="00D02444">
      <w:pPr>
        <w:tabs>
          <w:tab w:val="num" w:pos="567"/>
        </w:tabs>
        <w:spacing w:after="220"/>
        <w:rPr>
          <w:lang w:val="fr-FR"/>
        </w:rPr>
      </w:pPr>
      <w:r w:rsidRPr="00D02444">
        <w:rPr>
          <w:lang w:val="fr-FR"/>
        </w:rPr>
        <w:t>Mme Alexandra Grazioli (OMPI) a assuré le secrétariat du groupe de travail.</w:t>
      </w:r>
    </w:p>
    <w:p w:rsidR="00DB32F7" w:rsidRDefault="00D02444" w:rsidP="002849B1">
      <w:pPr>
        <w:pStyle w:val="Heading2"/>
        <w:rPr>
          <w:lang w:val="fr-FR"/>
        </w:rPr>
      </w:pPr>
      <w:r w:rsidRPr="00D02444">
        <w:rPr>
          <w:lang w:val="fr-FR"/>
        </w:rPr>
        <w:t>Point 3 de l</w:t>
      </w:r>
      <w:r w:rsidR="009E7BE5">
        <w:rPr>
          <w:lang w:val="fr-FR"/>
        </w:rPr>
        <w:t>’</w:t>
      </w:r>
      <w:r w:rsidRPr="00D02444">
        <w:rPr>
          <w:lang w:val="fr-FR"/>
        </w:rPr>
        <w:t>ordre du jour</w:t>
      </w:r>
      <w:r w:rsidR="009E7BE5">
        <w:rPr>
          <w:lang w:val="fr-FR"/>
        </w:rPr>
        <w:t> :</w:t>
      </w:r>
      <w:r w:rsidRPr="00D02444">
        <w:rPr>
          <w:lang w:val="fr-FR"/>
        </w:rPr>
        <w:t xml:space="preserve"> adoption de l</w:t>
      </w:r>
      <w:r w:rsidR="009E7BE5">
        <w:rPr>
          <w:lang w:val="fr-FR"/>
        </w:rPr>
        <w:t>’</w:t>
      </w:r>
      <w:r w:rsidRPr="00D02444">
        <w:rPr>
          <w:lang w:val="fr-FR"/>
        </w:rPr>
        <w:t>ordre du jour</w:t>
      </w:r>
    </w:p>
    <w:p w:rsidR="00DB32F7" w:rsidRDefault="00D02444" w:rsidP="00D02444">
      <w:pPr>
        <w:tabs>
          <w:tab w:val="num" w:pos="567"/>
        </w:tabs>
        <w:spacing w:after="220"/>
        <w:rPr>
          <w:lang w:val="fr-FR"/>
        </w:rPr>
      </w:pPr>
      <w:r w:rsidRPr="00D02444">
        <w:rPr>
          <w:lang w:val="fr-FR"/>
        </w:rPr>
        <w:t>Le groupe de travail a adopté le projet d</w:t>
      </w:r>
      <w:r w:rsidR="009E7BE5">
        <w:rPr>
          <w:lang w:val="fr-FR"/>
        </w:rPr>
        <w:t>’</w:t>
      </w:r>
      <w:r w:rsidRPr="00D02444">
        <w:rPr>
          <w:lang w:val="fr-FR"/>
        </w:rPr>
        <w:t>ordre du jour (document LI/WG/DEV</w:t>
      </w:r>
      <w:r w:rsidR="009E7BE5">
        <w:rPr>
          <w:lang w:val="fr-FR"/>
        </w:rPr>
        <w:t>-</w:t>
      </w:r>
      <w:r w:rsidRPr="00D02444">
        <w:rPr>
          <w:lang w:val="fr-FR"/>
        </w:rPr>
        <w:t>SYS/2/1 Prov.) sans modification.</w:t>
      </w:r>
    </w:p>
    <w:p w:rsidR="00DB32F7" w:rsidRDefault="00D02444" w:rsidP="002849B1">
      <w:pPr>
        <w:pStyle w:val="Heading2"/>
        <w:rPr>
          <w:lang w:val="fr-FR"/>
        </w:rPr>
      </w:pPr>
      <w:r w:rsidRPr="00D02444">
        <w:rPr>
          <w:lang w:val="fr-FR"/>
        </w:rPr>
        <w:t>Point 4 de l</w:t>
      </w:r>
      <w:r w:rsidR="009E7BE5">
        <w:rPr>
          <w:lang w:val="fr-FR"/>
        </w:rPr>
        <w:t>’</w:t>
      </w:r>
      <w:r w:rsidRPr="00D02444">
        <w:rPr>
          <w:lang w:val="fr-FR"/>
        </w:rPr>
        <w:t>ordre du jour</w:t>
      </w:r>
      <w:r w:rsidR="009E7BE5">
        <w:rPr>
          <w:lang w:val="fr-FR"/>
        </w:rPr>
        <w:t> :</w:t>
      </w:r>
      <w:r w:rsidRPr="00D02444">
        <w:rPr>
          <w:lang w:val="fr-FR"/>
        </w:rPr>
        <w:t xml:space="preserve"> viabilité financière de l</w:t>
      </w:r>
      <w:r w:rsidR="009E7BE5">
        <w:rPr>
          <w:lang w:val="fr-FR"/>
        </w:rPr>
        <w:t>’</w:t>
      </w:r>
      <w:r w:rsidRPr="00D02444">
        <w:rPr>
          <w:lang w:val="fr-FR"/>
        </w:rPr>
        <w:t>Union de Lisbonne</w:t>
      </w:r>
    </w:p>
    <w:p w:rsidR="00DB32F7" w:rsidRDefault="00D02444" w:rsidP="00D02444">
      <w:pPr>
        <w:tabs>
          <w:tab w:val="num" w:pos="567"/>
        </w:tabs>
        <w:spacing w:after="220"/>
        <w:rPr>
          <w:lang w:val="fr-FR"/>
        </w:rPr>
      </w:pPr>
      <w:r w:rsidRPr="00D02444">
        <w:rPr>
          <w:lang w:val="fr-FR"/>
        </w:rPr>
        <w:t>Les délibérations ont eu lieu sur la base du document</w:t>
      </w:r>
      <w:r w:rsidR="00C2438A">
        <w:rPr>
          <w:lang w:val="fr-FR"/>
        </w:rPr>
        <w:t> </w:t>
      </w:r>
      <w:r w:rsidRPr="00D02444">
        <w:rPr>
          <w:lang w:val="fr-FR"/>
        </w:rPr>
        <w:t>LI/WG/DEV</w:t>
      </w:r>
      <w:r w:rsidR="009E7BE5">
        <w:rPr>
          <w:lang w:val="fr-FR"/>
        </w:rPr>
        <w:t>-</w:t>
      </w:r>
      <w:r w:rsidRPr="00D02444">
        <w:rPr>
          <w:lang w:val="fr-FR"/>
        </w:rPr>
        <w:t>SYS/2/2.</w:t>
      </w:r>
    </w:p>
    <w:p w:rsidR="00DB32F7" w:rsidRDefault="00D02444" w:rsidP="00D02444">
      <w:pPr>
        <w:tabs>
          <w:tab w:val="num" w:pos="567"/>
        </w:tabs>
        <w:spacing w:after="220"/>
        <w:rPr>
          <w:lang w:val="fr-FR"/>
        </w:rPr>
      </w:pPr>
      <w:r w:rsidRPr="00D02444">
        <w:rPr>
          <w:lang w:val="fr-FR"/>
        </w:rPr>
        <w:t xml:space="preserve">Le président a pris note des </w:t>
      </w:r>
      <w:r w:rsidRPr="00D02444">
        <w:rPr>
          <w:color w:val="000000"/>
          <w:lang w:val="fr-FR"/>
        </w:rPr>
        <w:t xml:space="preserve">avis </w:t>
      </w:r>
      <w:r w:rsidRPr="00D02444">
        <w:rPr>
          <w:lang w:val="fr-FR"/>
        </w:rPr>
        <w:t xml:space="preserve">exprimés par </w:t>
      </w:r>
      <w:r w:rsidRPr="00D02444">
        <w:rPr>
          <w:color w:val="000000"/>
          <w:lang w:val="fr-FR"/>
        </w:rPr>
        <w:t>l</w:t>
      </w:r>
      <w:r w:rsidR="009E7BE5">
        <w:rPr>
          <w:color w:val="000000"/>
          <w:lang w:val="fr-FR"/>
        </w:rPr>
        <w:t>’</w:t>
      </w:r>
      <w:r w:rsidRPr="00D02444">
        <w:rPr>
          <w:color w:val="000000"/>
          <w:lang w:val="fr-FR"/>
        </w:rPr>
        <w:t>ensemble d</w:t>
      </w:r>
      <w:r w:rsidRPr="00D02444">
        <w:rPr>
          <w:lang w:val="fr-FR"/>
        </w:rPr>
        <w:t xml:space="preserve">es délégations, </w:t>
      </w:r>
      <w:r w:rsidR="009E7BE5">
        <w:rPr>
          <w:lang w:val="fr-FR"/>
        </w:rPr>
        <w:t>y compris</w:t>
      </w:r>
      <w:r w:rsidRPr="00D02444">
        <w:rPr>
          <w:lang w:val="fr-FR"/>
        </w:rPr>
        <w:t xml:space="preserve"> les délégations observatrices.  </w:t>
      </w:r>
      <w:r w:rsidRPr="00D02444">
        <w:rPr>
          <w:color w:val="000000"/>
          <w:lang w:val="fr-FR"/>
        </w:rPr>
        <w:t>Ces avis seront</w:t>
      </w:r>
      <w:r w:rsidRPr="00D02444">
        <w:rPr>
          <w:lang w:val="fr-FR"/>
        </w:rPr>
        <w:t xml:space="preserve"> pleinement reflétés dans le rapport de la présente session.</w:t>
      </w:r>
    </w:p>
    <w:p w:rsidR="00DB32F7" w:rsidRDefault="00D02444" w:rsidP="00D02444">
      <w:pPr>
        <w:tabs>
          <w:tab w:val="num" w:pos="567"/>
        </w:tabs>
        <w:spacing w:after="220"/>
        <w:rPr>
          <w:lang w:val="fr-FR"/>
        </w:rPr>
      </w:pPr>
      <w:r w:rsidRPr="00D02444">
        <w:rPr>
          <w:lang w:val="fr-FR"/>
        </w:rPr>
        <w:t>Le groupe de travail a également souligné l</w:t>
      </w:r>
      <w:r w:rsidR="009E7BE5">
        <w:rPr>
          <w:lang w:val="fr-FR"/>
        </w:rPr>
        <w:t>’</w:t>
      </w:r>
      <w:r w:rsidRPr="00D02444">
        <w:rPr>
          <w:lang w:val="fr-FR"/>
        </w:rPr>
        <w:t xml:space="preserve">importance des activités de promotion visant à accroître le nombre de membres du système de Lisbonne, </w:t>
      </w:r>
      <w:r w:rsidR="009E7BE5">
        <w:rPr>
          <w:lang w:val="fr-FR"/>
        </w:rPr>
        <w:t>y compris</w:t>
      </w:r>
      <w:r w:rsidRPr="00D02444">
        <w:rPr>
          <w:color w:val="000000"/>
          <w:lang w:val="fr-FR"/>
        </w:rPr>
        <w:t xml:space="preserve"> de</w:t>
      </w:r>
      <w:r w:rsidRPr="00D02444">
        <w:rPr>
          <w:lang w:val="fr-FR"/>
        </w:rPr>
        <w:t xml:space="preserve"> l</w:t>
      </w:r>
      <w:r w:rsidR="009E7BE5">
        <w:rPr>
          <w:lang w:val="fr-FR"/>
        </w:rPr>
        <w:t>’</w:t>
      </w:r>
      <w:r w:rsidRPr="00D02444">
        <w:rPr>
          <w:lang w:val="fr-FR"/>
        </w:rPr>
        <w:t>Acte de Genève, et la nécessité de renforcer la coordination entre les membres de l</w:t>
      </w:r>
      <w:r w:rsidR="009E7BE5">
        <w:rPr>
          <w:lang w:val="fr-FR"/>
        </w:rPr>
        <w:t>’</w:t>
      </w:r>
      <w:r w:rsidRPr="00D02444">
        <w:rPr>
          <w:lang w:val="fr-FR"/>
        </w:rPr>
        <w:t>Union de Lisbonne à cet égard.</w:t>
      </w:r>
    </w:p>
    <w:p w:rsidR="00DB32F7" w:rsidRDefault="00D02444" w:rsidP="00D02444">
      <w:pPr>
        <w:tabs>
          <w:tab w:val="num" w:pos="567"/>
        </w:tabs>
        <w:spacing w:after="220"/>
        <w:ind w:left="567"/>
        <w:rPr>
          <w:lang w:val="fr-FR"/>
        </w:rPr>
      </w:pPr>
      <w:r w:rsidRPr="00D02444">
        <w:rPr>
          <w:lang w:val="fr-FR"/>
        </w:rPr>
        <w:t xml:space="preserve">Sur la base des </w:t>
      </w:r>
      <w:r w:rsidRPr="00D02444">
        <w:rPr>
          <w:color w:val="000000"/>
          <w:lang w:val="fr-FR"/>
        </w:rPr>
        <w:t xml:space="preserve">délibérations </w:t>
      </w:r>
      <w:r w:rsidRPr="00D02444">
        <w:rPr>
          <w:lang w:val="fr-FR"/>
        </w:rPr>
        <w:t>qui ont eu lieu au titre du point 4 de l</w:t>
      </w:r>
      <w:r w:rsidR="009E7BE5">
        <w:rPr>
          <w:lang w:val="fr-FR"/>
        </w:rPr>
        <w:t>’</w:t>
      </w:r>
      <w:r w:rsidRPr="00D02444">
        <w:rPr>
          <w:lang w:val="fr-FR"/>
        </w:rPr>
        <w:t>ordre du jour, le groupe de travail est convenu</w:t>
      </w:r>
      <w:r w:rsidR="009E7BE5">
        <w:rPr>
          <w:lang w:val="fr-FR"/>
        </w:rPr>
        <w:t> :</w:t>
      </w:r>
    </w:p>
    <w:p w:rsidR="00DB32F7" w:rsidRDefault="00D02444" w:rsidP="00D02444">
      <w:pPr>
        <w:numPr>
          <w:ilvl w:val="2"/>
          <w:numId w:val="6"/>
        </w:numPr>
        <w:spacing w:after="220"/>
        <w:rPr>
          <w:color w:val="000000"/>
          <w:lang w:val="fr-FR" w:eastAsia="en-US"/>
        </w:rPr>
      </w:pPr>
      <w:r w:rsidRPr="00D02444">
        <w:rPr>
          <w:lang w:val="fr-FR" w:eastAsia="en-US"/>
        </w:rPr>
        <w:t>de prendre note des déclarations faites et des différents avis exprimés sous le point 4 de l</w:t>
      </w:r>
      <w:r w:rsidR="009E7BE5">
        <w:rPr>
          <w:lang w:val="fr-FR" w:eastAsia="en-US"/>
        </w:rPr>
        <w:t>’</w:t>
      </w:r>
      <w:r w:rsidRPr="00D02444">
        <w:rPr>
          <w:lang w:val="fr-FR" w:eastAsia="en-US"/>
        </w:rPr>
        <w:t>ordre du jour;  et</w:t>
      </w:r>
    </w:p>
    <w:p w:rsidR="00DB32F7" w:rsidRDefault="00D02444" w:rsidP="00D02444">
      <w:pPr>
        <w:numPr>
          <w:ilvl w:val="2"/>
          <w:numId w:val="6"/>
        </w:numPr>
        <w:spacing w:after="220"/>
        <w:rPr>
          <w:color w:val="000000"/>
          <w:lang w:val="fr-FR" w:eastAsia="en-US"/>
        </w:rPr>
      </w:pPr>
      <w:r w:rsidRPr="00D02444">
        <w:rPr>
          <w:lang w:val="fr-FR" w:eastAsia="en-US"/>
        </w:rPr>
        <w:t>de poursuivre la réflexion sur les mesures à prendre pour assurer la viabilité financière de l</w:t>
      </w:r>
      <w:r w:rsidR="009E7BE5">
        <w:rPr>
          <w:lang w:val="fr-FR" w:eastAsia="en-US"/>
        </w:rPr>
        <w:t>’</w:t>
      </w:r>
      <w:r w:rsidRPr="00D02444">
        <w:rPr>
          <w:lang w:val="fr-FR" w:eastAsia="en-US"/>
        </w:rPr>
        <w:t xml:space="preserve">Union de Lisbonne, </w:t>
      </w:r>
      <w:r w:rsidR="009E7BE5">
        <w:rPr>
          <w:lang w:val="fr-FR" w:eastAsia="en-US"/>
        </w:rPr>
        <w:t>y compris</w:t>
      </w:r>
      <w:r w:rsidRPr="00D02444">
        <w:rPr>
          <w:lang w:val="fr-FR" w:eastAsia="en-US"/>
        </w:rPr>
        <w:t xml:space="preserve"> l</w:t>
      </w:r>
      <w:r w:rsidRPr="00D02444">
        <w:rPr>
          <w:color w:val="000000"/>
          <w:lang w:val="fr-FR" w:eastAsia="en-US"/>
        </w:rPr>
        <w:t>e ré</w:t>
      </w:r>
      <w:r w:rsidRPr="00D02444">
        <w:rPr>
          <w:lang w:val="fr-FR" w:eastAsia="en-US"/>
        </w:rPr>
        <w:t xml:space="preserve">examen </w:t>
      </w:r>
      <w:r w:rsidRPr="00D02444">
        <w:rPr>
          <w:color w:val="000000"/>
          <w:lang w:val="fr-FR" w:eastAsia="en-US"/>
        </w:rPr>
        <w:t xml:space="preserve">régulier </w:t>
      </w:r>
      <w:r w:rsidRPr="00D02444">
        <w:rPr>
          <w:lang w:val="fr-FR" w:eastAsia="en-US"/>
        </w:rPr>
        <w:t>du barème des taxes, tout en reconnaissant la nécessité d</w:t>
      </w:r>
      <w:r w:rsidR="009E7BE5">
        <w:rPr>
          <w:lang w:val="fr-FR" w:eastAsia="en-US"/>
        </w:rPr>
        <w:t>’</w:t>
      </w:r>
      <w:r w:rsidRPr="00D02444">
        <w:rPr>
          <w:lang w:val="fr-FR" w:eastAsia="en-US"/>
        </w:rPr>
        <w:t>évaluer l</w:t>
      </w:r>
      <w:r w:rsidR="009E7BE5">
        <w:rPr>
          <w:lang w:val="fr-FR" w:eastAsia="en-US"/>
        </w:rPr>
        <w:t>’</w:t>
      </w:r>
      <w:r w:rsidRPr="00D02444">
        <w:rPr>
          <w:lang w:val="fr-FR" w:eastAsia="en-US"/>
        </w:rPr>
        <w:t>incidence de l</w:t>
      </w:r>
      <w:r w:rsidR="009E7BE5">
        <w:rPr>
          <w:lang w:val="fr-FR" w:eastAsia="en-US"/>
        </w:rPr>
        <w:t>’</w:t>
      </w:r>
      <w:r w:rsidRPr="00D02444">
        <w:rPr>
          <w:lang w:val="fr-FR" w:eastAsia="en-US"/>
        </w:rPr>
        <w:t>entrée en vigueur de l</w:t>
      </w:r>
      <w:r w:rsidR="009E7BE5">
        <w:rPr>
          <w:lang w:val="fr-FR" w:eastAsia="en-US"/>
        </w:rPr>
        <w:t>’</w:t>
      </w:r>
      <w:r w:rsidRPr="00D02444">
        <w:rPr>
          <w:lang w:val="fr-FR" w:eastAsia="en-US"/>
        </w:rPr>
        <w:t>Acte de Genève sur la situation financière de l</w:t>
      </w:r>
      <w:r w:rsidR="009E7BE5">
        <w:rPr>
          <w:lang w:val="fr-FR" w:eastAsia="en-US"/>
        </w:rPr>
        <w:t>’</w:t>
      </w:r>
      <w:r w:rsidRPr="00D02444">
        <w:rPr>
          <w:lang w:val="fr-FR" w:eastAsia="en-US"/>
        </w:rPr>
        <w:t>Union.</w:t>
      </w:r>
    </w:p>
    <w:p w:rsidR="00DB32F7" w:rsidRDefault="00D02444" w:rsidP="002849B1">
      <w:pPr>
        <w:pStyle w:val="Heading2"/>
        <w:rPr>
          <w:lang w:val="fr-FR"/>
        </w:rPr>
      </w:pPr>
      <w:r w:rsidRPr="00D02444">
        <w:rPr>
          <w:lang w:val="fr-FR"/>
        </w:rPr>
        <w:t>Point 5 de l</w:t>
      </w:r>
      <w:r w:rsidR="009E7BE5">
        <w:rPr>
          <w:lang w:val="fr-FR"/>
        </w:rPr>
        <w:t>’</w:t>
      </w:r>
      <w:r w:rsidRPr="00D02444">
        <w:rPr>
          <w:lang w:val="fr-FR"/>
        </w:rPr>
        <w:t>ordre du jour</w:t>
      </w:r>
      <w:r w:rsidR="009E7BE5">
        <w:rPr>
          <w:lang w:val="fr-FR"/>
        </w:rPr>
        <w:t> :</w:t>
      </w:r>
      <w:r w:rsidRPr="00D02444">
        <w:rPr>
          <w:lang w:val="fr-FR"/>
        </w:rPr>
        <w:t xml:space="preserve"> adoption du résumé établi par le président</w:t>
      </w:r>
    </w:p>
    <w:p w:rsidR="00DB32F7" w:rsidRDefault="00D02444" w:rsidP="00D02444">
      <w:pPr>
        <w:tabs>
          <w:tab w:val="num" w:pos="567"/>
        </w:tabs>
        <w:spacing w:after="220"/>
        <w:ind w:left="567"/>
        <w:rPr>
          <w:lang w:val="fr-FR"/>
        </w:rPr>
      </w:pPr>
      <w:r w:rsidRPr="00D02444">
        <w:rPr>
          <w:lang w:val="fr-FR"/>
        </w:rPr>
        <w:t>Le groupe de travail a approuvé le résumé présenté par le président figurant dans le présent document.</w:t>
      </w:r>
    </w:p>
    <w:p w:rsidR="00DB32F7" w:rsidRDefault="00D02444" w:rsidP="002849B1">
      <w:pPr>
        <w:pStyle w:val="Heading2"/>
        <w:rPr>
          <w:lang w:val="fr-FR"/>
        </w:rPr>
      </w:pPr>
      <w:r w:rsidRPr="00D02444">
        <w:rPr>
          <w:lang w:val="fr-FR"/>
        </w:rPr>
        <w:t>Point 6 de l</w:t>
      </w:r>
      <w:r w:rsidR="009E7BE5">
        <w:rPr>
          <w:lang w:val="fr-FR"/>
        </w:rPr>
        <w:t>’</w:t>
      </w:r>
      <w:r w:rsidRPr="00D02444">
        <w:rPr>
          <w:lang w:val="fr-FR"/>
        </w:rPr>
        <w:t>ordre du jour</w:t>
      </w:r>
      <w:r w:rsidR="009E7BE5">
        <w:rPr>
          <w:lang w:val="fr-FR"/>
        </w:rPr>
        <w:t> :</w:t>
      </w:r>
      <w:r w:rsidRPr="00D02444">
        <w:rPr>
          <w:lang w:val="fr-FR"/>
        </w:rPr>
        <w:t xml:space="preserve"> clôture de la session</w:t>
      </w:r>
    </w:p>
    <w:p w:rsidR="00DB32F7" w:rsidRDefault="00D02444" w:rsidP="00D02444">
      <w:pPr>
        <w:tabs>
          <w:tab w:val="num" w:pos="567"/>
        </w:tabs>
        <w:spacing w:after="220"/>
        <w:rPr>
          <w:lang w:val="fr-FR"/>
        </w:rPr>
      </w:pPr>
      <w:r w:rsidRPr="00D02444">
        <w:rPr>
          <w:lang w:val="fr-FR"/>
        </w:rPr>
        <w:t>Le président a prononcé la clôture de la session le 28 mai 2019.</w:t>
      </w:r>
    </w:p>
    <w:p w:rsidR="00D02444" w:rsidRPr="00D02444" w:rsidRDefault="00D02444" w:rsidP="00D066DD">
      <w:pPr>
        <w:pStyle w:val="Endofdocument-Annex"/>
      </w:pPr>
      <w:r w:rsidRPr="00D02444">
        <w:t>[Fin du document]</w:t>
      </w:r>
    </w:p>
    <w:sectPr w:rsidR="00D02444" w:rsidRPr="00D02444" w:rsidSect="00C45E75">
      <w:headerReference w:type="even" r:id="rId15"/>
      <w:headerReference w:type="default" r:id="rId16"/>
      <w:footnotePr>
        <w:numFmt w:val="chicago"/>
      </w:footnotePr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A4" w:rsidRDefault="00251EA4">
      <w:r>
        <w:separator/>
      </w:r>
    </w:p>
  </w:endnote>
  <w:endnote w:type="continuationSeparator" w:id="0">
    <w:p w:rsidR="00251EA4" w:rsidRDefault="00251EA4" w:rsidP="003B38C1">
      <w:r>
        <w:separator/>
      </w:r>
    </w:p>
    <w:p w:rsidR="00251EA4" w:rsidRPr="003B38C1" w:rsidRDefault="00251EA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51EA4" w:rsidRPr="003B38C1" w:rsidRDefault="00251EA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8A" w:rsidRDefault="00C24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8A" w:rsidRDefault="00C243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8A" w:rsidRDefault="00C24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A4" w:rsidRDefault="00251EA4">
      <w:r>
        <w:separator/>
      </w:r>
    </w:p>
  </w:footnote>
  <w:footnote w:type="continuationSeparator" w:id="0">
    <w:p w:rsidR="00251EA4" w:rsidRDefault="00251EA4" w:rsidP="008B60B2">
      <w:r>
        <w:separator/>
      </w:r>
    </w:p>
    <w:p w:rsidR="00251EA4" w:rsidRPr="00ED77FB" w:rsidRDefault="00251EA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51EA4" w:rsidRPr="00ED77FB" w:rsidRDefault="00251EA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02444" w:rsidRPr="0077256C" w:rsidRDefault="00D02444" w:rsidP="00D0244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77256C">
        <w:rPr>
          <w:lang w:val="fr-FR"/>
        </w:rPr>
        <w:t xml:space="preserve"> </w:t>
      </w:r>
      <w:r w:rsidRPr="0077256C">
        <w:rPr>
          <w:lang w:val="fr-FR"/>
        </w:rPr>
        <w:tab/>
        <w:t>La liste définitive des participants figurera dans une annexe du rapport de la session.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8A" w:rsidRDefault="00C24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FD" w:rsidRDefault="001E67FD" w:rsidP="00477D6B">
    <w:pPr>
      <w:jc w:val="right"/>
    </w:pPr>
    <w:r>
      <w:t>LI/A/36/1</w:t>
    </w:r>
  </w:p>
  <w:p w:rsidR="001E67FD" w:rsidRDefault="001E67FD" w:rsidP="00477D6B">
    <w:pPr>
      <w:jc w:val="right"/>
    </w:pPr>
    <w:r>
      <w:t>page</w:t>
    </w:r>
    <w:r w:rsidR="00C2438A">
      <w:t> </w:t>
    </w:r>
    <w:r>
      <w:t>2</w:t>
    </w:r>
  </w:p>
  <w:p w:rsidR="001E67FD" w:rsidRDefault="001E67FD" w:rsidP="00477D6B">
    <w:pPr>
      <w:jc w:val="right"/>
    </w:pPr>
  </w:p>
  <w:p w:rsidR="001E67FD" w:rsidRDefault="001E67FD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8A" w:rsidRDefault="00C243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C56" w:rsidRDefault="009C5674">
    <w:pPr>
      <w:pStyle w:val="Header"/>
    </w:pPr>
  </w:p>
  <w:p w:rsidR="00834CD4" w:rsidRDefault="009C567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75" w:rsidRPr="00D02444" w:rsidRDefault="009E7BE5" w:rsidP="00C45E75">
    <w:pPr>
      <w:pStyle w:val="Header"/>
      <w:jc w:val="right"/>
      <w:rPr>
        <w:lang w:val="fr-CH"/>
      </w:rPr>
    </w:pPr>
    <w:r w:rsidRPr="00D02444">
      <w:rPr>
        <w:lang w:val="fr-CH"/>
      </w:rPr>
      <w:t>LI/WG/DEV-SYS/2/3</w:t>
    </w:r>
  </w:p>
  <w:p w:rsidR="00C45E75" w:rsidRPr="00D02444" w:rsidRDefault="009E7BE5" w:rsidP="00C45E75">
    <w:pPr>
      <w:pStyle w:val="Header"/>
      <w:jc w:val="right"/>
      <w:rPr>
        <w:lang w:val="fr-CH"/>
      </w:rPr>
    </w:pPr>
    <w:r w:rsidRPr="00D02444">
      <w:rPr>
        <w:lang w:val="fr-CH"/>
      </w:rPr>
      <w:t>page </w:t>
    </w:r>
    <w:r>
      <w:fldChar w:fldCharType="begin"/>
    </w:r>
    <w:r w:rsidRPr="00D02444">
      <w:rPr>
        <w:lang w:val="fr-CH"/>
      </w:rPr>
      <w:instrText>PAGE   \* MERGEFORMAT</w:instrText>
    </w:r>
    <w:r>
      <w:fldChar w:fldCharType="separate"/>
    </w:r>
    <w:r w:rsidR="009C5674">
      <w:rPr>
        <w:noProof/>
        <w:lang w:val="fr-CH"/>
      </w:rPr>
      <w:t>2</w:t>
    </w:r>
    <w:r>
      <w:fldChar w:fldCharType="end"/>
    </w:r>
  </w:p>
  <w:p w:rsidR="00C45E75" w:rsidRPr="00D02444" w:rsidRDefault="009C5674" w:rsidP="00C45E75">
    <w:pPr>
      <w:pStyle w:val="Header"/>
      <w:jc w:val="right"/>
      <w:rPr>
        <w:lang w:val="fr-CH"/>
      </w:rPr>
    </w:pPr>
  </w:p>
  <w:p w:rsidR="00C45E75" w:rsidRPr="00D02444" w:rsidRDefault="009C5674" w:rsidP="00C45E7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C94C6F"/>
    <w:multiLevelType w:val="hybridMultilevel"/>
    <w:tmpl w:val="FF002892"/>
    <w:lvl w:ilvl="0" w:tplc="AF723B4A">
      <w:start w:val="1"/>
      <w:numFmt w:val="lowerRoman"/>
      <w:lvlText w:val="(%1)"/>
      <w:lvlJc w:val="left"/>
      <w:pPr>
        <w:ind w:left="1489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49" w:hanging="360"/>
      </w:pPr>
    </w:lvl>
    <w:lvl w:ilvl="2" w:tplc="100C001B" w:tentative="1">
      <w:start w:val="1"/>
      <w:numFmt w:val="lowerRoman"/>
      <w:lvlText w:val="%3."/>
      <w:lvlJc w:val="right"/>
      <w:pPr>
        <w:ind w:left="2569" w:hanging="180"/>
      </w:pPr>
    </w:lvl>
    <w:lvl w:ilvl="3" w:tplc="100C000F" w:tentative="1">
      <w:start w:val="1"/>
      <w:numFmt w:val="decimal"/>
      <w:lvlText w:val="%4."/>
      <w:lvlJc w:val="left"/>
      <w:pPr>
        <w:ind w:left="3289" w:hanging="360"/>
      </w:pPr>
    </w:lvl>
    <w:lvl w:ilvl="4" w:tplc="100C0019" w:tentative="1">
      <w:start w:val="1"/>
      <w:numFmt w:val="lowerLetter"/>
      <w:lvlText w:val="%5."/>
      <w:lvlJc w:val="left"/>
      <w:pPr>
        <w:ind w:left="4009" w:hanging="360"/>
      </w:pPr>
    </w:lvl>
    <w:lvl w:ilvl="5" w:tplc="100C001B" w:tentative="1">
      <w:start w:val="1"/>
      <w:numFmt w:val="lowerRoman"/>
      <w:lvlText w:val="%6."/>
      <w:lvlJc w:val="right"/>
      <w:pPr>
        <w:ind w:left="4729" w:hanging="180"/>
      </w:pPr>
    </w:lvl>
    <w:lvl w:ilvl="6" w:tplc="100C000F" w:tentative="1">
      <w:start w:val="1"/>
      <w:numFmt w:val="decimal"/>
      <w:lvlText w:val="%7."/>
      <w:lvlJc w:val="left"/>
      <w:pPr>
        <w:ind w:left="5449" w:hanging="360"/>
      </w:pPr>
    </w:lvl>
    <w:lvl w:ilvl="7" w:tplc="100C0019" w:tentative="1">
      <w:start w:val="1"/>
      <w:numFmt w:val="lowerLetter"/>
      <w:lvlText w:val="%8."/>
      <w:lvlJc w:val="left"/>
      <w:pPr>
        <w:ind w:left="6169" w:hanging="360"/>
      </w:pPr>
    </w:lvl>
    <w:lvl w:ilvl="8" w:tplc="100C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UPOV"/>
    <w:docVar w:name="TextBaseURL" w:val="empty"/>
    <w:docVar w:name="UILng" w:val="en"/>
  </w:docVars>
  <w:rsids>
    <w:rsidRoot w:val="000F0B28"/>
    <w:rsid w:val="00043CAA"/>
    <w:rsid w:val="00075432"/>
    <w:rsid w:val="000765C4"/>
    <w:rsid w:val="000968ED"/>
    <w:rsid w:val="000C117A"/>
    <w:rsid w:val="000E6FDE"/>
    <w:rsid w:val="000F0B28"/>
    <w:rsid w:val="000F5E56"/>
    <w:rsid w:val="0010331B"/>
    <w:rsid w:val="001362EE"/>
    <w:rsid w:val="00156693"/>
    <w:rsid w:val="001647D5"/>
    <w:rsid w:val="00182325"/>
    <w:rsid w:val="001832A6"/>
    <w:rsid w:val="001876D7"/>
    <w:rsid w:val="001E4E00"/>
    <w:rsid w:val="001E67FD"/>
    <w:rsid w:val="0021217E"/>
    <w:rsid w:val="00215C1D"/>
    <w:rsid w:val="00251EA4"/>
    <w:rsid w:val="002634C4"/>
    <w:rsid w:val="002849B1"/>
    <w:rsid w:val="002928D3"/>
    <w:rsid w:val="002F1FE6"/>
    <w:rsid w:val="002F4E68"/>
    <w:rsid w:val="00312F7F"/>
    <w:rsid w:val="003178BA"/>
    <w:rsid w:val="0032339C"/>
    <w:rsid w:val="00350AE2"/>
    <w:rsid w:val="00361450"/>
    <w:rsid w:val="003673CF"/>
    <w:rsid w:val="003845C1"/>
    <w:rsid w:val="0039769C"/>
    <w:rsid w:val="003A6F89"/>
    <w:rsid w:val="003B38C1"/>
    <w:rsid w:val="003D2030"/>
    <w:rsid w:val="003D57B0"/>
    <w:rsid w:val="003E6344"/>
    <w:rsid w:val="00423E3E"/>
    <w:rsid w:val="00427AF4"/>
    <w:rsid w:val="004329F2"/>
    <w:rsid w:val="004647DA"/>
    <w:rsid w:val="00474062"/>
    <w:rsid w:val="00477D6B"/>
    <w:rsid w:val="005019FF"/>
    <w:rsid w:val="0053057A"/>
    <w:rsid w:val="00560A29"/>
    <w:rsid w:val="005B4509"/>
    <w:rsid w:val="005C6649"/>
    <w:rsid w:val="00605827"/>
    <w:rsid w:val="00646050"/>
    <w:rsid w:val="006713CA"/>
    <w:rsid w:val="00676C5C"/>
    <w:rsid w:val="006A5CAE"/>
    <w:rsid w:val="006E4F5F"/>
    <w:rsid w:val="00716F3A"/>
    <w:rsid w:val="00781DB8"/>
    <w:rsid w:val="007D1613"/>
    <w:rsid w:val="007E4C0E"/>
    <w:rsid w:val="00860537"/>
    <w:rsid w:val="00877718"/>
    <w:rsid w:val="008A134B"/>
    <w:rsid w:val="008B2CC1"/>
    <w:rsid w:val="008B60B2"/>
    <w:rsid w:val="008C6AE1"/>
    <w:rsid w:val="0090731E"/>
    <w:rsid w:val="00916EE2"/>
    <w:rsid w:val="00966A22"/>
    <w:rsid w:val="0096722F"/>
    <w:rsid w:val="00980843"/>
    <w:rsid w:val="009B6777"/>
    <w:rsid w:val="009C127D"/>
    <w:rsid w:val="009C5674"/>
    <w:rsid w:val="009E2791"/>
    <w:rsid w:val="009E3F6F"/>
    <w:rsid w:val="009E7BE5"/>
    <w:rsid w:val="009F48A7"/>
    <w:rsid w:val="009F499F"/>
    <w:rsid w:val="009F7DB0"/>
    <w:rsid w:val="00A31603"/>
    <w:rsid w:val="00A37342"/>
    <w:rsid w:val="00A42DAF"/>
    <w:rsid w:val="00A45BD8"/>
    <w:rsid w:val="00A60917"/>
    <w:rsid w:val="00A869B7"/>
    <w:rsid w:val="00AA2DD4"/>
    <w:rsid w:val="00AC205C"/>
    <w:rsid w:val="00AD48C2"/>
    <w:rsid w:val="00AF0A6B"/>
    <w:rsid w:val="00B05A69"/>
    <w:rsid w:val="00B16337"/>
    <w:rsid w:val="00B169C4"/>
    <w:rsid w:val="00B9734B"/>
    <w:rsid w:val="00BA30E2"/>
    <w:rsid w:val="00BF44FB"/>
    <w:rsid w:val="00C11BFE"/>
    <w:rsid w:val="00C2438A"/>
    <w:rsid w:val="00C42E42"/>
    <w:rsid w:val="00C5068F"/>
    <w:rsid w:val="00C86D74"/>
    <w:rsid w:val="00CD04F1"/>
    <w:rsid w:val="00CD7F59"/>
    <w:rsid w:val="00CF2E45"/>
    <w:rsid w:val="00D02444"/>
    <w:rsid w:val="00D066DD"/>
    <w:rsid w:val="00D44A0B"/>
    <w:rsid w:val="00D45252"/>
    <w:rsid w:val="00D66E37"/>
    <w:rsid w:val="00D71B4D"/>
    <w:rsid w:val="00D72B16"/>
    <w:rsid w:val="00D93D55"/>
    <w:rsid w:val="00DB32F7"/>
    <w:rsid w:val="00DC0E7C"/>
    <w:rsid w:val="00DC61A6"/>
    <w:rsid w:val="00DF023A"/>
    <w:rsid w:val="00DF383E"/>
    <w:rsid w:val="00E15015"/>
    <w:rsid w:val="00E335FE"/>
    <w:rsid w:val="00E5566B"/>
    <w:rsid w:val="00E85557"/>
    <w:rsid w:val="00E85C56"/>
    <w:rsid w:val="00EA7D6E"/>
    <w:rsid w:val="00EB2210"/>
    <w:rsid w:val="00EC4E49"/>
    <w:rsid w:val="00ED56C5"/>
    <w:rsid w:val="00ED77FB"/>
    <w:rsid w:val="00EE45FA"/>
    <w:rsid w:val="00F66152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DADBCF3D-F75C-46ED-8DD4-58482028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locked/>
    <w:rsid w:val="000F0B28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182325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82325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uiPriority w:val="99"/>
    <w:rsid w:val="001823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B32F7"/>
    <w:rPr>
      <w:rFonts w:ascii="Arial" w:eastAsia="SimSun" w:hAnsi="Arial" w:cs="Arial"/>
      <w:b/>
      <w:bCs/>
      <w:kern w:val="32"/>
      <w:sz w:val="28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LI%20A%203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A8CFD-9DAE-4110-918E-01F7B6F0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 A 36 (E)</Template>
  <TotalTime>0</TotalTime>
  <Pages>4</Pages>
  <Words>899</Words>
  <Characters>4793</Characters>
  <Application>Microsoft Office Word</Application>
  <DocSecurity>4</DocSecurity>
  <Lines>129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LI/A/36/</vt:lpstr>
      <vt:lpstr>LI/A/36/</vt:lpstr>
    </vt:vector>
  </TitlesOfParts>
  <Company>WIPO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LI/A/36/</dc:title>
  <dc:subject>Fifty-Eighth Series of Meetings</dc:subject>
  <dc:creator>VINCENT Anouck</dc:creator>
  <cp:keywords>FOR OFFICIAL USE ONLY</cp:keywords>
  <dc:description/>
  <cp:lastModifiedBy>HÄFLIGER Patience</cp:lastModifiedBy>
  <cp:revision>2</cp:revision>
  <cp:lastPrinted>2019-07-08T09:11:00Z</cp:lastPrinted>
  <dcterms:created xsi:type="dcterms:W3CDTF">2019-07-18T07:42:00Z</dcterms:created>
  <dcterms:modified xsi:type="dcterms:W3CDTF">2019-07-18T07:42:00Z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