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0792B" w:rsidRPr="0050792B" w14:paraId="415DE171" w14:textId="77777777" w:rsidTr="00BE432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E0BADD3" w14:textId="77777777" w:rsidR="00D023C7" w:rsidRPr="0050792B" w:rsidRDefault="00D023C7" w:rsidP="009A1630">
            <w:pPr>
              <w:spacing w:line="480" w:lineRule="auto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184B92" w14:textId="77777777" w:rsidR="00D023C7" w:rsidRPr="0050792B" w:rsidRDefault="00D023C7" w:rsidP="009A1630">
            <w:pPr>
              <w:spacing w:line="480" w:lineRule="auto"/>
            </w:pPr>
            <w:r w:rsidRPr="0050792B">
              <w:rPr>
                <w:noProof/>
                <w:lang w:eastAsia="en-US"/>
              </w:rPr>
              <w:drawing>
                <wp:inline distT="0" distB="0" distL="0" distR="0" wp14:anchorId="1AD7674F" wp14:editId="54A2F87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180AA9" w14:textId="77777777" w:rsidR="00D023C7" w:rsidRPr="0050792B" w:rsidRDefault="00D023C7" w:rsidP="009A1630">
            <w:pPr>
              <w:spacing w:line="480" w:lineRule="auto"/>
              <w:jc w:val="right"/>
            </w:pPr>
            <w:r w:rsidRPr="0050792B">
              <w:rPr>
                <w:b/>
                <w:sz w:val="40"/>
                <w:szCs w:val="40"/>
              </w:rPr>
              <w:t>F</w:t>
            </w:r>
          </w:p>
        </w:tc>
      </w:tr>
      <w:tr w:rsidR="0050792B" w:rsidRPr="0050792B" w14:paraId="6116126A" w14:textId="77777777" w:rsidTr="00BE432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99E830B" w14:textId="77777777" w:rsidR="00D023C7" w:rsidRPr="0050792B" w:rsidRDefault="00D023C7" w:rsidP="009A1630">
            <w:pPr>
              <w:spacing w:line="480" w:lineRule="auto"/>
              <w:jc w:val="right"/>
              <w:rPr>
                <w:rFonts w:ascii="Arial Black" w:hAnsi="Arial Black"/>
                <w:caps/>
                <w:sz w:val="15"/>
              </w:rPr>
            </w:pPr>
            <w:r w:rsidRPr="0050792B">
              <w:rPr>
                <w:rFonts w:ascii="Arial Black" w:hAnsi="Arial Black"/>
                <w:caps/>
                <w:sz w:val="15"/>
              </w:rPr>
              <w:t>LI/A/34/</w:t>
            </w:r>
            <w:bookmarkStart w:id="1" w:name="Code"/>
            <w:bookmarkEnd w:id="1"/>
            <w:r w:rsidRPr="0050792B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50792B" w:rsidRPr="0050792B" w14:paraId="2C78115A" w14:textId="77777777" w:rsidTr="00BE432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6CD490C" w14:textId="77777777" w:rsidR="00D023C7" w:rsidRPr="0050792B" w:rsidRDefault="00D023C7" w:rsidP="009A1630">
            <w:pPr>
              <w:spacing w:line="480" w:lineRule="auto"/>
              <w:jc w:val="right"/>
              <w:rPr>
                <w:rFonts w:ascii="Arial Black" w:hAnsi="Arial Black"/>
                <w:caps/>
                <w:sz w:val="15"/>
              </w:rPr>
            </w:pPr>
            <w:r w:rsidRPr="0050792B">
              <w:rPr>
                <w:rFonts w:ascii="Arial Black" w:hAnsi="Arial Black"/>
                <w:caps/>
                <w:sz w:val="15"/>
              </w:rPr>
              <w:t>ORIGINAL</w:t>
            </w:r>
            <w:r w:rsidR="00805394" w:rsidRPr="0050792B">
              <w:rPr>
                <w:rFonts w:ascii="Arial Black" w:hAnsi="Arial Black"/>
                <w:caps/>
                <w:sz w:val="15"/>
              </w:rPr>
              <w:t> :</w:t>
            </w:r>
            <w:r w:rsidRPr="0050792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Pr="0050792B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50792B" w:rsidRPr="0050792B" w14:paraId="153B6AA4" w14:textId="77777777" w:rsidTr="00BE432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53E61D2" w14:textId="77777777" w:rsidR="00D023C7" w:rsidRPr="0050792B" w:rsidRDefault="00D023C7" w:rsidP="009A1630">
            <w:pPr>
              <w:spacing w:line="480" w:lineRule="auto"/>
              <w:jc w:val="right"/>
              <w:rPr>
                <w:rFonts w:ascii="Arial Black" w:hAnsi="Arial Black"/>
                <w:caps/>
                <w:sz w:val="15"/>
              </w:rPr>
            </w:pPr>
            <w:r w:rsidRPr="0050792B">
              <w:rPr>
                <w:rFonts w:ascii="Arial Black" w:hAnsi="Arial Black"/>
                <w:caps/>
                <w:sz w:val="15"/>
              </w:rPr>
              <w:t>DATE</w:t>
            </w:r>
            <w:r w:rsidR="00805394" w:rsidRPr="0050792B">
              <w:rPr>
                <w:rFonts w:ascii="Arial Black" w:hAnsi="Arial Black"/>
                <w:caps/>
                <w:sz w:val="15"/>
              </w:rPr>
              <w:t> :</w:t>
            </w:r>
            <w:r w:rsidRPr="0050792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50792B">
              <w:rPr>
                <w:rFonts w:ascii="Arial Black" w:hAnsi="Arial Black"/>
                <w:caps/>
                <w:sz w:val="15"/>
              </w:rPr>
              <w:t>3 juillet 2017</w:t>
            </w:r>
          </w:p>
        </w:tc>
      </w:tr>
    </w:tbl>
    <w:p w14:paraId="2376D5A5" w14:textId="77777777" w:rsidR="00D023C7" w:rsidRPr="0050792B" w:rsidRDefault="00D023C7" w:rsidP="0050792B"/>
    <w:p w14:paraId="20EEDA09" w14:textId="77777777" w:rsidR="00D023C7" w:rsidRPr="0050792B" w:rsidRDefault="00D023C7" w:rsidP="0050792B"/>
    <w:p w14:paraId="062F3C80" w14:textId="77777777" w:rsidR="00D023C7" w:rsidRPr="0050792B" w:rsidRDefault="00D023C7" w:rsidP="0050792B"/>
    <w:p w14:paraId="5D30BAF0" w14:textId="77777777" w:rsidR="00D023C7" w:rsidRPr="0050792B" w:rsidRDefault="00D023C7" w:rsidP="0050792B"/>
    <w:p w14:paraId="31806B1F" w14:textId="77777777" w:rsidR="00D023C7" w:rsidRPr="0050792B" w:rsidRDefault="00D023C7" w:rsidP="0050792B"/>
    <w:p w14:paraId="269A4740" w14:textId="77777777" w:rsidR="00D023C7" w:rsidRPr="0050792B" w:rsidRDefault="00D023C7" w:rsidP="0050792B">
      <w:pPr>
        <w:rPr>
          <w:b/>
          <w:sz w:val="28"/>
          <w:szCs w:val="28"/>
          <w:lang w:val="fr-CH"/>
        </w:rPr>
      </w:pPr>
      <w:r w:rsidRPr="0050792B">
        <w:rPr>
          <w:b/>
          <w:sz w:val="28"/>
          <w:szCs w:val="28"/>
          <w:lang w:val="fr-CH"/>
        </w:rPr>
        <w:t>Union particulière pour la protection des appellations d</w:t>
      </w:r>
      <w:r w:rsidR="00805394" w:rsidRPr="0050792B">
        <w:rPr>
          <w:b/>
          <w:sz w:val="28"/>
          <w:szCs w:val="28"/>
          <w:lang w:val="fr-CH"/>
        </w:rPr>
        <w:t>’</w:t>
      </w:r>
      <w:r w:rsidRPr="0050792B">
        <w:rPr>
          <w:b/>
          <w:sz w:val="28"/>
          <w:szCs w:val="28"/>
          <w:lang w:val="fr-CH"/>
        </w:rPr>
        <w:t>origine et leur enregistrement international (Union de Lisbonne)</w:t>
      </w:r>
    </w:p>
    <w:p w14:paraId="07AC2491" w14:textId="77777777" w:rsidR="00D023C7" w:rsidRPr="0050792B" w:rsidRDefault="00D023C7" w:rsidP="0050792B">
      <w:pPr>
        <w:rPr>
          <w:lang w:val="fr-CH"/>
        </w:rPr>
      </w:pPr>
    </w:p>
    <w:p w14:paraId="720378A2" w14:textId="77777777" w:rsidR="00D023C7" w:rsidRPr="0050792B" w:rsidRDefault="00D023C7" w:rsidP="0050792B">
      <w:pPr>
        <w:rPr>
          <w:lang w:val="fr-CH"/>
        </w:rPr>
      </w:pPr>
    </w:p>
    <w:p w14:paraId="0A37D445" w14:textId="77777777" w:rsidR="00D023C7" w:rsidRPr="0050792B" w:rsidRDefault="00D023C7" w:rsidP="0050792B">
      <w:pPr>
        <w:rPr>
          <w:b/>
          <w:sz w:val="28"/>
          <w:szCs w:val="28"/>
          <w:lang w:val="fr-CH"/>
        </w:rPr>
      </w:pPr>
      <w:r w:rsidRPr="0050792B">
        <w:rPr>
          <w:b/>
          <w:sz w:val="28"/>
          <w:szCs w:val="28"/>
          <w:lang w:val="fr-CH"/>
        </w:rPr>
        <w:t>Assemblée</w:t>
      </w:r>
    </w:p>
    <w:p w14:paraId="1AD70075" w14:textId="77777777" w:rsidR="00D023C7" w:rsidRPr="0050792B" w:rsidRDefault="00D023C7" w:rsidP="0050792B">
      <w:pPr>
        <w:rPr>
          <w:lang w:val="fr-CH"/>
        </w:rPr>
      </w:pPr>
    </w:p>
    <w:p w14:paraId="4539547B" w14:textId="77777777" w:rsidR="00D023C7" w:rsidRPr="0050792B" w:rsidRDefault="00D023C7" w:rsidP="0050792B">
      <w:pPr>
        <w:rPr>
          <w:lang w:val="fr-CH"/>
        </w:rPr>
      </w:pPr>
    </w:p>
    <w:p w14:paraId="436AD391" w14:textId="77777777" w:rsidR="00D023C7" w:rsidRPr="0050792B" w:rsidRDefault="00D023C7" w:rsidP="0050792B">
      <w:pPr>
        <w:rPr>
          <w:b/>
          <w:sz w:val="24"/>
          <w:szCs w:val="24"/>
          <w:lang w:val="fr-CH"/>
        </w:rPr>
      </w:pPr>
      <w:r w:rsidRPr="0050792B">
        <w:rPr>
          <w:b/>
          <w:sz w:val="24"/>
          <w:szCs w:val="24"/>
          <w:lang w:val="fr-CH"/>
        </w:rPr>
        <w:t>Trente</w:t>
      </w:r>
      <w:r w:rsidR="004315A0">
        <w:rPr>
          <w:b/>
          <w:sz w:val="24"/>
          <w:szCs w:val="24"/>
          <w:lang w:val="fr-CH"/>
        </w:rPr>
        <w:noBreakHyphen/>
      </w:r>
      <w:r w:rsidRPr="0050792B">
        <w:rPr>
          <w:b/>
          <w:sz w:val="24"/>
          <w:szCs w:val="24"/>
          <w:lang w:val="fr-CH"/>
        </w:rPr>
        <w:t>quatr</w:t>
      </w:r>
      <w:r w:rsidR="00805394" w:rsidRPr="0050792B">
        <w:rPr>
          <w:b/>
          <w:sz w:val="24"/>
          <w:szCs w:val="24"/>
          <w:lang w:val="fr-CH"/>
        </w:rPr>
        <w:t>ième session</w:t>
      </w:r>
      <w:r w:rsidRPr="0050792B">
        <w:rPr>
          <w:b/>
          <w:sz w:val="24"/>
          <w:szCs w:val="24"/>
          <w:lang w:val="fr-CH"/>
        </w:rPr>
        <w:t xml:space="preserve"> (22</w:t>
      </w:r>
      <w:r w:rsidRPr="0050792B">
        <w:rPr>
          <w:b/>
          <w:sz w:val="24"/>
          <w:szCs w:val="24"/>
          <w:vertAlign w:val="superscript"/>
          <w:lang w:val="fr-CH"/>
        </w:rPr>
        <w:t>e</w:t>
      </w:r>
      <w:r w:rsidRPr="0050792B">
        <w:rPr>
          <w:b/>
          <w:sz w:val="24"/>
          <w:szCs w:val="24"/>
          <w:lang w:val="fr-CH"/>
        </w:rPr>
        <w:t xml:space="preserve"> session ordinaire)</w:t>
      </w:r>
    </w:p>
    <w:p w14:paraId="74433631" w14:textId="77777777" w:rsidR="00D023C7" w:rsidRPr="0050792B" w:rsidRDefault="00D023C7" w:rsidP="0050792B">
      <w:pPr>
        <w:rPr>
          <w:b/>
          <w:sz w:val="24"/>
          <w:szCs w:val="24"/>
          <w:lang w:val="fr-CH"/>
        </w:rPr>
      </w:pPr>
      <w:r w:rsidRPr="0050792B">
        <w:rPr>
          <w:b/>
          <w:sz w:val="24"/>
          <w:szCs w:val="24"/>
          <w:lang w:val="fr-CH"/>
        </w:rPr>
        <w:t>Genève, 2 – 1</w:t>
      </w:r>
      <w:r w:rsidR="00805394" w:rsidRPr="0050792B">
        <w:rPr>
          <w:b/>
          <w:sz w:val="24"/>
          <w:szCs w:val="24"/>
          <w:lang w:val="fr-CH"/>
        </w:rPr>
        <w:t>1 octobre 20</w:t>
      </w:r>
      <w:r w:rsidRPr="0050792B">
        <w:rPr>
          <w:b/>
          <w:sz w:val="24"/>
          <w:szCs w:val="24"/>
          <w:lang w:val="fr-CH"/>
        </w:rPr>
        <w:t>17</w:t>
      </w:r>
    </w:p>
    <w:p w14:paraId="5182F1CE" w14:textId="77777777" w:rsidR="00393A7C" w:rsidRPr="0050792B" w:rsidRDefault="00393A7C" w:rsidP="0050792B">
      <w:pPr>
        <w:rPr>
          <w:lang w:val="fr-FR"/>
        </w:rPr>
      </w:pPr>
    </w:p>
    <w:p w14:paraId="27835D5B" w14:textId="77777777" w:rsidR="00393A7C" w:rsidRPr="0050792B" w:rsidRDefault="00393A7C" w:rsidP="0050792B">
      <w:pPr>
        <w:rPr>
          <w:lang w:val="fr-FR"/>
        </w:rPr>
      </w:pPr>
    </w:p>
    <w:p w14:paraId="75A126A6" w14:textId="77777777" w:rsidR="00393A7C" w:rsidRPr="0050792B" w:rsidRDefault="00393A7C" w:rsidP="0050792B">
      <w:pPr>
        <w:rPr>
          <w:lang w:val="fr-FR"/>
        </w:rPr>
      </w:pPr>
    </w:p>
    <w:p w14:paraId="4254B028" w14:textId="77777777" w:rsidR="00393A7C" w:rsidRPr="0050792B" w:rsidRDefault="00393A7C" w:rsidP="0050792B">
      <w:pPr>
        <w:rPr>
          <w:caps/>
          <w:sz w:val="24"/>
          <w:szCs w:val="24"/>
          <w:lang w:val="fr-FR"/>
        </w:rPr>
      </w:pPr>
      <w:bookmarkStart w:id="4" w:name="TitleOfDoc"/>
      <w:bookmarkEnd w:id="4"/>
      <w:r w:rsidRPr="0050792B">
        <w:rPr>
          <w:caps/>
          <w:sz w:val="24"/>
          <w:szCs w:val="24"/>
          <w:lang w:val="fr-FR"/>
        </w:rPr>
        <w:t>Questions financières concernant l</w:t>
      </w:r>
      <w:r w:rsidR="00805394" w:rsidRPr="0050792B">
        <w:rPr>
          <w:caps/>
          <w:sz w:val="24"/>
          <w:szCs w:val="24"/>
          <w:lang w:val="fr-FR"/>
        </w:rPr>
        <w:t>’</w:t>
      </w:r>
      <w:r w:rsidRPr="0050792B">
        <w:rPr>
          <w:caps/>
          <w:sz w:val="24"/>
          <w:szCs w:val="24"/>
          <w:lang w:val="fr-FR"/>
        </w:rPr>
        <w:t>Union de Lisbonne</w:t>
      </w:r>
    </w:p>
    <w:p w14:paraId="45F6C021" w14:textId="77777777" w:rsidR="00393A7C" w:rsidRPr="0050792B" w:rsidRDefault="00393A7C" w:rsidP="0050792B">
      <w:pPr>
        <w:rPr>
          <w:lang w:val="fr-FR"/>
        </w:rPr>
      </w:pPr>
    </w:p>
    <w:p w14:paraId="26358469" w14:textId="77777777" w:rsidR="00393A7C" w:rsidRPr="0050792B" w:rsidRDefault="00393A7C" w:rsidP="0050792B">
      <w:pPr>
        <w:rPr>
          <w:i/>
          <w:lang w:val="fr-FR"/>
        </w:rPr>
      </w:pPr>
      <w:r w:rsidRPr="0050792B">
        <w:rPr>
          <w:i/>
          <w:lang w:val="fr-FR"/>
        </w:rPr>
        <w:t>Document établi par le Bureau international</w:t>
      </w:r>
    </w:p>
    <w:p w14:paraId="6E25827D" w14:textId="77777777" w:rsidR="00393A7C" w:rsidRPr="0050792B" w:rsidRDefault="00393A7C" w:rsidP="0050792B">
      <w:pPr>
        <w:rPr>
          <w:lang w:val="fr-FR"/>
        </w:rPr>
      </w:pPr>
    </w:p>
    <w:p w14:paraId="300BE727" w14:textId="77777777" w:rsidR="00393A7C" w:rsidRPr="0050792B" w:rsidRDefault="00393A7C" w:rsidP="0050792B">
      <w:pPr>
        <w:rPr>
          <w:lang w:val="fr-FR"/>
        </w:rPr>
      </w:pPr>
    </w:p>
    <w:p w14:paraId="53AF92AA" w14:textId="77777777" w:rsidR="00393A7C" w:rsidRPr="0050792B" w:rsidRDefault="00393A7C" w:rsidP="0050792B">
      <w:pPr>
        <w:rPr>
          <w:lang w:val="fr-FR"/>
        </w:rPr>
      </w:pPr>
    </w:p>
    <w:p w14:paraId="119A7940" w14:textId="77777777" w:rsidR="00393A7C" w:rsidRPr="004315A0" w:rsidRDefault="00393A7C" w:rsidP="004315A0">
      <w:pPr>
        <w:pStyle w:val="Heading1"/>
      </w:pPr>
      <w:r w:rsidRPr="004315A0">
        <w:t>Introduction</w:t>
      </w:r>
    </w:p>
    <w:p w14:paraId="6E2A3888" w14:textId="77777777" w:rsidR="0050792B" w:rsidRPr="0050792B" w:rsidRDefault="0050792B" w:rsidP="0050792B">
      <w:pPr>
        <w:rPr>
          <w:lang w:val="fr-FR"/>
        </w:rPr>
      </w:pPr>
    </w:p>
    <w:p w14:paraId="64C7A0A8" w14:textId="77777777" w:rsidR="00393A7C" w:rsidRPr="0050792B" w:rsidRDefault="00EA3E01" w:rsidP="0050792B">
      <w:pPr>
        <w:pStyle w:val="ONUMFS"/>
        <w:rPr>
          <w:szCs w:val="22"/>
          <w:lang w:val="fr-FR" w:eastAsia="en-US"/>
        </w:rPr>
      </w:pPr>
      <w:r w:rsidRPr="0050792B">
        <w:rPr>
          <w:lang w:val="fr-FR"/>
        </w:rPr>
        <w:t>À leur cinquante</w:t>
      </w:r>
      <w:r w:rsidR="004315A0">
        <w:rPr>
          <w:lang w:val="fr-FR"/>
        </w:rPr>
        <w:noBreakHyphen/>
      </w:r>
      <w:r w:rsidRPr="0050792B">
        <w:rPr>
          <w:lang w:val="fr-FR"/>
        </w:rPr>
        <w:t>cinquième série de réunions (5 – 1</w:t>
      </w:r>
      <w:r w:rsidR="00805394" w:rsidRPr="0050792B">
        <w:rPr>
          <w:lang w:val="fr-FR"/>
        </w:rPr>
        <w:t>4 octobre 20</w:t>
      </w:r>
      <w:r w:rsidRPr="0050792B">
        <w:rPr>
          <w:lang w:val="fr-FR"/>
        </w:rPr>
        <w:t>15), les assemblées des États membres de l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 xml:space="preserve">OMPI et des unions, chacune pour ce qui la concerne, </w:t>
      </w:r>
      <w:r w:rsidR="007203E0" w:rsidRPr="0050792B">
        <w:rPr>
          <w:lang w:val="fr-FR"/>
        </w:rPr>
        <w:t>“</w:t>
      </w:r>
      <w:r w:rsidRPr="0050792B">
        <w:rPr>
          <w:lang w:val="fr-FR"/>
        </w:rPr>
        <w:t>ont pris note de la décision de l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>Assemblée de l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>Union de Lisbonne</w:t>
      </w:r>
      <w:r w:rsidRPr="0050792B">
        <w:rPr>
          <w:rStyle w:val="FootnoteReference"/>
          <w:lang w:val="fr-FR"/>
        </w:rPr>
        <w:footnoteReference w:id="2"/>
      </w:r>
      <w:r w:rsidRPr="0050792B">
        <w:rPr>
          <w:lang w:val="fr-FR"/>
        </w:rPr>
        <w:t xml:space="preserve"> d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>adopter, d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 xml:space="preserve">ici les assemblées </w:t>
      </w:r>
      <w:r w:rsidR="00805394" w:rsidRPr="0050792B">
        <w:rPr>
          <w:lang w:val="fr-FR"/>
        </w:rPr>
        <w:t>de 2016</w:t>
      </w:r>
      <w:r w:rsidR="007203E0" w:rsidRPr="0050792B">
        <w:rPr>
          <w:lang w:val="fr-FR"/>
        </w:rPr>
        <w:t xml:space="preserve">, </w:t>
      </w:r>
      <w:r w:rsidRPr="0050792B">
        <w:rPr>
          <w:lang w:val="fr-FR"/>
        </w:rPr>
        <w:t>des mesures pour éliminer le déficit biennal prévu de l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>Union de Lisbonne, comme indiqué dans le programme et budget de l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>OMPI pour l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 xml:space="preserve">exercice </w:t>
      </w:r>
      <w:r w:rsidR="00805394" w:rsidRPr="0050792B">
        <w:rPr>
          <w:lang w:val="fr-FR"/>
        </w:rPr>
        <w:t>biennal 2016</w:t>
      </w:r>
      <w:r w:rsidR="004315A0">
        <w:rPr>
          <w:lang w:val="fr-FR"/>
        </w:rPr>
        <w:noBreakHyphen/>
      </w:r>
      <w:r w:rsidRPr="0050792B">
        <w:rPr>
          <w:lang w:val="fr-FR"/>
        </w:rPr>
        <w:t>2017 (</w:t>
      </w:r>
      <w:r w:rsidR="00805394" w:rsidRPr="0050792B">
        <w:rPr>
          <w:lang w:val="fr-FR"/>
        </w:rPr>
        <w:t>à savoir</w:t>
      </w:r>
      <w:r w:rsidRPr="0050792B">
        <w:rPr>
          <w:lang w:val="fr-FR"/>
        </w:rPr>
        <w:t>, 1,52</w:t>
      </w:r>
      <w:r w:rsidR="00805394" w:rsidRPr="0050792B">
        <w:rPr>
          <w:lang w:val="fr-FR"/>
        </w:rPr>
        <w:t>3 million</w:t>
      </w:r>
      <w:r w:rsidRPr="0050792B">
        <w:rPr>
          <w:lang w:val="fr-FR"/>
        </w:rPr>
        <w:t xml:space="preserve"> de francs suiss</w:t>
      </w:r>
      <w:r w:rsidR="00F67F53" w:rsidRPr="0050792B">
        <w:rPr>
          <w:lang w:val="fr-FR"/>
        </w:rPr>
        <w:t>es)</w:t>
      </w:r>
      <w:r w:rsidR="007B2AC6" w:rsidRPr="0050792B">
        <w:rPr>
          <w:lang w:val="fr-FR"/>
        </w:rPr>
        <w:t>”</w:t>
      </w:r>
      <w:r w:rsidR="00F67F53" w:rsidRPr="0050792B">
        <w:rPr>
          <w:lang w:val="fr-FR"/>
        </w:rPr>
        <w:t>.  Le</w:t>
      </w:r>
      <w:r w:rsidRPr="0050792B">
        <w:rPr>
          <w:lang w:val="fr-FR"/>
        </w:rPr>
        <w:t xml:space="preserve">s assemblées ont aussi décidé </w:t>
      </w:r>
      <w:r w:rsidR="004237C2">
        <w:rPr>
          <w:lang w:val="fr-FR"/>
        </w:rPr>
        <w:t>“</w:t>
      </w:r>
      <w:r w:rsidRPr="0050792B">
        <w:rPr>
          <w:lang w:val="fr-FR"/>
        </w:rPr>
        <w:t>d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>approuver un prêt à l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>Union de Lisbonne imputé aux réserves des unions financées par des contributions afin de financer le fonctionnement du système de Lisbonne pour l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 xml:space="preserve">exercice </w:t>
      </w:r>
      <w:r w:rsidR="00805394" w:rsidRPr="0050792B">
        <w:rPr>
          <w:lang w:val="fr-FR"/>
        </w:rPr>
        <w:t>biennal 2016</w:t>
      </w:r>
      <w:r w:rsidR="004315A0">
        <w:rPr>
          <w:lang w:val="fr-FR"/>
        </w:rPr>
        <w:noBreakHyphen/>
      </w:r>
      <w:r w:rsidRPr="0050792B">
        <w:rPr>
          <w:lang w:val="fr-FR"/>
        </w:rPr>
        <w:t>2017 au cas où ces mesures ne seraient pas suffisantes pour couvrir son déficit biennal pré</w:t>
      </w:r>
      <w:r w:rsidR="00F67F53" w:rsidRPr="0050792B">
        <w:rPr>
          <w:lang w:val="fr-FR"/>
        </w:rPr>
        <w:t>vu.  Ce</w:t>
      </w:r>
      <w:r w:rsidRPr="0050792B">
        <w:rPr>
          <w:lang w:val="fr-FR"/>
        </w:rPr>
        <w:t xml:space="preserve"> prêt sera consenti sans intérêt et étant entendu qu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>il sera remboursé lorsque les réserves de l</w:t>
      </w:r>
      <w:r w:rsidR="00805394" w:rsidRPr="0050792B">
        <w:rPr>
          <w:lang w:val="fr-FR"/>
        </w:rPr>
        <w:t>’</w:t>
      </w:r>
      <w:r w:rsidRPr="0050792B">
        <w:rPr>
          <w:lang w:val="fr-FR"/>
        </w:rPr>
        <w:t>Union de Lisbonne le permettront” (</w:t>
      </w:r>
      <w:r w:rsidR="00805394" w:rsidRPr="0050792B">
        <w:rPr>
          <w:lang w:val="fr-FR"/>
        </w:rPr>
        <w:t>paragraphes 2</w:t>
      </w:r>
      <w:r w:rsidR="004315A0">
        <w:rPr>
          <w:lang w:val="fr-FR"/>
        </w:rPr>
        <w:t>31 et </w:t>
      </w:r>
      <w:r w:rsidRPr="0050792B">
        <w:rPr>
          <w:lang w:val="fr-FR"/>
        </w:rPr>
        <w:t>235 du document A/55/13).</w:t>
      </w:r>
    </w:p>
    <w:p w14:paraId="596B3268" w14:textId="77777777" w:rsidR="00805394" w:rsidRPr="0050792B" w:rsidRDefault="00AA550E" w:rsidP="0050792B">
      <w:pPr>
        <w:pStyle w:val="ONUMFS"/>
        <w:rPr>
          <w:szCs w:val="22"/>
          <w:lang w:val="fr-FR"/>
        </w:rPr>
      </w:pPr>
      <w:r w:rsidRPr="0050792B">
        <w:rPr>
          <w:szCs w:val="22"/>
          <w:lang w:val="fr-FR"/>
        </w:rPr>
        <w:t>Dans le cadre de la même série de réunions, l</w:t>
      </w:r>
      <w:r w:rsidR="00805394" w:rsidRPr="0050792B">
        <w:rPr>
          <w:szCs w:val="22"/>
          <w:lang w:val="fr-FR"/>
        </w:rPr>
        <w:t>’</w:t>
      </w:r>
      <w:r w:rsidRPr="0050792B">
        <w:rPr>
          <w:szCs w:val="22"/>
          <w:lang w:val="fr-FR"/>
        </w:rPr>
        <w:t>Assemblée de l</w:t>
      </w:r>
      <w:r w:rsidR="00805394" w:rsidRPr="0050792B">
        <w:rPr>
          <w:szCs w:val="22"/>
          <w:lang w:val="fr-FR"/>
        </w:rPr>
        <w:t>’</w:t>
      </w:r>
      <w:r w:rsidRPr="0050792B">
        <w:rPr>
          <w:szCs w:val="22"/>
          <w:lang w:val="fr-FR"/>
        </w:rPr>
        <w:t xml:space="preserve">Union de Lisbonne </w:t>
      </w:r>
      <w:r w:rsidR="005A641D" w:rsidRPr="0050792B">
        <w:rPr>
          <w:szCs w:val="22"/>
          <w:lang w:val="fr-FR"/>
        </w:rPr>
        <w:t>“</w:t>
      </w:r>
      <w:r w:rsidRPr="0050792B">
        <w:rPr>
          <w:szCs w:val="22"/>
          <w:lang w:val="fr-FR"/>
        </w:rPr>
        <w:t xml:space="preserve">a décidé de modifier le montant des taxes visées à la </w:t>
      </w:r>
      <w:r w:rsidR="00805394" w:rsidRPr="0050792B">
        <w:rPr>
          <w:szCs w:val="22"/>
          <w:lang w:val="fr-FR"/>
        </w:rPr>
        <w:t>règle 2</w:t>
      </w:r>
      <w:r w:rsidRPr="0050792B">
        <w:rPr>
          <w:szCs w:val="22"/>
          <w:lang w:val="fr-FR"/>
        </w:rPr>
        <w:t>3 du règlement d</w:t>
      </w:r>
      <w:r w:rsidR="00805394" w:rsidRPr="0050792B">
        <w:rPr>
          <w:szCs w:val="22"/>
          <w:lang w:val="fr-FR"/>
        </w:rPr>
        <w:t>’</w:t>
      </w:r>
      <w:r w:rsidRPr="0050792B">
        <w:rPr>
          <w:szCs w:val="22"/>
          <w:lang w:val="fr-FR"/>
        </w:rPr>
        <w:t>exécution de l</w:t>
      </w:r>
      <w:r w:rsidR="00805394" w:rsidRPr="0050792B">
        <w:rPr>
          <w:szCs w:val="22"/>
          <w:lang w:val="fr-FR"/>
        </w:rPr>
        <w:t>’</w:t>
      </w:r>
      <w:r w:rsidRPr="0050792B">
        <w:rPr>
          <w:szCs w:val="22"/>
          <w:lang w:val="fr-FR"/>
        </w:rPr>
        <w:t>Arrangement de Lisbonne [</w:t>
      </w:r>
      <w:r w:rsidR="005A641D" w:rsidRPr="0050792B">
        <w:rPr>
          <w:szCs w:val="22"/>
          <w:lang w:val="fr-FR"/>
        </w:rPr>
        <w:t>…</w:t>
      </w:r>
      <w:r w:rsidRPr="0050792B">
        <w:rPr>
          <w:szCs w:val="22"/>
          <w:lang w:val="fr-FR"/>
        </w:rPr>
        <w:t>]</w:t>
      </w:r>
      <w:r w:rsidR="005A641D" w:rsidRPr="0050792B">
        <w:rPr>
          <w:szCs w:val="22"/>
          <w:lang w:val="fr-FR"/>
        </w:rPr>
        <w:t>”</w:t>
      </w:r>
      <w:r w:rsidRPr="0050792B">
        <w:rPr>
          <w:szCs w:val="22"/>
          <w:lang w:val="fr-FR"/>
        </w:rPr>
        <w:t xml:space="preserve"> et </w:t>
      </w:r>
      <w:r w:rsidR="005A641D" w:rsidRPr="0050792B">
        <w:rPr>
          <w:szCs w:val="22"/>
          <w:lang w:val="fr-FR"/>
        </w:rPr>
        <w:t>“</w:t>
      </w:r>
      <w:r w:rsidRPr="0050792B">
        <w:rPr>
          <w:szCs w:val="22"/>
          <w:lang w:val="fr-FR"/>
        </w:rPr>
        <w:t>a décidé qu</w:t>
      </w:r>
      <w:r w:rsidR="00805394" w:rsidRPr="0050792B">
        <w:rPr>
          <w:szCs w:val="22"/>
          <w:lang w:val="fr-FR"/>
        </w:rPr>
        <w:t>’</w:t>
      </w:r>
      <w:r w:rsidRPr="0050792B">
        <w:rPr>
          <w:szCs w:val="22"/>
          <w:lang w:val="fr-FR"/>
        </w:rPr>
        <w:t xml:space="preserve">elle continuerait de réviser les taxes </w:t>
      </w:r>
      <w:r w:rsidRPr="0050792B">
        <w:rPr>
          <w:szCs w:val="22"/>
          <w:lang w:val="fr-FR"/>
        </w:rPr>
        <w:lastRenderedPageBreak/>
        <w:t>périodiquement</w:t>
      </w:r>
      <w:r w:rsidR="005A641D" w:rsidRPr="0050792B">
        <w:rPr>
          <w:szCs w:val="22"/>
          <w:lang w:val="fr-FR"/>
        </w:rPr>
        <w:t>”</w:t>
      </w:r>
      <w:r w:rsidRPr="0050792B">
        <w:rPr>
          <w:szCs w:val="22"/>
          <w:lang w:val="fr-FR"/>
        </w:rPr>
        <w:t xml:space="preserve"> (</w:t>
      </w:r>
      <w:r w:rsidR="00805394" w:rsidRPr="0050792B">
        <w:rPr>
          <w:szCs w:val="22"/>
          <w:lang w:val="fr-FR"/>
        </w:rPr>
        <w:t>paragraphe 4</w:t>
      </w:r>
      <w:r w:rsidR="007B2AC6" w:rsidRPr="0050792B">
        <w:rPr>
          <w:szCs w:val="22"/>
          <w:lang w:val="fr-FR"/>
        </w:rPr>
        <w:t>6.</w:t>
      </w:r>
      <w:r w:rsidR="004315A0">
        <w:rPr>
          <w:szCs w:val="22"/>
          <w:lang w:val="fr-FR"/>
        </w:rPr>
        <w:t>ii) et </w:t>
      </w:r>
      <w:r w:rsidRPr="0050792B">
        <w:rPr>
          <w:szCs w:val="22"/>
          <w:lang w:val="fr-FR"/>
        </w:rPr>
        <w:t>iii)</w:t>
      </w:r>
      <w:r w:rsidR="004315A0">
        <w:rPr>
          <w:szCs w:val="22"/>
          <w:lang w:val="fr-FR"/>
        </w:rPr>
        <w:t xml:space="preserve"> </w:t>
      </w:r>
      <w:r w:rsidRPr="0050792B">
        <w:rPr>
          <w:szCs w:val="22"/>
          <w:lang w:val="fr-FR"/>
        </w:rPr>
        <w:t>du document LI/A/32/5).</w:t>
      </w:r>
      <w:r w:rsidR="000C1054" w:rsidRPr="0050792B">
        <w:rPr>
          <w:lang w:val="fr-FR"/>
        </w:rPr>
        <w:t xml:space="preserve">  </w:t>
      </w:r>
      <w:r w:rsidRPr="0050792B">
        <w:rPr>
          <w:szCs w:val="22"/>
          <w:lang w:val="fr-FR"/>
        </w:rPr>
        <w:t>En outre, l</w:t>
      </w:r>
      <w:r w:rsidR="00805394" w:rsidRPr="0050792B">
        <w:rPr>
          <w:szCs w:val="22"/>
          <w:lang w:val="fr-FR"/>
        </w:rPr>
        <w:t>’</w:t>
      </w:r>
      <w:r w:rsidRPr="0050792B">
        <w:rPr>
          <w:szCs w:val="22"/>
          <w:lang w:val="fr-FR"/>
        </w:rPr>
        <w:t>Assemblée de l</w:t>
      </w:r>
      <w:r w:rsidR="00805394" w:rsidRPr="0050792B">
        <w:rPr>
          <w:szCs w:val="22"/>
          <w:lang w:val="fr-FR"/>
        </w:rPr>
        <w:t>’</w:t>
      </w:r>
      <w:r w:rsidRPr="0050792B">
        <w:rPr>
          <w:szCs w:val="22"/>
          <w:lang w:val="fr-FR"/>
        </w:rPr>
        <w:t>Union de Lisbonne a décidé que l</w:t>
      </w:r>
      <w:r w:rsidR="00805394" w:rsidRPr="0050792B">
        <w:rPr>
          <w:szCs w:val="22"/>
          <w:lang w:val="fr-FR"/>
        </w:rPr>
        <w:t>’</w:t>
      </w:r>
      <w:r w:rsidRPr="0050792B">
        <w:rPr>
          <w:szCs w:val="22"/>
          <w:lang w:val="fr-FR"/>
        </w:rPr>
        <w:t>Union de Lisbonne “tirera[</w:t>
      </w:r>
      <w:proofErr w:type="spellStart"/>
      <w:r w:rsidRPr="0050792B">
        <w:rPr>
          <w:szCs w:val="22"/>
          <w:lang w:val="fr-FR"/>
        </w:rPr>
        <w:t>it</w:t>
      </w:r>
      <w:proofErr w:type="spellEnd"/>
      <w:r w:rsidRPr="0050792B">
        <w:rPr>
          <w:szCs w:val="22"/>
          <w:lang w:val="fr-FR"/>
        </w:rPr>
        <w:t>] parti des réunions du Groupe de travail</w:t>
      </w:r>
      <w:r w:rsidRPr="0050792B">
        <w:rPr>
          <w:rStyle w:val="FootnoteReference"/>
          <w:szCs w:val="22"/>
          <w:lang w:val="fr-FR"/>
        </w:rPr>
        <w:footnoteReference w:id="3"/>
      </w:r>
      <w:r w:rsidRPr="0050792B">
        <w:rPr>
          <w:szCs w:val="22"/>
          <w:lang w:val="fr-FR"/>
        </w:rPr>
        <w:t xml:space="preserve"> sur le développement du système de Lisbonne pour examiner la question de la viabilité financière de l</w:t>
      </w:r>
      <w:r w:rsidR="00805394" w:rsidRPr="0050792B">
        <w:rPr>
          <w:szCs w:val="22"/>
          <w:lang w:val="fr-FR"/>
        </w:rPr>
        <w:t>’</w:t>
      </w:r>
      <w:r w:rsidRPr="0050792B">
        <w:rPr>
          <w:szCs w:val="22"/>
          <w:lang w:val="fr-FR"/>
        </w:rPr>
        <w:t xml:space="preserve">Union de Lisbonne, </w:t>
      </w:r>
      <w:r w:rsidR="00805394" w:rsidRPr="0050792B">
        <w:rPr>
          <w:szCs w:val="22"/>
          <w:lang w:val="fr-FR"/>
        </w:rPr>
        <w:t>y compris</w:t>
      </w:r>
      <w:r w:rsidRPr="0050792B">
        <w:rPr>
          <w:szCs w:val="22"/>
          <w:lang w:val="fr-FR"/>
        </w:rPr>
        <w:t xml:space="preserve"> les options figurant dans le document LI/A/32/3 et toute autre solution concrète, et pour présenter une proposition à la prochaine session de l</w:t>
      </w:r>
      <w:r w:rsidR="00805394" w:rsidRPr="0050792B">
        <w:rPr>
          <w:szCs w:val="22"/>
          <w:lang w:val="fr-FR"/>
        </w:rPr>
        <w:t>’</w:t>
      </w:r>
      <w:r w:rsidRPr="0050792B">
        <w:rPr>
          <w:szCs w:val="22"/>
          <w:lang w:val="fr-FR"/>
        </w:rPr>
        <w:t xml:space="preserve">assemblée </w:t>
      </w:r>
      <w:r w:rsidR="00805394" w:rsidRPr="0050792B">
        <w:rPr>
          <w:szCs w:val="22"/>
          <w:lang w:val="fr-FR"/>
        </w:rPr>
        <w:t>en 2016</w:t>
      </w:r>
      <w:r w:rsidRPr="0050792B">
        <w:rPr>
          <w:szCs w:val="22"/>
          <w:lang w:val="fr-FR"/>
        </w:rPr>
        <w:t>” (</w:t>
      </w:r>
      <w:r w:rsidR="00805394" w:rsidRPr="0050792B">
        <w:rPr>
          <w:szCs w:val="22"/>
          <w:lang w:val="fr-FR"/>
        </w:rPr>
        <w:t>paragraphe 7</w:t>
      </w:r>
      <w:r w:rsidRPr="0050792B">
        <w:rPr>
          <w:szCs w:val="22"/>
          <w:lang w:val="fr-FR"/>
        </w:rPr>
        <w:t>3.iii) du document LI/A/32/5).</w:t>
      </w:r>
    </w:p>
    <w:p w14:paraId="0079B6C6" w14:textId="77777777" w:rsidR="00393A7C" w:rsidRPr="004315A0" w:rsidRDefault="004315A0" w:rsidP="004315A0">
      <w:pPr>
        <w:pStyle w:val="Heading1"/>
      </w:pPr>
      <w:r w:rsidRPr="004315A0">
        <w:t>Déficit prévu de l’Union de Lisbonne pour l’exercice biennal 2016</w:t>
      </w:r>
      <w:r w:rsidRPr="004315A0">
        <w:noBreakHyphen/>
        <w:t>2017</w:t>
      </w:r>
    </w:p>
    <w:p w14:paraId="58656820" w14:textId="77777777" w:rsidR="00981728" w:rsidRPr="00981728" w:rsidRDefault="00981728" w:rsidP="00981728">
      <w:pPr>
        <w:rPr>
          <w:lang w:val="fr-FR"/>
        </w:rPr>
      </w:pPr>
    </w:p>
    <w:p w14:paraId="4558752F" w14:textId="4D77892E" w:rsidR="00393A7C" w:rsidRPr="00981728" w:rsidRDefault="00D421D7" w:rsidP="00981728">
      <w:pPr>
        <w:pStyle w:val="ONUMFS"/>
        <w:rPr>
          <w:rFonts w:eastAsia="Times New Roman"/>
          <w:szCs w:val="22"/>
          <w:lang w:val="fr-FR" w:eastAsia="en-US"/>
        </w:rPr>
      </w:pPr>
      <w:r w:rsidRPr="0050792B">
        <w:rPr>
          <w:szCs w:val="22"/>
          <w:lang w:val="fr-FR" w:eastAsia="en-US"/>
        </w:rPr>
        <w:t>À sa trente</w:t>
      </w:r>
      <w:r w:rsidR="004315A0">
        <w:rPr>
          <w:szCs w:val="22"/>
          <w:lang w:val="fr-FR" w:eastAsia="en-US"/>
        </w:rPr>
        <w:noBreakHyphen/>
      </w:r>
      <w:r w:rsidRPr="0050792B">
        <w:rPr>
          <w:szCs w:val="22"/>
          <w:lang w:val="fr-FR" w:eastAsia="en-US"/>
        </w:rPr>
        <w:t>trois</w:t>
      </w:r>
      <w:r w:rsidR="00805394" w:rsidRPr="0050792B">
        <w:rPr>
          <w:szCs w:val="22"/>
          <w:lang w:val="fr-FR" w:eastAsia="en-US"/>
        </w:rPr>
        <w:t>ième session</w:t>
      </w:r>
      <w:r w:rsidRPr="0050792B">
        <w:rPr>
          <w:szCs w:val="22"/>
          <w:lang w:val="fr-FR" w:eastAsia="en-US"/>
        </w:rPr>
        <w:t xml:space="preserve"> (12</w:t>
      </w:r>
      <w:r w:rsidR="001B75F7" w:rsidRPr="0050792B">
        <w:rPr>
          <w:szCs w:val="22"/>
          <w:vertAlign w:val="superscript"/>
          <w:lang w:val="fr-FR" w:eastAsia="en-US"/>
        </w:rPr>
        <w:t>e</w:t>
      </w:r>
      <w:r w:rsidR="004315A0">
        <w:rPr>
          <w:szCs w:val="22"/>
          <w:lang w:val="fr-FR" w:eastAsia="en-US"/>
        </w:rPr>
        <w:t> </w:t>
      </w:r>
      <w:r w:rsidRPr="0050792B">
        <w:rPr>
          <w:szCs w:val="22"/>
          <w:lang w:val="fr-FR" w:eastAsia="en-US"/>
        </w:rPr>
        <w:t>session extraordinaire) (3</w:t>
      </w:r>
      <w:r w:rsidR="00805394" w:rsidRPr="0050792B">
        <w:rPr>
          <w:szCs w:val="22"/>
          <w:lang w:val="fr-FR" w:eastAsia="en-US"/>
        </w:rPr>
        <w:t xml:space="preserve"> – </w:t>
      </w:r>
      <w:r w:rsidRPr="0050792B">
        <w:rPr>
          <w:szCs w:val="22"/>
          <w:lang w:val="fr-FR" w:eastAsia="en-US"/>
        </w:rPr>
        <w:t>1</w:t>
      </w:r>
      <w:r w:rsidR="00805394" w:rsidRPr="0050792B">
        <w:rPr>
          <w:szCs w:val="22"/>
          <w:lang w:val="fr-FR" w:eastAsia="en-US"/>
        </w:rPr>
        <w:t>1 octobre 20</w:t>
      </w:r>
      <w:r w:rsidRPr="0050792B">
        <w:rPr>
          <w:szCs w:val="22"/>
          <w:lang w:val="fr-FR" w:eastAsia="en-US"/>
        </w:rPr>
        <w:t>16), l</w:t>
      </w:r>
      <w:r w:rsidR="00805394" w:rsidRPr="0050792B">
        <w:rPr>
          <w:szCs w:val="22"/>
          <w:lang w:val="fr-FR" w:eastAsia="en-US"/>
        </w:rPr>
        <w:t>’</w:t>
      </w:r>
      <w:r w:rsidRPr="0050792B">
        <w:rPr>
          <w:szCs w:val="22"/>
          <w:lang w:val="fr-FR" w:eastAsia="en-US"/>
        </w:rPr>
        <w:t>Assemblée de l</w:t>
      </w:r>
      <w:r w:rsidR="00805394" w:rsidRPr="0050792B">
        <w:rPr>
          <w:szCs w:val="22"/>
          <w:lang w:val="fr-FR" w:eastAsia="en-US"/>
        </w:rPr>
        <w:t>’</w:t>
      </w:r>
      <w:r w:rsidRPr="0050792B">
        <w:rPr>
          <w:szCs w:val="22"/>
          <w:lang w:val="fr-FR" w:eastAsia="en-US"/>
        </w:rPr>
        <w:t>Union de Lisbonne a décidé que le versement de subventions au titre de l</w:t>
      </w:r>
      <w:r w:rsidR="00805394" w:rsidRPr="0050792B">
        <w:rPr>
          <w:szCs w:val="22"/>
          <w:lang w:val="fr-FR" w:eastAsia="en-US"/>
        </w:rPr>
        <w:t>’article 1</w:t>
      </w:r>
      <w:r w:rsidRPr="0050792B">
        <w:rPr>
          <w:szCs w:val="22"/>
          <w:lang w:val="fr-FR" w:eastAsia="en-US"/>
        </w:rPr>
        <w:t>1.3</w:t>
      </w:r>
      <w:proofErr w:type="gramStart"/>
      <w:r w:rsidRPr="0050792B">
        <w:rPr>
          <w:szCs w:val="22"/>
          <w:lang w:val="fr-FR" w:eastAsia="en-US"/>
        </w:rPr>
        <w:t>)iii</w:t>
      </w:r>
      <w:proofErr w:type="gramEnd"/>
      <w:r w:rsidRPr="0050792B">
        <w:rPr>
          <w:szCs w:val="22"/>
          <w:lang w:val="fr-FR" w:eastAsia="en-US"/>
        </w:rPr>
        <w:t>) de l</w:t>
      </w:r>
      <w:r w:rsidR="00805394" w:rsidRPr="0050792B">
        <w:rPr>
          <w:szCs w:val="22"/>
          <w:lang w:val="fr-FR" w:eastAsia="en-US"/>
        </w:rPr>
        <w:t>’</w:t>
      </w:r>
      <w:r w:rsidRPr="0050792B">
        <w:rPr>
          <w:szCs w:val="22"/>
          <w:lang w:val="fr-FR" w:eastAsia="en-US"/>
        </w:rPr>
        <w:t>Arrangement de Lisbonne concernant la protection des appellations d</w:t>
      </w:r>
      <w:r w:rsidR="00805394" w:rsidRPr="0050792B">
        <w:rPr>
          <w:szCs w:val="22"/>
          <w:lang w:val="fr-FR" w:eastAsia="en-US"/>
        </w:rPr>
        <w:t>’</w:t>
      </w:r>
      <w:r w:rsidRPr="0050792B">
        <w:rPr>
          <w:szCs w:val="22"/>
          <w:lang w:val="fr-FR" w:eastAsia="en-US"/>
        </w:rPr>
        <w:t>origine et leur enregistrement international constituerait des mesures visant à combler le déficit biennal prévu de l</w:t>
      </w:r>
      <w:r w:rsidR="00805394" w:rsidRPr="0050792B">
        <w:rPr>
          <w:szCs w:val="22"/>
          <w:lang w:val="fr-FR" w:eastAsia="en-US"/>
        </w:rPr>
        <w:t>’</w:t>
      </w:r>
      <w:r w:rsidRPr="0050792B">
        <w:rPr>
          <w:szCs w:val="22"/>
          <w:lang w:val="fr-FR" w:eastAsia="en-US"/>
        </w:rPr>
        <w:t>Union de Lisbonne (</w:t>
      </w:r>
      <w:r w:rsidR="00805394" w:rsidRPr="0050792B">
        <w:rPr>
          <w:szCs w:val="22"/>
          <w:lang w:val="fr-FR" w:eastAsia="en-US"/>
        </w:rPr>
        <w:t>paragraphe 2</w:t>
      </w:r>
      <w:r w:rsidRPr="0050792B">
        <w:rPr>
          <w:szCs w:val="22"/>
          <w:lang w:val="fr-FR" w:eastAsia="en-US"/>
        </w:rPr>
        <w:t>8.iii) du document LI/A/33/3).</w:t>
      </w:r>
      <w:r w:rsidR="00AA2311" w:rsidRPr="0050792B">
        <w:rPr>
          <w:lang w:val="fr-FR"/>
        </w:rPr>
        <w:t xml:space="preserve">  </w:t>
      </w:r>
      <w:r w:rsidR="004521D5">
        <w:rPr>
          <w:szCs w:val="22"/>
          <w:lang w:val="fr-FR" w:eastAsia="en-US"/>
        </w:rPr>
        <w:t>Au 15 juin 2017</w:t>
      </w:r>
      <w:r w:rsidRPr="0050792B">
        <w:rPr>
          <w:szCs w:val="22"/>
          <w:lang w:val="fr-FR" w:eastAsia="en-US"/>
        </w:rPr>
        <w:t>, ces subventions représentaient un total de 1 </w:t>
      </w:r>
      <w:r w:rsidR="004521D5">
        <w:rPr>
          <w:szCs w:val="22"/>
          <w:lang w:val="fr-FR" w:eastAsia="en-US"/>
        </w:rPr>
        <w:t>190 520</w:t>
      </w:r>
      <w:r w:rsidR="00805394" w:rsidRPr="0050792B">
        <w:rPr>
          <w:szCs w:val="22"/>
          <w:lang w:val="fr-FR" w:eastAsia="en-US"/>
        </w:rPr>
        <w:t> franc</w:t>
      </w:r>
      <w:r w:rsidRPr="0050792B">
        <w:rPr>
          <w:szCs w:val="22"/>
          <w:lang w:val="fr-FR" w:eastAsia="en-US"/>
        </w:rPr>
        <w:t>s suisses.</w:t>
      </w:r>
    </w:p>
    <w:p w14:paraId="6D945E0B" w14:textId="77777777" w:rsidR="00393A7C" w:rsidRPr="00981728" w:rsidRDefault="00981728" w:rsidP="004315A0">
      <w:pPr>
        <w:pStyle w:val="Heading1"/>
      </w:pPr>
      <w:r w:rsidRPr="00981728">
        <w:t>Viabilité financière de l’</w:t>
      </w:r>
      <w:r w:rsidR="004315A0">
        <w:t>U</w:t>
      </w:r>
      <w:r w:rsidRPr="00981728">
        <w:t>nion de Lisbonne</w:t>
      </w:r>
    </w:p>
    <w:p w14:paraId="6FE8C142" w14:textId="77777777" w:rsidR="00981728" w:rsidRPr="00981728" w:rsidRDefault="00981728" w:rsidP="00981728">
      <w:pPr>
        <w:rPr>
          <w:lang w:val="fr-FR"/>
        </w:rPr>
      </w:pPr>
    </w:p>
    <w:p w14:paraId="4F4AE528" w14:textId="77777777" w:rsidR="00393A7C" w:rsidRPr="0050792B" w:rsidRDefault="00D421D7" w:rsidP="0050792B">
      <w:pPr>
        <w:pStyle w:val="ONUMFS"/>
        <w:rPr>
          <w:rFonts w:eastAsia="Times New Roman"/>
          <w:szCs w:val="22"/>
          <w:lang w:val="fr-FR" w:eastAsia="en-US"/>
        </w:rPr>
      </w:pPr>
      <w:r w:rsidRPr="0050792B">
        <w:rPr>
          <w:rFonts w:eastAsia="Times New Roman"/>
          <w:szCs w:val="22"/>
          <w:lang w:val="fr-FR" w:eastAsia="en-US"/>
        </w:rPr>
        <w:t>À la même session, concernant la viabilité financière de l</w:t>
      </w:r>
      <w:r w:rsidR="00805394" w:rsidRPr="0050792B">
        <w:rPr>
          <w:rFonts w:eastAsia="Times New Roman"/>
          <w:szCs w:val="22"/>
          <w:lang w:val="fr-FR" w:eastAsia="en-US"/>
        </w:rPr>
        <w:t>’</w:t>
      </w:r>
      <w:r w:rsidRPr="0050792B">
        <w:rPr>
          <w:rFonts w:eastAsia="Times New Roman"/>
          <w:szCs w:val="22"/>
          <w:lang w:val="fr-FR" w:eastAsia="en-US"/>
        </w:rPr>
        <w:t>Union de Lisbonne, l</w:t>
      </w:r>
      <w:r w:rsidR="00805394" w:rsidRPr="0050792B">
        <w:rPr>
          <w:rFonts w:eastAsia="Times New Roman"/>
          <w:szCs w:val="22"/>
          <w:lang w:val="fr-FR" w:eastAsia="en-US"/>
        </w:rPr>
        <w:t>’</w:t>
      </w:r>
      <w:r w:rsidRPr="0050792B">
        <w:rPr>
          <w:rFonts w:eastAsia="Times New Roman"/>
          <w:szCs w:val="22"/>
          <w:lang w:val="fr-FR" w:eastAsia="en-US"/>
        </w:rPr>
        <w:t>Assemblée de l</w:t>
      </w:r>
      <w:r w:rsidR="00805394" w:rsidRPr="0050792B">
        <w:rPr>
          <w:rFonts w:eastAsia="Times New Roman"/>
          <w:szCs w:val="22"/>
          <w:lang w:val="fr-FR" w:eastAsia="en-US"/>
        </w:rPr>
        <w:t>’</w:t>
      </w:r>
      <w:r w:rsidRPr="0050792B">
        <w:rPr>
          <w:rFonts w:eastAsia="Times New Roman"/>
          <w:szCs w:val="22"/>
          <w:lang w:val="fr-FR" w:eastAsia="en-US"/>
        </w:rPr>
        <w:t>Union de Lisbonne a décidé</w:t>
      </w:r>
      <w:r w:rsidR="005A641D" w:rsidRPr="0050792B">
        <w:rPr>
          <w:rFonts w:eastAsia="Times New Roman"/>
          <w:szCs w:val="22"/>
          <w:lang w:val="fr-FR" w:eastAsia="en-US"/>
        </w:rPr>
        <w:t> </w:t>
      </w:r>
      <w:r w:rsidRPr="0050792B">
        <w:rPr>
          <w:rFonts w:eastAsia="Times New Roman"/>
          <w:szCs w:val="22"/>
          <w:lang w:val="fr-FR" w:eastAsia="en-US"/>
        </w:rPr>
        <w:t xml:space="preserve">: de </w:t>
      </w:r>
      <w:r w:rsidR="009C40F3" w:rsidRPr="0050792B">
        <w:rPr>
          <w:rFonts w:eastAsia="Times New Roman"/>
          <w:szCs w:val="22"/>
          <w:lang w:val="fr-FR" w:eastAsia="en-US"/>
        </w:rPr>
        <w:t xml:space="preserve">renforcer </w:t>
      </w:r>
      <w:r w:rsidRPr="0050792B">
        <w:rPr>
          <w:rFonts w:eastAsia="Times New Roman"/>
          <w:szCs w:val="22"/>
          <w:lang w:val="fr-FR" w:eastAsia="en-US"/>
        </w:rPr>
        <w:t xml:space="preserve">les activités de promotion du système de Lisbonne, </w:t>
      </w:r>
      <w:r w:rsidR="00805394" w:rsidRPr="0050792B">
        <w:rPr>
          <w:rFonts w:eastAsia="Times New Roman"/>
          <w:szCs w:val="22"/>
          <w:lang w:val="fr-FR" w:eastAsia="en-US"/>
        </w:rPr>
        <w:t>y compris</w:t>
      </w:r>
      <w:r w:rsidRPr="0050792B">
        <w:rPr>
          <w:rFonts w:eastAsia="Times New Roman"/>
          <w:szCs w:val="22"/>
          <w:lang w:val="fr-FR" w:eastAsia="en-US"/>
        </w:rPr>
        <w:t xml:space="preserve"> de l</w:t>
      </w:r>
      <w:r w:rsidR="00805394" w:rsidRPr="0050792B">
        <w:rPr>
          <w:rFonts w:eastAsia="Times New Roman"/>
          <w:szCs w:val="22"/>
          <w:lang w:val="fr-FR" w:eastAsia="en-US"/>
        </w:rPr>
        <w:t>’</w:t>
      </w:r>
      <w:r w:rsidRPr="0050792B">
        <w:rPr>
          <w:rFonts w:eastAsia="Times New Roman"/>
          <w:szCs w:val="22"/>
          <w:lang w:val="fr-FR" w:eastAsia="en-US"/>
        </w:rPr>
        <w:t>Acte de Genève de l</w:t>
      </w:r>
      <w:r w:rsidR="00805394" w:rsidRPr="0050792B">
        <w:rPr>
          <w:rFonts w:eastAsia="Times New Roman"/>
          <w:szCs w:val="22"/>
          <w:lang w:val="fr-FR" w:eastAsia="en-US"/>
        </w:rPr>
        <w:t>’</w:t>
      </w:r>
      <w:r w:rsidRPr="0050792B">
        <w:rPr>
          <w:rFonts w:eastAsia="Times New Roman"/>
          <w:szCs w:val="22"/>
          <w:lang w:val="fr-FR" w:eastAsia="en-US"/>
        </w:rPr>
        <w:t>Arrangement de Lisbonne sur les appellations d</w:t>
      </w:r>
      <w:r w:rsidR="00805394" w:rsidRPr="0050792B">
        <w:rPr>
          <w:rFonts w:eastAsia="Times New Roman"/>
          <w:szCs w:val="22"/>
          <w:lang w:val="fr-FR" w:eastAsia="en-US"/>
        </w:rPr>
        <w:t>’</w:t>
      </w:r>
      <w:r w:rsidRPr="0050792B">
        <w:rPr>
          <w:rFonts w:eastAsia="Times New Roman"/>
          <w:szCs w:val="22"/>
          <w:lang w:val="fr-FR" w:eastAsia="en-US"/>
        </w:rPr>
        <w:t xml:space="preserve">origine et les indications géographiques; </w:t>
      </w:r>
      <w:r w:rsidR="005A641D" w:rsidRPr="0050792B">
        <w:rPr>
          <w:rFonts w:eastAsia="Times New Roman"/>
          <w:szCs w:val="22"/>
          <w:lang w:val="fr-FR" w:eastAsia="en-US"/>
        </w:rPr>
        <w:t xml:space="preserve"> </w:t>
      </w:r>
      <w:r w:rsidRPr="0050792B">
        <w:rPr>
          <w:rFonts w:eastAsia="Times New Roman"/>
          <w:szCs w:val="22"/>
          <w:lang w:val="fr-FR" w:eastAsia="en-US"/>
        </w:rPr>
        <w:t xml:space="preserve">de continuer </w:t>
      </w:r>
      <w:r w:rsidR="009C40F3" w:rsidRPr="0050792B">
        <w:rPr>
          <w:rFonts w:eastAsia="Times New Roman"/>
          <w:szCs w:val="22"/>
          <w:lang w:val="fr-FR" w:eastAsia="en-US"/>
        </w:rPr>
        <w:t>de réfléchir à</w:t>
      </w:r>
      <w:r w:rsidRPr="0050792B">
        <w:rPr>
          <w:rFonts w:eastAsia="Times New Roman"/>
          <w:szCs w:val="22"/>
          <w:lang w:val="fr-FR" w:eastAsia="en-US"/>
        </w:rPr>
        <w:t xml:space="preserve"> la mise en place d</w:t>
      </w:r>
      <w:r w:rsidR="00805394" w:rsidRPr="0050792B">
        <w:rPr>
          <w:rFonts w:eastAsia="Times New Roman"/>
          <w:szCs w:val="22"/>
          <w:lang w:val="fr-FR" w:eastAsia="en-US"/>
        </w:rPr>
        <w:t>’</w:t>
      </w:r>
      <w:r w:rsidRPr="0050792B">
        <w:rPr>
          <w:rFonts w:eastAsia="Times New Roman"/>
          <w:szCs w:val="22"/>
          <w:lang w:val="fr-FR" w:eastAsia="en-US"/>
        </w:rPr>
        <w:t>un système de contributions, dans le cadre du système de contribution unique, ainsi qu</w:t>
      </w:r>
      <w:r w:rsidR="00805394" w:rsidRPr="0050792B">
        <w:rPr>
          <w:rFonts w:eastAsia="Times New Roman"/>
          <w:szCs w:val="22"/>
          <w:lang w:val="fr-FR" w:eastAsia="en-US"/>
        </w:rPr>
        <w:t>’</w:t>
      </w:r>
      <w:r w:rsidRPr="0050792B">
        <w:rPr>
          <w:rFonts w:eastAsia="Times New Roman"/>
          <w:szCs w:val="22"/>
          <w:lang w:val="fr-FR" w:eastAsia="en-US"/>
        </w:rPr>
        <w:t xml:space="preserve">à la méthodologie pour calculer ces contributions; </w:t>
      </w:r>
      <w:r w:rsidR="005A641D" w:rsidRPr="0050792B">
        <w:rPr>
          <w:rFonts w:eastAsia="Times New Roman"/>
          <w:szCs w:val="22"/>
          <w:lang w:val="fr-FR" w:eastAsia="en-US"/>
        </w:rPr>
        <w:t xml:space="preserve"> </w:t>
      </w:r>
      <w:r w:rsidR="009C40F3" w:rsidRPr="0050792B">
        <w:rPr>
          <w:rFonts w:eastAsia="Times New Roman"/>
          <w:szCs w:val="22"/>
          <w:lang w:val="fr-FR" w:eastAsia="en-US"/>
        </w:rPr>
        <w:t>de continuer de</w:t>
      </w:r>
      <w:r w:rsidRPr="0050792B">
        <w:rPr>
          <w:rFonts w:eastAsia="Times New Roman"/>
          <w:szCs w:val="22"/>
          <w:lang w:val="fr-FR" w:eastAsia="en-US"/>
        </w:rPr>
        <w:t xml:space="preserve"> surveiller le </w:t>
      </w:r>
      <w:r w:rsidR="009C40F3" w:rsidRPr="0050792B">
        <w:rPr>
          <w:rFonts w:eastAsia="Times New Roman"/>
          <w:szCs w:val="22"/>
          <w:lang w:val="fr-FR" w:eastAsia="en-US"/>
        </w:rPr>
        <w:t xml:space="preserve">barème des taxes de Lisbonne et </w:t>
      </w:r>
      <w:r w:rsidR="004237C2">
        <w:rPr>
          <w:rFonts w:eastAsia="Times New Roman"/>
          <w:szCs w:val="22"/>
          <w:lang w:val="fr-FR" w:eastAsia="en-US"/>
        </w:rPr>
        <w:t>de le réexaminer</w:t>
      </w:r>
      <w:r w:rsidRPr="0050792B">
        <w:rPr>
          <w:rFonts w:eastAsia="Times New Roman"/>
          <w:szCs w:val="22"/>
          <w:lang w:val="fr-FR" w:eastAsia="en-US"/>
        </w:rPr>
        <w:t xml:space="preserve"> </w:t>
      </w:r>
      <w:r w:rsidR="009C40F3" w:rsidRPr="0050792B">
        <w:rPr>
          <w:rFonts w:eastAsia="Times New Roman"/>
          <w:szCs w:val="22"/>
          <w:lang w:val="fr-FR" w:eastAsia="en-US"/>
        </w:rPr>
        <w:t>en vue</w:t>
      </w:r>
      <w:r w:rsidRPr="0050792B">
        <w:rPr>
          <w:rFonts w:eastAsia="Times New Roman"/>
          <w:szCs w:val="22"/>
          <w:lang w:val="fr-FR" w:eastAsia="en-US"/>
        </w:rPr>
        <w:t xml:space="preserve"> d</w:t>
      </w:r>
      <w:r w:rsidR="00805394" w:rsidRPr="0050792B">
        <w:rPr>
          <w:rFonts w:eastAsia="Times New Roman"/>
          <w:szCs w:val="22"/>
          <w:lang w:val="fr-FR" w:eastAsia="en-US"/>
        </w:rPr>
        <w:t>’</w:t>
      </w:r>
      <w:r w:rsidRPr="0050792B">
        <w:rPr>
          <w:rFonts w:eastAsia="Times New Roman"/>
          <w:szCs w:val="22"/>
          <w:lang w:val="fr-FR" w:eastAsia="en-US"/>
        </w:rPr>
        <w:t xml:space="preserve">une éventuelle </w:t>
      </w:r>
      <w:r w:rsidR="009C40F3" w:rsidRPr="0050792B">
        <w:rPr>
          <w:rFonts w:eastAsia="Times New Roman"/>
          <w:szCs w:val="22"/>
          <w:lang w:val="fr-FR" w:eastAsia="en-US"/>
        </w:rPr>
        <w:t>augmentation du montant des taxes à</w:t>
      </w:r>
      <w:r w:rsidRPr="0050792B">
        <w:rPr>
          <w:rFonts w:eastAsia="Times New Roman"/>
          <w:szCs w:val="22"/>
          <w:lang w:val="fr-FR" w:eastAsia="en-US"/>
        </w:rPr>
        <w:t xml:space="preserve"> l</w:t>
      </w:r>
      <w:r w:rsidR="00805394" w:rsidRPr="0050792B">
        <w:rPr>
          <w:rFonts w:eastAsia="Times New Roman"/>
          <w:szCs w:val="22"/>
          <w:lang w:val="fr-FR" w:eastAsia="en-US"/>
        </w:rPr>
        <w:t>’</w:t>
      </w:r>
      <w:r w:rsidRPr="0050792B">
        <w:rPr>
          <w:rFonts w:eastAsia="Times New Roman"/>
          <w:szCs w:val="22"/>
          <w:lang w:val="fr-FR" w:eastAsia="en-US"/>
        </w:rPr>
        <w:t xml:space="preserve">avenir; </w:t>
      </w:r>
      <w:r w:rsidR="005A641D" w:rsidRPr="0050792B">
        <w:rPr>
          <w:rFonts w:eastAsia="Times New Roman"/>
          <w:szCs w:val="22"/>
          <w:lang w:val="fr-FR" w:eastAsia="en-US"/>
        </w:rPr>
        <w:t xml:space="preserve"> </w:t>
      </w:r>
      <w:r w:rsidRPr="0050792B">
        <w:rPr>
          <w:rFonts w:eastAsia="Times New Roman"/>
          <w:szCs w:val="22"/>
          <w:lang w:val="fr-FR" w:eastAsia="en-US"/>
        </w:rPr>
        <w:t xml:space="preserve">et de </w:t>
      </w:r>
      <w:r w:rsidR="009C40F3" w:rsidRPr="0050792B">
        <w:rPr>
          <w:rFonts w:eastAsia="Times New Roman"/>
          <w:szCs w:val="22"/>
          <w:lang w:val="fr-FR" w:eastAsia="en-US"/>
        </w:rPr>
        <w:t>tirer profit</w:t>
      </w:r>
      <w:r w:rsidRPr="0050792B">
        <w:rPr>
          <w:rFonts w:eastAsia="Times New Roman"/>
          <w:szCs w:val="22"/>
          <w:lang w:val="fr-FR" w:eastAsia="en-US"/>
        </w:rPr>
        <w:t xml:space="preserve"> de la prochaine </w:t>
      </w:r>
      <w:r w:rsidR="009C40F3" w:rsidRPr="0050792B">
        <w:rPr>
          <w:rFonts w:eastAsia="Times New Roman"/>
          <w:szCs w:val="22"/>
          <w:lang w:val="fr-FR" w:eastAsia="en-US"/>
        </w:rPr>
        <w:t>réunion du g</w:t>
      </w:r>
      <w:r w:rsidRPr="0050792B">
        <w:rPr>
          <w:rFonts w:eastAsia="Times New Roman"/>
          <w:szCs w:val="22"/>
          <w:lang w:val="fr-FR" w:eastAsia="en-US"/>
        </w:rPr>
        <w:t>roupe de travail</w:t>
      </w:r>
      <w:r w:rsidR="009C40F3" w:rsidRPr="0050792B">
        <w:rPr>
          <w:rFonts w:eastAsia="Times New Roman"/>
          <w:szCs w:val="22"/>
          <w:lang w:val="fr-FR" w:eastAsia="en-US"/>
        </w:rPr>
        <w:t>, et</w:t>
      </w:r>
      <w:r w:rsidRPr="0050792B">
        <w:rPr>
          <w:rFonts w:eastAsia="Times New Roman"/>
          <w:szCs w:val="22"/>
          <w:lang w:val="fr-FR" w:eastAsia="en-US"/>
        </w:rPr>
        <w:t xml:space="preserve"> des réunions informelles que le président du groupe de travail pourrait demander au Secrétariat </w:t>
      </w:r>
      <w:r w:rsidR="009C40F3" w:rsidRPr="0050792B">
        <w:rPr>
          <w:rFonts w:eastAsia="Times New Roman"/>
          <w:szCs w:val="22"/>
          <w:lang w:val="fr-FR" w:eastAsia="en-US"/>
        </w:rPr>
        <w:t>d’organiser</w:t>
      </w:r>
      <w:r w:rsidRPr="0050792B">
        <w:rPr>
          <w:rFonts w:eastAsia="Times New Roman"/>
          <w:szCs w:val="22"/>
          <w:lang w:val="fr-FR" w:eastAsia="en-US"/>
        </w:rPr>
        <w:t xml:space="preserve">, pour </w:t>
      </w:r>
      <w:r w:rsidR="009C40F3" w:rsidRPr="0050792B">
        <w:rPr>
          <w:rFonts w:eastAsia="Times New Roman"/>
          <w:szCs w:val="22"/>
          <w:lang w:val="fr-FR" w:eastAsia="en-US"/>
        </w:rPr>
        <w:t>continuer d’examiner</w:t>
      </w:r>
      <w:r w:rsidRPr="0050792B">
        <w:rPr>
          <w:rFonts w:eastAsia="Times New Roman"/>
          <w:szCs w:val="22"/>
          <w:lang w:val="fr-FR" w:eastAsia="en-US"/>
        </w:rPr>
        <w:t xml:space="preserve"> la viabilité financière de l</w:t>
      </w:r>
      <w:r w:rsidR="00805394" w:rsidRPr="0050792B">
        <w:rPr>
          <w:rFonts w:eastAsia="Times New Roman"/>
          <w:szCs w:val="22"/>
          <w:lang w:val="fr-FR" w:eastAsia="en-US"/>
        </w:rPr>
        <w:t>’</w:t>
      </w:r>
      <w:r w:rsidRPr="0050792B">
        <w:rPr>
          <w:rFonts w:eastAsia="Times New Roman"/>
          <w:szCs w:val="22"/>
          <w:lang w:val="fr-FR" w:eastAsia="en-US"/>
        </w:rPr>
        <w:t>Union de Lisbonne (</w:t>
      </w:r>
      <w:r w:rsidR="00805394" w:rsidRPr="0050792B">
        <w:rPr>
          <w:rFonts w:eastAsia="Times New Roman"/>
          <w:szCs w:val="22"/>
          <w:lang w:val="fr-FR" w:eastAsia="en-US"/>
        </w:rPr>
        <w:t>paragraphe 2</w:t>
      </w:r>
      <w:r w:rsidR="004315A0">
        <w:rPr>
          <w:rFonts w:eastAsia="Times New Roman"/>
          <w:szCs w:val="22"/>
          <w:lang w:val="fr-FR" w:eastAsia="en-US"/>
        </w:rPr>
        <w:t>8.v) à </w:t>
      </w:r>
      <w:r w:rsidRPr="0050792B">
        <w:rPr>
          <w:rFonts w:eastAsia="Times New Roman"/>
          <w:szCs w:val="22"/>
          <w:lang w:val="fr-FR" w:eastAsia="en-US"/>
        </w:rPr>
        <w:t>viii) du document LI/A/33/3).</w:t>
      </w:r>
    </w:p>
    <w:p w14:paraId="074603D4" w14:textId="77777777" w:rsidR="00393A7C" w:rsidRPr="00981728" w:rsidRDefault="007203E0" w:rsidP="00981728">
      <w:pPr>
        <w:pStyle w:val="ONUMFS"/>
        <w:rPr>
          <w:szCs w:val="22"/>
          <w:lang w:val="fr-FR"/>
        </w:rPr>
      </w:pPr>
      <w:r w:rsidRPr="00981728">
        <w:rPr>
          <w:rFonts w:eastAsia="Times New Roman"/>
          <w:szCs w:val="22"/>
          <w:lang w:val="fr-FR" w:eastAsia="en-US"/>
        </w:rPr>
        <w:t>À la deux</w:t>
      </w:r>
      <w:r w:rsidR="00805394" w:rsidRPr="00981728">
        <w:rPr>
          <w:rFonts w:eastAsia="Times New Roman"/>
          <w:szCs w:val="22"/>
          <w:lang w:val="fr-FR" w:eastAsia="en-US"/>
        </w:rPr>
        <w:t>ième session</w:t>
      </w:r>
      <w:r w:rsidRPr="00981728">
        <w:rPr>
          <w:rFonts w:eastAsia="Times New Roman"/>
          <w:szCs w:val="22"/>
          <w:lang w:val="fr-FR" w:eastAsia="en-US"/>
        </w:rPr>
        <w:t xml:space="preserve"> du </w:t>
      </w:r>
      <w:r w:rsidR="00A05DE6" w:rsidRPr="00981728">
        <w:rPr>
          <w:rFonts w:eastAsia="Times New Roman"/>
          <w:szCs w:val="22"/>
          <w:lang w:val="fr-FR" w:eastAsia="en-US"/>
        </w:rPr>
        <w:t>g</w:t>
      </w:r>
      <w:r w:rsidRPr="00981728">
        <w:rPr>
          <w:rFonts w:eastAsia="Times New Roman"/>
          <w:szCs w:val="22"/>
          <w:lang w:val="fr-FR" w:eastAsia="en-US"/>
        </w:rPr>
        <w:t>roupe de travail (3</w:t>
      </w:r>
      <w:r w:rsidR="00805394" w:rsidRPr="00981728">
        <w:rPr>
          <w:rFonts w:eastAsia="Times New Roman"/>
          <w:szCs w:val="22"/>
          <w:lang w:val="fr-FR" w:eastAsia="en-US"/>
        </w:rPr>
        <w:t xml:space="preserve"> – 5 avril 20</w:t>
      </w:r>
      <w:r w:rsidRPr="00981728">
        <w:rPr>
          <w:rFonts w:eastAsia="Times New Roman"/>
          <w:szCs w:val="22"/>
          <w:lang w:val="fr-FR" w:eastAsia="en-US"/>
        </w:rPr>
        <w:t xml:space="preserve">17), le </w:t>
      </w:r>
      <w:r w:rsidR="00A5432F" w:rsidRPr="00981728">
        <w:rPr>
          <w:rFonts w:eastAsia="Times New Roman"/>
          <w:szCs w:val="22"/>
          <w:lang w:val="fr-FR" w:eastAsia="en-US"/>
        </w:rPr>
        <w:t>p</w:t>
      </w:r>
      <w:r w:rsidRPr="00981728">
        <w:rPr>
          <w:rFonts w:eastAsia="Times New Roman"/>
          <w:szCs w:val="22"/>
          <w:lang w:val="fr-FR" w:eastAsia="en-US"/>
        </w:rPr>
        <w:t xml:space="preserve">résident </w:t>
      </w:r>
      <w:r w:rsidR="005A641D" w:rsidRPr="00981728">
        <w:rPr>
          <w:rFonts w:eastAsia="Times New Roman"/>
          <w:szCs w:val="22"/>
          <w:lang w:val="fr-FR" w:eastAsia="en-US"/>
        </w:rPr>
        <w:t>“</w:t>
      </w:r>
      <w:r w:rsidRPr="00981728">
        <w:rPr>
          <w:rFonts w:eastAsia="Times New Roman"/>
          <w:szCs w:val="22"/>
          <w:lang w:val="fr-FR" w:eastAsia="en-US"/>
        </w:rPr>
        <w:t>a souligné en particulier les principaux points suivants ressortant des déclarations faites par les membres de l</w:t>
      </w:r>
      <w:r w:rsidR="00805394" w:rsidRPr="00981728">
        <w:rPr>
          <w:rFonts w:eastAsia="Times New Roman"/>
          <w:szCs w:val="22"/>
          <w:lang w:val="fr-FR" w:eastAsia="en-US"/>
        </w:rPr>
        <w:t>’</w:t>
      </w:r>
      <w:r w:rsidRPr="00981728">
        <w:rPr>
          <w:rFonts w:eastAsia="Times New Roman"/>
          <w:szCs w:val="22"/>
          <w:lang w:val="fr-FR" w:eastAsia="en-US"/>
        </w:rPr>
        <w:t>Union de Lisbonne</w:t>
      </w:r>
      <w:r w:rsidR="005A641D" w:rsidRPr="00981728">
        <w:rPr>
          <w:rFonts w:eastAsia="Times New Roman"/>
          <w:szCs w:val="22"/>
          <w:lang w:val="fr-FR" w:eastAsia="en-US"/>
        </w:rPr>
        <w:t> </w:t>
      </w:r>
      <w:r w:rsidRPr="00981728">
        <w:rPr>
          <w:rFonts w:eastAsia="Times New Roman"/>
          <w:szCs w:val="22"/>
          <w:lang w:val="fr-FR" w:eastAsia="en-US"/>
        </w:rPr>
        <w:t>: i)</w:t>
      </w:r>
      <w:r w:rsidR="005A641D" w:rsidRPr="00981728">
        <w:rPr>
          <w:rFonts w:eastAsia="Times New Roman"/>
          <w:szCs w:val="22"/>
          <w:lang w:val="fr-FR" w:eastAsia="en-US"/>
        </w:rPr>
        <w:t> </w:t>
      </w:r>
      <w:r w:rsidRPr="00981728">
        <w:rPr>
          <w:rFonts w:eastAsia="Times New Roman"/>
          <w:szCs w:val="22"/>
          <w:lang w:val="fr-FR" w:eastAsia="en-US"/>
        </w:rPr>
        <w:t xml:space="preserve">la nécessité de renforcer les activités de promotion du système de Lisbonne, </w:t>
      </w:r>
      <w:r w:rsidR="00805394" w:rsidRPr="00981728">
        <w:rPr>
          <w:rFonts w:eastAsia="Times New Roman"/>
          <w:szCs w:val="22"/>
          <w:lang w:val="fr-FR" w:eastAsia="en-US"/>
        </w:rPr>
        <w:t>y compris</w:t>
      </w:r>
      <w:r w:rsidRPr="00981728">
        <w:rPr>
          <w:rFonts w:eastAsia="Times New Roman"/>
          <w:szCs w:val="22"/>
          <w:lang w:val="fr-FR" w:eastAsia="en-US"/>
        </w:rPr>
        <w:t xml:space="preserve"> de l</w:t>
      </w:r>
      <w:r w:rsidR="00805394" w:rsidRPr="00981728">
        <w:rPr>
          <w:rFonts w:eastAsia="Times New Roman"/>
          <w:szCs w:val="22"/>
          <w:lang w:val="fr-FR" w:eastAsia="en-US"/>
        </w:rPr>
        <w:t>’</w:t>
      </w:r>
      <w:r w:rsidRPr="00981728">
        <w:rPr>
          <w:rFonts w:eastAsia="Times New Roman"/>
          <w:szCs w:val="22"/>
          <w:lang w:val="fr-FR" w:eastAsia="en-US"/>
        </w:rPr>
        <w:t>Acte de Genève de l</w:t>
      </w:r>
      <w:r w:rsidR="00805394" w:rsidRPr="00981728">
        <w:rPr>
          <w:rFonts w:eastAsia="Times New Roman"/>
          <w:szCs w:val="22"/>
          <w:lang w:val="fr-FR" w:eastAsia="en-US"/>
        </w:rPr>
        <w:t>’</w:t>
      </w:r>
      <w:r w:rsidRPr="00981728">
        <w:rPr>
          <w:rFonts w:eastAsia="Times New Roman"/>
          <w:szCs w:val="22"/>
          <w:lang w:val="fr-FR" w:eastAsia="en-US"/>
        </w:rPr>
        <w:t>Arrangement de Lisbonne sur les appellations d</w:t>
      </w:r>
      <w:r w:rsidR="00805394" w:rsidRPr="00981728">
        <w:rPr>
          <w:rFonts w:eastAsia="Times New Roman"/>
          <w:szCs w:val="22"/>
          <w:lang w:val="fr-FR" w:eastAsia="en-US"/>
        </w:rPr>
        <w:t>’</w:t>
      </w:r>
      <w:r w:rsidRPr="00981728">
        <w:rPr>
          <w:rFonts w:eastAsia="Times New Roman"/>
          <w:szCs w:val="22"/>
          <w:lang w:val="fr-FR" w:eastAsia="en-US"/>
        </w:rPr>
        <w:t xml:space="preserve">origine et les indications géographiques; </w:t>
      </w:r>
      <w:r w:rsidR="005A641D" w:rsidRPr="00981728">
        <w:rPr>
          <w:rFonts w:eastAsia="Times New Roman"/>
          <w:szCs w:val="22"/>
          <w:lang w:val="fr-FR" w:eastAsia="en-US"/>
        </w:rPr>
        <w:t xml:space="preserve"> </w:t>
      </w:r>
      <w:r w:rsidRPr="00981728">
        <w:rPr>
          <w:rFonts w:eastAsia="Times New Roman"/>
          <w:szCs w:val="22"/>
          <w:lang w:val="fr-FR" w:eastAsia="en-US"/>
        </w:rPr>
        <w:t>ii)</w:t>
      </w:r>
      <w:r w:rsidR="005A641D" w:rsidRPr="00981728">
        <w:rPr>
          <w:rFonts w:eastAsia="Times New Roman"/>
          <w:szCs w:val="22"/>
          <w:lang w:val="fr-FR" w:eastAsia="en-US"/>
        </w:rPr>
        <w:t> </w:t>
      </w:r>
      <w:r w:rsidRPr="00981728">
        <w:rPr>
          <w:rFonts w:eastAsia="Times New Roman"/>
          <w:szCs w:val="22"/>
          <w:lang w:val="fr-FR" w:eastAsia="en-US"/>
        </w:rPr>
        <w:t>la nécessité de poursuivre le réexamen du barème des taxes de Lisbonne de manière régulière, tout en tenant compte du fait qu</w:t>
      </w:r>
      <w:r w:rsidR="00805394" w:rsidRPr="00981728">
        <w:rPr>
          <w:rFonts w:eastAsia="Times New Roman"/>
          <w:szCs w:val="22"/>
          <w:lang w:val="fr-FR" w:eastAsia="en-US"/>
        </w:rPr>
        <w:t>’</w:t>
      </w:r>
      <w:r w:rsidRPr="00981728">
        <w:rPr>
          <w:rFonts w:eastAsia="Times New Roman"/>
          <w:szCs w:val="22"/>
          <w:lang w:val="fr-FR" w:eastAsia="en-US"/>
        </w:rPr>
        <w:t>une augmentation du montant des taxes peut avoir un effet dissuasif du point de vue de l</w:t>
      </w:r>
      <w:r w:rsidR="00805394" w:rsidRPr="00981728">
        <w:rPr>
          <w:rFonts w:eastAsia="Times New Roman"/>
          <w:szCs w:val="22"/>
          <w:lang w:val="fr-FR" w:eastAsia="en-US"/>
        </w:rPr>
        <w:t>’</w:t>
      </w:r>
      <w:r w:rsidRPr="00981728">
        <w:rPr>
          <w:rFonts w:eastAsia="Times New Roman"/>
          <w:szCs w:val="22"/>
          <w:lang w:val="fr-FR" w:eastAsia="en-US"/>
        </w:rPr>
        <w:t xml:space="preserve">adhésion au système de </w:t>
      </w:r>
      <w:r w:rsidR="00D47EB3" w:rsidRPr="00981728">
        <w:rPr>
          <w:rFonts w:eastAsia="Times New Roman"/>
          <w:szCs w:val="22"/>
          <w:lang w:val="fr-FR" w:eastAsia="en-US"/>
        </w:rPr>
        <w:t>Lisbonne et de son utilisation;</w:t>
      </w:r>
      <w:r w:rsidRPr="00981728">
        <w:rPr>
          <w:rFonts w:eastAsia="Times New Roman"/>
          <w:szCs w:val="22"/>
          <w:lang w:val="fr-FR" w:eastAsia="en-US"/>
        </w:rPr>
        <w:t xml:space="preserve"> </w:t>
      </w:r>
      <w:r w:rsidR="005A641D" w:rsidRPr="00981728">
        <w:rPr>
          <w:rFonts w:eastAsia="Times New Roman"/>
          <w:szCs w:val="22"/>
          <w:lang w:val="fr-FR" w:eastAsia="en-US"/>
        </w:rPr>
        <w:t xml:space="preserve"> </w:t>
      </w:r>
      <w:r w:rsidRPr="00981728">
        <w:rPr>
          <w:rFonts w:eastAsia="Times New Roman"/>
          <w:szCs w:val="22"/>
          <w:lang w:val="fr-FR" w:eastAsia="en-US"/>
        </w:rPr>
        <w:t>et iii)</w:t>
      </w:r>
      <w:r w:rsidR="005A641D" w:rsidRPr="00981728">
        <w:rPr>
          <w:rFonts w:eastAsia="Times New Roman"/>
          <w:szCs w:val="22"/>
          <w:lang w:val="fr-FR" w:eastAsia="en-US"/>
        </w:rPr>
        <w:t> </w:t>
      </w:r>
      <w:r w:rsidRPr="00981728">
        <w:rPr>
          <w:rFonts w:eastAsia="Times New Roman"/>
          <w:szCs w:val="22"/>
          <w:lang w:val="fr-FR" w:eastAsia="en-US"/>
        </w:rPr>
        <w:t>la nécessité de veiller à ce que toute solution permettant d</w:t>
      </w:r>
      <w:r w:rsidR="00805394" w:rsidRPr="00981728">
        <w:rPr>
          <w:rFonts w:eastAsia="Times New Roman"/>
          <w:szCs w:val="22"/>
          <w:lang w:val="fr-FR" w:eastAsia="en-US"/>
        </w:rPr>
        <w:t>’</w:t>
      </w:r>
      <w:r w:rsidRPr="00981728">
        <w:rPr>
          <w:rFonts w:eastAsia="Times New Roman"/>
          <w:szCs w:val="22"/>
          <w:lang w:val="fr-FR" w:eastAsia="en-US"/>
        </w:rPr>
        <w:t>assurer la viabilité financière du système de Lisbonne soit conforme aux principes et à la méthodologie budgétaires de l</w:t>
      </w:r>
      <w:r w:rsidR="00805394" w:rsidRPr="00981728">
        <w:rPr>
          <w:rFonts w:eastAsia="Times New Roman"/>
          <w:szCs w:val="22"/>
          <w:lang w:val="fr-FR" w:eastAsia="en-US"/>
        </w:rPr>
        <w:t>’</w:t>
      </w:r>
      <w:r w:rsidRPr="00981728">
        <w:rPr>
          <w:rFonts w:eastAsia="Times New Roman"/>
          <w:szCs w:val="22"/>
          <w:lang w:val="fr-FR" w:eastAsia="en-US"/>
        </w:rPr>
        <w:t>OMPI, ainsi qu</w:t>
      </w:r>
      <w:r w:rsidR="00805394" w:rsidRPr="00981728">
        <w:rPr>
          <w:rFonts w:eastAsia="Times New Roman"/>
          <w:szCs w:val="22"/>
          <w:lang w:val="fr-FR" w:eastAsia="en-US"/>
        </w:rPr>
        <w:t>’</w:t>
      </w:r>
      <w:r w:rsidRPr="00981728">
        <w:rPr>
          <w:rFonts w:eastAsia="Times New Roman"/>
          <w:szCs w:val="22"/>
          <w:lang w:val="fr-FR" w:eastAsia="en-US"/>
        </w:rPr>
        <w:t>au principe de solidarité entre toutes les unions administrées par l</w:t>
      </w:r>
      <w:r w:rsidR="00805394" w:rsidRPr="00981728">
        <w:rPr>
          <w:rFonts w:eastAsia="Times New Roman"/>
          <w:szCs w:val="22"/>
          <w:lang w:val="fr-FR" w:eastAsia="en-US"/>
        </w:rPr>
        <w:t>’</w:t>
      </w:r>
      <w:r w:rsidRPr="00981728">
        <w:rPr>
          <w:rFonts w:eastAsia="Times New Roman"/>
          <w:szCs w:val="22"/>
          <w:lang w:val="fr-FR" w:eastAsia="en-US"/>
        </w:rPr>
        <w:t>OMPI</w:t>
      </w:r>
      <w:r w:rsidR="005A641D" w:rsidRPr="00981728">
        <w:rPr>
          <w:rFonts w:eastAsia="Times New Roman"/>
          <w:szCs w:val="22"/>
          <w:lang w:val="fr-FR" w:eastAsia="en-US"/>
        </w:rPr>
        <w:t>”</w:t>
      </w:r>
      <w:r w:rsidRPr="00981728">
        <w:rPr>
          <w:rFonts w:eastAsia="Times New Roman"/>
          <w:szCs w:val="22"/>
          <w:lang w:val="fr-FR" w:eastAsia="en-US"/>
        </w:rPr>
        <w:t xml:space="preserve"> (</w:t>
      </w:r>
      <w:r w:rsidR="00805394" w:rsidRPr="00981728">
        <w:rPr>
          <w:rFonts w:eastAsia="Times New Roman"/>
          <w:szCs w:val="22"/>
          <w:lang w:val="fr-FR" w:eastAsia="en-US"/>
        </w:rPr>
        <w:t>paragraphe 1</w:t>
      </w:r>
      <w:r w:rsidRPr="00981728">
        <w:rPr>
          <w:rFonts w:eastAsia="Times New Roman"/>
          <w:szCs w:val="22"/>
          <w:lang w:val="fr-FR" w:eastAsia="en-US"/>
        </w:rPr>
        <w:t>6 du document LI/WG/PCR/2/6).</w:t>
      </w:r>
    </w:p>
    <w:p w14:paraId="240D9CC1" w14:textId="77777777" w:rsidR="00805394" w:rsidRPr="00981728" w:rsidRDefault="007203E0" w:rsidP="00981728">
      <w:pPr>
        <w:pStyle w:val="ONUMFS"/>
        <w:rPr>
          <w:rFonts w:eastAsia="Times New Roman"/>
          <w:szCs w:val="22"/>
          <w:lang w:val="fr-FR" w:eastAsia="en-US"/>
        </w:rPr>
      </w:pPr>
      <w:r w:rsidRPr="00981728">
        <w:rPr>
          <w:rFonts w:eastAsia="Times New Roman"/>
          <w:szCs w:val="22"/>
          <w:lang w:val="fr-FR" w:eastAsia="en-US"/>
        </w:rPr>
        <w:t xml:space="preserve">Le groupe de travail </w:t>
      </w:r>
      <w:r w:rsidR="005A641D" w:rsidRPr="00981728">
        <w:rPr>
          <w:rFonts w:eastAsia="Times New Roman"/>
          <w:szCs w:val="22"/>
          <w:lang w:val="fr-FR" w:eastAsia="en-US"/>
        </w:rPr>
        <w:t>“</w:t>
      </w:r>
      <w:r w:rsidRPr="00981728">
        <w:rPr>
          <w:rFonts w:eastAsia="Times New Roman"/>
          <w:szCs w:val="22"/>
          <w:lang w:val="fr-FR" w:eastAsia="en-US"/>
        </w:rPr>
        <w:t>est convenu de recommander à l</w:t>
      </w:r>
      <w:r w:rsidR="00805394" w:rsidRPr="00981728">
        <w:rPr>
          <w:rFonts w:eastAsia="Times New Roman"/>
          <w:szCs w:val="22"/>
          <w:lang w:val="fr-FR" w:eastAsia="en-US"/>
        </w:rPr>
        <w:t>’</w:t>
      </w:r>
      <w:r w:rsidRPr="00981728">
        <w:rPr>
          <w:rFonts w:eastAsia="Times New Roman"/>
          <w:szCs w:val="22"/>
          <w:lang w:val="fr-FR" w:eastAsia="en-US"/>
        </w:rPr>
        <w:t>Assemblée de l</w:t>
      </w:r>
      <w:r w:rsidR="00805394" w:rsidRPr="00981728">
        <w:rPr>
          <w:rFonts w:eastAsia="Times New Roman"/>
          <w:szCs w:val="22"/>
          <w:lang w:val="fr-FR" w:eastAsia="en-US"/>
        </w:rPr>
        <w:t>’</w:t>
      </w:r>
      <w:r w:rsidRPr="00981728">
        <w:rPr>
          <w:rFonts w:eastAsia="Times New Roman"/>
          <w:szCs w:val="22"/>
          <w:lang w:val="fr-FR" w:eastAsia="en-US"/>
        </w:rPr>
        <w:t>Union de Lisbonne de prolonger le mandat du groupe de travail en vue de permettre la poursuite des discussions sur le développement du système de Lisbonne et les solutions visant à assurer sa viabilité financière</w:t>
      </w:r>
      <w:r w:rsidR="005A641D" w:rsidRPr="00981728">
        <w:rPr>
          <w:rFonts w:eastAsia="Times New Roman"/>
          <w:szCs w:val="22"/>
          <w:lang w:val="fr-FR" w:eastAsia="en-US"/>
        </w:rPr>
        <w:t>”</w:t>
      </w:r>
      <w:r w:rsidRPr="00981728">
        <w:rPr>
          <w:rFonts w:eastAsia="Times New Roman"/>
          <w:szCs w:val="22"/>
          <w:lang w:val="fr-FR" w:eastAsia="en-US"/>
        </w:rPr>
        <w:t xml:space="preserve"> (</w:t>
      </w:r>
      <w:r w:rsidR="00805394" w:rsidRPr="00981728">
        <w:rPr>
          <w:rFonts w:eastAsia="Times New Roman"/>
          <w:szCs w:val="22"/>
          <w:lang w:val="fr-FR" w:eastAsia="en-US"/>
        </w:rPr>
        <w:t>paragraphe 1</w:t>
      </w:r>
      <w:r w:rsidRPr="00981728">
        <w:rPr>
          <w:rFonts w:eastAsia="Times New Roman"/>
          <w:szCs w:val="22"/>
          <w:lang w:val="fr-FR" w:eastAsia="en-US"/>
        </w:rPr>
        <w:t>7 du document LI/WG/PCR/2/6).</w:t>
      </w:r>
    </w:p>
    <w:p w14:paraId="39436F8E" w14:textId="77777777" w:rsidR="00393A7C" w:rsidRPr="00195BF3" w:rsidRDefault="007203E0" w:rsidP="000B2381">
      <w:pPr>
        <w:pStyle w:val="ONUMFS"/>
        <w:tabs>
          <w:tab w:val="left" w:pos="6096"/>
        </w:tabs>
        <w:ind w:left="5533"/>
        <w:rPr>
          <w:i/>
          <w:lang w:val="fr-FR"/>
        </w:rPr>
      </w:pPr>
      <w:r w:rsidRPr="00195BF3">
        <w:rPr>
          <w:i/>
          <w:lang w:val="fr-FR"/>
        </w:rPr>
        <w:lastRenderedPageBreak/>
        <w:t>L</w:t>
      </w:r>
      <w:r w:rsidR="00805394" w:rsidRPr="00195BF3">
        <w:rPr>
          <w:i/>
          <w:lang w:val="fr-FR"/>
        </w:rPr>
        <w:t>’</w:t>
      </w:r>
      <w:r w:rsidRPr="00195BF3">
        <w:rPr>
          <w:i/>
          <w:lang w:val="fr-FR"/>
        </w:rPr>
        <w:t>Assemblée de l</w:t>
      </w:r>
      <w:r w:rsidR="00805394" w:rsidRPr="00195BF3">
        <w:rPr>
          <w:i/>
          <w:lang w:val="fr-FR"/>
        </w:rPr>
        <w:t>’</w:t>
      </w:r>
      <w:r w:rsidRPr="00195BF3">
        <w:rPr>
          <w:i/>
          <w:lang w:val="fr-FR"/>
        </w:rPr>
        <w:t>Union de Lisbonne est invitée</w:t>
      </w:r>
    </w:p>
    <w:p w14:paraId="6B1B7373" w14:textId="77777777" w:rsidR="00805394" w:rsidRPr="00195BF3" w:rsidRDefault="007203E0" w:rsidP="000B2381">
      <w:pPr>
        <w:pStyle w:val="ONUMFS"/>
        <w:numPr>
          <w:ilvl w:val="2"/>
          <w:numId w:val="6"/>
        </w:numPr>
        <w:tabs>
          <w:tab w:val="left" w:pos="6663"/>
        </w:tabs>
        <w:ind w:left="6096"/>
        <w:rPr>
          <w:i/>
          <w:lang w:val="fr-FR"/>
        </w:rPr>
      </w:pPr>
      <w:r w:rsidRPr="00195BF3">
        <w:rPr>
          <w:i/>
          <w:lang w:val="fr-FR"/>
        </w:rPr>
        <w:t xml:space="preserve">à prendre note du document intitulé </w:t>
      </w:r>
      <w:r w:rsidR="005A641D" w:rsidRPr="00195BF3">
        <w:rPr>
          <w:i/>
          <w:lang w:val="fr-FR"/>
        </w:rPr>
        <w:t>“</w:t>
      </w:r>
      <w:r w:rsidRPr="00195BF3">
        <w:rPr>
          <w:i/>
          <w:lang w:val="fr-FR"/>
        </w:rPr>
        <w:t>Questions financières concernant l</w:t>
      </w:r>
      <w:r w:rsidR="00805394" w:rsidRPr="00195BF3">
        <w:rPr>
          <w:i/>
          <w:lang w:val="fr-FR"/>
        </w:rPr>
        <w:t>’</w:t>
      </w:r>
      <w:r w:rsidRPr="00195BF3">
        <w:rPr>
          <w:i/>
          <w:lang w:val="fr-FR"/>
        </w:rPr>
        <w:t>Union de Lisbonne</w:t>
      </w:r>
      <w:r w:rsidR="005A641D" w:rsidRPr="00195BF3">
        <w:rPr>
          <w:i/>
          <w:lang w:val="fr-FR"/>
        </w:rPr>
        <w:t>”</w:t>
      </w:r>
      <w:r w:rsidR="004315A0">
        <w:rPr>
          <w:i/>
          <w:lang w:val="fr-FR"/>
        </w:rPr>
        <w:t xml:space="preserve"> (document LI/A/34/3) et</w:t>
      </w:r>
    </w:p>
    <w:p w14:paraId="1728ECF4" w14:textId="77777777" w:rsidR="00393A7C" w:rsidRPr="00195BF3" w:rsidRDefault="007203E0" w:rsidP="000B2381">
      <w:pPr>
        <w:pStyle w:val="ONUMFS"/>
        <w:numPr>
          <w:ilvl w:val="2"/>
          <w:numId w:val="6"/>
        </w:numPr>
        <w:tabs>
          <w:tab w:val="left" w:pos="6663"/>
        </w:tabs>
        <w:ind w:left="6096"/>
        <w:rPr>
          <w:i/>
          <w:lang w:val="fr-FR"/>
        </w:rPr>
      </w:pPr>
      <w:r w:rsidRPr="00195BF3">
        <w:rPr>
          <w:i/>
          <w:lang w:val="fr-FR"/>
        </w:rPr>
        <w:t>à prolonger le mandat du groupe de travail en vue de permettre la poursuite des discussions sur le développement du système de Lisbonne et les solutions visant à assurer sa viabilité financière.</w:t>
      </w:r>
    </w:p>
    <w:p w14:paraId="18170EF4" w14:textId="77777777" w:rsidR="00393A7C" w:rsidRPr="004237C2" w:rsidRDefault="00393A7C" w:rsidP="004315A0">
      <w:pPr>
        <w:rPr>
          <w:lang w:val="fr-CH"/>
        </w:rPr>
      </w:pPr>
    </w:p>
    <w:p w14:paraId="47A576F7" w14:textId="77777777" w:rsidR="00393A7C" w:rsidRPr="004237C2" w:rsidRDefault="00393A7C" w:rsidP="004315A0">
      <w:pPr>
        <w:rPr>
          <w:lang w:val="fr-CH"/>
        </w:rPr>
      </w:pPr>
    </w:p>
    <w:p w14:paraId="31D1B0C8" w14:textId="77777777" w:rsidR="00393A7C" w:rsidRPr="004237C2" w:rsidRDefault="00393A7C" w:rsidP="004315A0">
      <w:pPr>
        <w:rPr>
          <w:lang w:val="fr-CH"/>
        </w:rPr>
      </w:pPr>
    </w:p>
    <w:p w14:paraId="5477B455" w14:textId="77777777" w:rsidR="002928D3" w:rsidRPr="00981728" w:rsidRDefault="007203E0" w:rsidP="004315A0">
      <w:pPr>
        <w:pStyle w:val="ONUMFS"/>
        <w:numPr>
          <w:ilvl w:val="0"/>
          <w:numId w:val="0"/>
        </w:numPr>
        <w:ind w:left="5533"/>
        <w:rPr>
          <w:lang w:val="fr-FR"/>
        </w:rPr>
      </w:pPr>
      <w:r w:rsidRPr="0050792B">
        <w:rPr>
          <w:szCs w:val="22"/>
          <w:lang w:val="fr-FR"/>
        </w:rPr>
        <w:t>[Fin du document]</w:t>
      </w:r>
    </w:p>
    <w:sectPr w:rsidR="002928D3" w:rsidRPr="00981728" w:rsidSect="00D023C7"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F421B" w14:textId="77777777" w:rsidR="00B61BBB" w:rsidRDefault="00B61BBB">
      <w:r>
        <w:separator/>
      </w:r>
    </w:p>
  </w:endnote>
  <w:endnote w:type="continuationSeparator" w:id="0">
    <w:p w14:paraId="410B1964" w14:textId="77777777" w:rsidR="00B61BBB" w:rsidRDefault="00B61BBB" w:rsidP="003B38C1">
      <w:r>
        <w:separator/>
      </w:r>
    </w:p>
    <w:p w14:paraId="61D9E40C" w14:textId="77777777" w:rsidR="00B61BBB" w:rsidRPr="003B38C1" w:rsidRDefault="00B61B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C80A505" w14:textId="77777777" w:rsidR="00B61BBB" w:rsidRPr="003B38C1" w:rsidRDefault="00B61B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FBF02" w14:textId="77777777" w:rsidR="00B61BBB" w:rsidRDefault="00B61B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F6B01" w14:textId="77777777" w:rsidR="00B61BBB" w:rsidRDefault="00B61BBB">
      <w:r>
        <w:separator/>
      </w:r>
    </w:p>
  </w:footnote>
  <w:footnote w:type="continuationSeparator" w:id="0">
    <w:p w14:paraId="5EC889AB" w14:textId="77777777" w:rsidR="00B61BBB" w:rsidRDefault="00B61BBB" w:rsidP="008B60B2">
      <w:r>
        <w:separator/>
      </w:r>
    </w:p>
    <w:p w14:paraId="4E56445B" w14:textId="77777777" w:rsidR="00B61BBB" w:rsidRPr="00ED77FB" w:rsidRDefault="00B61B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F5F6226" w14:textId="77777777" w:rsidR="00B61BBB" w:rsidRPr="00ED77FB" w:rsidRDefault="00B61B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F4E0C41" w14:textId="77777777" w:rsidR="00EA3E01" w:rsidRPr="0050792B" w:rsidRDefault="00EA3E01" w:rsidP="009A1630">
      <w:pPr>
        <w:pStyle w:val="FootnoteText"/>
        <w:spacing w:line="480" w:lineRule="auto"/>
        <w:rPr>
          <w:lang w:val="fr-CH"/>
        </w:rPr>
      </w:pPr>
      <w:r w:rsidRPr="0050792B">
        <w:rPr>
          <w:rStyle w:val="FootnoteReference"/>
        </w:rPr>
        <w:footnoteRef/>
      </w:r>
      <w:r w:rsidRPr="0050792B">
        <w:rPr>
          <w:lang w:val="fr-CH"/>
        </w:rPr>
        <w:t xml:space="preserve"> </w:t>
      </w:r>
      <w:r w:rsidRPr="0050792B">
        <w:rPr>
          <w:lang w:val="fr-CH"/>
        </w:rPr>
        <w:tab/>
        <w:t xml:space="preserve">Voir le </w:t>
      </w:r>
      <w:r w:rsidR="00F66945" w:rsidRPr="0050792B">
        <w:rPr>
          <w:lang w:val="fr-CH"/>
        </w:rPr>
        <w:t>paragraphe 7</w:t>
      </w:r>
      <w:r w:rsidRPr="0050792B">
        <w:rPr>
          <w:lang w:val="fr-CH"/>
        </w:rPr>
        <w:t>3.i) et</w:t>
      </w:r>
      <w:r w:rsidR="004315A0">
        <w:rPr>
          <w:lang w:val="fr-CH"/>
        </w:rPr>
        <w:t> </w:t>
      </w:r>
      <w:r w:rsidRPr="0050792B">
        <w:rPr>
          <w:lang w:val="fr-CH"/>
        </w:rPr>
        <w:t>ii)</w:t>
      </w:r>
      <w:r w:rsidR="004315A0">
        <w:rPr>
          <w:lang w:val="fr-CH"/>
        </w:rPr>
        <w:t xml:space="preserve"> </w:t>
      </w:r>
      <w:r w:rsidRPr="0050792B">
        <w:rPr>
          <w:lang w:val="fr-CH"/>
        </w:rPr>
        <w:t>du document LI/A/32/5.</w:t>
      </w:r>
    </w:p>
  </w:footnote>
  <w:footnote w:id="3">
    <w:p w14:paraId="4038D841" w14:textId="77777777" w:rsidR="00AA550E" w:rsidRPr="0050792B" w:rsidRDefault="00AA550E" w:rsidP="0050792B">
      <w:pPr>
        <w:pStyle w:val="FootnoteText"/>
        <w:rPr>
          <w:lang w:val="fr-CH"/>
        </w:rPr>
      </w:pPr>
      <w:r w:rsidRPr="0050792B">
        <w:rPr>
          <w:rStyle w:val="FootnoteReference"/>
        </w:rPr>
        <w:footnoteRef/>
      </w:r>
      <w:r w:rsidRPr="0050792B">
        <w:rPr>
          <w:lang w:val="fr-CH"/>
        </w:rPr>
        <w:t xml:space="preserve"> </w:t>
      </w:r>
      <w:r w:rsidRPr="0050792B">
        <w:rPr>
          <w:lang w:val="fr-CH"/>
        </w:rPr>
        <w:tab/>
        <w:t>Note de l</w:t>
      </w:r>
      <w:r w:rsidR="00F66945" w:rsidRPr="0050792B">
        <w:rPr>
          <w:lang w:val="fr-CH"/>
        </w:rPr>
        <w:t>’</w:t>
      </w:r>
      <w:r w:rsidRPr="0050792B">
        <w:rPr>
          <w:lang w:val="fr-CH"/>
        </w:rPr>
        <w:t>éditeur</w:t>
      </w:r>
      <w:r w:rsidR="005A641D" w:rsidRPr="0050792B">
        <w:rPr>
          <w:lang w:val="fr-CH"/>
        </w:rPr>
        <w:t> </w:t>
      </w:r>
      <w:r w:rsidRPr="0050792B">
        <w:rPr>
          <w:lang w:val="fr-CH"/>
        </w:rPr>
        <w:t>: fait référence au Groupe de travail chargé d</w:t>
      </w:r>
      <w:r w:rsidR="00F66945" w:rsidRPr="0050792B">
        <w:rPr>
          <w:lang w:val="fr-CH"/>
        </w:rPr>
        <w:t>’</w:t>
      </w:r>
      <w:r w:rsidRPr="0050792B">
        <w:rPr>
          <w:lang w:val="fr-CH"/>
        </w:rPr>
        <w:t>élaborer un règlement d</w:t>
      </w:r>
      <w:r w:rsidR="00F66945" w:rsidRPr="0050792B">
        <w:rPr>
          <w:lang w:val="fr-CH"/>
        </w:rPr>
        <w:t>’</w:t>
      </w:r>
      <w:r w:rsidRPr="0050792B">
        <w:rPr>
          <w:lang w:val="fr-CH"/>
        </w:rPr>
        <w:t>exécution commun à l</w:t>
      </w:r>
      <w:r w:rsidR="00F66945" w:rsidRPr="0050792B">
        <w:rPr>
          <w:lang w:val="fr-CH"/>
        </w:rPr>
        <w:t>’</w:t>
      </w:r>
      <w:r w:rsidRPr="0050792B">
        <w:rPr>
          <w:lang w:val="fr-CH"/>
        </w:rPr>
        <w:t>Arrangement de Lisbonne et à l</w:t>
      </w:r>
      <w:r w:rsidR="00F66945" w:rsidRPr="0050792B">
        <w:rPr>
          <w:lang w:val="fr-CH"/>
        </w:rPr>
        <w:t>’</w:t>
      </w:r>
      <w:r w:rsidRPr="0050792B">
        <w:rPr>
          <w:lang w:val="fr-CH"/>
        </w:rPr>
        <w:t>Acte de Genève de l</w:t>
      </w:r>
      <w:r w:rsidR="00F66945" w:rsidRPr="0050792B">
        <w:rPr>
          <w:lang w:val="fr-CH"/>
        </w:rPr>
        <w:t>’</w:t>
      </w:r>
      <w:r w:rsidRPr="0050792B">
        <w:rPr>
          <w:lang w:val="fr-CH"/>
        </w:rPr>
        <w:t>Arrangement de Lisbonne (ci</w:t>
      </w:r>
      <w:r w:rsidR="004315A0">
        <w:rPr>
          <w:lang w:val="fr-CH"/>
        </w:rPr>
        <w:noBreakHyphen/>
      </w:r>
      <w:r w:rsidRPr="0050792B">
        <w:rPr>
          <w:lang w:val="fr-CH"/>
        </w:rPr>
        <w:t>après dénommé “</w:t>
      </w:r>
      <w:r w:rsidR="00A05DE6" w:rsidRPr="0050792B">
        <w:rPr>
          <w:lang w:val="fr-CH"/>
        </w:rPr>
        <w:t>g</w:t>
      </w:r>
      <w:r w:rsidRPr="0050792B">
        <w:rPr>
          <w:lang w:val="fr-CH"/>
        </w:rPr>
        <w:t>roupe de travail”).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9235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CD09C2" w14:textId="77777777" w:rsidR="00035466" w:rsidRDefault="00E06406">
        <w:pPr>
          <w:pStyle w:val="Header"/>
          <w:jc w:val="right"/>
        </w:pPr>
        <w:r>
          <w:t>LI/A/34</w:t>
        </w:r>
        <w:r w:rsidR="00035466">
          <w:t>/</w:t>
        </w:r>
        <w:r w:rsidR="006E7F9F">
          <w:t>3</w:t>
        </w:r>
      </w:p>
      <w:p w14:paraId="57FC30A4" w14:textId="77777777" w:rsidR="00035466" w:rsidRDefault="00035466">
        <w:pPr>
          <w:pStyle w:val="Header"/>
          <w:jc w:val="right"/>
          <w:rPr>
            <w:noProof/>
          </w:rPr>
        </w:pPr>
        <w:proofErr w:type="gramStart"/>
        <w:r>
          <w:t>page</w:t>
        </w:r>
        <w:proofErr w:type="gram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DE3">
          <w:rPr>
            <w:noProof/>
          </w:rPr>
          <w:t>3</w:t>
        </w:r>
        <w:r>
          <w:rPr>
            <w:noProof/>
          </w:rPr>
          <w:fldChar w:fldCharType="end"/>
        </w:r>
      </w:p>
      <w:p w14:paraId="00E2E344" w14:textId="77777777" w:rsidR="00035466" w:rsidRDefault="00121DE3">
        <w:pPr>
          <w:pStyle w:val="Header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F14"/>
    <w:multiLevelType w:val="hybridMultilevel"/>
    <w:tmpl w:val="1B84D826"/>
    <w:lvl w:ilvl="0" w:tplc="A5B82BC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2150A3F"/>
    <w:multiLevelType w:val="hybridMultilevel"/>
    <w:tmpl w:val="9CCCE11A"/>
    <w:lvl w:ilvl="0" w:tplc="7B6A3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E1CD2"/>
    <w:multiLevelType w:val="hybridMultilevel"/>
    <w:tmpl w:val="6EA2D23A"/>
    <w:lvl w:ilvl="0" w:tplc="9A08CA40">
      <w:start w:val="1"/>
      <w:numFmt w:val="lowerLetter"/>
      <w:lvlText w:val="(%1)"/>
      <w:lvlJc w:val="left"/>
      <w:pPr>
        <w:ind w:left="9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FE33B73"/>
    <w:multiLevelType w:val="hybridMultilevel"/>
    <w:tmpl w:val="E3A6E7BA"/>
    <w:lvl w:ilvl="0" w:tplc="B0E84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4388C"/>
    <w:multiLevelType w:val="hybridMultilevel"/>
    <w:tmpl w:val="AB0ECD2E"/>
    <w:lvl w:ilvl="0" w:tplc="F8E05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0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EC05F9"/>
    <w:multiLevelType w:val="hybridMultilevel"/>
    <w:tmpl w:val="1B9C87A6"/>
    <w:lvl w:ilvl="0" w:tplc="3D58B50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9D64004"/>
    <w:multiLevelType w:val="hybridMultilevel"/>
    <w:tmpl w:val="1598AA8C"/>
    <w:lvl w:ilvl="0" w:tplc="B1EE782E">
      <w:start w:val="1"/>
      <w:numFmt w:val="lowerRoman"/>
      <w:lvlText w:val="(%1)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4">
    <w:nsid w:val="2BFD3956"/>
    <w:multiLevelType w:val="hybridMultilevel"/>
    <w:tmpl w:val="E276807A"/>
    <w:lvl w:ilvl="0" w:tplc="0E1468CC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30CC354E"/>
    <w:multiLevelType w:val="hybridMultilevel"/>
    <w:tmpl w:val="41A60F7E"/>
    <w:lvl w:ilvl="0" w:tplc="2EFCCB50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50C451C"/>
    <w:multiLevelType w:val="hybridMultilevel"/>
    <w:tmpl w:val="990E46C8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700B7"/>
    <w:multiLevelType w:val="hybridMultilevel"/>
    <w:tmpl w:val="C6AADC46"/>
    <w:lvl w:ilvl="0" w:tplc="9FB46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D1236"/>
    <w:multiLevelType w:val="hybridMultilevel"/>
    <w:tmpl w:val="94F4ED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873C3"/>
    <w:multiLevelType w:val="hybridMultilevel"/>
    <w:tmpl w:val="9692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5D8B"/>
    <w:multiLevelType w:val="hybridMultilevel"/>
    <w:tmpl w:val="B8AC3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57D00AF"/>
    <w:multiLevelType w:val="hybridMultilevel"/>
    <w:tmpl w:val="5A3AE086"/>
    <w:lvl w:ilvl="0" w:tplc="36F24D4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D7F9C"/>
    <w:multiLevelType w:val="hybridMultilevel"/>
    <w:tmpl w:val="C50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97368"/>
    <w:multiLevelType w:val="hybridMultilevel"/>
    <w:tmpl w:val="636A6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9A37C9"/>
    <w:multiLevelType w:val="hybridMultilevel"/>
    <w:tmpl w:val="21CABD44"/>
    <w:lvl w:ilvl="0" w:tplc="CCF20034">
      <w:start w:val="1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DA2CEB"/>
    <w:multiLevelType w:val="hybridMultilevel"/>
    <w:tmpl w:val="B288B9D8"/>
    <w:lvl w:ilvl="0" w:tplc="0218CCD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8CF529B"/>
    <w:multiLevelType w:val="hybridMultilevel"/>
    <w:tmpl w:val="C946240C"/>
    <w:lvl w:ilvl="0" w:tplc="8042C756">
      <w:start w:val="1"/>
      <w:numFmt w:val="decimal"/>
      <w:lvlText w:val="(%1)"/>
      <w:lvlJc w:val="left"/>
      <w:pPr>
        <w:tabs>
          <w:tab w:val="num" w:pos="1921"/>
        </w:tabs>
        <w:ind w:left="192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29">
    <w:nsid w:val="5CD94210"/>
    <w:multiLevelType w:val="hybridMultilevel"/>
    <w:tmpl w:val="3698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62EFD"/>
    <w:multiLevelType w:val="hybridMultilevel"/>
    <w:tmpl w:val="EA8CB0D2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E5286"/>
    <w:multiLevelType w:val="hybridMultilevel"/>
    <w:tmpl w:val="1B5036DC"/>
    <w:lvl w:ilvl="0" w:tplc="27DC7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33">
    <w:nsid w:val="6D0B1844"/>
    <w:multiLevelType w:val="hybridMultilevel"/>
    <w:tmpl w:val="5B9A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00BE8"/>
    <w:multiLevelType w:val="hybridMultilevel"/>
    <w:tmpl w:val="CCE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581EDA"/>
    <w:multiLevelType w:val="hybridMultilevel"/>
    <w:tmpl w:val="B61A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25"/>
  </w:num>
  <w:num w:numId="5">
    <w:abstractNumId w:val="5"/>
  </w:num>
  <w:num w:numId="6">
    <w:abstractNumId w:val="12"/>
  </w:num>
  <w:num w:numId="7">
    <w:abstractNumId w:val="10"/>
  </w:num>
  <w:num w:numId="8">
    <w:abstractNumId w:val="32"/>
  </w:num>
  <w:num w:numId="9">
    <w:abstractNumId w:val="9"/>
  </w:num>
  <w:num w:numId="10">
    <w:abstractNumId w:val="2"/>
  </w:num>
  <w:num w:numId="11">
    <w:abstractNumId w:val="31"/>
  </w:num>
  <w:num w:numId="12">
    <w:abstractNumId w:val="2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4">
    <w:abstractNumId w:val="16"/>
  </w:num>
  <w:num w:numId="15">
    <w:abstractNumId w:val="30"/>
  </w:num>
  <w:num w:numId="16">
    <w:abstractNumId w:val="27"/>
  </w:num>
  <w:num w:numId="17">
    <w:abstractNumId w:val="1"/>
  </w:num>
  <w:num w:numId="18">
    <w:abstractNumId w:val="4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9"/>
  </w:num>
  <w:num w:numId="24">
    <w:abstractNumId w:val="26"/>
  </w:num>
  <w:num w:numId="25">
    <w:abstractNumId w:val="34"/>
  </w:num>
  <w:num w:numId="26">
    <w:abstractNumId w:val="20"/>
  </w:num>
  <w:num w:numId="27">
    <w:abstractNumId w:val="19"/>
  </w:num>
  <w:num w:numId="28">
    <w:abstractNumId w:val="33"/>
  </w:num>
  <w:num w:numId="29">
    <w:abstractNumId w:val="35"/>
  </w:num>
  <w:num w:numId="30">
    <w:abstractNumId w:val="23"/>
  </w:num>
  <w:num w:numId="31">
    <w:abstractNumId w:val="24"/>
  </w:num>
  <w:num w:numId="32">
    <w:abstractNumId w:val="13"/>
  </w:num>
  <w:num w:numId="33">
    <w:abstractNumId w:val="7"/>
  </w:num>
  <w:num w:numId="34">
    <w:abstractNumId w:val="11"/>
  </w:num>
  <w:num w:numId="35">
    <w:abstractNumId w:val="17"/>
  </w:num>
  <w:num w:numId="36">
    <w:abstractNumId w:val="6"/>
  </w:num>
  <w:num w:numId="37">
    <w:abstractNumId w:val="3"/>
  </w:num>
  <w:num w:numId="38">
    <w:abstractNumId w:val="1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961F04"/>
    <w:rsid w:val="00004487"/>
    <w:rsid w:val="000116C3"/>
    <w:rsid w:val="00012377"/>
    <w:rsid w:val="00034A86"/>
    <w:rsid w:val="00035466"/>
    <w:rsid w:val="00035E6A"/>
    <w:rsid w:val="000376C4"/>
    <w:rsid w:val="00041445"/>
    <w:rsid w:val="00042BA6"/>
    <w:rsid w:val="00043CAA"/>
    <w:rsid w:val="00045F57"/>
    <w:rsid w:val="00057564"/>
    <w:rsid w:val="0005769E"/>
    <w:rsid w:val="00066D55"/>
    <w:rsid w:val="00075432"/>
    <w:rsid w:val="00076F4F"/>
    <w:rsid w:val="00082836"/>
    <w:rsid w:val="00082DB2"/>
    <w:rsid w:val="00084376"/>
    <w:rsid w:val="000844A2"/>
    <w:rsid w:val="000968ED"/>
    <w:rsid w:val="000A13E9"/>
    <w:rsid w:val="000A7EB5"/>
    <w:rsid w:val="000B2381"/>
    <w:rsid w:val="000B3177"/>
    <w:rsid w:val="000B34F6"/>
    <w:rsid w:val="000C1054"/>
    <w:rsid w:val="000C450B"/>
    <w:rsid w:val="000D5CD3"/>
    <w:rsid w:val="000F5340"/>
    <w:rsid w:val="000F5E56"/>
    <w:rsid w:val="000F7BE9"/>
    <w:rsid w:val="00101AB4"/>
    <w:rsid w:val="001020EE"/>
    <w:rsid w:val="00102ABA"/>
    <w:rsid w:val="00105F7B"/>
    <w:rsid w:val="0010624A"/>
    <w:rsid w:val="00111974"/>
    <w:rsid w:val="00115AC9"/>
    <w:rsid w:val="00121DE3"/>
    <w:rsid w:val="00127BE1"/>
    <w:rsid w:val="0013387E"/>
    <w:rsid w:val="00133F1D"/>
    <w:rsid w:val="001362EE"/>
    <w:rsid w:val="00173B71"/>
    <w:rsid w:val="001740F4"/>
    <w:rsid w:val="00181C6A"/>
    <w:rsid w:val="001832A6"/>
    <w:rsid w:val="001879CD"/>
    <w:rsid w:val="00195BF3"/>
    <w:rsid w:val="00197487"/>
    <w:rsid w:val="001A0E16"/>
    <w:rsid w:val="001A7603"/>
    <w:rsid w:val="001B0811"/>
    <w:rsid w:val="001B75F7"/>
    <w:rsid w:val="001C1A60"/>
    <w:rsid w:val="001C3E79"/>
    <w:rsid w:val="001E110E"/>
    <w:rsid w:val="001F1156"/>
    <w:rsid w:val="001F312A"/>
    <w:rsid w:val="00201766"/>
    <w:rsid w:val="0022030E"/>
    <w:rsid w:val="00234DCC"/>
    <w:rsid w:val="00244071"/>
    <w:rsid w:val="00244D0A"/>
    <w:rsid w:val="002518BC"/>
    <w:rsid w:val="0026187D"/>
    <w:rsid w:val="00262B88"/>
    <w:rsid w:val="002634C4"/>
    <w:rsid w:val="00281A06"/>
    <w:rsid w:val="00284F62"/>
    <w:rsid w:val="00291913"/>
    <w:rsid w:val="002928D3"/>
    <w:rsid w:val="002A661C"/>
    <w:rsid w:val="002A7E97"/>
    <w:rsid w:val="002B02CC"/>
    <w:rsid w:val="002C236F"/>
    <w:rsid w:val="002C74B9"/>
    <w:rsid w:val="002D2015"/>
    <w:rsid w:val="002D5D6E"/>
    <w:rsid w:val="002E403E"/>
    <w:rsid w:val="002E5BEA"/>
    <w:rsid w:val="002E61A5"/>
    <w:rsid w:val="002F1FE6"/>
    <w:rsid w:val="002F4E68"/>
    <w:rsid w:val="002F613D"/>
    <w:rsid w:val="00305B9D"/>
    <w:rsid w:val="00306338"/>
    <w:rsid w:val="00306BD3"/>
    <w:rsid w:val="00312F7F"/>
    <w:rsid w:val="00320659"/>
    <w:rsid w:val="003228B7"/>
    <w:rsid w:val="00322C43"/>
    <w:rsid w:val="00335537"/>
    <w:rsid w:val="00345EB6"/>
    <w:rsid w:val="00362DC0"/>
    <w:rsid w:val="003673CF"/>
    <w:rsid w:val="00383C6E"/>
    <w:rsid w:val="003845C1"/>
    <w:rsid w:val="00393A7C"/>
    <w:rsid w:val="00396162"/>
    <w:rsid w:val="00396B4F"/>
    <w:rsid w:val="003A6F89"/>
    <w:rsid w:val="003B1C12"/>
    <w:rsid w:val="003B3110"/>
    <w:rsid w:val="003B38C1"/>
    <w:rsid w:val="003B5A52"/>
    <w:rsid w:val="003C0C49"/>
    <w:rsid w:val="003C0D1B"/>
    <w:rsid w:val="003D1C41"/>
    <w:rsid w:val="003D3031"/>
    <w:rsid w:val="003E0C09"/>
    <w:rsid w:val="003E551C"/>
    <w:rsid w:val="003F2FC0"/>
    <w:rsid w:val="004065B0"/>
    <w:rsid w:val="00412C7A"/>
    <w:rsid w:val="00414BDF"/>
    <w:rsid w:val="004237C2"/>
    <w:rsid w:val="00423E3E"/>
    <w:rsid w:val="00424059"/>
    <w:rsid w:val="00427AF4"/>
    <w:rsid w:val="004315A0"/>
    <w:rsid w:val="004400E2"/>
    <w:rsid w:val="00442FCC"/>
    <w:rsid w:val="004521D5"/>
    <w:rsid w:val="00454E79"/>
    <w:rsid w:val="00460EDE"/>
    <w:rsid w:val="004647DA"/>
    <w:rsid w:val="00471428"/>
    <w:rsid w:val="00474062"/>
    <w:rsid w:val="00477D6B"/>
    <w:rsid w:val="00481EE0"/>
    <w:rsid w:val="00490192"/>
    <w:rsid w:val="0049267B"/>
    <w:rsid w:val="004A7D83"/>
    <w:rsid w:val="004B0A65"/>
    <w:rsid w:val="004B3B8C"/>
    <w:rsid w:val="004C6C18"/>
    <w:rsid w:val="004D3574"/>
    <w:rsid w:val="004D38D9"/>
    <w:rsid w:val="004E7CFF"/>
    <w:rsid w:val="004F41D1"/>
    <w:rsid w:val="00506ED5"/>
    <w:rsid w:val="0050792B"/>
    <w:rsid w:val="00507E62"/>
    <w:rsid w:val="00511279"/>
    <w:rsid w:val="00511392"/>
    <w:rsid w:val="0051392C"/>
    <w:rsid w:val="00514511"/>
    <w:rsid w:val="0051799B"/>
    <w:rsid w:val="00517A28"/>
    <w:rsid w:val="005218C3"/>
    <w:rsid w:val="0052195A"/>
    <w:rsid w:val="0053057A"/>
    <w:rsid w:val="005315A9"/>
    <w:rsid w:val="00536FEE"/>
    <w:rsid w:val="00560A29"/>
    <w:rsid w:val="00581306"/>
    <w:rsid w:val="00585963"/>
    <w:rsid w:val="00585C0C"/>
    <w:rsid w:val="005A641D"/>
    <w:rsid w:val="005B3204"/>
    <w:rsid w:val="005B7363"/>
    <w:rsid w:val="005C2F0C"/>
    <w:rsid w:val="005C53A5"/>
    <w:rsid w:val="005D2E8D"/>
    <w:rsid w:val="005E3F28"/>
    <w:rsid w:val="005E7A29"/>
    <w:rsid w:val="00602D16"/>
    <w:rsid w:val="00604B3D"/>
    <w:rsid w:val="00605827"/>
    <w:rsid w:val="00616F08"/>
    <w:rsid w:val="00634A32"/>
    <w:rsid w:val="00643405"/>
    <w:rsid w:val="00646050"/>
    <w:rsid w:val="00646B74"/>
    <w:rsid w:val="006475E0"/>
    <w:rsid w:val="00664227"/>
    <w:rsid w:val="00664EA2"/>
    <w:rsid w:val="00670529"/>
    <w:rsid w:val="006713CA"/>
    <w:rsid w:val="00676C5C"/>
    <w:rsid w:val="00683BF5"/>
    <w:rsid w:val="00686840"/>
    <w:rsid w:val="00691862"/>
    <w:rsid w:val="006A37FA"/>
    <w:rsid w:val="006A41E9"/>
    <w:rsid w:val="006A7859"/>
    <w:rsid w:val="006C62C8"/>
    <w:rsid w:val="006D0CF0"/>
    <w:rsid w:val="006E26D6"/>
    <w:rsid w:val="006E7F9F"/>
    <w:rsid w:val="006F206B"/>
    <w:rsid w:val="007058FB"/>
    <w:rsid w:val="00710904"/>
    <w:rsid w:val="00710D99"/>
    <w:rsid w:val="00710E59"/>
    <w:rsid w:val="007116FA"/>
    <w:rsid w:val="00712486"/>
    <w:rsid w:val="00716DFF"/>
    <w:rsid w:val="007203E0"/>
    <w:rsid w:val="007325CD"/>
    <w:rsid w:val="00734C05"/>
    <w:rsid w:val="007375FC"/>
    <w:rsid w:val="00747149"/>
    <w:rsid w:val="00757EBF"/>
    <w:rsid w:val="00772750"/>
    <w:rsid w:val="00787A91"/>
    <w:rsid w:val="007A045E"/>
    <w:rsid w:val="007A30C7"/>
    <w:rsid w:val="007A4A3B"/>
    <w:rsid w:val="007A56C0"/>
    <w:rsid w:val="007A58C7"/>
    <w:rsid w:val="007B0838"/>
    <w:rsid w:val="007B2AC6"/>
    <w:rsid w:val="007B6A58"/>
    <w:rsid w:val="007C75CD"/>
    <w:rsid w:val="007D1613"/>
    <w:rsid w:val="007D16E8"/>
    <w:rsid w:val="007D2DC8"/>
    <w:rsid w:val="007D5BA3"/>
    <w:rsid w:val="007E5DA3"/>
    <w:rsid w:val="007F1249"/>
    <w:rsid w:val="00800288"/>
    <w:rsid w:val="00805394"/>
    <w:rsid w:val="00813B7B"/>
    <w:rsid w:val="0081630E"/>
    <w:rsid w:val="008200C6"/>
    <w:rsid w:val="00826BA7"/>
    <w:rsid w:val="0084346F"/>
    <w:rsid w:val="00846F47"/>
    <w:rsid w:val="00851E54"/>
    <w:rsid w:val="0085527A"/>
    <w:rsid w:val="00860345"/>
    <w:rsid w:val="0086416A"/>
    <w:rsid w:val="0086619E"/>
    <w:rsid w:val="00877A02"/>
    <w:rsid w:val="00881363"/>
    <w:rsid w:val="00891161"/>
    <w:rsid w:val="00893F75"/>
    <w:rsid w:val="008A3E48"/>
    <w:rsid w:val="008A5210"/>
    <w:rsid w:val="008A5BD9"/>
    <w:rsid w:val="008B1840"/>
    <w:rsid w:val="008B2CC1"/>
    <w:rsid w:val="008B60B2"/>
    <w:rsid w:val="008D20FD"/>
    <w:rsid w:val="008D25D5"/>
    <w:rsid w:val="008D5950"/>
    <w:rsid w:val="008E0257"/>
    <w:rsid w:val="008E0C27"/>
    <w:rsid w:val="008F0A22"/>
    <w:rsid w:val="008F47C3"/>
    <w:rsid w:val="0090731E"/>
    <w:rsid w:val="00916EE2"/>
    <w:rsid w:val="009171F0"/>
    <w:rsid w:val="0094735C"/>
    <w:rsid w:val="00954AFE"/>
    <w:rsid w:val="00955707"/>
    <w:rsid w:val="00961511"/>
    <w:rsid w:val="00961F04"/>
    <w:rsid w:val="009648D3"/>
    <w:rsid w:val="00966A22"/>
    <w:rsid w:val="0096722F"/>
    <w:rsid w:val="00980843"/>
    <w:rsid w:val="00981728"/>
    <w:rsid w:val="0098740B"/>
    <w:rsid w:val="00987D75"/>
    <w:rsid w:val="009A1630"/>
    <w:rsid w:val="009C205B"/>
    <w:rsid w:val="009C40F3"/>
    <w:rsid w:val="009C4F70"/>
    <w:rsid w:val="009E0B3B"/>
    <w:rsid w:val="009E2791"/>
    <w:rsid w:val="009E36A0"/>
    <w:rsid w:val="009E3F6F"/>
    <w:rsid w:val="009E5174"/>
    <w:rsid w:val="009E5710"/>
    <w:rsid w:val="009E7591"/>
    <w:rsid w:val="009F499F"/>
    <w:rsid w:val="009F6431"/>
    <w:rsid w:val="00A05DE6"/>
    <w:rsid w:val="00A07491"/>
    <w:rsid w:val="00A30D07"/>
    <w:rsid w:val="00A30F03"/>
    <w:rsid w:val="00A34B85"/>
    <w:rsid w:val="00A35E25"/>
    <w:rsid w:val="00A3704D"/>
    <w:rsid w:val="00A376A4"/>
    <w:rsid w:val="00A40D5B"/>
    <w:rsid w:val="00A42DAF"/>
    <w:rsid w:val="00A430B4"/>
    <w:rsid w:val="00A45BD8"/>
    <w:rsid w:val="00A5432F"/>
    <w:rsid w:val="00A561CC"/>
    <w:rsid w:val="00A64096"/>
    <w:rsid w:val="00A85B8E"/>
    <w:rsid w:val="00A9719D"/>
    <w:rsid w:val="00AA1B26"/>
    <w:rsid w:val="00AA2311"/>
    <w:rsid w:val="00AA3452"/>
    <w:rsid w:val="00AA440C"/>
    <w:rsid w:val="00AA550E"/>
    <w:rsid w:val="00AC09B1"/>
    <w:rsid w:val="00AC205C"/>
    <w:rsid w:val="00AD0175"/>
    <w:rsid w:val="00AD01AD"/>
    <w:rsid w:val="00B01D7A"/>
    <w:rsid w:val="00B02909"/>
    <w:rsid w:val="00B0396B"/>
    <w:rsid w:val="00B05A69"/>
    <w:rsid w:val="00B06822"/>
    <w:rsid w:val="00B14184"/>
    <w:rsid w:val="00B1573A"/>
    <w:rsid w:val="00B2126C"/>
    <w:rsid w:val="00B348F4"/>
    <w:rsid w:val="00B35FB8"/>
    <w:rsid w:val="00B36837"/>
    <w:rsid w:val="00B4061F"/>
    <w:rsid w:val="00B52235"/>
    <w:rsid w:val="00B61BBB"/>
    <w:rsid w:val="00B63F1E"/>
    <w:rsid w:val="00B6786E"/>
    <w:rsid w:val="00B703B3"/>
    <w:rsid w:val="00B7043D"/>
    <w:rsid w:val="00B82795"/>
    <w:rsid w:val="00B85256"/>
    <w:rsid w:val="00B85B7B"/>
    <w:rsid w:val="00B92981"/>
    <w:rsid w:val="00B93E5C"/>
    <w:rsid w:val="00B957D4"/>
    <w:rsid w:val="00B9734B"/>
    <w:rsid w:val="00B97F1D"/>
    <w:rsid w:val="00BA56E1"/>
    <w:rsid w:val="00BB3CAB"/>
    <w:rsid w:val="00BC4BA0"/>
    <w:rsid w:val="00BC5EE9"/>
    <w:rsid w:val="00BE0109"/>
    <w:rsid w:val="00BE4D83"/>
    <w:rsid w:val="00BF5FD7"/>
    <w:rsid w:val="00C11BFE"/>
    <w:rsid w:val="00C128C1"/>
    <w:rsid w:val="00C12D8A"/>
    <w:rsid w:val="00C13BF0"/>
    <w:rsid w:val="00C27B3D"/>
    <w:rsid w:val="00C41F9A"/>
    <w:rsid w:val="00C46878"/>
    <w:rsid w:val="00C47886"/>
    <w:rsid w:val="00C613B2"/>
    <w:rsid w:val="00C63D91"/>
    <w:rsid w:val="00C63F20"/>
    <w:rsid w:val="00C76CD9"/>
    <w:rsid w:val="00C847C0"/>
    <w:rsid w:val="00C856B1"/>
    <w:rsid w:val="00C85A05"/>
    <w:rsid w:val="00C904CE"/>
    <w:rsid w:val="00C94629"/>
    <w:rsid w:val="00CB4460"/>
    <w:rsid w:val="00CC6841"/>
    <w:rsid w:val="00CE0386"/>
    <w:rsid w:val="00CE5DEF"/>
    <w:rsid w:val="00CF3374"/>
    <w:rsid w:val="00CF58A5"/>
    <w:rsid w:val="00CF5981"/>
    <w:rsid w:val="00CF7FD9"/>
    <w:rsid w:val="00D0136A"/>
    <w:rsid w:val="00D023C7"/>
    <w:rsid w:val="00D13F33"/>
    <w:rsid w:val="00D17E1B"/>
    <w:rsid w:val="00D25DD5"/>
    <w:rsid w:val="00D30A71"/>
    <w:rsid w:val="00D33520"/>
    <w:rsid w:val="00D421D7"/>
    <w:rsid w:val="00D45252"/>
    <w:rsid w:val="00D462A6"/>
    <w:rsid w:val="00D47AF0"/>
    <w:rsid w:val="00D47EB3"/>
    <w:rsid w:val="00D51946"/>
    <w:rsid w:val="00D548EA"/>
    <w:rsid w:val="00D567EA"/>
    <w:rsid w:val="00D60D6D"/>
    <w:rsid w:val="00D71B4D"/>
    <w:rsid w:val="00D84C5F"/>
    <w:rsid w:val="00D911FB"/>
    <w:rsid w:val="00D93D55"/>
    <w:rsid w:val="00DA3058"/>
    <w:rsid w:val="00DA5393"/>
    <w:rsid w:val="00DA6DAE"/>
    <w:rsid w:val="00DA79B8"/>
    <w:rsid w:val="00DB75A5"/>
    <w:rsid w:val="00DC24D7"/>
    <w:rsid w:val="00DC756A"/>
    <w:rsid w:val="00DD5818"/>
    <w:rsid w:val="00DD7A35"/>
    <w:rsid w:val="00DE7089"/>
    <w:rsid w:val="00DE7C18"/>
    <w:rsid w:val="00E06406"/>
    <w:rsid w:val="00E12088"/>
    <w:rsid w:val="00E156E9"/>
    <w:rsid w:val="00E335FE"/>
    <w:rsid w:val="00E360CA"/>
    <w:rsid w:val="00E43F92"/>
    <w:rsid w:val="00E45AB5"/>
    <w:rsid w:val="00E46835"/>
    <w:rsid w:val="00E5021F"/>
    <w:rsid w:val="00E51A3C"/>
    <w:rsid w:val="00E570EE"/>
    <w:rsid w:val="00E8758A"/>
    <w:rsid w:val="00E9234D"/>
    <w:rsid w:val="00EA3E01"/>
    <w:rsid w:val="00EC415F"/>
    <w:rsid w:val="00EC446F"/>
    <w:rsid w:val="00EC4E49"/>
    <w:rsid w:val="00ED77FB"/>
    <w:rsid w:val="00EE0AD5"/>
    <w:rsid w:val="00EE730F"/>
    <w:rsid w:val="00EF0B2B"/>
    <w:rsid w:val="00EF6AA9"/>
    <w:rsid w:val="00F021A6"/>
    <w:rsid w:val="00F12FEF"/>
    <w:rsid w:val="00F2169B"/>
    <w:rsid w:val="00F251A0"/>
    <w:rsid w:val="00F2523B"/>
    <w:rsid w:val="00F25CE1"/>
    <w:rsid w:val="00F27670"/>
    <w:rsid w:val="00F310D8"/>
    <w:rsid w:val="00F3313F"/>
    <w:rsid w:val="00F40386"/>
    <w:rsid w:val="00F45345"/>
    <w:rsid w:val="00F502CC"/>
    <w:rsid w:val="00F519D5"/>
    <w:rsid w:val="00F61BDF"/>
    <w:rsid w:val="00F66152"/>
    <w:rsid w:val="00F66945"/>
    <w:rsid w:val="00F67CD4"/>
    <w:rsid w:val="00F67F53"/>
    <w:rsid w:val="00F85D63"/>
    <w:rsid w:val="00F91B1D"/>
    <w:rsid w:val="00F9681A"/>
    <w:rsid w:val="00FA5213"/>
    <w:rsid w:val="00FB7388"/>
    <w:rsid w:val="00FC08D3"/>
    <w:rsid w:val="00FC1E96"/>
    <w:rsid w:val="00FC3D1F"/>
    <w:rsid w:val="00FD2A73"/>
    <w:rsid w:val="00FF0282"/>
    <w:rsid w:val="00FF5172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315A0"/>
    <w:pPr>
      <w:keepNext/>
      <w:numPr>
        <w:numId w:val="39"/>
      </w:numPr>
      <w:spacing w:before="240" w:after="60"/>
      <w:ind w:left="0" w:firstLine="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Revision">
    <w:name w:val="Revision"/>
    <w:hidden/>
    <w:uiPriority w:val="99"/>
    <w:semiHidden/>
    <w:rsid w:val="000A7EB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67F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315A0"/>
    <w:pPr>
      <w:keepNext/>
      <w:numPr>
        <w:numId w:val="39"/>
      </w:numPr>
      <w:spacing w:before="240" w:after="60"/>
      <w:ind w:left="0" w:firstLine="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Revision">
    <w:name w:val="Revision"/>
    <w:hidden/>
    <w:uiPriority w:val="99"/>
    <w:semiHidden/>
    <w:rsid w:val="000A7EB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67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8BC0-5BCC-46CD-9D89-209EDE69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LI/A/32/</vt:lpstr>
    </vt:vector>
  </TitlesOfParts>
  <Company>WIPO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LI/A/32/</dc:title>
  <dc:creator>VINCENT Anouck</dc:creator>
  <cp:keywords>LC/cc</cp:keywords>
  <cp:lastModifiedBy>HÄFLIGER Patience</cp:lastModifiedBy>
  <cp:revision>5</cp:revision>
  <cp:lastPrinted>2017-06-29T08:40:00Z</cp:lastPrinted>
  <dcterms:created xsi:type="dcterms:W3CDTF">2017-06-29T06:47:00Z</dcterms:created>
  <dcterms:modified xsi:type="dcterms:W3CDTF">2017-06-29T08:40:00Z</dcterms:modified>
</cp:coreProperties>
</file>