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  <w:tblPrChange w:id="0" w:author="MARIN-CUDRAZ DAVI Nicoletta" w:date="2016-07-19T15:17:00Z">
          <w:tblPr>
            <w:tblW w:w="9356" w:type="dxa"/>
            <w:tblInd w:w="108" w:type="dxa"/>
            <w:tblLayout w:type="fixed"/>
            <w:tblLook w:val="01E0" w:firstRow="1" w:lastRow="1" w:firstColumn="1" w:lastColumn="1" w:noHBand="0" w:noVBand="0"/>
          </w:tblPr>
        </w:tblPrChange>
      </w:tblPr>
      <w:tblGrid>
        <w:gridCol w:w="4513"/>
        <w:gridCol w:w="4337"/>
        <w:gridCol w:w="506"/>
        <w:tblGridChange w:id="1">
          <w:tblGrid>
            <w:gridCol w:w="4513"/>
            <w:gridCol w:w="4337"/>
            <w:gridCol w:w="506"/>
          </w:tblGrid>
        </w:tblGridChange>
      </w:tblGrid>
      <w:tr w:rsidR="00EE4A93" w:rsidRPr="006C1224" w:rsidTr="00A65ECA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  <w:tcPrChange w:id="2" w:author="MARIN-CUDRAZ DAVI Nicoletta" w:date="2016-07-19T15:17:00Z">
              <w:tcPr>
                <w:tcW w:w="4513" w:type="dxa"/>
                <w:tcBorders>
                  <w:bottom w:val="single" w:sz="4" w:space="0" w:color="auto"/>
                </w:tcBorders>
                <w:tcMar>
                  <w:bottom w:w="170" w:type="dxa"/>
                </w:tcMar>
              </w:tcPr>
            </w:tcPrChange>
          </w:tcPr>
          <w:p w:rsidR="00EE4A93" w:rsidRPr="006C1224" w:rsidRDefault="00EE4A93" w:rsidP="001803C3">
            <w:pPr>
              <w:rPr>
                <w:lang w:val="fr-FR"/>
              </w:rPr>
            </w:pPr>
            <w:bookmarkStart w:id="3" w:name="_GoBack"/>
            <w:bookmarkEnd w:id="3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cPrChange w:id="4" w:author="MARIN-CUDRAZ DAVI Nicoletta" w:date="2016-07-19T15:17:00Z">
              <w:tcPr>
                <w:tcW w:w="4337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</w:tcPrChange>
          </w:tcPr>
          <w:p w:rsidR="00EE4A93" w:rsidRPr="006C1224" w:rsidRDefault="00EE4A93" w:rsidP="001803C3">
            <w:pPr>
              <w:rPr>
                <w:lang w:val="fr-FR"/>
              </w:rPr>
            </w:pPr>
            <w:r w:rsidRPr="006C1224">
              <w:rPr>
                <w:noProof/>
                <w:lang w:eastAsia="en-US"/>
              </w:rPr>
              <w:drawing>
                <wp:inline distT="0" distB="0" distL="0" distR="0" wp14:anchorId="6D4AA485" wp14:editId="639685B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cPrChange w:id="5" w:author="MARIN-CUDRAZ DAVI Nicoletta" w:date="2016-07-19T15:17:00Z">
              <w:tcPr>
                <w:tcW w:w="506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</w:tcPrChange>
          </w:tcPr>
          <w:p w:rsidR="00EE4A93" w:rsidRPr="006C1224" w:rsidRDefault="00EE4A93" w:rsidP="001803C3">
            <w:pPr>
              <w:jc w:val="right"/>
              <w:rPr>
                <w:lang w:val="fr-FR"/>
              </w:rPr>
            </w:pPr>
            <w:r w:rsidRPr="006C122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E4A93" w:rsidRPr="006C1224" w:rsidTr="001803C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E4A93" w:rsidRPr="006C1224" w:rsidRDefault="00EE4A93" w:rsidP="001803C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C1224">
              <w:rPr>
                <w:rFonts w:ascii="Arial Black" w:hAnsi="Arial Black"/>
                <w:caps/>
                <w:sz w:val="15"/>
                <w:lang w:val="fr-FR"/>
              </w:rPr>
              <w:t>LI/A/33/</w:t>
            </w:r>
            <w:bookmarkStart w:id="6" w:name="Code"/>
            <w:bookmarkEnd w:id="6"/>
            <w:r w:rsidRPr="006C1224">
              <w:rPr>
                <w:rFonts w:ascii="Arial Black" w:hAnsi="Arial Black"/>
                <w:caps/>
                <w:sz w:val="15"/>
                <w:lang w:val="fr-FR"/>
              </w:rPr>
              <w:t xml:space="preserve">1 </w:t>
            </w:r>
          </w:p>
        </w:tc>
      </w:tr>
      <w:tr w:rsidR="00EE4A93" w:rsidRPr="006C1224" w:rsidTr="001803C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E4A93" w:rsidRPr="006C1224" w:rsidRDefault="00EE4A93" w:rsidP="001803C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C122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94454" w:rsidRPr="006C12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C122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7" w:name="Original"/>
            <w:bookmarkEnd w:id="7"/>
            <w:r w:rsidRPr="006C122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E4A93" w:rsidRPr="006C1224" w:rsidTr="001803C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E4A93" w:rsidRPr="006C1224" w:rsidRDefault="00EE4A93" w:rsidP="001803C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C122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94454" w:rsidRPr="006C122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C122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8" w:name="Date"/>
            <w:bookmarkEnd w:id="8"/>
            <w:r w:rsidRPr="006C1224">
              <w:rPr>
                <w:rFonts w:ascii="Arial Black" w:hAnsi="Arial Black"/>
                <w:caps/>
                <w:sz w:val="15"/>
                <w:lang w:val="fr-FR"/>
              </w:rPr>
              <w:t>2 août 2016</w:t>
            </w:r>
          </w:p>
        </w:tc>
      </w:tr>
    </w:tbl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b/>
          <w:sz w:val="28"/>
          <w:szCs w:val="28"/>
          <w:lang w:val="fr-FR"/>
        </w:rPr>
      </w:pPr>
      <w:r w:rsidRPr="006C1224">
        <w:rPr>
          <w:b/>
          <w:sz w:val="28"/>
          <w:szCs w:val="28"/>
          <w:lang w:val="fr-FR"/>
        </w:rPr>
        <w:t>Union particulière pour la protection des appellations d’origine et leur enregistrement international (Union de Lisbonne)</w:t>
      </w: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b/>
          <w:sz w:val="28"/>
          <w:szCs w:val="28"/>
          <w:lang w:val="fr-FR"/>
        </w:rPr>
      </w:pPr>
      <w:r w:rsidRPr="006C1224">
        <w:rPr>
          <w:b/>
          <w:sz w:val="28"/>
          <w:szCs w:val="28"/>
          <w:lang w:val="fr-FR"/>
        </w:rPr>
        <w:t>Assemblée</w:t>
      </w: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b/>
          <w:sz w:val="24"/>
          <w:szCs w:val="24"/>
          <w:lang w:val="fr-FR"/>
        </w:rPr>
      </w:pPr>
      <w:r w:rsidRPr="006C1224">
        <w:rPr>
          <w:b/>
          <w:sz w:val="24"/>
          <w:szCs w:val="24"/>
          <w:lang w:val="fr-FR"/>
        </w:rPr>
        <w:t>Trente</w:t>
      </w:r>
      <w:r w:rsidR="006C1224" w:rsidRPr="006C1224">
        <w:rPr>
          <w:b/>
          <w:sz w:val="24"/>
          <w:szCs w:val="24"/>
          <w:lang w:val="fr-FR"/>
        </w:rPr>
        <w:noBreakHyphen/>
      </w:r>
      <w:r w:rsidRPr="006C1224">
        <w:rPr>
          <w:b/>
          <w:sz w:val="24"/>
          <w:szCs w:val="24"/>
          <w:lang w:val="fr-FR"/>
        </w:rPr>
        <w:t>troisième</w:t>
      </w:r>
      <w:r w:rsidR="00F94454" w:rsidRPr="006C1224">
        <w:rPr>
          <w:b/>
          <w:sz w:val="24"/>
          <w:szCs w:val="24"/>
          <w:lang w:val="fr-FR"/>
        </w:rPr>
        <w:t> </w:t>
      </w:r>
      <w:r w:rsidRPr="006C1224">
        <w:rPr>
          <w:b/>
          <w:sz w:val="24"/>
          <w:szCs w:val="24"/>
          <w:lang w:val="fr-FR"/>
        </w:rPr>
        <w:t>session (12</w:t>
      </w:r>
      <w:r w:rsidRPr="006C1224">
        <w:rPr>
          <w:b/>
          <w:sz w:val="24"/>
          <w:szCs w:val="24"/>
          <w:vertAlign w:val="superscript"/>
          <w:lang w:val="fr-FR"/>
        </w:rPr>
        <w:t>e</w:t>
      </w:r>
      <w:r w:rsidR="005B7EDD">
        <w:rPr>
          <w:b/>
          <w:sz w:val="24"/>
          <w:szCs w:val="24"/>
          <w:lang w:val="fr-FR"/>
        </w:rPr>
        <w:t> </w:t>
      </w:r>
      <w:r w:rsidRPr="006C1224">
        <w:rPr>
          <w:b/>
          <w:sz w:val="24"/>
          <w:szCs w:val="24"/>
          <w:lang w:val="fr-FR"/>
        </w:rPr>
        <w:t>session extraordinaire)</w:t>
      </w:r>
    </w:p>
    <w:p w:rsidR="00EE4A93" w:rsidRPr="006C1224" w:rsidRDefault="00EE4A93" w:rsidP="00EE4A93">
      <w:pPr>
        <w:rPr>
          <w:b/>
          <w:sz w:val="24"/>
          <w:szCs w:val="24"/>
          <w:lang w:val="fr-FR"/>
        </w:rPr>
      </w:pPr>
      <w:r w:rsidRPr="006C1224">
        <w:rPr>
          <w:b/>
          <w:sz w:val="24"/>
          <w:szCs w:val="24"/>
          <w:lang w:val="fr-FR"/>
        </w:rPr>
        <w:t>Genève, 3 – 11 octobre 2016</w:t>
      </w: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EE4A93" w:rsidRPr="006C1224" w:rsidRDefault="00EE4A93" w:rsidP="00EE4A93">
      <w:pPr>
        <w:rPr>
          <w:lang w:val="fr-FR"/>
        </w:rPr>
      </w:pPr>
    </w:p>
    <w:p w:rsidR="00BB673D" w:rsidRPr="005B7EDD" w:rsidRDefault="005B7EDD" w:rsidP="005B7EDD">
      <w:pPr>
        <w:rPr>
          <w:caps/>
          <w:sz w:val="24"/>
          <w:lang w:val="fr-FR"/>
        </w:rPr>
      </w:pPr>
      <w:r w:rsidRPr="005B7EDD">
        <w:rPr>
          <w:caps/>
          <w:sz w:val="24"/>
          <w:lang w:val="fr-FR"/>
        </w:rPr>
        <w:t>Questions financières concernant l’Union de Lisbonne</w:t>
      </w:r>
    </w:p>
    <w:p w:rsidR="00BB673D" w:rsidRPr="006C1224" w:rsidRDefault="00BB673D" w:rsidP="00C904CE">
      <w:pPr>
        <w:rPr>
          <w:lang w:val="fr-FR"/>
        </w:rPr>
      </w:pPr>
    </w:p>
    <w:p w:rsidR="00BB673D" w:rsidRPr="006C1224" w:rsidRDefault="00BB673D" w:rsidP="00BB673D">
      <w:pPr>
        <w:rPr>
          <w:i/>
          <w:lang w:val="fr-FR"/>
        </w:rPr>
      </w:pPr>
      <w:r w:rsidRPr="006C1224">
        <w:rPr>
          <w:i/>
          <w:lang w:val="fr-FR"/>
        </w:rPr>
        <w:t>Document établi par le Bureau international</w:t>
      </w:r>
    </w:p>
    <w:p w:rsidR="00BB673D" w:rsidRPr="006C1224" w:rsidRDefault="00BB673D" w:rsidP="00C904CE">
      <w:pPr>
        <w:rPr>
          <w:lang w:val="fr-FR"/>
        </w:rPr>
      </w:pPr>
    </w:p>
    <w:p w:rsidR="00BB673D" w:rsidRPr="006C1224" w:rsidRDefault="00BB673D" w:rsidP="00C904CE">
      <w:pPr>
        <w:rPr>
          <w:lang w:val="fr-FR"/>
        </w:rPr>
      </w:pPr>
    </w:p>
    <w:p w:rsidR="00BB673D" w:rsidRPr="006C1224" w:rsidRDefault="00BB673D" w:rsidP="00C904CE">
      <w:pPr>
        <w:rPr>
          <w:lang w:val="fr-FR"/>
        </w:rPr>
      </w:pPr>
    </w:p>
    <w:p w:rsidR="00BB673D" w:rsidRPr="006C1224" w:rsidRDefault="005B7EDD" w:rsidP="005B7EDD">
      <w:pPr>
        <w:pStyle w:val="Heading1"/>
        <w:rPr>
          <w:lang w:val="fr-FR"/>
        </w:rPr>
      </w:pPr>
      <w:r w:rsidRPr="006C1224">
        <w:rPr>
          <w:lang w:val="fr-FR"/>
        </w:rPr>
        <w:t>Rappel</w:t>
      </w:r>
    </w:p>
    <w:p w:rsidR="00BB673D" w:rsidRPr="006C1224" w:rsidRDefault="00BB673D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val="fr-FR" w:eastAsia="en-US"/>
        </w:rPr>
      </w:pPr>
    </w:p>
    <w:p w:rsidR="00BB673D" w:rsidRPr="006C1224" w:rsidRDefault="00E25484" w:rsidP="005B7EDD">
      <w:pPr>
        <w:pStyle w:val="ONUMFS"/>
        <w:rPr>
          <w:szCs w:val="22"/>
          <w:lang w:val="fr-FR" w:eastAsia="en-US"/>
        </w:rPr>
      </w:pPr>
      <w:r w:rsidRPr="006C1224">
        <w:rPr>
          <w:lang w:val="fr-FR"/>
        </w:rPr>
        <w:t>À leur cinquante</w:t>
      </w:r>
      <w:r w:rsidR="006C1224" w:rsidRPr="006C1224">
        <w:rPr>
          <w:lang w:val="fr-FR"/>
        </w:rPr>
        <w:noBreakHyphen/>
      </w:r>
      <w:r w:rsidR="005B7EDD">
        <w:rPr>
          <w:lang w:val="fr-FR"/>
        </w:rPr>
        <w:t>cinquième </w:t>
      </w:r>
      <w:r w:rsidRPr="006C1224">
        <w:rPr>
          <w:lang w:val="fr-FR"/>
        </w:rPr>
        <w:t>série de réunions (5</w:t>
      </w:r>
      <w:r w:rsidR="00EE4A93" w:rsidRPr="006C1224">
        <w:rPr>
          <w:lang w:val="fr-FR"/>
        </w:rPr>
        <w:t xml:space="preserve"> – </w:t>
      </w:r>
      <w:r w:rsidRPr="006C1224">
        <w:rPr>
          <w:lang w:val="fr-FR"/>
        </w:rPr>
        <w:t>1</w:t>
      </w:r>
      <w:r w:rsidR="00EE4A93" w:rsidRPr="006C1224">
        <w:rPr>
          <w:lang w:val="fr-FR"/>
        </w:rPr>
        <w:t>4 octobre 20</w:t>
      </w:r>
      <w:r w:rsidRPr="006C1224">
        <w:rPr>
          <w:lang w:val="fr-FR"/>
        </w:rPr>
        <w:t>15), les assemblées des États membres de l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OMPI et des unions, chacune pour ce qui la concerne, ont pris note de la décision de l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Assemblée de l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Union de Lisbonne</w:t>
      </w:r>
      <w:r w:rsidRPr="006C1224">
        <w:rPr>
          <w:rStyle w:val="FootnoteReference"/>
          <w:lang w:val="fr-FR"/>
        </w:rPr>
        <w:footnoteReference w:id="2"/>
      </w:r>
      <w:r w:rsidRPr="006C1224">
        <w:rPr>
          <w:lang w:val="fr-FR"/>
        </w:rPr>
        <w:t xml:space="preserve"> d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adopter, d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ici les assemblées de</w:t>
      </w:r>
      <w:r w:rsidR="00F94454" w:rsidRPr="006C1224">
        <w:rPr>
          <w:lang w:val="fr-FR"/>
        </w:rPr>
        <w:t> </w:t>
      </w:r>
      <w:r w:rsidRPr="006C1224">
        <w:rPr>
          <w:lang w:val="fr-FR"/>
        </w:rPr>
        <w:t xml:space="preserve">2016, des mesures pour éliminer le déficit biennal </w:t>
      </w:r>
      <w:r w:rsidR="00C96078">
        <w:rPr>
          <w:lang w:val="fr-FR"/>
        </w:rPr>
        <w:t xml:space="preserve">prévu </w:t>
      </w:r>
      <w:r w:rsidRPr="006C1224">
        <w:rPr>
          <w:lang w:val="fr-FR"/>
        </w:rPr>
        <w:t>de l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Union de Lisbonne</w:t>
      </w:r>
      <w:r w:rsidR="00C96078">
        <w:rPr>
          <w:lang w:val="fr-FR"/>
        </w:rPr>
        <w:t>, comme indiqué</w:t>
      </w:r>
      <w:r w:rsidRPr="006C1224">
        <w:rPr>
          <w:lang w:val="fr-FR"/>
        </w:rPr>
        <w:t xml:space="preserve"> dans le programme et budget de l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OMPI pour l</w:t>
      </w:r>
      <w:r w:rsidR="00EE4A93" w:rsidRPr="006C1224">
        <w:rPr>
          <w:lang w:val="fr-FR"/>
        </w:rPr>
        <w:t>’</w:t>
      </w:r>
      <w:r w:rsidRPr="006C1224">
        <w:rPr>
          <w:lang w:val="fr-FR"/>
        </w:rPr>
        <w:t>exercice biennal</w:t>
      </w:r>
      <w:r w:rsidR="00F94454" w:rsidRPr="006C1224">
        <w:rPr>
          <w:lang w:val="fr-FR"/>
        </w:rPr>
        <w:t> </w:t>
      </w:r>
      <w:r w:rsidRPr="006C1224">
        <w:rPr>
          <w:lang w:val="fr-FR"/>
        </w:rPr>
        <w:t>2016</w:t>
      </w:r>
      <w:r w:rsidR="006C1224" w:rsidRPr="006C1224">
        <w:rPr>
          <w:lang w:val="fr-FR"/>
        </w:rPr>
        <w:noBreakHyphen/>
      </w:r>
      <w:r w:rsidRPr="006C1224">
        <w:rPr>
          <w:lang w:val="fr-FR"/>
        </w:rPr>
        <w:t>2017 (</w:t>
      </w:r>
      <w:r w:rsidR="00EE4A93" w:rsidRPr="006C1224">
        <w:rPr>
          <w:lang w:val="fr-FR"/>
        </w:rPr>
        <w:t>à savoir</w:t>
      </w:r>
      <w:r w:rsidRPr="006C1224">
        <w:rPr>
          <w:lang w:val="fr-FR"/>
        </w:rPr>
        <w:t>, 1,523</w:t>
      </w:r>
      <w:r w:rsidR="00F94454" w:rsidRPr="006C1224">
        <w:rPr>
          <w:lang w:val="fr-FR"/>
        </w:rPr>
        <w:t> million</w:t>
      </w:r>
      <w:r w:rsidRPr="006C1224">
        <w:rPr>
          <w:lang w:val="fr-FR"/>
        </w:rPr>
        <w:t xml:space="preserve"> de francs suiss</w:t>
      </w:r>
      <w:r w:rsidR="006C1224" w:rsidRPr="006C1224">
        <w:rPr>
          <w:lang w:val="fr-FR"/>
        </w:rPr>
        <w:t>es).  Le</w:t>
      </w:r>
      <w:r w:rsidR="0083040F" w:rsidRPr="006C1224">
        <w:rPr>
          <w:lang w:val="fr-FR"/>
        </w:rPr>
        <w:t>s assemblées des États membres de l</w:t>
      </w:r>
      <w:r w:rsidR="00EE4A93" w:rsidRPr="006C1224">
        <w:rPr>
          <w:lang w:val="fr-FR"/>
        </w:rPr>
        <w:t>’</w:t>
      </w:r>
      <w:r w:rsidR="0083040F" w:rsidRPr="006C1224">
        <w:rPr>
          <w:lang w:val="fr-FR"/>
        </w:rPr>
        <w:t xml:space="preserve">OMPI et des unions, chacune pour ce qui la concerne, ont également décidé </w:t>
      </w:r>
      <w:r w:rsidR="00A17134" w:rsidRPr="006C1224">
        <w:rPr>
          <w:lang w:val="fr-FR"/>
        </w:rPr>
        <w:t>“</w:t>
      </w:r>
      <w:r w:rsidR="0083040F" w:rsidRPr="006C1224">
        <w:rPr>
          <w:lang w:val="fr-FR"/>
        </w:rPr>
        <w:t>d</w:t>
      </w:r>
      <w:r w:rsidR="00EE4A93" w:rsidRPr="006C1224">
        <w:rPr>
          <w:lang w:val="fr-FR"/>
        </w:rPr>
        <w:t>’</w:t>
      </w:r>
      <w:r w:rsidR="0083040F" w:rsidRPr="006C1224">
        <w:rPr>
          <w:lang w:val="fr-FR"/>
        </w:rPr>
        <w:t>approuver un prêt à l</w:t>
      </w:r>
      <w:r w:rsidR="00EE4A93" w:rsidRPr="006C1224">
        <w:rPr>
          <w:lang w:val="fr-FR"/>
        </w:rPr>
        <w:t>’</w:t>
      </w:r>
      <w:r w:rsidR="0083040F" w:rsidRPr="006C1224">
        <w:rPr>
          <w:lang w:val="fr-FR"/>
        </w:rPr>
        <w:t>Union de Lisbonne imputé aux réserves des unions financées par des contributions afin de financer le fonctionnement du système de Lisbonne pour l</w:t>
      </w:r>
      <w:r w:rsidR="00EE4A93" w:rsidRPr="006C1224">
        <w:rPr>
          <w:lang w:val="fr-FR"/>
        </w:rPr>
        <w:t>’</w:t>
      </w:r>
      <w:r w:rsidR="0083040F" w:rsidRPr="006C1224">
        <w:rPr>
          <w:lang w:val="fr-FR"/>
        </w:rPr>
        <w:t>exercice biennal 2016</w:t>
      </w:r>
      <w:r w:rsidR="006C1224" w:rsidRPr="006C1224">
        <w:rPr>
          <w:lang w:val="fr-FR"/>
        </w:rPr>
        <w:noBreakHyphen/>
      </w:r>
      <w:r w:rsidR="0083040F" w:rsidRPr="006C1224">
        <w:rPr>
          <w:lang w:val="fr-FR"/>
        </w:rPr>
        <w:t>2017 au cas où ces mesures ne seraient pas suffisantes pour couvrir son déficit biennal pré</w:t>
      </w:r>
      <w:r w:rsidR="006C1224" w:rsidRPr="006C1224">
        <w:rPr>
          <w:lang w:val="fr-FR"/>
        </w:rPr>
        <w:t>vu.  Ce</w:t>
      </w:r>
      <w:r w:rsidR="0083040F" w:rsidRPr="006C1224">
        <w:rPr>
          <w:lang w:val="fr-FR"/>
        </w:rPr>
        <w:t xml:space="preserve"> prêt sera consenti sans intérêt et étant entendu qu</w:t>
      </w:r>
      <w:r w:rsidR="00EE4A93" w:rsidRPr="006C1224">
        <w:rPr>
          <w:lang w:val="fr-FR"/>
        </w:rPr>
        <w:t>’</w:t>
      </w:r>
      <w:r w:rsidR="0083040F" w:rsidRPr="006C1224">
        <w:rPr>
          <w:lang w:val="fr-FR"/>
        </w:rPr>
        <w:t>il sera remboursé lorsque les réserves de l</w:t>
      </w:r>
      <w:r w:rsidR="00EE4A93" w:rsidRPr="006C1224">
        <w:rPr>
          <w:lang w:val="fr-FR"/>
        </w:rPr>
        <w:t>’</w:t>
      </w:r>
      <w:r w:rsidR="0083040F" w:rsidRPr="006C1224">
        <w:rPr>
          <w:lang w:val="fr-FR"/>
        </w:rPr>
        <w:t>Union de Lisbonne le permettront</w:t>
      </w:r>
      <w:r w:rsidR="00A17134" w:rsidRPr="006C1224">
        <w:rPr>
          <w:lang w:val="fr-FR"/>
        </w:rPr>
        <w:t>”</w:t>
      </w:r>
      <w:r w:rsidR="0083040F" w:rsidRPr="006C1224">
        <w:rPr>
          <w:lang w:val="fr-FR"/>
        </w:rPr>
        <w:t xml:space="preserve"> (paragraphes</w:t>
      </w:r>
      <w:r w:rsidR="00F94454" w:rsidRPr="006C1224">
        <w:rPr>
          <w:lang w:val="fr-FR"/>
        </w:rPr>
        <w:t> </w:t>
      </w:r>
      <w:r w:rsidR="005B7EDD">
        <w:rPr>
          <w:lang w:val="fr-FR"/>
        </w:rPr>
        <w:t>231 et </w:t>
      </w:r>
      <w:r w:rsidR="0083040F" w:rsidRPr="006C1224">
        <w:rPr>
          <w:lang w:val="fr-FR"/>
        </w:rPr>
        <w:t>235 du document A/55/13).</w:t>
      </w:r>
    </w:p>
    <w:p w:rsidR="00BB673D" w:rsidRPr="006C1224" w:rsidRDefault="001A3711" w:rsidP="00995439">
      <w:pPr>
        <w:pStyle w:val="ONUMFS"/>
        <w:rPr>
          <w:lang w:val="fr-FR" w:eastAsia="en-US"/>
        </w:rPr>
      </w:pPr>
      <w:r w:rsidRPr="006C1224">
        <w:rPr>
          <w:lang w:val="fr-FR" w:eastAsia="en-US"/>
        </w:rPr>
        <w:t>En outre, à sa trente</w:t>
      </w:r>
      <w:r w:rsidR="006C1224" w:rsidRPr="006C1224">
        <w:rPr>
          <w:lang w:val="fr-FR" w:eastAsia="en-US"/>
        </w:rPr>
        <w:noBreakHyphen/>
      </w:r>
      <w:r w:rsidRPr="006C1224">
        <w:rPr>
          <w:lang w:val="fr-FR" w:eastAsia="en-US"/>
        </w:rPr>
        <w:t>deuxième</w:t>
      </w:r>
      <w:r w:rsidR="00F94454" w:rsidRPr="006C1224">
        <w:rPr>
          <w:lang w:val="fr-FR" w:eastAsia="en-US"/>
        </w:rPr>
        <w:t> </w:t>
      </w:r>
      <w:r w:rsidRPr="006C1224">
        <w:rPr>
          <w:lang w:val="fr-FR" w:eastAsia="en-US"/>
        </w:rPr>
        <w:t>session (21</w:t>
      </w:r>
      <w:r w:rsidRPr="006C1224">
        <w:rPr>
          <w:vertAlign w:val="superscript"/>
          <w:lang w:val="fr-FR" w:eastAsia="en-US"/>
        </w:rPr>
        <w:t>e</w:t>
      </w:r>
      <w:r w:rsidRPr="006C1224">
        <w:rPr>
          <w:lang w:val="fr-FR" w:eastAsia="en-US"/>
        </w:rPr>
        <w:t> session ordinaire), l</w:t>
      </w:r>
      <w:r w:rsidR="00EE4A93" w:rsidRPr="006C1224">
        <w:rPr>
          <w:lang w:val="fr-FR" w:eastAsia="en-US"/>
        </w:rPr>
        <w:t>’</w:t>
      </w:r>
      <w:r w:rsidRPr="006C1224">
        <w:rPr>
          <w:lang w:val="fr-FR" w:eastAsia="en-US"/>
        </w:rPr>
        <w:t>Assemblée de l</w:t>
      </w:r>
      <w:r w:rsidR="00EE4A93" w:rsidRPr="006C1224">
        <w:rPr>
          <w:lang w:val="fr-FR" w:eastAsia="en-US"/>
        </w:rPr>
        <w:t>’</w:t>
      </w:r>
      <w:r w:rsidRPr="006C1224">
        <w:rPr>
          <w:lang w:val="fr-FR" w:eastAsia="en-US"/>
        </w:rPr>
        <w:t>Union de Lisbonne a décidé que l</w:t>
      </w:r>
      <w:r w:rsidR="00EE4A93" w:rsidRPr="006C1224">
        <w:rPr>
          <w:lang w:val="fr-FR" w:eastAsia="en-US"/>
        </w:rPr>
        <w:t>’</w:t>
      </w:r>
      <w:r w:rsidRPr="006C1224">
        <w:rPr>
          <w:lang w:val="fr-FR" w:eastAsia="en-US"/>
        </w:rPr>
        <w:t xml:space="preserve">Union de Lisbonne devrait tirer parti des réunions du Groupe de travail </w:t>
      </w:r>
      <w:r w:rsidR="00C96078" w:rsidRPr="00C96078">
        <w:rPr>
          <w:szCs w:val="22"/>
          <w:lang w:val="fr-FR" w:eastAsia="en-US"/>
        </w:rPr>
        <w:lastRenderedPageBreak/>
        <w:t xml:space="preserve">chargé d’élaborer un règlement d’exécution commun à l’Arrangement de Lisbonne et à l’Acte de Genève de l’Arrangement de Lisbonne </w:t>
      </w:r>
      <w:r w:rsidR="00191A94">
        <w:rPr>
          <w:szCs w:val="22"/>
          <w:lang w:val="fr-FR" w:eastAsia="en-US"/>
        </w:rPr>
        <w:t>(ci-après dénommé</w:t>
      </w:r>
      <w:r w:rsidR="00995439">
        <w:rPr>
          <w:szCs w:val="22"/>
          <w:lang w:val="fr-FR" w:eastAsia="en-US"/>
        </w:rPr>
        <w:t xml:space="preserve"> </w:t>
      </w:r>
      <w:r w:rsidR="00995439" w:rsidRPr="00995439">
        <w:rPr>
          <w:szCs w:val="22"/>
          <w:lang w:val="fr-FR" w:eastAsia="en-US"/>
        </w:rPr>
        <w:t>“</w:t>
      </w:r>
      <w:r w:rsidR="00191A94">
        <w:rPr>
          <w:szCs w:val="22"/>
          <w:lang w:val="fr-FR" w:eastAsia="en-US"/>
        </w:rPr>
        <w:t>groupe de travail</w:t>
      </w:r>
      <w:r w:rsidR="00995439" w:rsidRPr="00995439">
        <w:rPr>
          <w:szCs w:val="22"/>
          <w:lang w:val="fr-FR" w:eastAsia="en-US"/>
        </w:rPr>
        <w:t>”</w:t>
      </w:r>
      <w:r w:rsidR="00191A94">
        <w:rPr>
          <w:szCs w:val="22"/>
          <w:lang w:val="fr-FR" w:eastAsia="en-US"/>
        </w:rPr>
        <w:t>)</w:t>
      </w:r>
      <w:r w:rsidR="00AF4A90">
        <w:rPr>
          <w:szCs w:val="22"/>
          <w:lang w:val="fr-FR" w:eastAsia="en-US"/>
        </w:rPr>
        <w:t xml:space="preserve"> </w:t>
      </w:r>
      <w:r w:rsidRPr="006C1224">
        <w:rPr>
          <w:lang w:val="fr-FR" w:eastAsia="en-US"/>
        </w:rPr>
        <w:t>pour examiner la question de la viabilité financière de l</w:t>
      </w:r>
      <w:r w:rsidR="00EE4A93" w:rsidRPr="006C1224">
        <w:rPr>
          <w:lang w:val="fr-FR" w:eastAsia="en-US"/>
        </w:rPr>
        <w:t>’</w:t>
      </w:r>
      <w:r w:rsidRPr="006C1224">
        <w:rPr>
          <w:lang w:val="fr-FR" w:eastAsia="en-US"/>
        </w:rPr>
        <w:t xml:space="preserve">Union de Lisbonne, </w:t>
      </w:r>
      <w:r w:rsidR="00EE4A93" w:rsidRPr="006C1224">
        <w:rPr>
          <w:lang w:val="fr-FR" w:eastAsia="en-US"/>
        </w:rPr>
        <w:t>y compris</w:t>
      </w:r>
      <w:r w:rsidRPr="006C1224">
        <w:rPr>
          <w:lang w:val="fr-FR" w:eastAsia="en-US"/>
        </w:rPr>
        <w:t xml:space="preserve"> les options figurant dans le document LI/A/32/3 et toute autre solution concrète, et pour présenter une proposition à la</w:t>
      </w:r>
      <w:r w:rsidR="00A17134" w:rsidRPr="006C1224">
        <w:rPr>
          <w:lang w:val="fr-FR" w:eastAsia="en-US"/>
        </w:rPr>
        <w:t xml:space="preserve"> </w:t>
      </w:r>
      <w:r w:rsidRPr="006C1224">
        <w:rPr>
          <w:lang w:val="fr-FR" w:eastAsia="en-US"/>
        </w:rPr>
        <w:t>prochaine session de l</w:t>
      </w:r>
      <w:r w:rsidR="00EE4A93" w:rsidRPr="006C1224">
        <w:rPr>
          <w:lang w:val="fr-FR" w:eastAsia="en-US"/>
        </w:rPr>
        <w:t>’</w:t>
      </w:r>
      <w:r w:rsidRPr="006C1224">
        <w:rPr>
          <w:lang w:val="fr-FR" w:eastAsia="en-US"/>
        </w:rPr>
        <w:t>assemblée en</w:t>
      </w:r>
      <w:r w:rsidR="00F94454" w:rsidRPr="006C1224">
        <w:rPr>
          <w:lang w:val="fr-FR" w:eastAsia="en-US"/>
        </w:rPr>
        <w:t> </w:t>
      </w:r>
      <w:r w:rsidRPr="006C1224">
        <w:rPr>
          <w:lang w:val="fr-FR" w:eastAsia="en-US"/>
        </w:rPr>
        <w:t>2016 (paragraphe</w:t>
      </w:r>
      <w:r w:rsidR="00F94454" w:rsidRPr="006C1224">
        <w:rPr>
          <w:lang w:val="fr-FR" w:eastAsia="en-US"/>
        </w:rPr>
        <w:t> </w:t>
      </w:r>
      <w:r w:rsidR="00C36500" w:rsidRPr="006C1224">
        <w:rPr>
          <w:lang w:val="fr-FR" w:eastAsia="en-US"/>
        </w:rPr>
        <w:t>73.iii) du document LI/A/32/5</w:t>
      </w:r>
      <w:r w:rsidRPr="006C1224">
        <w:rPr>
          <w:lang w:val="fr-FR" w:eastAsia="en-US"/>
        </w:rPr>
        <w:t>).</w:t>
      </w:r>
    </w:p>
    <w:p w:rsidR="00BB673D" w:rsidRDefault="005B7EDD" w:rsidP="005B7EDD">
      <w:pPr>
        <w:pStyle w:val="Heading1"/>
        <w:rPr>
          <w:lang w:val="fr-FR"/>
        </w:rPr>
      </w:pPr>
      <w:r>
        <w:rPr>
          <w:lang w:val="fr-FR"/>
        </w:rPr>
        <w:t>V</w:t>
      </w:r>
      <w:r w:rsidRPr="006C1224">
        <w:rPr>
          <w:lang w:val="fr-FR"/>
        </w:rPr>
        <w:t>iabilité financière de l’</w:t>
      </w:r>
      <w:r>
        <w:rPr>
          <w:lang w:val="fr-FR"/>
        </w:rPr>
        <w:t>U</w:t>
      </w:r>
      <w:r w:rsidRPr="006C1224">
        <w:rPr>
          <w:lang w:val="fr-FR"/>
        </w:rPr>
        <w:t xml:space="preserve">nion de </w:t>
      </w:r>
      <w:r>
        <w:rPr>
          <w:lang w:val="fr-FR"/>
        </w:rPr>
        <w:t>L</w:t>
      </w:r>
      <w:r w:rsidRPr="006C1224">
        <w:rPr>
          <w:lang w:val="fr-FR"/>
        </w:rPr>
        <w:t>isbonne</w:t>
      </w:r>
    </w:p>
    <w:p w:rsidR="005B7EDD" w:rsidRPr="005B7EDD" w:rsidRDefault="005B7EDD" w:rsidP="005B7EDD">
      <w:pPr>
        <w:rPr>
          <w:lang w:val="fr-FR"/>
        </w:rPr>
      </w:pPr>
    </w:p>
    <w:p w:rsidR="00BB673D" w:rsidRPr="006C1224" w:rsidRDefault="001A3711" w:rsidP="005B7EDD">
      <w:pPr>
        <w:pStyle w:val="ONUMFS"/>
        <w:rPr>
          <w:szCs w:val="22"/>
          <w:lang w:val="fr-FR"/>
        </w:rPr>
      </w:pPr>
      <w:r w:rsidRPr="006C1224">
        <w:rPr>
          <w:szCs w:val="22"/>
          <w:lang w:val="fr-FR"/>
        </w:rPr>
        <w:t xml:space="preserve">À sa première session tenue à Genève du 7 au </w:t>
      </w:r>
      <w:r w:rsidR="00EE4A93" w:rsidRPr="006C1224">
        <w:rPr>
          <w:szCs w:val="22"/>
          <w:lang w:val="fr-FR"/>
        </w:rPr>
        <w:t>9 juin</w:t>
      </w:r>
      <w:r w:rsidRPr="006C1224">
        <w:rPr>
          <w:szCs w:val="22"/>
          <w:lang w:val="fr-FR"/>
        </w:rPr>
        <w:t> 2016, le groupe de travail s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est reporté aux documents LI/A/32/3 (Options pour assurer la viabilité financière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Lisbonne), LI/A/32/2 (</w:t>
      </w:r>
      <w:r w:rsidR="00A17134" w:rsidRPr="006C1224">
        <w:rPr>
          <w:szCs w:val="22"/>
          <w:lang w:val="fr-FR"/>
        </w:rPr>
        <w:t>Proposition de mise à jour du barème des taxes figurant à la règle</w:t>
      </w:r>
      <w:r w:rsidR="00F94454" w:rsidRPr="006C1224">
        <w:rPr>
          <w:szCs w:val="22"/>
          <w:lang w:val="fr-FR"/>
        </w:rPr>
        <w:t> </w:t>
      </w:r>
      <w:r w:rsidR="00A17134" w:rsidRPr="006C1224">
        <w:rPr>
          <w:szCs w:val="22"/>
          <w:lang w:val="fr-FR"/>
        </w:rPr>
        <w:t>23 du règlement d</w:t>
      </w:r>
      <w:r w:rsidR="00EE4A93" w:rsidRPr="006C1224">
        <w:rPr>
          <w:szCs w:val="22"/>
          <w:lang w:val="fr-FR"/>
        </w:rPr>
        <w:t>’</w:t>
      </w:r>
      <w:r w:rsidR="00A17134" w:rsidRPr="006C1224">
        <w:rPr>
          <w:szCs w:val="22"/>
          <w:lang w:val="fr-FR"/>
        </w:rPr>
        <w:t>exécution de l</w:t>
      </w:r>
      <w:r w:rsidR="00EE4A93" w:rsidRPr="006C1224">
        <w:rPr>
          <w:szCs w:val="22"/>
          <w:lang w:val="fr-FR"/>
        </w:rPr>
        <w:t>’</w:t>
      </w:r>
      <w:r w:rsidR="00A17134" w:rsidRPr="006C1224">
        <w:rPr>
          <w:szCs w:val="22"/>
          <w:lang w:val="fr-FR"/>
        </w:rPr>
        <w:t>Arrangement de Lisbonne</w:t>
      </w:r>
      <w:r w:rsidRPr="006C1224">
        <w:rPr>
          <w:szCs w:val="22"/>
          <w:lang w:val="fr-FR"/>
        </w:rPr>
        <w:t xml:space="preserve">) et LI/A/32/4 (Proposition </w:t>
      </w:r>
      <w:r w:rsidR="00AF4A90">
        <w:rPr>
          <w:szCs w:val="22"/>
          <w:lang w:val="fr-FR"/>
        </w:rPr>
        <w:t>relative à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établissement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 fonds de roulement pour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Lisbonne)</w:t>
      </w:r>
      <w:r w:rsidRPr="006C1224">
        <w:rPr>
          <w:rStyle w:val="FootnoteReference"/>
          <w:szCs w:val="22"/>
          <w:lang w:val="fr-FR"/>
        </w:rPr>
        <w:footnoteReference w:id="3"/>
      </w:r>
      <w:r w:rsidRPr="006C1224">
        <w:rPr>
          <w:szCs w:val="22"/>
          <w:lang w:val="fr-FR"/>
        </w:rPr>
        <w:t>.</w:t>
      </w:r>
    </w:p>
    <w:p w:rsidR="00EE4A93" w:rsidRPr="006C1224" w:rsidRDefault="001A3711" w:rsidP="005B7EDD">
      <w:pPr>
        <w:pStyle w:val="ONUMFS"/>
        <w:rPr>
          <w:szCs w:val="22"/>
          <w:lang w:val="fr-FR"/>
        </w:rPr>
      </w:pPr>
      <w:r w:rsidRPr="006C1224">
        <w:rPr>
          <w:szCs w:val="22"/>
          <w:lang w:val="fr-FR"/>
        </w:rPr>
        <w:t>Le président du groupe de travail a indiqué que le groupe de travail était convenu que des mesures devraient être adoptées afin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assurer la viabilité financière à long terme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 xml:space="preserve">Union de Lisbonne, </w:t>
      </w:r>
      <w:r w:rsidR="00EE4A93" w:rsidRPr="006C1224">
        <w:rPr>
          <w:szCs w:val="22"/>
          <w:lang w:val="fr-FR"/>
        </w:rPr>
        <w:t>y compris</w:t>
      </w:r>
      <w:r w:rsidRPr="006C1224">
        <w:rPr>
          <w:szCs w:val="22"/>
          <w:lang w:val="fr-FR"/>
        </w:rPr>
        <w:t xml:space="preserve"> des discussions plus approfondies concernant une éventuelle hausse progressive du montant des taxes et la mise en place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 système de contributions à examiner et à approuver dans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aven</w:t>
      </w:r>
      <w:r w:rsidR="006C1224" w:rsidRPr="006C1224">
        <w:rPr>
          <w:szCs w:val="22"/>
          <w:lang w:val="fr-FR"/>
        </w:rPr>
        <w:t>ir.  En</w:t>
      </w:r>
      <w:r w:rsidRPr="006C1224">
        <w:rPr>
          <w:szCs w:val="22"/>
          <w:lang w:val="fr-FR"/>
        </w:rPr>
        <w:t xml:space="preserve"> outre, les délégations ont rappelé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importance que revêtait la promotion du système de Lisbonne qui devrait être effectuée par le Service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enregistrement de Lisbonne en vue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attirer de nouvelles parties contractantes, ce qui permettrait de répartir la charge financière entre un plus grand nombre de membres, et sur le plan interne par les États membres afin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encourager, dans toute la mesure possible, le dépôt de nouvelles demandes.  À cet égard, deux</w:t>
      </w:r>
      <w:r w:rsidR="00F94454" w:rsidRPr="006C1224">
        <w:rPr>
          <w:szCs w:val="22"/>
          <w:lang w:val="fr-FR"/>
        </w:rPr>
        <w:t> </w:t>
      </w:r>
      <w:r w:rsidRPr="006C1224">
        <w:rPr>
          <w:szCs w:val="22"/>
          <w:lang w:val="fr-FR"/>
        </w:rPr>
        <w:t>délégations observatrices ont déclaré que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OMPI devrait mener des activités de promotion des indications géographiques, de manière équilibrée.  Une délégation membre s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est interrogée sur le point de savoir si la question de la promotion équilibrée ne devrait pas être abordée dans un contexte plus large</w:t>
      </w:r>
      <w:r w:rsidRPr="006C1224">
        <w:rPr>
          <w:rStyle w:val="FootnoteReference"/>
          <w:szCs w:val="22"/>
          <w:lang w:val="fr-FR"/>
        </w:rPr>
        <w:footnoteReference w:id="4"/>
      </w:r>
      <w:r w:rsidRPr="006C1224">
        <w:rPr>
          <w:szCs w:val="22"/>
          <w:lang w:val="fr-FR"/>
        </w:rPr>
        <w:t>.</w:t>
      </w:r>
    </w:p>
    <w:p w:rsidR="00BB673D" w:rsidRPr="006C1224" w:rsidRDefault="001A3711" w:rsidP="005B7EDD">
      <w:pPr>
        <w:pStyle w:val="ONUMFS"/>
        <w:rPr>
          <w:szCs w:val="22"/>
          <w:lang w:val="fr-FR"/>
        </w:rPr>
      </w:pPr>
      <w:r w:rsidRPr="006C1224">
        <w:rPr>
          <w:szCs w:val="22"/>
          <w:lang w:val="fr-FR"/>
        </w:rPr>
        <w:t>Enfin, le groupe de travail a prié le Secrétariat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organiser une ou plusieurs réunions afin que les membres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 puissent, avec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aide du Secrétariat, élaborer des propositions visant à assurer la viabilité financière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Lisbonne, en temps voulu pour examen à la prochaine session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Assemblée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Lisbonne, conformément à la décision de cette assemblée (paragraphe 73.iii) du document LI/A/32/5).</w:t>
      </w:r>
    </w:p>
    <w:p w:rsidR="00BB673D" w:rsidRDefault="005B7EDD" w:rsidP="005B7EDD">
      <w:pPr>
        <w:pStyle w:val="Heading1"/>
        <w:rPr>
          <w:lang w:val="fr-FR"/>
        </w:rPr>
      </w:pPr>
      <w:r>
        <w:rPr>
          <w:lang w:val="fr-FR"/>
        </w:rPr>
        <w:t>D</w:t>
      </w:r>
      <w:r w:rsidRPr="006C1224">
        <w:rPr>
          <w:lang w:val="fr-FR"/>
        </w:rPr>
        <w:t>éficit de l’</w:t>
      </w:r>
      <w:r>
        <w:rPr>
          <w:lang w:val="fr-FR"/>
        </w:rPr>
        <w:t>U</w:t>
      </w:r>
      <w:r w:rsidRPr="006C1224">
        <w:rPr>
          <w:lang w:val="fr-FR"/>
        </w:rPr>
        <w:t xml:space="preserve">nion de </w:t>
      </w:r>
      <w:r>
        <w:rPr>
          <w:lang w:val="fr-FR"/>
        </w:rPr>
        <w:t>L</w:t>
      </w:r>
      <w:r w:rsidRPr="006C1224">
        <w:rPr>
          <w:lang w:val="fr-FR"/>
        </w:rPr>
        <w:t>isbonne</w:t>
      </w:r>
    </w:p>
    <w:p w:rsidR="005B7EDD" w:rsidRPr="005B7EDD" w:rsidRDefault="005B7EDD" w:rsidP="005B7EDD">
      <w:pPr>
        <w:rPr>
          <w:lang w:val="fr-FR"/>
        </w:rPr>
      </w:pPr>
    </w:p>
    <w:p w:rsidR="00EE4A93" w:rsidRPr="006C1224" w:rsidRDefault="00A17134" w:rsidP="005B7EDD">
      <w:pPr>
        <w:pStyle w:val="ONUMFS"/>
        <w:rPr>
          <w:szCs w:val="22"/>
          <w:lang w:val="fr-FR"/>
        </w:rPr>
      </w:pPr>
      <w:r w:rsidRPr="006C1224">
        <w:rPr>
          <w:szCs w:val="22"/>
          <w:lang w:val="fr-FR"/>
        </w:rPr>
        <w:t>À la première session du groupe de travail, les membres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 ont échangé des vues sur les mesures susceptibles d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être adoptées par les assemblées de</w:t>
      </w:r>
      <w:r w:rsidR="00F94454" w:rsidRPr="006C1224">
        <w:rPr>
          <w:szCs w:val="22"/>
          <w:lang w:val="fr-FR"/>
        </w:rPr>
        <w:t> </w:t>
      </w:r>
      <w:r w:rsidRPr="006C1224">
        <w:rPr>
          <w:szCs w:val="22"/>
          <w:lang w:val="fr-FR"/>
        </w:rPr>
        <w:t xml:space="preserve">2016 pour éliminer le déficit </w:t>
      </w:r>
      <w:r w:rsidR="00AF4A90">
        <w:rPr>
          <w:szCs w:val="22"/>
          <w:lang w:val="fr-FR"/>
        </w:rPr>
        <w:t>prévu</w:t>
      </w:r>
      <w:r w:rsidR="00AF4A90" w:rsidRPr="006C1224">
        <w:rPr>
          <w:szCs w:val="22"/>
          <w:lang w:val="fr-FR"/>
        </w:rPr>
        <w:t xml:space="preserve"> </w:t>
      </w:r>
      <w:r w:rsidRPr="006C1224">
        <w:rPr>
          <w:szCs w:val="22"/>
          <w:lang w:val="fr-FR"/>
        </w:rPr>
        <w:t>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 tel qu</w:t>
      </w:r>
      <w:r w:rsidR="00AF4A90">
        <w:rPr>
          <w:szCs w:val="22"/>
          <w:lang w:val="fr-FR"/>
        </w:rPr>
        <w:t xml:space="preserve">’indiqué </w:t>
      </w:r>
      <w:r w:rsidRPr="006C1224">
        <w:rPr>
          <w:szCs w:val="22"/>
          <w:lang w:val="fr-FR"/>
        </w:rPr>
        <w:t>dans le programme et budget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OMPI pour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exercice biennal</w:t>
      </w:r>
      <w:r w:rsidR="00F94454" w:rsidRPr="006C1224">
        <w:rPr>
          <w:szCs w:val="22"/>
          <w:lang w:val="fr-FR"/>
        </w:rPr>
        <w:t> </w:t>
      </w:r>
      <w:r w:rsidRPr="006C1224">
        <w:rPr>
          <w:szCs w:val="22"/>
          <w:lang w:val="fr-FR"/>
        </w:rPr>
        <w:t>2016</w:t>
      </w:r>
      <w:r w:rsidR="006C1224" w:rsidRPr="006C1224">
        <w:rPr>
          <w:szCs w:val="22"/>
          <w:lang w:val="fr-FR"/>
        </w:rPr>
        <w:noBreakHyphen/>
      </w:r>
      <w:r w:rsidRPr="006C1224">
        <w:rPr>
          <w:szCs w:val="22"/>
          <w:lang w:val="fr-FR"/>
        </w:rPr>
        <w:t>2017 (1,523</w:t>
      </w:r>
      <w:r w:rsidR="00F94454" w:rsidRPr="006C1224">
        <w:rPr>
          <w:szCs w:val="22"/>
          <w:lang w:val="fr-FR"/>
        </w:rPr>
        <w:t> </w:t>
      </w:r>
      <w:r w:rsidRPr="006C1224">
        <w:rPr>
          <w:szCs w:val="22"/>
          <w:lang w:val="fr-FR"/>
        </w:rPr>
        <w:t>million de francs suisses).</w:t>
      </w:r>
    </w:p>
    <w:p w:rsidR="00BB673D" w:rsidRPr="006C1224" w:rsidRDefault="00A17134" w:rsidP="005B7EDD">
      <w:pPr>
        <w:pStyle w:val="ONUMFS"/>
        <w:rPr>
          <w:szCs w:val="22"/>
          <w:lang w:val="fr-FR"/>
        </w:rPr>
      </w:pPr>
      <w:r w:rsidRPr="006C1224">
        <w:rPr>
          <w:szCs w:val="22"/>
          <w:lang w:val="fr-FR"/>
        </w:rPr>
        <w:t>À cet égard, le président a indiqué qu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 certain nombre de membres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 avaient annoncé qu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ils étaient disposés à effectuer des versements à titre volontaire en vue de combler le déficit biennal prévu de l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Union de Lisbonne et qu</w:t>
      </w:r>
      <w:r w:rsidR="00EE4A93" w:rsidRPr="006C1224">
        <w:rPr>
          <w:szCs w:val="22"/>
          <w:lang w:val="fr-FR"/>
        </w:rPr>
        <w:t>’</w:t>
      </w:r>
      <w:r w:rsidRPr="006C1224">
        <w:rPr>
          <w:szCs w:val="22"/>
          <w:lang w:val="fr-FR"/>
        </w:rPr>
        <w:t>ils prendraient les mesures nécessaires afin de convenir avec le Secrétariat des modalités des versements.</w:t>
      </w:r>
    </w:p>
    <w:p w:rsidR="00EE4A93" w:rsidRPr="00C51D6E" w:rsidRDefault="00A17134" w:rsidP="00C51D6E">
      <w:pPr>
        <w:pStyle w:val="ONUMFS"/>
        <w:keepNext/>
        <w:keepLines/>
        <w:ind w:left="5533"/>
        <w:rPr>
          <w:i/>
          <w:lang w:val="fr-FR"/>
        </w:rPr>
      </w:pPr>
      <w:r w:rsidRPr="00C51D6E">
        <w:rPr>
          <w:i/>
          <w:lang w:val="fr-FR"/>
        </w:rPr>
        <w:lastRenderedPageBreak/>
        <w:t>L</w:t>
      </w:r>
      <w:r w:rsidR="00EE4A93" w:rsidRPr="00C51D6E">
        <w:rPr>
          <w:i/>
          <w:lang w:val="fr-FR"/>
        </w:rPr>
        <w:t>’</w:t>
      </w:r>
      <w:r w:rsidRPr="00C51D6E">
        <w:rPr>
          <w:i/>
          <w:lang w:val="fr-FR"/>
        </w:rPr>
        <w:t>Assemblée de l</w:t>
      </w:r>
      <w:r w:rsidR="00EE4A93" w:rsidRPr="00C51D6E">
        <w:rPr>
          <w:i/>
          <w:lang w:val="fr-FR"/>
        </w:rPr>
        <w:t>’</w:t>
      </w:r>
      <w:r w:rsidRPr="00C51D6E">
        <w:rPr>
          <w:i/>
          <w:lang w:val="fr-FR"/>
        </w:rPr>
        <w:t>Union de Lisbonne est invitée</w:t>
      </w:r>
    </w:p>
    <w:p w:rsidR="00BB673D" w:rsidRPr="00C51D6E" w:rsidRDefault="00B6738B" w:rsidP="004F6DCD">
      <w:pPr>
        <w:pStyle w:val="ONUMFS"/>
        <w:keepNext/>
        <w:keepLines/>
        <w:numPr>
          <w:ilvl w:val="2"/>
          <w:numId w:val="6"/>
        </w:numPr>
        <w:tabs>
          <w:tab w:val="left" w:pos="6237"/>
        </w:tabs>
        <w:ind w:left="6237"/>
        <w:rPr>
          <w:i/>
          <w:lang w:val="fr-FR"/>
        </w:rPr>
      </w:pPr>
      <w:r w:rsidRPr="00C51D6E">
        <w:rPr>
          <w:i/>
          <w:lang w:val="fr-FR"/>
        </w:rPr>
        <w:t xml:space="preserve">à </w:t>
      </w:r>
      <w:r w:rsidR="00A17134" w:rsidRPr="00C51D6E">
        <w:rPr>
          <w:i/>
          <w:lang w:val="fr-FR"/>
        </w:rPr>
        <w:t>prendre note du document LI/A/33/1 (Questions financières concernant l</w:t>
      </w:r>
      <w:r w:rsidR="00EE4A93" w:rsidRPr="00C51D6E">
        <w:rPr>
          <w:i/>
          <w:lang w:val="fr-FR"/>
        </w:rPr>
        <w:t>’</w:t>
      </w:r>
      <w:r w:rsidR="00A17134" w:rsidRPr="00C51D6E">
        <w:rPr>
          <w:i/>
          <w:lang w:val="fr-FR"/>
        </w:rPr>
        <w:t>Union de Lisbonne)</w:t>
      </w:r>
      <w:r w:rsidR="005B7EDD" w:rsidRPr="00C51D6E">
        <w:rPr>
          <w:i/>
          <w:lang w:val="fr-FR"/>
        </w:rPr>
        <w:t>,</w:t>
      </w:r>
    </w:p>
    <w:p w:rsidR="00EE4A93" w:rsidRPr="00C51D6E" w:rsidRDefault="00B6738B" w:rsidP="004F6DCD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FR"/>
        </w:rPr>
      </w:pPr>
      <w:r w:rsidRPr="00C51D6E">
        <w:rPr>
          <w:i/>
          <w:lang w:val="fr-FR"/>
        </w:rPr>
        <w:t xml:space="preserve">à </w:t>
      </w:r>
      <w:r w:rsidR="00A17134" w:rsidRPr="00C51D6E">
        <w:rPr>
          <w:i/>
          <w:lang w:val="fr-FR"/>
        </w:rPr>
        <w:t xml:space="preserve">examiner une ou plusieurs propositions pour assurer la </w:t>
      </w:r>
      <w:r w:rsidR="00163B31">
        <w:rPr>
          <w:i/>
          <w:lang w:val="fr-FR"/>
        </w:rPr>
        <w:t>viabilité</w:t>
      </w:r>
      <w:r w:rsidR="00163B31" w:rsidRPr="00C51D6E">
        <w:rPr>
          <w:i/>
          <w:lang w:val="fr-FR"/>
        </w:rPr>
        <w:t xml:space="preserve"> </w:t>
      </w:r>
      <w:r w:rsidR="00A17134" w:rsidRPr="00C51D6E">
        <w:rPr>
          <w:i/>
          <w:lang w:val="fr-FR"/>
        </w:rPr>
        <w:t>financière de l</w:t>
      </w:r>
      <w:r w:rsidR="00EE4A93" w:rsidRPr="00C51D6E">
        <w:rPr>
          <w:i/>
          <w:lang w:val="fr-FR"/>
        </w:rPr>
        <w:t>’</w:t>
      </w:r>
      <w:r w:rsidR="00A17134" w:rsidRPr="00C51D6E">
        <w:rPr>
          <w:i/>
          <w:lang w:val="fr-FR"/>
        </w:rPr>
        <w:t>Union de Lisbonne</w:t>
      </w:r>
      <w:r w:rsidR="005B7EDD" w:rsidRPr="00C51D6E">
        <w:rPr>
          <w:i/>
          <w:lang w:val="fr-FR"/>
        </w:rPr>
        <w:t>, e</w:t>
      </w:r>
      <w:r w:rsidRPr="00C51D6E">
        <w:rPr>
          <w:i/>
          <w:lang w:val="fr-FR"/>
        </w:rPr>
        <w:t>t</w:t>
      </w:r>
    </w:p>
    <w:p w:rsidR="00BB673D" w:rsidRPr="00C51D6E" w:rsidRDefault="00B6738B" w:rsidP="004F6DCD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FR"/>
        </w:rPr>
      </w:pPr>
      <w:r w:rsidRPr="00C51D6E">
        <w:rPr>
          <w:i/>
          <w:lang w:val="fr-FR"/>
        </w:rPr>
        <w:t xml:space="preserve">à </w:t>
      </w:r>
      <w:r w:rsidR="00A17134" w:rsidRPr="00C51D6E">
        <w:rPr>
          <w:i/>
          <w:lang w:val="fr-FR"/>
        </w:rPr>
        <w:t xml:space="preserve">adopter des mesures pour éliminer le déficit </w:t>
      </w:r>
      <w:r w:rsidR="00163B31">
        <w:rPr>
          <w:i/>
          <w:lang w:val="fr-FR"/>
        </w:rPr>
        <w:t xml:space="preserve">prévu </w:t>
      </w:r>
      <w:r w:rsidR="00A17134" w:rsidRPr="00C51D6E">
        <w:rPr>
          <w:i/>
          <w:lang w:val="fr-FR"/>
        </w:rPr>
        <w:t>de l</w:t>
      </w:r>
      <w:r w:rsidR="00EE4A93" w:rsidRPr="00C51D6E">
        <w:rPr>
          <w:i/>
          <w:lang w:val="fr-FR"/>
        </w:rPr>
        <w:t>’</w:t>
      </w:r>
      <w:r w:rsidR="00A17134" w:rsidRPr="00C51D6E">
        <w:rPr>
          <w:i/>
          <w:lang w:val="fr-FR"/>
        </w:rPr>
        <w:t xml:space="preserve">Union de Lisbonne tel </w:t>
      </w:r>
      <w:r w:rsidR="00163B31">
        <w:rPr>
          <w:i/>
          <w:lang w:val="fr-FR"/>
        </w:rPr>
        <w:t>qu’il figure</w:t>
      </w:r>
      <w:r w:rsidR="00A17134" w:rsidRPr="00C51D6E">
        <w:rPr>
          <w:i/>
          <w:lang w:val="fr-FR"/>
        </w:rPr>
        <w:t xml:space="preserve"> dans le programme et budget de l</w:t>
      </w:r>
      <w:r w:rsidR="00EE4A93" w:rsidRPr="00C51D6E">
        <w:rPr>
          <w:i/>
          <w:lang w:val="fr-FR"/>
        </w:rPr>
        <w:t>’</w:t>
      </w:r>
      <w:r w:rsidR="00A17134" w:rsidRPr="00C51D6E">
        <w:rPr>
          <w:i/>
          <w:lang w:val="fr-FR"/>
        </w:rPr>
        <w:t>OMPI pour l</w:t>
      </w:r>
      <w:r w:rsidR="00EE4A93" w:rsidRPr="00C51D6E">
        <w:rPr>
          <w:i/>
          <w:lang w:val="fr-FR"/>
        </w:rPr>
        <w:t>’</w:t>
      </w:r>
      <w:r w:rsidR="00A17134" w:rsidRPr="00C51D6E">
        <w:rPr>
          <w:i/>
          <w:lang w:val="fr-FR"/>
        </w:rPr>
        <w:t>exercice biennal</w:t>
      </w:r>
      <w:r w:rsidR="00F94454" w:rsidRPr="00C51D6E">
        <w:rPr>
          <w:i/>
          <w:lang w:val="fr-FR"/>
        </w:rPr>
        <w:t> </w:t>
      </w:r>
      <w:r w:rsidR="00A17134" w:rsidRPr="00C51D6E">
        <w:rPr>
          <w:i/>
          <w:lang w:val="fr-FR"/>
        </w:rPr>
        <w:t>2016</w:t>
      </w:r>
      <w:r w:rsidR="006C1224" w:rsidRPr="00C51D6E">
        <w:rPr>
          <w:i/>
          <w:lang w:val="fr-FR"/>
        </w:rPr>
        <w:noBreakHyphen/>
      </w:r>
      <w:r w:rsidR="00A17134" w:rsidRPr="00C51D6E">
        <w:rPr>
          <w:i/>
          <w:lang w:val="fr-FR"/>
        </w:rPr>
        <w:t>2017.</w:t>
      </w:r>
    </w:p>
    <w:p w:rsidR="00BB673D" w:rsidRPr="006C1224" w:rsidRDefault="00BB673D" w:rsidP="00C904CE">
      <w:pPr>
        <w:pStyle w:val="Endofdocument-Annex"/>
        <w:rPr>
          <w:szCs w:val="22"/>
          <w:lang w:val="fr-FR"/>
        </w:rPr>
      </w:pPr>
    </w:p>
    <w:p w:rsidR="00BB673D" w:rsidRPr="006C1224" w:rsidRDefault="00BB673D" w:rsidP="00C904CE">
      <w:pPr>
        <w:pStyle w:val="Endofdocument-Annex"/>
        <w:rPr>
          <w:szCs w:val="22"/>
          <w:lang w:val="fr-FR"/>
        </w:rPr>
      </w:pPr>
    </w:p>
    <w:p w:rsidR="002928D3" w:rsidRPr="006C1224" w:rsidRDefault="00A17134" w:rsidP="00C51D6E">
      <w:pPr>
        <w:pStyle w:val="Endofdocument-Annex"/>
        <w:rPr>
          <w:lang w:val="fr-FR"/>
        </w:rPr>
      </w:pPr>
      <w:r w:rsidRPr="006C1224">
        <w:rPr>
          <w:szCs w:val="22"/>
          <w:lang w:val="fr-FR"/>
        </w:rPr>
        <w:t>[Fin du document]</w:t>
      </w:r>
    </w:p>
    <w:sectPr w:rsidR="002928D3" w:rsidRPr="006C1224" w:rsidSect="00EE4A93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DB" w:rsidRDefault="00A73CDB">
      <w:r>
        <w:separator/>
      </w:r>
    </w:p>
  </w:endnote>
  <w:endnote w:type="continuationSeparator" w:id="0">
    <w:p w:rsidR="00A73CDB" w:rsidRDefault="00A73CDB" w:rsidP="003B38C1">
      <w:r>
        <w:separator/>
      </w:r>
    </w:p>
    <w:p w:rsidR="00A73CDB" w:rsidRPr="003B38C1" w:rsidRDefault="00A73C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3CDB" w:rsidRPr="003B38C1" w:rsidRDefault="00A73C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93" w:rsidRPr="00EE4A93" w:rsidRDefault="00EE4A93" w:rsidP="00EE4A93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DB" w:rsidRDefault="00A73CDB">
      <w:r>
        <w:separator/>
      </w:r>
    </w:p>
  </w:footnote>
  <w:footnote w:type="continuationSeparator" w:id="0">
    <w:p w:rsidR="00A73CDB" w:rsidRDefault="00A73CDB" w:rsidP="008B60B2">
      <w:r>
        <w:separator/>
      </w:r>
    </w:p>
    <w:p w:rsidR="00A73CDB" w:rsidRPr="00ED77FB" w:rsidRDefault="00A73C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3CDB" w:rsidRPr="00ED77FB" w:rsidRDefault="00A73C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25484" w:rsidRPr="005B7EDD" w:rsidRDefault="00E25484" w:rsidP="0083040F">
      <w:pPr>
        <w:pStyle w:val="FootnoteText"/>
        <w:rPr>
          <w:lang w:val="fr-FR"/>
        </w:rPr>
      </w:pPr>
      <w:r w:rsidRPr="005B7EDD">
        <w:rPr>
          <w:rStyle w:val="FootnoteReference"/>
        </w:rPr>
        <w:footnoteRef/>
      </w:r>
      <w:r w:rsidRPr="00C96078">
        <w:rPr>
          <w:lang w:val="fr-CH"/>
        </w:rPr>
        <w:t xml:space="preserve"> </w:t>
      </w:r>
      <w:r w:rsidRPr="005B7EDD">
        <w:rPr>
          <w:lang w:val="fr-FR"/>
        </w:rPr>
        <w:tab/>
      </w:r>
      <w:r w:rsidR="0083040F" w:rsidRPr="005B7EDD">
        <w:rPr>
          <w:lang w:val="fr-FR"/>
        </w:rPr>
        <w:t>Voir le paragraphe</w:t>
      </w:r>
      <w:r w:rsidR="005B7EDD" w:rsidRPr="005B7EDD">
        <w:rPr>
          <w:lang w:val="fr-FR"/>
        </w:rPr>
        <w:t> </w:t>
      </w:r>
      <w:r w:rsidR="0083040F" w:rsidRPr="005B7EDD">
        <w:rPr>
          <w:lang w:val="fr-FR"/>
        </w:rPr>
        <w:t>73.i) et</w:t>
      </w:r>
      <w:r w:rsidR="00C51D6E">
        <w:rPr>
          <w:lang w:val="fr-FR"/>
        </w:rPr>
        <w:t> </w:t>
      </w:r>
      <w:r w:rsidR="0083040F" w:rsidRPr="005B7EDD">
        <w:rPr>
          <w:lang w:val="fr-FR"/>
        </w:rPr>
        <w:t>ii) du document LI/A/32/5.</w:t>
      </w:r>
    </w:p>
  </w:footnote>
  <w:footnote w:id="3">
    <w:p w:rsidR="001A3711" w:rsidRPr="005B7EDD" w:rsidRDefault="001A3711" w:rsidP="001A3711">
      <w:pPr>
        <w:pStyle w:val="FootnoteText"/>
        <w:rPr>
          <w:lang w:val="fr-FR"/>
        </w:rPr>
      </w:pPr>
      <w:r w:rsidRPr="005B7EDD">
        <w:rPr>
          <w:rStyle w:val="FootnoteReference"/>
        </w:rPr>
        <w:footnoteRef/>
      </w:r>
      <w:r w:rsidRPr="00C96078">
        <w:rPr>
          <w:lang w:val="fr-CH"/>
        </w:rPr>
        <w:t xml:space="preserve"> </w:t>
      </w:r>
      <w:r w:rsidRPr="005B7EDD">
        <w:rPr>
          <w:lang w:val="fr-FR"/>
        </w:rPr>
        <w:tab/>
        <w:t>Voir le document LI/WG/PCR/1/4.</w:t>
      </w:r>
    </w:p>
  </w:footnote>
  <w:footnote w:id="4">
    <w:p w:rsidR="001A3711" w:rsidRPr="005B7EDD" w:rsidRDefault="001A3711" w:rsidP="001A3711">
      <w:pPr>
        <w:pStyle w:val="FootnoteText"/>
        <w:rPr>
          <w:lang w:val="fr-FR"/>
        </w:rPr>
      </w:pPr>
      <w:r w:rsidRPr="005B7EDD">
        <w:rPr>
          <w:rStyle w:val="FootnoteReference"/>
        </w:rPr>
        <w:footnoteRef/>
      </w:r>
      <w:r w:rsidRPr="00C96078">
        <w:rPr>
          <w:lang w:val="fr-CH"/>
        </w:rPr>
        <w:t xml:space="preserve"> </w:t>
      </w:r>
      <w:r w:rsidRPr="005B7EDD">
        <w:rPr>
          <w:lang w:val="fr-FR"/>
        </w:rPr>
        <w:tab/>
        <w:t>Voir le paragraphe 15 du document LI/WG/PCR/1/5.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9235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5466" w:rsidRDefault="00035466">
        <w:pPr>
          <w:pStyle w:val="Header"/>
          <w:jc w:val="right"/>
        </w:pPr>
        <w:r>
          <w:t>LI/A/33/1</w:t>
        </w:r>
      </w:p>
      <w:p w:rsidR="00035466" w:rsidRDefault="005B7EDD">
        <w:pPr>
          <w:pStyle w:val="Header"/>
          <w:jc w:val="right"/>
          <w:rPr>
            <w:noProof/>
          </w:rPr>
        </w:pPr>
        <w:proofErr w:type="gramStart"/>
        <w:r>
          <w:t>p</w:t>
        </w:r>
        <w:r w:rsidR="00035466">
          <w:t>age</w:t>
        </w:r>
        <w:proofErr w:type="gramEnd"/>
        <w:r>
          <w:t> </w:t>
        </w:r>
        <w:r w:rsidR="00035466">
          <w:fldChar w:fldCharType="begin"/>
        </w:r>
        <w:r w:rsidR="00035466">
          <w:instrText xml:space="preserve"> PAGE   \* MERGEFORMAT </w:instrText>
        </w:r>
        <w:r w:rsidR="00035466">
          <w:fldChar w:fldCharType="separate"/>
        </w:r>
        <w:r w:rsidR="00A65ECA">
          <w:rPr>
            <w:noProof/>
          </w:rPr>
          <w:t>3</w:t>
        </w:r>
        <w:r w:rsidR="00035466">
          <w:rPr>
            <w:noProof/>
          </w:rPr>
          <w:fldChar w:fldCharType="end"/>
        </w:r>
      </w:p>
      <w:p w:rsidR="00035466" w:rsidRDefault="00A65ECA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9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0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368"/>
    <w:multiLevelType w:val="hybridMultilevel"/>
    <w:tmpl w:val="636A6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2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6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8"/>
  </w:num>
  <w:num w:numId="5">
    <w:abstractNumId w:val="4"/>
  </w:num>
  <w:num w:numId="6">
    <w:abstractNumId w:val="8"/>
  </w:num>
  <w:num w:numId="7">
    <w:abstractNumId w:val="7"/>
  </w:num>
  <w:num w:numId="8">
    <w:abstractNumId w:val="25"/>
  </w:num>
  <w:num w:numId="9">
    <w:abstractNumId w:val="6"/>
  </w:num>
  <w:num w:numId="10">
    <w:abstractNumId w:val="2"/>
  </w:num>
  <w:num w:numId="11">
    <w:abstractNumId w:val="24"/>
  </w:num>
  <w:num w:numId="12">
    <w:abstractNumId w:val="2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2"/>
  </w:num>
  <w:num w:numId="15">
    <w:abstractNumId w:val="23"/>
  </w:num>
  <w:num w:numId="16">
    <w:abstractNumId w:val="20"/>
  </w:num>
  <w:num w:numId="17">
    <w:abstractNumId w:val="1"/>
  </w:num>
  <w:num w:numId="18">
    <w:abstractNumId w:val="3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19"/>
  </w:num>
  <w:num w:numId="25">
    <w:abstractNumId w:val="27"/>
  </w:num>
  <w:num w:numId="26">
    <w:abstractNumId w:val="14"/>
  </w:num>
  <w:num w:numId="27">
    <w:abstractNumId w:val="13"/>
  </w:num>
  <w:num w:numId="28">
    <w:abstractNumId w:val="26"/>
  </w:num>
  <w:num w:numId="29">
    <w:abstractNumId w:val="28"/>
  </w:num>
  <w:num w:numId="30">
    <w:abstractNumId w:val="16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erm4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Glossaries\EN-FR"/>
    <w:docVar w:name="TextBaseURL" w:val="empty"/>
    <w:docVar w:name="UILng" w:val="en"/>
  </w:docVars>
  <w:rsids>
    <w:rsidRoot w:val="00961F04"/>
    <w:rsid w:val="00012377"/>
    <w:rsid w:val="00035466"/>
    <w:rsid w:val="00035E6A"/>
    <w:rsid w:val="000376C4"/>
    <w:rsid w:val="00041445"/>
    <w:rsid w:val="00042BA6"/>
    <w:rsid w:val="00043CAA"/>
    <w:rsid w:val="00045F57"/>
    <w:rsid w:val="00057564"/>
    <w:rsid w:val="00066D55"/>
    <w:rsid w:val="00075432"/>
    <w:rsid w:val="00082836"/>
    <w:rsid w:val="00084376"/>
    <w:rsid w:val="000968ED"/>
    <w:rsid w:val="000A13E9"/>
    <w:rsid w:val="000B3177"/>
    <w:rsid w:val="000B34F6"/>
    <w:rsid w:val="000D5CD3"/>
    <w:rsid w:val="000F5E56"/>
    <w:rsid w:val="000F7BE9"/>
    <w:rsid w:val="001020EE"/>
    <w:rsid w:val="00102ABA"/>
    <w:rsid w:val="00105F7B"/>
    <w:rsid w:val="0010624A"/>
    <w:rsid w:val="00127BE1"/>
    <w:rsid w:val="00133F1D"/>
    <w:rsid w:val="001362EE"/>
    <w:rsid w:val="00163B31"/>
    <w:rsid w:val="00173B71"/>
    <w:rsid w:val="00181C6A"/>
    <w:rsid w:val="001832A6"/>
    <w:rsid w:val="001879CD"/>
    <w:rsid w:val="00191A94"/>
    <w:rsid w:val="00197487"/>
    <w:rsid w:val="001A0E16"/>
    <w:rsid w:val="001A3711"/>
    <w:rsid w:val="001B0811"/>
    <w:rsid w:val="001E110E"/>
    <w:rsid w:val="001F1156"/>
    <w:rsid w:val="001F312A"/>
    <w:rsid w:val="00201766"/>
    <w:rsid w:val="00221419"/>
    <w:rsid w:val="00234DCC"/>
    <w:rsid w:val="00243253"/>
    <w:rsid w:val="00244071"/>
    <w:rsid w:val="00244D0A"/>
    <w:rsid w:val="002518BC"/>
    <w:rsid w:val="00262B88"/>
    <w:rsid w:val="002634C4"/>
    <w:rsid w:val="00281A06"/>
    <w:rsid w:val="00284F62"/>
    <w:rsid w:val="00291913"/>
    <w:rsid w:val="002928D3"/>
    <w:rsid w:val="002A661C"/>
    <w:rsid w:val="002A7E97"/>
    <w:rsid w:val="002B02CC"/>
    <w:rsid w:val="002C236F"/>
    <w:rsid w:val="002D2015"/>
    <w:rsid w:val="002D5D6E"/>
    <w:rsid w:val="002E403E"/>
    <w:rsid w:val="002E5BEA"/>
    <w:rsid w:val="002E61A5"/>
    <w:rsid w:val="002F1FE6"/>
    <w:rsid w:val="002F4E68"/>
    <w:rsid w:val="00305B9D"/>
    <w:rsid w:val="00306338"/>
    <w:rsid w:val="00306BD3"/>
    <w:rsid w:val="00312F7F"/>
    <w:rsid w:val="00320659"/>
    <w:rsid w:val="003228B7"/>
    <w:rsid w:val="00335537"/>
    <w:rsid w:val="00345EB6"/>
    <w:rsid w:val="003673CF"/>
    <w:rsid w:val="003845C1"/>
    <w:rsid w:val="003A6F89"/>
    <w:rsid w:val="003B1C12"/>
    <w:rsid w:val="003B38C1"/>
    <w:rsid w:val="003B5A52"/>
    <w:rsid w:val="003C0C49"/>
    <w:rsid w:val="003D3031"/>
    <w:rsid w:val="003D41AA"/>
    <w:rsid w:val="003E551C"/>
    <w:rsid w:val="003F2FC0"/>
    <w:rsid w:val="00414BDF"/>
    <w:rsid w:val="00423E3E"/>
    <w:rsid w:val="00424059"/>
    <w:rsid w:val="00427AF4"/>
    <w:rsid w:val="004400E2"/>
    <w:rsid w:val="00442FCC"/>
    <w:rsid w:val="004647DA"/>
    <w:rsid w:val="00474062"/>
    <w:rsid w:val="00477D6B"/>
    <w:rsid w:val="00481EE0"/>
    <w:rsid w:val="00490192"/>
    <w:rsid w:val="0049267B"/>
    <w:rsid w:val="004A7D83"/>
    <w:rsid w:val="004B0A65"/>
    <w:rsid w:val="004B3B8C"/>
    <w:rsid w:val="004C6C18"/>
    <w:rsid w:val="004D3574"/>
    <w:rsid w:val="004D38D9"/>
    <w:rsid w:val="004E70E0"/>
    <w:rsid w:val="004E7CFF"/>
    <w:rsid w:val="004F6DCD"/>
    <w:rsid w:val="00506ED5"/>
    <w:rsid w:val="00507E62"/>
    <w:rsid w:val="00511392"/>
    <w:rsid w:val="0051392C"/>
    <w:rsid w:val="0051799B"/>
    <w:rsid w:val="0053057A"/>
    <w:rsid w:val="005315A9"/>
    <w:rsid w:val="00536FEE"/>
    <w:rsid w:val="00560A29"/>
    <w:rsid w:val="00581306"/>
    <w:rsid w:val="00585963"/>
    <w:rsid w:val="00585C0C"/>
    <w:rsid w:val="005B3204"/>
    <w:rsid w:val="005B7363"/>
    <w:rsid w:val="005B7EDD"/>
    <w:rsid w:val="005C53A5"/>
    <w:rsid w:val="005D2E8D"/>
    <w:rsid w:val="005E3F28"/>
    <w:rsid w:val="005E7A29"/>
    <w:rsid w:val="00602D16"/>
    <w:rsid w:val="00604B3D"/>
    <w:rsid w:val="00605827"/>
    <w:rsid w:val="00634A32"/>
    <w:rsid w:val="00646050"/>
    <w:rsid w:val="00646B74"/>
    <w:rsid w:val="006475E0"/>
    <w:rsid w:val="00655A77"/>
    <w:rsid w:val="00664227"/>
    <w:rsid w:val="00664EA2"/>
    <w:rsid w:val="00670529"/>
    <w:rsid w:val="006713CA"/>
    <w:rsid w:val="00676C5C"/>
    <w:rsid w:val="00683BF5"/>
    <w:rsid w:val="00686840"/>
    <w:rsid w:val="00691862"/>
    <w:rsid w:val="006A37FA"/>
    <w:rsid w:val="006A41E9"/>
    <w:rsid w:val="006A7859"/>
    <w:rsid w:val="006C1224"/>
    <w:rsid w:val="006C62C8"/>
    <w:rsid w:val="006D0CF0"/>
    <w:rsid w:val="006E26D6"/>
    <w:rsid w:val="007058FB"/>
    <w:rsid w:val="00710904"/>
    <w:rsid w:val="00710D99"/>
    <w:rsid w:val="00712486"/>
    <w:rsid w:val="007325CD"/>
    <w:rsid w:val="00734C05"/>
    <w:rsid w:val="00747149"/>
    <w:rsid w:val="007A045E"/>
    <w:rsid w:val="007A4A3B"/>
    <w:rsid w:val="007A56C0"/>
    <w:rsid w:val="007A58C7"/>
    <w:rsid w:val="007B0838"/>
    <w:rsid w:val="007B6A58"/>
    <w:rsid w:val="007C75CD"/>
    <w:rsid w:val="007D1613"/>
    <w:rsid w:val="007D16E8"/>
    <w:rsid w:val="007D2DC8"/>
    <w:rsid w:val="007D5BA3"/>
    <w:rsid w:val="007F1249"/>
    <w:rsid w:val="00800288"/>
    <w:rsid w:val="00813B7B"/>
    <w:rsid w:val="0081630E"/>
    <w:rsid w:val="00826BA7"/>
    <w:rsid w:val="0083040F"/>
    <w:rsid w:val="0084346F"/>
    <w:rsid w:val="00846F47"/>
    <w:rsid w:val="0085527A"/>
    <w:rsid w:val="00860345"/>
    <w:rsid w:val="0086619E"/>
    <w:rsid w:val="00877A02"/>
    <w:rsid w:val="00881363"/>
    <w:rsid w:val="00891161"/>
    <w:rsid w:val="00892F52"/>
    <w:rsid w:val="00893F75"/>
    <w:rsid w:val="008A3E48"/>
    <w:rsid w:val="008A5210"/>
    <w:rsid w:val="008A5BD9"/>
    <w:rsid w:val="008B1840"/>
    <w:rsid w:val="008B2CC1"/>
    <w:rsid w:val="008B60B2"/>
    <w:rsid w:val="008D1907"/>
    <w:rsid w:val="008D20FD"/>
    <w:rsid w:val="008D5950"/>
    <w:rsid w:val="008E0257"/>
    <w:rsid w:val="008E0C27"/>
    <w:rsid w:val="008F0A22"/>
    <w:rsid w:val="008F47C3"/>
    <w:rsid w:val="0090731E"/>
    <w:rsid w:val="00916EE2"/>
    <w:rsid w:val="009171F0"/>
    <w:rsid w:val="0094735C"/>
    <w:rsid w:val="00955707"/>
    <w:rsid w:val="00961F04"/>
    <w:rsid w:val="009648D3"/>
    <w:rsid w:val="00966A22"/>
    <w:rsid w:val="0096722F"/>
    <w:rsid w:val="00980843"/>
    <w:rsid w:val="00992B64"/>
    <w:rsid w:val="00995439"/>
    <w:rsid w:val="009C205B"/>
    <w:rsid w:val="009E0B3B"/>
    <w:rsid w:val="009E2791"/>
    <w:rsid w:val="009E3F6F"/>
    <w:rsid w:val="009E5174"/>
    <w:rsid w:val="009E5710"/>
    <w:rsid w:val="009E7591"/>
    <w:rsid w:val="009F499F"/>
    <w:rsid w:val="00A07491"/>
    <w:rsid w:val="00A17134"/>
    <w:rsid w:val="00A30D07"/>
    <w:rsid w:val="00A30F03"/>
    <w:rsid w:val="00A40D5B"/>
    <w:rsid w:val="00A42DAF"/>
    <w:rsid w:val="00A45BD8"/>
    <w:rsid w:val="00A645EC"/>
    <w:rsid w:val="00A65ECA"/>
    <w:rsid w:val="00A73CDB"/>
    <w:rsid w:val="00A85B8E"/>
    <w:rsid w:val="00A86204"/>
    <w:rsid w:val="00AA1B26"/>
    <w:rsid w:val="00AA440C"/>
    <w:rsid w:val="00AC09B1"/>
    <w:rsid w:val="00AC205C"/>
    <w:rsid w:val="00AD0175"/>
    <w:rsid w:val="00AD01AD"/>
    <w:rsid w:val="00AF4A90"/>
    <w:rsid w:val="00B02909"/>
    <w:rsid w:val="00B0396B"/>
    <w:rsid w:val="00B05A69"/>
    <w:rsid w:val="00B14184"/>
    <w:rsid w:val="00B1573A"/>
    <w:rsid w:val="00B2126C"/>
    <w:rsid w:val="00B35FB8"/>
    <w:rsid w:val="00B36837"/>
    <w:rsid w:val="00B52235"/>
    <w:rsid w:val="00B6738B"/>
    <w:rsid w:val="00B703B3"/>
    <w:rsid w:val="00B7043D"/>
    <w:rsid w:val="00B92981"/>
    <w:rsid w:val="00B93E5C"/>
    <w:rsid w:val="00B9734B"/>
    <w:rsid w:val="00B97F1D"/>
    <w:rsid w:val="00BA56E1"/>
    <w:rsid w:val="00BB673D"/>
    <w:rsid w:val="00BC4BA0"/>
    <w:rsid w:val="00BE4D83"/>
    <w:rsid w:val="00C11BFE"/>
    <w:rsid w:val="00C128C1"/>
    <w:rsid w:val="00C12D8A"/>
    <w:rsid w:val="00C36500"/>
    <w:rsid w:val="00C41F9A"/>
    <w:rsid w:val="00C47886"/>
    <w:rsid w:val="00C51D6E"/>
    <w:rsid w:val="00C613B2"/>
    <w:rsid w:val="00C63D91"/>
    <w:rsid w:val="00C63F20"/>
    <w:rsid w:val="00C76CD9"/>
    <w:rsid w:val="00C847C0"/>
    <w:rsid w:val="00C856B1"/>
    <w:rsid w:val="00C904CE"/>
    <w:rsid w:val="00C94629"/>
    <w:rsid w:val="00C96078"/>
    <w:rsid w:val="00CB4460"/>
    <w:rsid w:val="00CC6841"/>
    <w:rsid w:val="00CE0386"/>
    <w:rsid w:val="00CE5DEF"/>
    <w:rsid w:val="00CF3374"/>
    <w:rsid w:val="00CF5981"/>
    <w:rsid w:val="00D13F33"/>
    <w:rsid w:val="00D17E1B"/>
    <w:rsid w:val="00D25DD5"/>
    <w:rsid w:val="00D30A71"/>
    <w:rsid w:val="00D45252"/>
    <w:rsid w:val="00D462A6"/>
    <w:rsid w:val="00D47AF0"/>
    <w:rsid w:val="00D51946"/>
    <w:rsid w:val="00D548EA"/>
    <w:rsid w:val="00D60D6D"/>
    <w:rsid w:val="00D71B4D"/>
    <w:rsid w:val="00D93D55"/>
    <w:rsid w:val="00DA5393"/>
    <w:rsid w:val="00DA6DAE"/>
    <w:rsid w:val="00DA79B8"/>
    <w:rsid w:val="00DC24D7"/>
    <w:rsid w:val="00DD5818"/>
    <w:rsid w:val="00DD7A35"/>
    <w:rsid w:val="00E100ED"/>
    <w:rsid w:val="00E12088"/>
    <w:rsid w:val="00E156E9"/>
    <w:rsid w:val="00E25484"/>
    <w:rsid w:val="00E335FE"/>
    <w:rsid w:val="00E360CA"/>
    <w:rsid w:val="00E43F92"/>
    <w:rsid w:val="00E45AB5"/>
    <w:rsid w:val="00E46835"/>
    <w:rsid w:val="00E5021F"/>
    <w:rsid w:val="00E51A3C"/>
    <w:rsid w:val="00E570EE"/>
    <w:rsid w:val="00E8758A"/>
    <w:rsid w:val="00E9234D"/>
    <w:rsid w:val="00EC446F"/>
    <w:rsid w:val="00EC4E49"/>
    <w:rsid w:val="00ED77FB"/>
    <w:rsid w:val="00EE0AD5"/>
    <w:rsid w:val="00EE4A93"/>
    <w:rsid w:val="00EE730F"/>
    <w:rsid w:val="00EF6AA9"/>
    <w:rsid w:val="00F021A6"/>
    <w:rsid w:val="00F2169B"/>
    <w:rsid w:val="00F251A0"/>
    <w:rsid w:val="00F3313F"/>
    <w:rsid w:val="00F45345"/>
    <w:rsid w:val="00F502CC"/>
    <w:rsid w:val="00F519D5"/>
    <w:rsid w:val="00F61BDF"/>
    <w:rsid w:val="00F66152"/>
    <w:rsid w:val="00F91B1D"/>
    <w:rsid w:val="00F94454"/>
    <w:rsid w:val="00F9681A"/>
    <w:rsid w:val="00FC08D3"/>
    <w:rsid w:val="00FC1E96"/>
    <w:rsid w:val="00FC3D1F"/>
    <w:rsid w:val="00FF028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basedOn w:val="DefaultParagraphFont"/>
    <w:rsid w:val="006C1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basedOn w:val="DefaultParagraphFont"/>
    <w:rsid w:val="006C1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987D-38BC-4810-A4E6-6F813B89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VINCENT Anouck</dc:creator>
  <cp:keywords>JCH/ko</cp:keywords>
  <cp:lastModifiedBy>MARIN-CUDRAZ DAVI Nicoletta</cp:lastModifiedBy>
  <cp:revision>3</cp:revision>
  <cp:lastPrinted>2016-07-12T13:27:00Z</cp:lastPrinted>
  <dcterms:created xsi:type="dcterms:W3CDTF">2016-07-18T11:25:00Z</dcterms:created>
  <dcterms:modified xsi:type="dcterms:W3CDTF">2016-07-19T13:18:00Z</dcterms:modified>
</cp:coreProperties>
</file>