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F2653" w:rsidRDefault="0040540C" w:rsidP="00171206">
      <w:pPr>
        <w:spacing w:after="240"/>
        <w:jc w:val="right"/>
        <w:rPr>
          <w:lang w:val="fr-FR"/>
        </w:rPr>
      </w:pPr>
      <w:r w:rsidRPr="00FF2653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FF2653" w:rsidRDefault="00F20B84" w:rsidP="003C2F8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FF2653">
        <w:rPr>
          <w:rFonts w:ascii="Arial Black" w:hAnsi="Arial Black"/>
          <w:caps/>
          <w:sz w:val="15"/>
          <w:lang w:val="fr-FR"/>
        </w:rPr>
        <w:t>H/A/40/</w:t>
      </w:r>
      <w:bookmarkStart w:id="0" w:name="Code"/>
      <w:r w:rsidR="003C084F" w:rsidRPr="00FF2653">
        <w:rPr>
          <w:rFonts w:ascii="Arial Black" w:hAnsi="Arial Black"/>
          <w:caps/>
          <w:sz w:val="15"/>
          <w:lang w:val="fr-FR"/>
        </w:rPr>
        <w:t>2</w:t>
      </w:r>
    </w:p>
    <w:bookmarkEnd w:id="0"/>
    <w:p w:rsidR="008B2CC1" w:rsidRPr="00FF2653" w:rsidRDefault="00B1090C" w:rsidP="0040540C">
      <w:pPr>
        <w:jc w:val="right"/>
        <w:rPr>
          <w:lang w:val="fr-FR"/>
        </w:rPr>
      </w:pPr>
      <w:r w:rsidRPr="00FF2653">
        <w:rPr>
          <w:rFonts w:ascii="Arial Black" w:hAnsi="Arial Black"/>
          <w:caps/>
          <w:sz w:val="15"/>
          <w:lang w:val="fr-FR"/>
        </w:rPr>
        <w:t>ORIGINAL</w:t>
      </w:r>
      <w:r w:rsidR="00677A78">
        <w:rPr>
          <w:rFonts w:ascii="Arial Black" w:hAnsi="Arial Black"/>
          <w:caps/>
          <w:sz w:val="15"/>
          <w:lang w:val="fr-FR"/>
        </w:rPr>
        <w:t> </w:t>
      </w:r>
      <w:r w:rsidRPr="00FF2653">
        <w:rPr>
          <w:rFonts w:ascii="Arial Black" w:hAnsi="Arial Black"/>
          <w:caps/>
          <w:sz w:val="15"/>
          <w:lang w:val="fr-FR"/>
        </w:rPr>
        <w:t>:</w:t>
      </w:r>
      <w:r w:rsidR="002956DE" w:rsidRPr="00FF2653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3C084F" w:rsidRPr="00FF2653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FF2653" w:rsidRDefault="00B1090C" w:rsidP="00B1090C">
      <w:pPr>
        <w:spacing w:after="1200"/>
        <w:jc w:val="right"/>
        <w:rPr>
          <w:lang w:val="fr-FR"/>
        </w:rPr>
      </w:pPr>
      <w:r w:rsidRPr="00FF2653">
        <w:rPr>
          <w:rFonts w:ascii="Arial Black" w:hAnsi="Arial Black"/>
          <w:caps/>
          <w:sz w:val="15"/>
          <w:lang w:val="fr-FR"/>
        </w:rPr>
        <w:t>DATE</w:t>
      </w:r>
      <w:r w:rsidR="00677A78">
        <w:rPr>
          <w:rFonts w:ascii="Arial Black" w:hAnsi="Arial Black"/>
          <w:caps/>
          <w:sz w:val="15"/>
          <w:lang w:val="fr-FR"/>
        </w:rPr>
        <w:t> </w:t>
      </w:r>
      <w:r w:rsidRPr="00FF2653">
        <w:rPr>
          <w:rFonts w:ascii="Arial Black" w:hAnsi="Arial Black"/>
          <w:caps/>
          <w:sz w:val="15"/>
          <w:lang w:val="fr-FR"/>
        </w:rPr>
        <w:t>:</w:t>
      </w:r>
      <w:r w:rsidR="002956DE" w:rsidRPr="00FF265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677A78">
        <w:rPr>
          <w:rFonts w:ascii="Arial Black" w:hAnsi="Arial Black"/>
          <w:caps/>
          <w:sz w:val="15"/>
          <w:lang w:val="fr-FR"/>
        </w:rPr>
        <w:t>15</w:t>
      </w:r>
      <w:r w:rsidR="003C084F" w:rsidRPr="00FF2653">
        <w:rPr>
          <w:rFonts w:ascii="Arial Black" w:hAnsi="Arial Black"/>
          <w:caps/>
          <w:sz w:val="15"/>
          <w:lang w:val="fr-FR"/>
        </w:rPr>
        <w:t> </w:t>
      </w:r>
      <w:r w:rsidR="00677A78">
        <w:rPr>
          <w:rFonts w:ascii="Arial Black" w:hAnsi="Arial Black"/>
          <w:caps/>
          <w:sz w:val="15"/>
          <w:lang w:val="fr-FR"/>
        </w:rPr>
        <w:t>décem</w:t>
      </w:r>
      <w:r w:rsidR="003C084F" w:rsidRPr="00FF2653">
        <w:rPr>
          <w:rFonts w:ascii="Arial Black" w:hAnsi="Arial Black"/>
          <w:caps/>
          <w:sz w:val="15"/>
          <w:lang w:val="fr-FR"/>
        </w:rPr>
        <w:t>bre 2020</w:t>
      </w:r>
    </w:p>
    <w:bookmarkEnd w:id="2"/>
    <w:p w:rsidR="00F20B84" w:rsidRPr="00FF2653" w:rsidRDefault="00F20B84" w:rsidP="00F20B84">
      <w:pPr>
        <w:pStyle w:val="Heading1"/>
        <w:spacing w:after="480"/>
        <w:rPr>
          <w:caps w:val="0"/>
          <w:sz w:val="28"/>
          <w:lang w:val="fr-FR"/>
        </w:rPr>
      </w:pPr>
      <w:r w:rsidRPr="00FF2653">
        <w:rPr>
          <w:caps w:val="0"/>
          <w:sz w:val="28"/>
          <w:lang w:val="fr-FR"/>
        </w:rPr>
        <w:t>Union particulière pour le dépôt international des dessins et modèles industriels (Union de La Haye)</w:t>
      </w:r>
    </w:p>
    <w:p w:rsidR="003845C1" w:rsidRPr="00FF2653" w:rsidRDefault="00F20B84" w:rsidP="00F20B84">
      <w:pPr>
        <w:pStyle w:val="Heading1"/>
        <w:spacing w:before="0" w:after="480"/>
        <w:rPr>
          <w:caps w:val="0"/>
          <w:lang w:val="fr-FR"/>
        </w:rPr>
      </w:pPr>
      <w:r w:rsidRPr="00FF2653">
        <w:rPr>
          <w:caps w:val="0"/>
          <w:sz w:val="28"/>
          <w:lang w:val="fr-FR"/>
        </w:rPr>
        <w:t>Assemblée</w:t>
      </w:r>
    </w:p>
    <w:p w:rsidR="008B2CC1" w:rsidRPr="00FF2653" w:rsidRDefault="00F20B84" w:rsidP="00171206">
      <w:pPr>
        <w:spacing w:after="720"/>
        <w:outlineLvl w:val="1"/>
        <w:rPr>
          <w:b/>
          <w:sz w:val="24"/>
          <w:szCs w:val="24"/>
          <w:lang w:val="fr-FR"/>
        </w:rPr>
      </w:pPr>
      <w:r w:rsidRPr="00FF2653">
        <w:rPr>
          <w:b/>
          <w:sz w:val="24"/>
          <w:szCs w:val="24"/>
          <w:lang w:val="fr-FR"/>
        </w:rPr>
        <w:t>Quarantième session (18</w:t>
      </w:r>
      <w:r w:rsidRPr="00FF2653">
        <w:rPr>
          <w:b/>
          <w:sz w:val="24"/>
          <w:szCs w:val="24"/>
          <w:vertAlign w:val="superscript"/>
          <w:lang w:val="fr-FR"/>
        </w:rPr>
        <w:t>e</w:t>
      </w:r>
      <w:r w:rsidRPr="00FF2653">
        <w:rPr>
          <w:b/>
          <w:sz w:val="24"/>
          <w:szCs w:val="24"/>
          <w:lang w:val="fr-FR"/>
        </w:rPr>
        <w:t xml:space="preserve"> session extraordinaire)</w:t>
      </w:r>
      <w:r w:rsidRPr="00FF2653">
        <w:rPr>
          <w:b/>
          <w:sz w:val="24"/>
          <w:szCs w:val="24"/>
          <w:lang w:val="fr-FR"/>
        </w:rPr>
        <w:br/>
        <w:t>Genève, 21 – 2</w:t>
      </w:r>
      <w:r w:rsidR="00042056">
        <w:rPr>
          <w:b/>
          <w:sz w:val="24"/>
          <w:szCs w:val="24"/>
          <w:lang w:val="fr-FR"/>
        </w:rPr>
        <w:t>5</w:t>
      </w:r>
      <w:r w:rsidRPr="00FF2653">
        <w:rPr>
          <w:b/>
          <w:sz w:val="24"/>
          <w:szCs w:val="24"/>
          <w:lang w:val="fr-FR"/>
        </w:rPr>
        <w:t xml:space="preserve"> septembre 2020</w:t>
      </w:r>
    </w:p>
    <w:p w:rsidR="008B2CC1" w:rsidRPr="00FF2653" w:rsidRDefault="00677A78" w:rsidP="00B1090C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R</w:t>
      </w:r>
      <w:r w:rsidR="003C084F" w:rsidRPr="00FF2653">
        <w:rPr>
          <w:caps/>
          <w:sz w:val="24"/>
          <w:lang w:val="fr-FR"/>
        </w:rPr>
        <w:t>apport</w:t>
      </w:r>
      <w:bookmarkStart w:id="4" w:name="_GoBack"/>
      <w:bookmarkEnd w:id="4"/>
    </w:p>
    <w:p w:rsidR="008B2CC1" w:rsidRPr="00FF2653" w:rsidRDefault="00677A78" w:rsidP="00B1090C">
      <w:pPr>
        <w:spacing w:after="1040"/>
        <w:rPr>
          <w:i/>
          <w:lang w:val="fr-FR"/>
        </w:rPr>
      </w:pPr>
      <w:bookmarkStart w:id="5" w:name="Prepared"/>
      <w:bookmarkEnd w:id="3"/>
      <w:bookmarkEnd w:id="5"/>
      <w:proofErr w:type="gramStart"/>
      <w:r>
        <w:rPr>
          <w:i/>
          <w:lang w:val="fr-FR"/>
        </w:rPr>
        <w:t>adopt</w:t>
      </w:r>
      <w:r w:rsidR="003C084F" w:rsidRPr="00FF2653">
        <w:rPr>
          <w:i/>
          <w:lang w:val="fr-FR"/>
        </w:rPr>
        <w:t>é</w:t>
      </w:r>
      <w:proofErr w:type="gramEnd"/>
      <w:r w:rsidR="003C084F" w:rsidRPr="00FF2653">
        <w:rPr>
          <w:i/>
          <w:lang w:val="fr-FR"/>
        </w:rPr>
        <w:t xml:space="preserve"> par l</w:t>
      </w:r>
      <w:r>
        <w:rPr>
          <w:i/>
          <w:lang w:val="fr-FR"/>
        </w:rPr>
        <w:t>’assemblée</w:t>
      </w:r>
    </w:p>
    <w:p w:rsidR="003C084F" w:rsidRPr="00FF2653" w:rsidRDefault="003C084F" w:rsidP="003C084F">
      <w:pPr>
        <w:pStyle w:val="ONUMFS"/>
        <w:rPr>
          <w:lang w:val="fr-FR"/>
        </w:rPr>
      </w:pPr>
      <w:r w:rsidRPr="00FF2653">
        <w:rPr>
          <w:lang w:val="fr-FR"/>
        </w:rPr>
        <w:t>L’assemblée avait à examiner les points suivants de l’ordre du jour unifié (document A/61/1) : 1, 2, 4,</w:t>
      </w:r>
      <w:r w:rsidR="00171206">
        <w:rPr>
          <w:lang w:val="fr-FR"/>
        </w:rPr>
        <w:t xml:space="preserve"> 5, 6, 8, 10.ii), 11, 14, 21 et </w:t>
      </w:r>
      <w:r w:rsidRPr="00FF2653">
        <w:rPr>
          <w:lang w:val="fr-FR"/>
        </w:rPr>
        <w:t>22.</w:t>
      </w:r>
    </w:p>
    <w:p w:rsidR="003C084F" w:rsidRPr="00FF2653" w:rsidRDefault="003C084F" w:rsidP="003C084F">
      <w:pPr>
        <w:pStyle w:val="ONUMFS"/>
        <w:rPr>
          <w:lang w:val="fr-FR"/>
        </w:rPr>
      </w:pPr>
      <w:r w:rsidRPr="00FF2653">
        <w:rPr>
          <w:lang w:val="fr-FR"/>
        </w:rPr>
        <w:t xml:space="preserve">Le rapport sur ces points, à l’exception du point 14, figure dans le </w:t>
      </w:r>
      <w:r w:rsidR="00677A78">
        <w:rPr>
          <w:lang w:val="fr-FR"/>
        </w:rPr>
        <w:t>rapport général (document </w:t>
      </w:r>
      <w:r w:rsidRPr="00FF2653">
        <w:rPr>
          <w:lang w:val="fr-FR"/>
        </w:rPr>
        <w:t>A/61/10).</w:t>
      </w:r>
    </w:p>
    <w:p w:rsidR="003C084F" w:rsidRPr="00FF2653" w:rsidRDefault="003C084F" w:rsidP="003C084F">
      <w:pPr>
        <w:pStyle w:val="ONUMFS"/>
        <w:rPr>
          <w:lang w:val="fr-FR"/>
        </w:rPr>
      </w:pPr>
      <w:r w:rsidRPr="00FF2653">
        <w:rPr>
          <w:lang w:val="fr-FR"/>
        </w:rPr>
        <w:t>Le rapport sur le point 14 figure dans le présent document.</w:t>
      </w:r>
    </w:p>
    <w:p w:rsidR="003C084F" w:rsidRPr="000C7631" w:rsidRDefault="00FF2653" w:rsidP="003C084F">
      <w:pPr>
        <w:pStyle w:val="ONUMFS"/>
        <w:rPr>
          <w:lang w:val="fr-FR"/>
        </w:rPr>
      </w:pPr>
      <w:r w:rsidRPr="000C7631">
        <w:rPr>
          <w:lang w:val="fr-FR"/>
        </w:rPr>
        <w:t>En l’absence du président de l’</w:t>
      </w:r>
      <w:r w:rsidR="00FF0454" w:rsidRPr="000C7631">
        <w:rPr>
          <w:lang w:val="fr-FR"/>
        </w:rPr>
        <w:t>a</w:t>
      </w:r>
      <w:r w:rsidRPr="000C7631">
        <w:rPr>
          <w:lang w:val="fr-FR"/>
        </w:rPr>
        <w:t xml:space="preserve">ssemblée, </w:t>
      </w:r>
      <w:r w:rsidR="00A03226" w:rsidRPr="000C7631">
        <w:rPr>
          <w:lang w:val="fr-FR"/>
        </w:rPr>
        <w:t>M. Jan </w:t>
      </w:r>
      <w:r w:rsidRPr="000C7631">
        <w:rPr>
          <w:lang w:val="fr-FR"/>
        </w:rPr>
        <w:t xml:space="preserve">Walter </w:t>
      </w:r>
      <w:r w:rsidR="003C084F" w:rsidRPr="000C7631">
        <w:rPr>
          <w:lang w:val="fr-FR"/>
        </w:rPr>
        <w:t>(R</w:t>
      </w:r>
      <w:r w:rsidRPr="000C7631">
        <w:rPr>
          <w:lang w:val="fr-FR"/>
        </w:rPr>
        <w:t>oyaume Uni</w:t>
      </w:r>
      <w:r w:rsidR="003C084F" w:rsidRPr="000C7631">
        <w:rPr>
          <w:lang w:val="fr-FR"/>
        </w:rPr>
        <w:t>), vice</w:t>
      </w:r>
      <w:r w:rsidR="003C084F" w:rsidRPr="000C7631">
        <w:rPr>
          <w:lang w:val="fr-FR"/>
        </w:rPr>
        <w:noBreakHyphen/>
        <w:t>président de l’assemblée, a présidé la s</w:t>
      </w:r>
      <w:r w:rsidR="000C7631" w:rsidRPr="000C7631">
        <w:rPr>
          <w:lang w:val="fr-FR"/>
        </w:rPr>
        <w:t>éance</w:t>
      </w:r>
      <w:r w:rsidR="003C084F" w:rsidRPr="000C7631">
        <w:rPr>
          <w:lang w:val="fr-FR"/>
        </w:rPr>
        <w:t>.</w:t>
      </w:r>
    </w:p>
    <w:p w:rsidR="003C084F" w:rsidRPr="00FF2653" w:rsidRDefault="003C084F" w:rsidP="004421CA">
      <w:pPr>
        <w:pStyle w:val="Heading2"/>
        <w:rPr>
          <w:lang w:val="fr-FR"/>
        </w:rPr>
      </w:pPr>
      <w:r w:rsidRPr="00FF2653">
        <w:rPr>
          <w:lang w:val="fr-FR"/>
        </w:rPr>
        <w:lastRenderedPageBreak/>
        <w:t>Point 14 de l’ordre du jour unifié</w:t>
      </w:r>
    </w:p>
    <w:p w:rsidR="003C084F" w:rsidRPr="00FF2653" w:rsidRDefault="003C084F" w:rsidP="004421CA">
      <w:pPr>
        <w:pStyle w:val="Heading2"/>
        <w:spacing w:line="480" w:lineRule="auto"/>
        <w:rPr>
          <w:lang w:val="fr-FR"/>
        </w:rPr>
      </w:pPr>
      <w:r w:rsidRPr="00FF2653">
        <w:rPr>
          <w:lang w:val="fr-FR"/>
        </w:rPr>
        <w:t>Système de La Haye</w:t>
      </w:r>
    </w:p>
    <w:p w:rsidR="00BF5879" w:rsidRDefault="00BF5879" w:rsidP="004421CA">
      <w:pPr>
        <w:pStyle w:val="ONUMFS"/>
        <w:keepNext/>
      </w:pPr>
      <w:r w:rsidRPr="001E6A6C">
        <w:t>Le vice</w:t>
      </w:r>
      <w:r>
        <w:noBreakHyphen/>
      </w:r>
      <w:r w:rsidRPr="001E6A6C">
        <w:t>président a souhaité la bienvenue aux cinq</w:t>
      </w:r>
      <w:r>
        <w:t> </w:t>
      </w:r>
      <w:r w:rsidRPr="001E6A6C">
        <w:t>nouveaux membres qui avaient rejoint l</w:t>
      </w:r>
      <w:r>
        <w:t>’</w:t>
      </w:r>
      <w:r w:rsidRPr="001E6A6C">
        <w:t>Assemblée de l</w:t>
      </w:r>
      <w:r>
        <w:t>’</w:t>
      </w:r>
      <w:r w:rsidRPr="001E6A6C">
        <w:t xml:space="preserve">Union de </w:t>
      </w:r>
      <w:r>
        <w:t>La Haye</w:t>
      </w:r>
      <w:r w:rsidRPr="001E6A6C">
        <w:t xml:space="preserve"> depuis la session précédente </w:t>
      </w:r>
      <w:r>
        <w:t>tenue en</w:t>
      </w:r>
      <w:r w:rsidRPr="001E6A6C">
        <w:t xml:space="preserve"> septembre</w:t>
      </w:r>
      <w:r>
        <w:t> </w:t>
      </w:r>
      <w:r w:rsidRPr="001E6A6C">
        <w:t xml:space="preserve">2018, </w:t>
      </w:r>
      <w:r>
        <w:t>à savoir</w:t>
      </w:r>
      <w:r w:rsidRPr="001E6A6C">
        <w:t xml:space="preserve"> Israël, le Mexique, Saint</w:t>
      </w:r>
      <w:r>
        <w:noBreakHyphen/>
      </w:r>
      <w:r w:rsidRPr="001E6A6C">
        <w:t>Marin</w:t>
      </w:r>
      <w:r>
        <w:t>,</w:t>
      </w:r>
      <w:r w:rsidRPr="001E6A6C">
        <w:t xml:space="preserve"> </w:t>
      </w:r>
      <w:r>
        <w:t>le Samoa</w:t>
      </w:r>
      <w:r w:rsidRPr="001E6A6C">
        <w:t xml:space="preserve"> et le Viet</w:t>
      </w:r>
      <w:r>
        <w:t> </w:t>
      </w:r>
      <w:r w:rsidRPr="001E6A6C">
        <w:t>Nam.</w:t>
      </w:r>
    </w:p>
    <w:p w:rsidR="00BF5879" w:rsidRDefault="00BF5879" w:rsidP="004421CA">
      <w:pPr>
        <w:pStyle w:val="ONUMFS"/>
        <w:keepNext/>
      </w:pPr>
      <w:r w:rsidRPr="001E6A6C">
        <w:t>Les délibérations ont eu lieu sur la base du document H/A/40/1.</w:t>
      </w:r>
    </w:p>
    <w:p w:rsidR="00BF5879" w:rsidRDefault="00BF5879" w:rsidP="00BF5879">
      <w:pPr>
        <w:pStyle w:val="ONUMFS"/>
      </w:pPr>
      <w:r w:rsidRPr="001E6A6C">
        <w:t>Le Secrétariat a expliqué que, en raison de la pandémie de C</w:t>
      </w:r>
      <w:r>
        <w:t>OVID</w:t>
      </w:r>
      <w:r>
        <w:noBreakHyphen/>
      </w:r>
      <w:r w:rsidRPr="001E6A6C">
        <w:t>19</w:t>
      </w:r>
      <w:r>
        <w:t xml:space="preserve"> qui était en cours</w:t>
      </w:r>
      <w:r w:rsidRPr="001E6A6C">
        <w:t xml:space="preserve">, le Bureau </w:t>
      </w:r>
      <w:r>
        <w:t>i</w:t>
      </w:r>
      <w:r w:rsidRPr="001E6A6C">
        <w:t xml:space="preserve">nternational avait </w:t>
      </w:r>
      <w:r>
        <w:t>été contraint de</w:t>
      </w:r>
      <w:r w:rsidRPr="001E6A6C">
        <w:t xml:space="preserve"> commencer à communiquer avec les utilisateurs du système de </w:t>
      </w:r>
      <w:r>
        <w:t>La Haye</w:t>
      </w:r>
      <w:r w:rsidRPr="001E6A6C">
        <w:t xml:space="preserve"> exclusivement par courrier électronique</w:t>
      </w:r>
      <w:r>
        <w:t xml:space="preserve">.  </w:t>
      </w:r>
      <w:r w:rsidRPr="001E6A6C">
        <w:t xml:space="preserve">Ce changement de pratique présentait des avantages indéniables pour les utilisateurs par rapport à </w:t>
      </w:r>
      <w:r>
        <w:t>la</w:t>
      </w:r>
      <w:r w:rsidRPr="001E6A6C">
        <w:t xml:space="preserve"> communication par courrier postal,</w:t>
      </w:r>
      <w:r>
        <w:t xml:space="preserve"> qui n’avait plus cours,</w:t>
      </w:r>
      <w:r w:rsidRPr="001E6A6C">
        <w:t xml:space="preserve"> mais, dans certains cas</w:t>
      </w:r>
      <w:r>
        <w:t xml:space="preserve"> encore</w:t>
      </w:r>
      <w:r w:rsidRPr="001E6A6C">
        <w:t xml:space="preserve">, </w:t>
      </w:r>
      <w:r>
        <w:t xml:space="preserve">aucune adresse électronique ne figurait dans le dossier et </w:t>
      </w:r>
      <w:r w:rsidRPr="001E6A6C">
        <w:t xml:space="preserve">le Bureau international ne pouvait </w:t>
      </w:r>
      <w:r>
        <w:t xml:space="preserve">donc pas l’utiliser.  </w:t>
      </w:r>
      <w:r w:rsidRPr="001E6A6C">
        <w:t xml:space="preserve">De ce fait, le Bureau </w:t>
      </w:r>
      <w:r>
        <w:t>i</w:t>
      </w:r>
      <w:r w:rsidRPr="001E6A6C">
        <w:t xml:space="preserve">nternational devait </w:t>
      </w:r>
      <w:r>
        <w:t>entreprendre</w:t>
      </w:r>
      <w:r w:rsidRPr="001E6A6C">
        <w:t xml:space="preserve"> une recherche d</w:t>
      </w:r>
      <w:r>
        <w:t>’</w:t>
      </w:r>
      <w:r w:rsidRPr="001E6A6C">
        <w:t>adresse électronique, recherche qu</w:t>
      </w:r>
      <w:r>
        <w:t>’</w:t>
      </w:r>
      <w:r w:rsidRPr="001E6A6C">
        <w:t>il effectuait, laborieusement, mais qui n</w:t>
      </w:r>
      <w:r>
        <w:t>’</w:t>
      </w:r>
      <w:r w:rsidRPr="001E6A6C">
        <w:t>aboutissait pas toujours</w:t>
      </w:r>
      <w:r>
        <w:t xml:space="preserve">.  </w:t>
      </w:r>
      <w:r w:rsidRPr="001E6A6C">
        <w:t>Le Secrétariat a en outre expliqué que le document H/A/40/1, soumis à l</w:t>
      </w:r>
      <w:r>
        <w:t>’</w:t>
      </w:r>
      <w:r w:rsidRPr="001E6A6C">
        <w:t>Assemblée de l</w:t>
      </w:r>
      <w:r>
        <w:t>’</w:t>
      </w:r>
      <w:r w:rsidRPr="001E6A6C">
        <w:t xml:space="preserve">Union de </w:t>
      </w:r>
      <w:r>
        <w:t>La Haye</w:t>
      </w:r>
      <w:r w:rsidRPr="001E6A6C">
        <w:t xml:space="preserve"> pour adoption, contenait une proposition de modification des règles</w:t>
      </w:r>
      <w:r>
        <w:t> </w:t>
      </w:r>
      <w:r w:rsidRPr="001E6A6C">
        <w:t>3</w:t>
      </w:r>
      <w:r>
        <w:t>, 7 et </w:t>
      </w:r>
      <w:r w:rsidRPr="001E6A6C">
        <w:t>21 du règlement d</w:t>
      </w:r>
      <w:r>
        <w:t>’</w:t>
      </w:r>
      <w:r w:rsidRPr="001E6A6C">
        <w:t>exécution commun visant à rendre obligatoire l</w:t>
      </w:r>
      <w:r>
        <w:t>’</w:t>
      </w:r>
      <w:r w:rsidRPr="001E6A6C">
        <w:t>indication d</w:t>
      </w:r>
      <w:r>
        <w:t>’</w:t>
      </w:r>
      <w:r w:rsidRPr="001E6A6C">
        <w:t>une adresse électronique pour le déposant, le nouveau titulaire d</w:t>
      </w:r>
      <w:r>
        <w:t>’</w:t>
      </w:r>
      <w:r w:rsidRPr="001E6A6C">
        <w:t xml:space="preserve">un enregistrement international ou le </w:t>
      </w:r>
      <w:r w:rsidRPr="00AE2E1C">
        <w:t>mandataire constitué</w:t>
      </w:r>
      <w:r w:rsidRPr="001E6A6C">
        <w:t xml:space="preserve"> dans les formulaires </w:t>
      </w:r>
      <w:r>
        <w:t xml:space="preserve">devant être utilisés.  </w:t>
      </w:r>
      <w:r w:rsidRPr="001E6A6C">
        <w:t xml:space="preserve">Ces modifications visaient à faire en sorte que le Bureau </w:t>
      </w:r>
      <w:r>
        <w:t>i</w:t>
      </w:r>
      <w:r w:rsidRPr="001E6A6C">
        <w:t>nternational soit toujours en mesure de communiquer avec le déposant d</w:t>
      </w:r>
      <w:r>
        <w:t>’</w:t>
      </w:r>
      <w:r w:rsidRPr="001E6A6C">
        <w:t>une nouvelle demande</w:t>
      </w:r>
      <w:r>
        <w:t xml:space="preserve">.  </w:t>
      </w:r>
      <w:r w:rsidRPr="001E6A6C">
        <w:t xml:space="preserve">Elles </w:t>
      </w:r>
      <w:r>
        <w:t xml:space="preserve">lui </w:t>
      </w:r>
      <w:r w:rsidRPr="001E6A6C">
        <w:t>permettraient en outre, au fil du temps, de collecter une adresse électronique pour les milliers d</w:t>
      </w:r>
      <w:r>
        <w:t>’</w:t>
      </w:r>
      <w:r w:rsidRPr="001E6A6C">
        <w:t>enregistrements internationaux plus anciens, mais toujours actifs, pour lesquels aucune adresse ne figurait dans le dossier</w:t>
      </w:r>
      <w:r>
        <w:t xml:space="preserve">.  </w:t>
      </w:r>
      <w:r w:rsidRPr="001E6A6C">
        <w:t>Le Secrétariat a proposé que les modifications proposées entrent en vigueur le</w:t>
      </w:r>
      <w:r>
        <w:t xml:space="preserve"> 1</w:t>
      </w:r>
      <w:r w:rsidRPr="006E2683">
        <w:rPr>
          <w:vertAlign w:val="superscript"/>
        </w:rPr>
        <w:t>er</w:t>
      </w:r>
      <w:r>
        <w:t> </w:t>
      </w:r>
      <w:r w:rsidRPr="001E6A6C">
        <w:t>février</w:t>
      </w:r>
      <w:r>
        <w:t> </w:t>
      </w:r>
      <w:r w:rsidRPr="001E6A6C">
        <w:t>2021.  Dans l</w:t>
      </w:r>
      <w:r>
        <w:t>’</w:t>
      </w:r>
      <w:r w:rsidRPr="001E6A6C">
        <w:t>intervalle, le Service d</w:t>
      </w:r>
      <w:r>
        <w:t>’</w:t>
      </w:r>
      <w:r w:rsidRPr="001E6A6C">
        <w:t xml:space="preserve">enregistrement de </w:t>
      </w:r>
      <w:r>
        <w:t>La Haye</w:t>
      </w:r>
      <w:r w:rsidRPr="001E6A6C">
        <w:t xml:space="preserve"> mènerait une campagne de sensibilisation afin de veiller à ce que cette pratique recueille l</w:t>
      </w:r>
      <w:r>
        <w:t>’</w:t>
      </w:r>
      <w:r w:rsidRPr="001E6A6C">
        <w:t>adhésion des utilisateurs, car l</w:t>
      </w:r>
      <w:r>
        <w:t>’</w:t>
      </w:r>
      <w:r w:rsidRPr="001E6A6C">
        <w:t>objectif n</w:t>
      </w:r>
      <w:r>
        <w:t>’</w:t>
      </w:r>
      <w:r w:rsidRPr="001E6A6C">
        <w:t>était pas de leur imposer une exigence</w:t>
      </w:r>
      <w:r>
        <w:t xml:space="preserve"> supplémentaire à respecter</w:t>
      </w:r>
      <w:r w:rsidRPr="001E6A6C">
        <w:t xml:space="preserve">, mais </w:t>
      </w:r>
      <w:r>
        <w:t>bien</w:t>
      </w:r>
      <w:r w:rsidRPr="001E6A6C">
        <w:t xml:space="preserve"> de faire en sorte que le Bureau </w:t>
      </w:r>
      <w:r>
        <w:t>i</w:t>
      </w:r>
      <w:r w:rsidRPr="001E6A6C">
        <w:t xml:space="preserve">nternational soit en mesure de leur fournir des services de manière optimale pendant cette période difficile et </w:t>
      </w:r>
      <w:r>
        <w:t>par la suite</w:t>
      </w:r>
      <w:r w:rsidRPr="001E6A6C">
        <w:t>.</w:t>
      </w:r>
    </w:p>
    <w:p w:rsidR="00BF5879" w:rsidRDefault="00BF5879" w:rsidP="00BF5879">
      <w:pPr>
        <w:pStyle w:val="ONUMFS"/>
      </w:pPr>
      <w:r w:rsidRPr="001E6A6C">
        <w:t>La délégation du Royaume</w:t>
      </w:r>
      <w:r>
        <w:noBreakHyphen/>
      </w:r>
      <w:r w:rsidRPr="001E6A6C">
        <w:t>Uni, parlant au nom du groupe</w:t>
      </w:r>
      <w:r>
        <w:t> </w:t>
      </w:r>
      <w:r w:rsidRPr="001E6A6C">
        <w:t>B, a remercié le Secrétariat pour l</w:t>
      </w:r>
      <w:r>
        <w:t>’</w:t>
      </w:r>
      <w:r w:rsidRPr="001E6A6C">
        <w:t xml:space="preserve">élaboration du document H/A/40/1 </w:t>
      </w:r>
      <w:r>
        <w:t xml:space="preserve">qui contenait une proposition </w:t>
      </w:r>
      <w:r w:rsidRPr="001E6A6C">
        <w:t>visant à rendre obligatoire l</w:t>
      </w:r>
      <w:r>
        <w:t>’</w:t>
      </w:r>
      <w:r w:rsidRPr="001E6A6C">
        <w:t>indication d</w:t>
      </w:r>
      <w:r>
        <w:t>’</w:t>
      </w:r>
      <w:r w:rsidRPr="001E6A6C">
        <w:t>une adresse électronique</w:t>
      </w:r>
      <w:r>
        <w:t>.  Elle</w:t>
      </w:r>
      <w:r w:rsidRPr="001E6A6C">
        <w:t xml:space="preserve"> a déclaré </w:t>
      </w:r>
      <w:r>
        <w:t>que l’intérêt</w:t>
      </w:r>
      <w:r w:rsidRPr="001E6A6C">
        <w:t xml:space="preserve"> de pouvoir adapter les pratiques de travail afin de tirer pleinement parti de la technologie</w:t>
      </w:r>
      <w:r>
        <w:t xml:space="preserve"> ne faisait aucun doute.  </w:t>
      </w:r>
      <w:r w:rsidRPr="001E6A6C">
        <w:t xml:space="preserve">Cette mesure pourrait aider les offices de propriété intellectuelle à mieux gérer leur charge de travail et à apporter des éclaircissements aux utilisateurs du système de propriété intellectuelle dans les </w:t>
      </w:r>
      <w:r>
        <w:t xml:space="preserve">périodes difficiles liées à des situations </w:t>
      </w:r>
      <w:r w:rsidRPr="001E6A6C">
        <w:t>d</w:t>
      </w:r>
      <w:r>
        <w:t>’</w:t>
      </w:r>
      <w:r w:rsidRPr="001E6A6C">
        <w:t>urgen</w:t>
      </w:r>
      <w:r>
        <w:t>ce, telles que la pandémie de COVID</w:t>
      </w:r>
      <w:r>
        <w:noBreakHyphen/>
      </w:r>
      <w:r w:rsidRPr="001E6A6C">
        <w:t>19.  La délégation a ajouté que l</w:t>
      </w:r>
      <w:r>
        <w:t>’</w:t>
      </w:r>
      <w:r w:rsidRPr="001E6A6C">
        <w:t>obligation pour les déposants de fournir une adresse électronique dans</w:t>
      </w:r>
      <w:r>
        <w:t xml:space="preserve"> le cadre du système de La Haye </w:t>
      </w:r>
      <w:r w:rsidRPr="00BE2D5B">
        <w:t>aiderait</w:t>
      </w:r>
      <w:r w:rsidRPr="001E6A6C">
        <w:t xml:space="preserve"> le Bureau </w:t>
      </w:r>
      <w:r>
        <w:t>i</w:t>
      </w:r>
      <w:r w:rsidRPr="001E6A6C">
        <w:t xml:space="preserve">nternational et les offices de propriété intellectuelle à communiquer avec les utilisateurs du système de </w:t>
      </w:r>
      <w:r>
        <w:t>La Haye</w:t>
      </w:r>
      <w:r w:rsidRPr="001E6A6C">
        <w:t xml:space="preserve"> de manière opportune, résiliente et efficace</w:t>
      </w:r>
      <w:r>
        <w:t xml:space="preserve">.  </w:t>
      </w:r>
      <w:r w:rsidRPr="001E6A6C">
        <w:t>En obtenant l</w:t>
      </w:r>
      <w:r>
        <w:t>’</w:t>
      </w:r>
      <w:r w:rsidRPr="001E6A6C">
        <w:t>adresse élect</w:t>
      </w:r>
      <w:r>
        <w:t>ro</w:t>
      </w:r>
      <w:r w:rsidRPr="001E6A6C">
        <w:t xml:space="preserve">nique des utilisateurs, les offices de propriété intellectuelle seraient en mesure de communiquer plus efficacement avec </w:t>
      </w:r>
      <w:r>
        <w:t>eux</w:t>
      </w:r>
      <w:r w:rsidRPr="001E6A6C">
        <w:t xml:space="preserve"> pour garantir la continuité de service dans </w:t>
      </w:r>
      <w:r>
        <w:t>l</w:t>
      </w:r>
      <w:r w:rsidRPr="001E6A6C">
        <w:t>es périodes difficiles</w:t>
      </w:r>
      <w:r>
        <w:t xml:space="preserve">.  </w:t>
      </w:r>
      <w:r w:rsidRPr="001E6A6C">
        <w:t xml:space="preserve">En outre, la délégation a fait observer que ces mesures favoriseraient une communication plus efficace et plus rationnelle </w:t>
      </w:r>
      <w:r>
        <w:t>y compris</w:t>
      </w:r>
      <w:r w:rsidRPr="001E6A6C">
        <w:t xml:space="preserve"> en dehors des périodes de crise</w:t>
      </w:r>
      <w:r>
        <w:t>.  Elle</w:t>
      </w:r>
      <w:r w:rsidRPr="001E6A6C">
        <w:t xml:space="preserve"> </w:t>
      </w:r>
      <w:r>
        <w:t>était satisfaite</w:t>
      </w:r>
      <w:r w:rsidRPr="001E6A6C">
        <w:t xml:space="preserve"> que les préoccupations relatives à la protection de la vie privée </w:t>
      </w:r>
      <w:r>
        <w:t>aient</w:t>
      </w:r>
      <w:r w:rsidRPr="001E6A6C">
        <w:t xml:space="preserve"> été prises en considération lors de l</w:t>
      </w:r>
      <w:r>
        <w:t>’</w:t>
      </w:r>
      <w:r w:rsidRPr="001E6A6C">
        <w:t>élaboration des propositions et appuyait les propositions de modification des règles</w:t>
      </w:r>
      <w:r>
        <w:t> </w:t>
      </w:r>
      <w:r w:rsidRPr="001E6A6C">
        <w:t>3</w:t>
      </w:r>
      <w:r>
        <w:t>, 7 et </w:t>
      </w:r>
      <w:r w:rsidRPr="001E6A6C">
        <w:t>21 du règlement d</w:t>
      </w:r>
      <w:r>
        <w:t>’</w:t>
      </w:r>
      <w:r w:rsidRPr="001E6A6C">
        <w:t>exécution commun.</w:t>
      </w:r>
    </w:p>
    <w:p w:rsidR="00BF5879" w:rsidRDefault="00BF5879" w:rsidP="004421CA">
      <w:pPr>
        <w:pStyle w:val="ONUMFS"/>
      </w:pPr>
      <w:r w:rsidRPr="001E6A6C">
        <w:t>La délégation de la République de Corée a appuyé la proposition visant à rendre obligatoire l</w:t>
      </w:r>
      <w:r>
        <w:t>’</w:t>
      </w:r>
      <w:r w:rsidRPr="001E6A6C">
        <w:t xml:space="preserve">indication </w:t>
      </w:r>
      <w:r>
        <w:t>d’une adresse électronique pour</w:t>
      </w:r>
      <w:r w:rsidRPr="001E6A6C">
        <w:t xml:space="preserve"> les déposants, les titulaires et leurs </w:t>
      </w:r>
      <w:r w:rsidRPr="001E6A6C">
        <w:lastRenderedPageBreak/>
        <w:t xml:space="preserve">mandataires dans le cadre du système de </w:t>
      </w:r>
      <w:r>
        <w:t>La Haye</w:t>
      </w:r>
      <w:r w:rsidRPr="001E6A6C">
        <w:t xml:space="preserve">, compte tenu des difficultés </w:t>
      </w:r>
      <w:r>
        <w:t>liées à la</w:t>
      </w:r>
      <w:r w:rsidRPr="001E6A6C">
        <w:t xml:space="preserve"> communication </w:t>
      </w:r>
      <w:r w:rsidRPr="000821C5">
        <w:t>sur papier</w:t>
      </w:r>
      <w:r w:rsidRPr="001E6A6C">
        <w:t xml:space="preserve"> entre le Bureau </w:t>
      </w:r>
      <w:r>
        <w:t>i</w:t>
      </w:r>
      <w:r w:rsidRPr="001E6A6C">
        <w:t>nternational et les utilisateurs des services mondiaux de propriété intellectuelle découlant de la pandémie de C</w:t>
      </w:r>
      <w:r>
        <w:t>OVID</w:t>
      </w:r>
      <w:r>
        <w:noBreakHyphen/>
      </w:r>
      <w:r w:rsidRPr="001E6A6C">
        <w:t xml:space="preserve">19. </w:t>
      </w:r>
      <w:r>
        <w:t xml:space="preserve"> Elle</w:t>
      </w:r>
      <w:r w:rsidRPr="001E6A6C">
        <w:t xml:space="preserve"> a souligné que, comme elle l</w:t>
      </w:r>
      <w:r>
        <w:t>’</w:t>
      </w:r>
      <w:r w:rsidRPr="001E6A6C">
        <w:t xml:space="preserve">avait déjà indiqué lors des délibérations tenues dans le cadre </w:t>
      </w:r>
      <w:r>
        <w:t xml:space="preserve">de </w:t>
      </w:r>
      <w:r w:rsidRPr="001E6A6C">
        <w:t>l</w:t>
      </w:r>
      <w:r>
        <w:t>’</w:t>
      </w:r>
      <w:r w:rsidRPr="001E6A6C">
        <w:t>Assemblée de l</w:t>
      </w:r>
      <w:r>
        <w:t>’</w:t>
      </w:r>
      <w:r w:rsidRPr="001E6A6C">
        <w:t>Union de Madrid, cette proposition améliorerait l</w:t>
      </w:r>
      <w:r>
        <w:t>’</w:t>
      </w:r>
      <w:r w:rsidRPr="001E6A6C">
        <w:t>efficacité des services d</w:t>
      </w:r>
      <w:r>
        <w:t>’</w:t>
      </w:r>
      <w:r w:rsidRPr="001E6A6C">
        <w:t xml:space="preserve">acheminement et créerait pour le Bureau </w:t>
      </w:r>
      <w:r>
        <w:t>un environnement</w:t>
      </w:r>
      <w:r w:rsidRPr="001E6A6C">
        <w:t xml:space="preserve"> plus favorable</w:t>
      </w:r>
      <w:r>
        <w:t xml:space="preserve"> pour communiquer </w:t>
      </w:r>
      <w:r w:rsidRPr="001E6A6C">
        <w:t>avec les déposants, les titulaires et leurs mandataires</w:t>
      </w:r>
      <w:r>
        <w:t xml:space="preserve">.  </w:t>
      </w:r>
      <w:r w:rsidRPr="001E6A6C">
        <w:t>À cet égard, la délégation était d</w:t>
      </w:r>
      <w:r>
        <w:t>’</w:t>
      </w:r>
      <w:r w:rsidRPr="001E6A6C">
        <w:t>avis que la proposition serait d</w:t>
      </w:r>
      <w:r>
        <w:t>’</w:t>
      </w:r>
      <w:r w:rsidRPr="001E6A6C">
        <w:t>autant plus utile qu</w:t>
      </w:r>
      <w:r>
        <w:t>’</w:t>
      </w:r>
      <w:r w:rsidRPr="001E6A6C">
        <w:t>elle s</w:t>
      </w:r>
      <w:r>
        <w:t>’</w:t>
      </w:r>
      <w:r w:rsidRPr="001E6A6C">
        <w:t>accompagnerait d</w:t>
      </w:r>
      <w:r>
        <w:t>’</w:t>
      </w:r>
      <w:r w:rsidRPr="001E6A6C">
        <w:t>une modernisation des systèmes informatiques et d</w:t>
      </w:r>
      <w:r>
        <w:t>’</w:t>
      </w:r>
      <w:r w:rsidRPr="001E6A6C">
        <w:t xml:space="preserve">une amélioration de la coordination entre le Bureau </w:t>
      </w:r>
      <w:r>
        <w:t>i</w:t>
      </w:r>
      <w:r w:rsidRPr="001E6A6C">
        <w:t>nternational et les offices désignés afin d</w:t>
      </w:r>
      <w:r>
        <w:t>’</w:t>
      </w:r>
      <w:r w:rsidRPr="001E6A6C">
        <w:t>assurer une transmission des informations en toute fluidité.</w:t>
      </w:r>
    </w:p>
    <w:p w:rsidR="00BF5879" w:rsidRDefault="00BF5879" w:rsidP="00BF5879">
      <w:pPr>
        <w:pStyle w:val="ONUMFS"/>
      </w:pPr>
      <w:r w:rsidRPr="001E6A6C">
        <w:t>La délégation de l</w:t>
      </w:r>
      <w:r>
        <w:t>’</w:t>
      </w:r>
      <w:r w:rsidRPr="001E6A6C">
        <w:t>Union européenne a appuyé la proposition, comme elle l</w:t>
      </w:r>
      <w:r>
        <w:t>’</w:t>
      </w:r>
      <w:r w:rsidRPr="001E6A6C">
        <w:t xml:space="preserve">avait fait </w:t>
      </w:r>
      <w:r>
        <w:t>dans le cadre de</w:t>
      </w:r>
      <w:r w:rsidRPr="001E6A6C">
        <w:t xml:space="preserve"> l</w:t>
      </w:r>
      <w:r>
        <w:t>’</w:t>
      </w:r>
      <w:r w:rsidRPr="001E6A6C">
        <w:t>Assemblée de l</w:t>
      </w:r>
      <w:r>
        <w:t>’</w:t>
      </w:r>
      <w:r w:rsidRPr="001E6A6C">
        <w:t>Union de Madrid.</w:t>
      </w:r>
    </w:p>
    <w:p w:rsidR="00BF5879" w:rsidRDefault="00BF5879" w:rsidP="00BF5879">
      <w:pPr>
        <w:pStyle w:val="ONUMFS"/>
      </w:pPr>
      <w:r w:rsidRPr="001E6A6C">
        <w:t>La délégation de la Fédération de Russie, parlant au nom du groupe des pays d</w:t>
      </w:r>
      <w:r>
        <w:t>’</w:t>
      </w:r>
      <w:r w:rsidRPr="001E6A6C">
        <w:t>Asie centrale, du Caucase et d</w:t>
      </w:r>
      <w:r>
        <w:t>’</w:t>
      </w:r>
      <w:r w:rsidRPr="001E6A6C">
        <w:t>Europe orientale, a appuyé la proposition soumise à l</w:t>
      </w:r>
      <w:r>
        <w:t>’</w:t>
      </w:r>
      <w:r w:rsidRPr="001E6A6C">
        <w:t>Assemblée de l</w:t>
      </w:r>
      <w:r>
        <w:t>’</w:t>
      </w:r>
      <w:r w:rsidRPr="001E6A6C">
        <w:t xml:space="preserve">Union de </w:t>
      </w:r>
      <w:r>
        <w:t>La Haye</w:t>
      </w:r>
      <w:r w:rsidRPr="001E6A6C">
        <w:t xml:space="preserve"> visant à rendre obligatoire l</w:t>
      </w:r>
      <w:r>
        <w:t>’</w:t>
      </w:r>
      <w:r w:rsidRPr="001E6A6C">
        <w:t>indication d</w:t>
      </w:r>
      <w:r>
        <w:t>’</w:t>
      </w:r>
      <w:r w:rsidRPr="001E6A6C">
        <w:t xml:space="preserve">une adresse électronique, </w:t>
      </w:r>
      <w:r>
        <w:t xml:space="preserve">tout </w:t>
      </w:r>
      <w:r w:rsidRPr="001E6A6C">
        <w:t>comme pour le système de Madrid</w:t>
      </w:r>
      <w:r>
        <w:t xml:space="preserve">.  </w:t>
      </w:r>
      <w:r w:rsidRPr="001E6A6C">
        <w:t xml:space="preserve">Le groupe était convaincu que cette mesure améliorerait la communication avec les utilisateurs du système de </w:t>
      </w:r>
      <w:r>
        <w:t>La Haye</w:t>
      </w:r>
      <w:r w:rsidRPr="001E6A6C">
        <w:t xml:space="preserve"> et contribuerait à écarter les risques liés à l</w:t>
      </w:r>
      <w:r>
        <w:t>’</w:t>
      </w:r>
      <w:r w:rsidRPr="001E6A6C">
        <w:t>interruption des services postaux et d</w:t>
      </w:r>
      <w:r>
        <w:t>’</w:t>
      </w:r>
      <w:r w:rsidRPr="001E6A6C">
        <w:t>acheminement du courrier</w:t>
      </w:r>
      <w:r>
        <w:t>.  Il</w:t>
      </w:r>
      <w:r w:rsidRPr="001E6A6C">
        <w:t xml:space="preserve"> espérait également que le Groupe de travail sur le développement juridique du système de </w:t>
      </w:r>
      <w:r>
        <w:t>La Haye</w:t>
      </w:r>
      <w:r w:rsidRPr="001E6A6C">
        <w:t xml:space="preserve"> concernant l</w:t>
      </w:r>
      <w:r>
        <w:t>’</w:t>
      </w:r>
      <w:r w:rsidRPr="001E6A6C">
        <w:t>enregistrement international des dessins et modèles industriels (ci</w:t>
      </w:r>
      <w:r>
        <w:noBreakHyphen/>
      </w:r>
      <w:r w:rsidRPr="001E6A6C">
        <w:t xml:space="preserve">après dénommé </w:t>
      </w:r>
      <w:r>
        <w:t>“</w:t>
      </w:r>
      <w:r w:rsidRPr="001E6A6C">
        <w:t xml:space="preserve">Groupe de travail de </w:t>
      </w:r>
      <w:r>
        <w:t>La Haye”</w:t>
      </w:r>
      <w:r w:rsidRPr="001E6A6C">
        <w:t>) examinerait la politique linguistique et qu</w:t>
      </w:r>
      <w:r>
        <w:t>’</w:t>
      </w:r>
      <w:r w:rsidRPr="001E6A6C">
        <w:t>un document serait établi sur cette question en particulier, et il attendait avec intérêt de lire ce document.</w:t>
      </w:r>
    </w:p>
    <w:p w:rsidR="00BF5879" w:rsidRDefault="00BF5879" w:rsidP="00BF5879">
      <w:pPr>
        <w:pStyle w:val="ONUMFS"/>
      </w:pPr>
      <w:r w:rsidRPr="000C7631">
        <w:t>La délégation de la Fédération de Russie, parlant au nom de son pays, a souscrit à la</w:t>
      </w:r>
      <w:r w:rsidRPr="001E6A6C">
        <w:t xml:space="preserve"> déclaration faite au nom du groupe des pays d</w:t>
      </w:r>
      <w:r>
        <w:t>’</w:t>
      </w:r>
      <w:r w:rsidRPr="001E6A6C">
        <w:t>Asie centrale, du Caucase et d</w:t>
      </w:r>
      <w:r>
        <w:t>’</w:t>
      </w:r>
      <w:r w:rsidRPr="001E6A6C">
        <w:t xml:space="preserve">Europe orientale et a appuyé la proposition du Secrétariat </w:t>
      </w:r>
      <w:r>
        <w:t>relative aux</w:t>
      </w:r>
      <w:r w:rsidRPr="001E6A6C">
        <w:t xml:space="preserve"> mesures liées à la pandémie de C</w:t>
      </w:r>
      <w:r>
        <w:t>OVID</w:t>
      </w:r>
      <w:r>
        <w:noBreakHyphen/>
      </w:r>
      <w:r w:rsidRPr="001E6A6C">
        <w:t xml:space="preserve">19 </w:t>
      </w:r>
      <w:r>
        <w:t xml:space="preserve">concernant les </w:t>
      </w:r>
      <w:r w:rsidRPr="001E6A6C">
        <w:t>propositions de modification des règles</w:t>
      </w:r>
      <w:r>
        <w:t> </w:t>
      </w:r>
      <w:r w:rsidRPr="001E6A6C">
        <w:t>3</w:t>
      </w:r>
      <w:r>
        <w:t>, 7 et </w:t>
      </w:r>
      <w:r w:rsidRPr="001E6A6C">
        <w:t>21 du règlement d</w:t>
      </w:r>
      <w:r>
        <w:t>’</w:t>
      </w:r>
      <w:r w:rsidRPr="001E6A6C">
        <w:t>exécution commun</w:t>
      </w:r>
      <w:r>
        <w:t xml:space="preserve">.  </w:t>
      </w:r>
      <w:r w:rsidRPr="001E6A6C">
        <w:t>La délégation a indiqué que le fait de rendre obligatoire l</w:t>
      </w:r>
      <w:r>
        <w:t>’</w:t>
      </w:r>
      <w:r w:rsidRPr="001E6A6C">
        <w:t>indication d</w:t>
      </w:r>
      <w:r>
        <w:t>’</w:t>
      </w:r>
      <w:r w:rsidRPr="001E6A6C">
        <w:t xml:space="preserve">une adresse électronique faciliterait les travaux du Bureau </w:t>
      </w:r>
      <w:r>
        <w:t>i</w:t>
      </w:r>
      <w:r w:rsidRPr="001E6A6C">
        <w:t>nternational et garantirait une communication fluide avec les déposants, les titulaires et leurs mandataires</w:t>
      </w:r>
      <w:r>
        <w:t>.  Elle</w:t>
      </w:r>
      <w:r w:rsidRPr="001E6A6C">
        <w:t xml:space="preserve"> espérait également que la réunion du Groupe de travail de </w:t>
      </w:r>
      <w:r>
        <w:t>La Haye</w:t>
      </w:r>
      <w:r w:rsidRPr="001E6A6C">
        <w:t xml:space="preserve"> aurait lieu car les travaux relatifs à la politique linguistique avaient dû être interrompus en raison de la pandémie, et elle attendait avec intérêt de prendre connaissance des résultats de l</w:t>
      </w:r>
      <w:r>
        <w:t>’</w:t>
      </w:r>
      <w:r w:rsidRPr="001E6A6C">
        <w:t>examen de cette question.</w:t>
      </w:r>
    </w:p>
    <w:p w:rsidR="00BF5879" w:rsidRDefault="00BF5879" w:rsidP="00BF5879">
      <w:pPr>
        <w:pStyle w:val="ONUMFS"/>
      </w:pPr>
      <w:r w:rsidRPr="001E6A6C">
        <w:t>La délégation du Japon a appuyé la déclaration faite par le Royaume</w:t>
      </w:r>
      <w:r>
        <w:noBreakHyphen/>
      </w:r>
      <w:r w:rsidRPr="001E6A6C">
        <w:t>Uni au nom du groupe</w:t>
      </w:r>
      <w:r>
        <w:t> </w:t>
      </w:r>
      <w:r w:rsidRPr="001E6A6C">
        <w:t>B ainsi que</w:t>
      </w:r>
      <w:r w:rsidR="005C22BD">
        <w:t>, dans ses grandes lignes,</w:t>
      </w:r>
      <w:r w:rsidRPr="001E6A6C">
        <w:t xml:space="preserve"> la proposition </w:t>
      </w:r>
      <w:r w:rsidR="005C22BD">
        <w:t xml:space="preserve">de politique </w:t>
      </w:r>
      <w:r w:rsidRPr="001E6A6C">
        <w:t>visant à rendre obligatoire l</w:t>
      </w:r>
      <w:r>
        <w:t>’</w:t>
      </w:r>
      <w:r w:rsidRPr="001E6A6C">
        <w:t>indication d</w:t>
      </w:r>
      <w:r>
        <w:t>’</w:t>
      </w:r>
      <w:r w:rsidRPr="001E6A6C">
        <w:t>une adresse électronique par les utilisateurs</w:t>
      </w:r>
      <w:r>
        <w:t>.  Elle</w:t>
      </w:r>
      <w:r w:rsidRPr="001E6A6C">
        <w:t xml:space="preserve"> a toutefois fait observer que</w:t>
      </w:r>
      <w:r w:rsidR="005C22BD">
        <w:t>, pour éviter des répercussions excessives,</w:t>
      </w:r>
      <w:r w:rsidRPr="001E6A6C">
        <w:t xml:space="preserve"> l</w:t>
      </w:r>
      <w:r>
        <w:t>’</w:t>
      </w:r>
      <w:r w:rsidRPr="001E6A6C">
        <w:t>absence d</w:t>
      </w:r>
      <w:r>
        <w:t>’</w:t>
      </w:r>
      <w:r w:rsidRPr="001E6A6C">
        <w:t>indication d</w:t>
      </w:r>
      <w:r>
        <w:t>’</w:t>
      </w:r>
      <w:r w:rsidRPr="001E6A6C">
        <w:t xml:space="preserve">une adresse électronique </w:t>
      </w:r>
      <w:r w:rsidRPr="003A5108">
        <w:t>ne devrait pas être considérée comme</w:t>
      </w:r>
      <w:r>
        <w:t xml:space="preserve"> une irrégularité</w:t>
      </w:r>
      <w:r w:rsidRPr="001E6A6C">
        <w:t xml:space="preserve"> entraînant le report de la date de dépôt de la demande</w:t>
      </w:r>
      <w:r>
        <w:t xml:space="preserve"> internationale visée</w:t>
      </w:r>
      <w:r w:rsidRPr="001E6A6C">
        <w:t xml:space="preserve"> à la règle</w:t>
      </w:r>
      <w:r>
        <w:t> </w:t>
      </w:r>
      <w:r w:rsidRPr="001E6A6C">
        <w:t>14.2) du règlement d</w:t>
      </w:r>
      <w:r>
        <w:t>’</w:t>
      </w:r>
      <w:r w:rsidRPr="001E6A6C">
        <w:t>exécution commun.</w:t>
      </w:r>
    </w:p>
    <w:p w:rsidR="00BF5879" w:rsidRDefault="00BF5879" w:rsidP="00BF5879">
      <w:pPr>
        <w:pStyle w:val="ONUMFS"/>
      </w:pPr>
      <w:r w:rsidRPr="001E6A6C">
        <w:t>La délégation du Canada a également souscrit à la déclaration faite par la délégation du Royaume</w:t>
      </w:r>
      <w:r>
        <w:noBreakHyphen/>
      </w:r>
      <w:r w:rsidRPr="001E6A6C">
        <w:t>Uni au nom du groupe</w:t>
      </w:r>
      <w:r>
        <w:t> </w:t>
      </w:r>
      <w:r w:rsidRPr="001E6A6C">
        <w:t>B.</w:t>
      </w:r>
      <w:r>
        <w:t xml:space="preserve"> </w:t>
      </w:r>
      <w:r w:rsidRPr="001E6A6C">
        <w:t xml:space="preserve"> Elle a déclaré que, tout comme le système de Madrid, le système de </w:t>
      </w:r>
      <w:r>
        <w:t>La Haye</w:t>
      </w:r>
      <w:r w:rsidRPr="001E6A6C">
        <w:t xml:space="preserve"> revêtait une grande importance pour le Canada et que les utilisateurs canadiens avaient été touchés par la perturbation des communications</w:t>
      </w:r>
      <w:r>
        <w:t xml:space="preserve">.  </w:t>
      </w:r>
      <w:r w:rsidRPr="001E6A6C">
        <w:t>La délégation était d</w:t>
      </w:r>
      <w:r>
        <w:t>’</w:t>
      </w:r>
      <w:r w:rsidRPr="001E6A6C">
        <w:t xml:space="preserve">avis que la communication était essentielle, comme </w:t>
      </w:r>
      <w:r>
        <w:t xml:space="preserve">il ressortait du </w:t>
      </w:r>
      <w:r w:rsidRPr="001E6A6C">
        <w:t>document H/A/40/1, et que cette proposition serait utile dans la situation actuelle.</w:t>
      </w:r>
    </w:p>
    <w:p w:rsidR="00BF5879" w:rsidRDefault="00BF5879" w:rsidP="00BF5879">
      <w:pPr>
        <w:pStyle w:val="ONUMFS"/>
      </w:pPr>
      <w:r w:rsidRPr="0005455B">
        <w:t>En réponse à la déclaration faite par la délégation du Japon, le Secrétariat a indiqué que le Bureau international n</w:t>
      </w:r>
      <w:r>
        <w:t>’</w:t>
      </w:r>
      <w:r w:rsidRPr="0005455B">
        <w:t>avait pas l</w:t>
      </w:r>
      <w:r>
        <w:t>’</w:t>
      </w:r>
      <w:r w:rsidRPr="0005455B">
        <w:t>intention de considérer l</w:t>
      </w:r>
      <w:r>
        <w:t>’</w:t>
      </w:r>
      <w:r w:rsidRPr="0005455B">
        <w:t>omission d</w:t>
      </w:r>
      <w:r>
        <w:t>’</w:t>
      </w:r>
      <w:r w:rsidRPr="0005455B">
        <w:t>une adresse électronique comme une irrégularité qui serait susceptible d</w:t>
      </w:r>
      <w:r>
        <w:t>’</w:t>
      </w:r>
      <w:r w:rsidRPr="0005455B">
        <w:t>avoir une incidence sur la date de dépôt dans une demande</w:t>
      </w:r>
      <w:r>
        <w:t xml:space="preserve">.  </w:t>
      </w:r>
      <w:r w:rsidRPr="0005455B">
        <w:t>Même si le Secrétariat estimait que cela était déjà sous</w:t>
      </w:r>
      <w:r>
        <w:noBreakHyphen/>
      </w:r>
      <w:r w:rsidRPr="0005455B">
        <w:t xml:space="preserve">entendu </w:t>
      </w:r>
      <w:r w:rsidRPr="0005455B">
        <w:lastRenderedPageBreak/>
        <w:t xml:space="preserve">dans le document, il a </w:t>
      </w:r>
      <w:r w:rsidRPr="00841EA1">
        <w:rPr>
          <w:bCs/>
        </w:rPr>
        <w:t>expressément indiqué</w:t>
      </w:r>
      <w:r w:rsidRPr="00841EA1">
        <w:t xml:space="preserve"> qu</w:t>
      </w:r>
      <w:r>
        <w:t>’</w:t>
      </w:r>
      <w:r w:rsidRPr="00841EA1">
        <w:t>il s</w:t>
      </w:r>
      <w:r>
        <w:t>’</w:t>
      </w:r>
      <w:r w:rsidRPr="00841EA1">
        <w:t xml:space="preserve">agissait </w:t>
      </w:r>
      <w:r>
        <w:t>de</w:t>
      </w:r>
      <w:r w:rsidRPr="001E6A6C">
        <w:t xml:space="preserve"> la position du Bureau </w:t>
      </w:r>
      <w:r>
        <w:t>i</w:t>
      </w:r>
      <w:r w:rsidRPr="001E6A6C">
        <w:t>nternational à cet égard</w:t>
      </w:r>
      <w:r>
        <w:t xml:space="preserve">.  </w:t>
      </w:r>
      <w:r w:rsidRPr="001E6A6C">
        <w:t xml:space="preserve">Dans le cas contraire, le Bureau </w:t>
      </w:r>
      <w:r>
        <w:t>i</w:t>
      </w:r>
      <w:r w:rsidRPr="001E6A6C">
        <w:t>nternational aurait proposé une modification de la règle</w:t>
      </w:r>
      <w:r>
        <w:t> </w:t>
      </w:r>
      <w:r w:rsidRPr="001E6A6C">
        <w:t>14.2).</w:t>
      </w:r>
    </w:p>
    <w:p w:rsidR="00BF5879" w:rsidRDefault="00BF5879" w:rsidP="00BF5879">
      <w:pPr>
        <w:pStyle w:val="ONUMFS"/>
      </w:pPr>
      <w:r w:rsidRPr="001E6A6C">
        <w:t>La délégation de la Chine était d</w:t>
      </w:r>
      <w:r>
        <w:t>’</w:t>
      </w:r>
      <w:r w:rsidRPr="001E6A6C">
        <w:t xml:space="preserve">avis que la proposition </w:t>
      </w:r>
      <w:r>
        <w:t xml:space="preserve">était bien en phase avec la convivialité qui caractérisait </w:t>
      </w:r>
      <w:r w:rsidRPr="004714DC">
        <w:t xml:space="preserve">le système de </w:t>
      </w:r>
      <w:r>
        <w:t>La Haye</w:t>
      </w:r>
      <w:r w:rsidRPr="004714DC">
        <w:t xml:space="preserve"> </w:t>
      </w:r>
      <w:r w:rsidRPr="001E6A6C">
        <w:t>et que cette mesure serait avantageuse</w:t>
      </w:r>
      <w:r>
        <w:t xml:space="preserve"> dans l’ensemble</w:t>
      </w:r>
      <w:r w:rsidRPr="001E6A6C">
        <w:t xml:space="preserve"> pour l</w:t>
      </w:r>
      <w:r>
        <w:t>e</w:t>
      </w:r>
      <w:r w:rsidRPr="001E6A6C">
        <w:t>s utilisateurs</w:t>
      </w:r>
      <w:r>
        <w:t xml:space="preserve">.  </w:t>
      </w:r>
      <w:r w:rsidRPr="001E6A6C">
        <w:t xml:space="preserve">Dans le même temps, </w:t>
      </w:r>
      <w:r>
        <w:t>elle</w:t>
      </w:r>
      <w:r w:rsidRPr="001E6A6C">
        <w:t xml:space="preserve"> a demandé au Bureau </w:t>
      </w:r>
      <w:r>
        <w:t>i</w:t>
      </w:r>
      <w:r w:rsidRPr="001E6A6C">
        <w:t>nternational d</w:t>
      </w:r>
      <w:r>
        <w:t>’</w:t>
      </w:r>
      <w:r w:rsidRPr="001E6A6C">
        <w:t>améliorer encore les systèmes de dépôt et de communication électroniques afin de fournir un service de qualité, efficace et fiable.</w:t>
      </w:r>
    </w:p>
    <w:p w:rsidR="00BF5879" w:rsidRPr="00756831" w:rsidRDefault="00BF5879" w:rsidP="00BF5879">
      <w:pPr>
        <w:pStyle w:val="ONUMFS"/>
        <w:ind w:left="567"/>
        <w:rPr>
          <w:lang w:val="fr-FR"/>
        </w:rPr>
      </w:pPr>
      <w:r w:rsidRPr="00756831">
        <w:rPr>
          <w:lang w:val="fr-FR"/>
        </w:rPr>
        <w:t>L’Assemblée de l’Union de La Haye a adopté les m</w:t>
      </w:r>
      <w:r w:rsidR="00756831" w:rsidRPr="00756831">
        <w:rPr>
          <w:lang w:val="fr-FR"/>
        </w:rPr>
        <w:t>odifications des règles 3, 7 et </w:t>
      </w:r>
      <w:r w:rsidRPr="00756831">
        <w:rPr>
          <w:lang w:val="fr-FR"/>
        </w:rPr>
        <w:t>21 du règlement d’exécution commun, telles qu’elles figurent à l’annexe du document H/A/40/1, avec une date d’entrée en vigueur fixée au 1</w:t>
      </w:r>
      <w:r w:rsidRPr="00756831">
        <w:rPr>
          <w:vertAlign w:val="superscript"/>
          <w:lang w:val="fr-FR"/>
        </w:rPr>
        <w:t>er</w:t>
      </w:r>
      <w:r w:rsidRPr="00756831">
        <w:rPr>
          <w:lang w:val="fr-FR"/>
        </w:rPr>
        <w:t> février 2021.</w:t>
      </w:r>
    </w:p>
    <w:p w:rsidR="000F5E56" w:rsidRPr="00FF2653" w:rsidRDefault="003C084F" w:rsidP="00BF5879">
      <w:pPr>
        <w:pStyle w:val="Endofdocument-Annex"/>
        <w:spacing w:before="720" w:after="220"/>
        <w:rPr>
          <w:lang w:val="fr-FR"/>
        </w:rPr>
      </w:pPr>
      <w:r w:rsidRPr="00FF2653">
        <w:rPr>
          <w:lang w:val="fr-FR"/>
        </w:rPr>
        <w:t>[Fin du document]</w:t>
      </w:r>
    </w:p>
    <w:sectPr w:rsidR="000F5E56" w:rsidRPr="00FF2653" w:rsidSect="003C084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5B" w:rsidRDefault="008B355B">
      <w:r>
        <w:separator/>
      </w:r>
    </w:p>
  </w:endnote>
  <w:endnote w:type="continuationSeparator" w:id="0">
    <w:p w:rsidR="008B355B" w:rsidRPr="009D30E6" w:rsidRDefault="008B355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B355B" w:rsidRPr="009D30E6" w:rsidRDefault="008B355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B355B" w:rsidRPr="009D30E6" w:rsidRDefault="008B355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5B" w:rsidRDefault="008B355B">
      <w:r>
        <w:separator/>
      </w:r>
    </w:p>
  </w:footnote>
  <w:footnote w:type="continuationSeparator" w:id="0">
    <w:p w:rsidR="008B355B" w:rsidRDefault="008B355B" w:rsidP="007461F1">
      <w:r>
        <w:separator/>
      </w:r>
    </w:p>
    <w:p w:rsidR="008B355B" w:rsidRPr="009D30E6" w:rsidRDefault="008B355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B355B" w:rsidRPr="009D30E6" w:rsidRDefault="008B355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3C084F" w:rsidP="00477D6B">
    <w:pPr>
      <w:jc w:val="right"/>
      <w:rPr>
        <w:caps/>
      </w:rPr>
    </w:pPr>
    <w:bookmarkStart w:id="6" w:name="Code2"/>
    <w:bookmarkEnd w:id="6"/>
    <w:r>
      <w:rPr>
        <w:caps/>
      </w:rPr>
      <w:t>H/A/40/2</w:t>
    </w:r>
  </w:p>
  <w:p w:rsidR="00F16975" w:rsidRDefault="00677A78" w:rsidP="00677A78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E93CB7">
      <w:rPr>
        <w:noProof/>
      </w:rPr>
      <w:t>4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5A34CA"/>
    <w:multiLevelType w:val="multilevel"/>
    <w:tmpl w:val="F0AA66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4F"/>
    <w:rsid w:val="00011B7D"/>
    <w:rsid w:val="00042056"/>
    <w:rsid w:val="00063ECC"/>
    <w:rsid w:val="00075432"/>
    <w:rsid w:val="0009458A"/>
    <w:rsid w:val="000C7631"/>
    <w:rsid w:val="000E24AB"/>
    <w:rsid w:val="000F5E56"/>
    <w:rsid w:val="001362EE"/>
    <w:rsid w:val="00171206"/>
    <w:rsid w:val="001832A6"/>
    <w:rsid w:val="00195C6E"/>
    <w:rsid w:val="001B266A"/>
    <w:rsid w:val="001B488E"/>
    <w:rsid w:val="001C6508"/>
    <w:rsid w:val="001D3D56"/>
    <w:rsid w:val="001D63C1"/>
    <w:rsid w:val="00240654"/>
    <w:rsid w:val="002634C4"/>
    <w:rsid w:val="002956DE"/>
    <w:rsid w:val="0029721C"/>
    <w:rsid w:val="002A0150"/>
    <w:rsid w:val="002E4D1A"/>
    <w:rsid w:val="002F16BC"/>
    <w:rsid w:val="002F4E68"/>
    <w:rsid w:val="00322C0B"/>
    <w:rsid w:val="00326AF7"/>
    <w:rsid w:val="00381798"/>
    <w:rsid w:val="003845C1"/>
    <w:rsid w:val="003A67A3"/>
    <w:rsid w:val="003C084F"/>
    <w:rsid w:val="003C2F89"/>
    <w:rsid w:val="004008A2"/>
    <w:rsid w:val="004025DF"/>
    <w:rsid w:val="0040540C"/>
    <w:rsid w:val="00407412"/>
    <w:rsid w:val="00423E3E"/>
    <w:rsid w:val="00427AF4"/>
    <w:rsid w:val="004421C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C22BD"/>
    <w:rsid w:val="005E6516"/>
    <w:rsid w:val="00605827"/>
    <w:rsid w:val="00616671"/>
    <w:rsid w:val="00677A78"/>
    <w:rsid w:val="006B0DB5"/>
    <w:rsid w:val="007136A8"/>
    <w:rsid w:val="007461F1"/>
    <w:rsid w:val="00756831"/>
    <w:rsid w:val="007D6961"/>
    <w:rsid w:val="007F07CB"/>
    <w:rsid w:val="00810CEF"/>
    <w:rsid w:val="0081208D"/>
    <w:rsid w:val="008B2CC1"/>
    <w:rsid w:val="008B355B"/>
    <w:rsid w:val="008E7930"/>
    <w:rsid w:val="0090731E"/>
    <w:rsid w:val="00966A22"/>
    <w:rsid w:val="00967263"/>
    <w:rsid w:val="00974CD6"/>
    <w:rsid w:val="009D30E6"/>
    <w:rsid w:val="009E3F6F"/>
    <w:rsid w:val="009F499F"/>
    <w:rsid w:val="00A03226"/>
    <w:rsid w:val="00A11D74"/>
    <w:rsid w:val="00A6010E"/>
    <w:rsid w:val="00AC0AE4"/>
    <w:rsid w:val="00AD61DB"/>
    <w:rsid w:val="00B1090C"/>
    <w:rsid w:val="00B12A17"/>
    <w:rsid w:val="00B35AF5"/>
    <w:rsid w:val="00B45C15"/>
    <w:rsid w:val="00B85392"/>
    <w:rsid w:val="00BE0BE0"/>
    <w:rsid w:val="00BF5879"/>
    <w:rsid w:val="00BF789F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93CB7"/>
    <w:rsid w:val="00EE71CB"/>
    <w:rsid w:val="00F16975"/>
    <w:rsid w:val="00F20B84"/>
    <w:rsid w:val="00F66152"/>
    <w:rsid w:val="00FF0454"/>
    <w:rsid w:val="00FF265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75D63C9-D449-4D02-B222-2D9063A9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_A_4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147A-0E5F-4A0D-ABA0-D43CD437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H_A_40 (F)</Template>
  <TotalTime>65</TotalTime>
  <Pages>4</Pages>
  <Words>1553</Words>
  <Characters>8605</Characters>
  <Application>Microsoft Office Word</Application>
  <DocSecurity>0</DocSecurity>
  <Lines>128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H/A/40/</vt:lpstr>
    </vt:vector>
  </TitlesOfParts>
  <Company>WIPO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H/A/40/</dc:title>
  <dc:creator>OLIVIÉ Karen</dc:creator>
  <cp:keywords>PUBLIC</cp:keywords>
  <cp:lastModifiedBy>HÄFLIGER Patience</cp:lastModifiedBy>
  <cp:revision>21</cp:revision>
  <cp:lastPrinted>2011-05-19T12:37:00Z</cp:lastPrinted>
  <dcterms:created xsi:type="dcterms:W3CDTF">2020-09-29T08:46:00Z</dcterms:created>
  <dcterms:modified xsi:type="dcterms:W3CDTF">2020-12-11T15:16:00Z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