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641449" w:rsidTr="00F072E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0091A" w:rsidRPr="00641449" w:rsidRDefault="00E0091A" w:rsidP="00EE71CB">
            <w:pPr>
              <w:rPr>
                <w:lang w:val="fr-FR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641449" w:rsidRDefault="002649E0" w:rsidP="00EE71CB">
            <w:pPr>
              <w:rPr>
                <w:lang w:val="fr-FR"/>
              </w:rPr>
            </w:pPr>
            <w:r w:rsidRPr="00641449">
              <w:rPr>
                <w:noProof/>
                <w:lang w:val="en-US" w:eastAsia="en-US"/>
              </w:rPr>
              <w:drawing>
                <wp:inline distT="0" distB="0" distL="0" distR="0" wp14:anchorId="66802EBF" wp14:editId="5E8E37D7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0091A" w:rsidRPr="00641449" w:rsidRDefault="00E0091A" w:rsidP="00EE71CB">
            <w:pPr>
              <w:jc w:val="right"/>
              <w:rPr>
                <w:lang w:val="fr-FR"/>
              </w:rPr>
            </w:pPr>
            <w:r w:rsidRPr="00641449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8B2CC1" w:rsidRPr="00641449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641449" w:rsidRDefault="002649E0" w:rsidP="0014063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1449">
              <w:rPr>
                <w:rFonts w:ascii="Arial Black" w:hAnsi="Arial Black"/>
                <w:caps/>
                <w:sz w:val="15"/>
                <w:lang w:val="fr-FR"/>
              </w:rPr>
              <w:t>h/a/34/</w:t>
            </w:r>
            <w:bookmarkStart w:id="1" w:name="Code"/>
            <w:bookmarkEnd w:id="1"/>
            <w:r w:rsidR="00CC13DF" w:rsidRPr="00641449">
              <w:rPr>
                <w:rFonts w:ascii="Arial Black" w:hAnsi="Arial Black"/>
                <w:caps/>
                <w:sz w:val="15"/>
                <w:lang w:val="fr-FR"/>
              </w:rPr>
              <w:t>3</w:t>
            </w:r>
            <w:r w:rsidR="00011B7D" w:rsidRPr="0064144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</w:p>
        </w:tc>
      </w:tr>
      <w:tr w:rsidR="008B2CC1" w:rsidRPr="00641449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641449" w:rsidRDefault="008B2CC1" w:rsidP="00EE71C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1449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4A240A" w:rsidRPr="0064144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4144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64144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="00CC13DF" w:rsidRPr="00641449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</w:p>
        </w:tc>
      </w:tr>
      <w:tr w:rsidR="008B2CC1" w:rsidRPr="00641449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641449" w:rsidRDefault="008B2CC1" w:rsidP="0014063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1449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4A240A" w:rsidRPr="00641449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Pr="00641449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="00011B7D" w:rsidRPr="00641449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r w:rsidR="0014063B" w:rsidRPr="00641449">
              <w:rPr>
                <w:rFonts w:ascii="Arial Black" w:hAnsi="Arial Black"/>
                <w:caps/>
                <w:sz w:val="15"/>
                <w:lang w:val="fr-FR"/>
              </w:rPr>
              <w:t>15 janvier 2015</w:t>
            </w:r>
          </w:p>
        </w:tc>
      </w:tr>
    </w:tbl>
    <w:p w:rsidR="008B2CC1" w:rsidRPr="00641449" w:rsidRDefault="008B2CC1" w:rsidP="008B2CC1">
      <w:pPr>
        <w:rPr>
          <w:lang w:val="fr-FR"/>
        </w:rPr>
      </w:pP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8B2CC1" w:rsidP="008B2CC1">
      <w:pPr>
        <w:rPr>
          <w:lang w:val="fr-FR"/>
        </w:rPr>
      </w:pPr>
    </w:p>
    <w:p w:rsidR="002649E0" w:rsidRPr="00641449" w:rsidRDefault="002649E0" w:rsidP="002649E0">
      <w:pPr>
        <w:rPr>
          <w:b/>
          <w:sz w:val="28"/>
          <w:szCs w:val="28"/>
          <w:lang w:val="fr-FR"/>
        </w:rPr>
      </w:pPr>
      <w:r w:rsidRPr="00641449">
        <w:rPr>
          <w:b/>
          <w:sz w:val="28"/>
          <w:szCs w:val="28"/>
          <w:lang w:val="fr-FR"/>
        </w:rPr>
        <w:t xml:space="preserve">Union particulière pour le dépôt international des dessins et modèles industriels (Union de </w:t>
      </w:r>
      <w:r w:rsidR="00292EEA" w:rsidRPr="00641449">
        <w:rPr>
          <w:b/>
          <w:sz w:val="28"/>
          <w:szCs w:val="28"/>
          <w:lang w:val="fr-FR"/>
        </w:rPr>
        <w:t>La Haye</w:t>
      </w:r>
      <w:r w:rsidRPr="00641449">
        <w:rPr>
          <w:b/>
          <w:sz w:val="28"/>
          <w:szCs w:val="28"/>
          <w:lang w:val="fr-FR"/>
        </w:rPr>
        <w:t>)</w:t>
      </w:r>
    </w:p>
    <w:p w:rsidR="003845C1" w:rsidRPr="00641449" w:rsidRDefault="003845C1" w:rsidP="003845C1">
      <w:pPr>
        <w:rPr>
          <w:lang w:val="fr-FR"/>
        </w:rPr>
      </w:pPr>
    </w:p>
    <w:p w:rsidR="00C40E15" w:rsidRPr="00641449" w:rsidRDefault="00C40E15" w:rsidP="003845C1">
      <w:pPr>
        <w:rPr>
          <w:lang w:val="fr-FR"/>
        </w:rPr>
      </w:pPr>
    </w:p>
    <w:p w:rsidR="002649E0" w:rsidRPr="00641449" w:rsidRDefault="002649E0" w:rsidP="002649E0">
      <w:pPr>
        <w:rPr>
          <w:b/>
          <w:sz w:val="28"/>
          <w:szCs w:val="28"/>
          <w:lang w:val="fr-FR"/>
        </w:rPr>
      </w:pPr>
      <w:r w:rsidRPr="00641449">
        <w:rPr>
          <w:b/>
          <w:sz w:val="28"/>
          <w:szCs w:val="28"/>
          <w:lang w:val="fr-FR"/>
        </w:rPr>
        <w:t>Assemblée</w:t>
      </w:r>
    </w:p>
    <w:p w:rsidR="00C40E15" w:rsidRPr="00641449" w:rsidRDefault="00C40E15" w:rsidP="003845C1">
      <w:pPr>
        <w:rPr>
          <w:lang w:val="fr-FR"/>
        </w:rPr>
      </w:pPr>
    </w:p>
    <w:p w:rsidR="003845C1" w:rsidRPr="00641449" w:rsidRDefault="003845C1" w:rsidP="003845C1">
      <w:pPr>
        <w:rPr>
          <w:lang w:val="fr-FR"/>
        </w:rPr>
      </w:pPr>
    </w:p>
    <w:p w:rsidR="002649E0" w:rsidRPr="00641449" w:rsidRDefault="002649E0" w:rsidP="002649E0">
      <w:pPr>
        <w:rPr>
          <w:b/>
          <w:sz w:val="24"/>
          <w:szCs w:val="24"/>
          <w:lang w:val="fr-FR"/>
        </w:rPr>
      </w:pPr>
      <w:r w:rsidRPr="00641449">
        <w:rPr>
          <w:b/>
          <w:sz w:val="24"/>
          <w:szCs w:val="24"/>
          <w:lang w:val="fr-FR"/>
        </w:rPr>
        <w:t>Trente</w:t>
      </w:r>
      <w:r w:rsidR="00DA4A59">
        <w:rPr>
          <w:b/>
          <w:sz w:val="24"/>
          <w:szCs w:val="24"/>
          <w:lang w:val="fr-FR"/>
        </w:rPr>
        <w:t>-</w:t>
      </w:r>
      <w:r w:rsidRPr="00641449">
        <w:rPr>
          <w:b/>
          <w:sz w:val="24"/>
          <w:szCs w:val="24"/>
          <w:lang w:val="fr-FR"/>
        </w:rPr>
        <w:t>quatrième</w:t>
      </w:r>
      <w:r w:rsidR="004A240A" w:rsidRPr="00641449">
        <w:rPr>
          <w:b/>
          <w:sz w:val="24"/>
          <w:szCs w:val="24"/>
          <w:lang w:val="fr-FR"/>
        </w:rPr>
        <w:t> </w:t>
      </w:r>
      <w:r w:rsidRPr="00641449">
        <w:rPr>
          <w:b/>
          <w:sz w:val="24"/>
          <w:szCs w:val="24"/>
          <w:lang w:val="fr-FR"/>
        </w:rPr>
        <w:t>session (15</w:t>
      </w:r>
      <w:r w:rsidRPr="00641449">
        <w:rPr>
          <w:b/>
          <w:sz w:val="24"/>
          <w:szCs w:val="24"/>
          <w:vertAlign w:val="superscript"/>
          <w:lang w:val="fr-FR"/>
        </w:rPr>
        <w:t>e</w:t>
      </w:r>
      <w:r w:rsidRPr="00495447">
        <w:rPr>
          <w:b/>
          <w:sz w:val="24"/>
          <w:szCs w:val="24"/>
          <w:lang w:val="fr-FR"/>
        </w:rPr>
        <w:t xml:space="preserve"> </w:t>
      </w:r>
      <w:r w:rsidRPr="00641449">
        <w:rPr>
          <w:b/>
          <w:sz w:val="24"/>
          <w:szCs w:val="24"/>
          <w:lang w:val="fr-FR"/>
        </w:rPr>
        <w:t>session extraordinaire)</w:t>
      </w:r>
    </w:p>
    <w:p w:rsidR="002649E0" w:rsidRPr="00641449" w:rsidRDefault="002649E0" w:rsidP="002649E0">
      <w:pPr>
        <w:rPr>
          <w:b/>
          <w:sz w:val="24"/>
          <w:szCs w:val="24"/>
          <w:lang w:val="fr-FR"/>
        </w:rPr>
      </w:pPr>
      <w:r w:rsidRPr="00641449">
        <w:rPr>
          <w:b/>
          <w:sz w:val="24"/>
          <w:szCs w:val="24"/>
          <w:lang w:val="fr-FR"/>
        </w:rPr>
        <w:t>Genève, 22 – 3</w:t>
      </w:r>
      <w:r w:rsidR="00292EEA" w:rsidRPr="00641449">
        <w:rPr>
          <w:b/>
          <w:sz w:val="24"/>
          <w:szCs w:val="24"/>
          <w:lang w:val="fr-FR"/>
        </w:rPr>
        <w:t>0 septembre 20</w:t>
      </w:r>
      <w:r w:rsidRPr="00641449">
        <w:rPr>
          <w:b/>
          <w:sz w:val="24"/>
          <w:szCs w:val="24"/>
          <w:lang w:val="fr-FR"/>
        </w:rPr>
        <w:t>14</w:t>
      </w: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E36319" w:rsidP="008B2CC1">
      <w:pPr>
        <w:rPr>
          <w:caps/>
          <w:sz w:val="24"/>
          <w:lang w:val="fr-FR"/>
        </w:rPr>
      </w:pPr>
      <w:bookmarkStart w:id="3" w:name="TitleOfDoc"/>
      <w:bookmarkEnd w:id="3"/>
      <w:r w:rsidRPr="00641449">
        <w:rPr>
          <w:caps/>
          <w:sz w:val="24"/>
          <w:lang w:val="fr-FR"/>
        </w:rPr>
        <w:t>rapport</w:t>
      </w:r>
    </w:p>
    <w:p w:rsidR="008B2CC1" w:rsidRPr="00641449" w:rsidRDefault="008B2CC1" w:rsidP="008B2CC1">
      <w:pPr>
        <w:rPr>
          <w:lang w:val="fr-FR"/>
        </w:rPr>
      </w:pPr>
    </w:p>
    <w:p w:rsidR="008B2CC1" w:rsidRPr="00641449" w:rsidRDefault="0014063B" w:rsidP="008B2CC1">
      <w:pPr>
        <w:rPr>
          <w:i/>
          <w:lang w:val="fr-FR"/>
        </w:rPr>
      </w:pPr>
      <w:bookmarkStart w:id="4" w:name="Prepared"/>
      <w:bookmarkEnd w:id="4"/>
      <w:proofErr w:type="gramStart"/>
      <w:r w:rsidRPr="00641449">
        <w:rPr>
          <w:i/>
          <w:lang w:val="fr-FR"/>
        </w:rPr>
        <w:t>adopté</w:t>
      </w:r>
      <w:proofErr w:type="gramEnd"/>
      <w:r w:rsidR="00E36319" w:rsidRPr="00641449">
        <w:rPr>
          <w:i/>
          <w:lang w:val="fr-FR"/>
        </w:rPr>
        <w:t xml:space="preserve"> par l</w:t>
      </w:r>
      <w:r w:rsidR="00292EEA" w:rsidRPr="00641449">
        <w:rPr>
          <w:i/>
          <w:lang w:val="fr-FR"/>
        </w:rPr>
        <w:t>’</w:t>
      </w:r>
      <w:r w:rsidRPr="00641449">
        <w:rPr>
          <w:i/>
          <w:lang w:val="fr-FR"/>
        </w:rPr>
        <w:t>assemblée</w:t>
      </w:r>
    </w:p>
    <w:p w:rsidR="003845C1" w:rsidRPr="00641449" w:rsidRDefault="003845C1" w:rsidP="003845C1">
      <w:pPr>
        <w:rPr>
          <w:lang w:val="fr-FR"/>
        </w:rPr>
      </w:pPr>
    </w:p>
    <w:p w:rsidR="009D30E6" w:rsidRPr="00641449" w:rsidRDefault="009D30E6" w:rsidP="003845C1">
      <w:pPr>
        <w:rPr>
          <w:lang w:val="fr-FR"/>
        </w:rPr>
      </w:pPr>
    </w:p>
    <w:p w:rsidR="00525B63" w:rsidRPr="00641449" w:rsidRDefault="00525B63" w:rsidP="003845C1">
      <w:pPr>
        <w:rPr>
          <w:lang w:val="fr-FR"/>
        </w:rPr>
      </w:pPr>
    </w:p>
    <w:p w:rsidR="00525B63" w:rsidRPr="00641449" w:rsidRDefault="00525B63" w:rsidP="003845C1">
      <w:pPr>
        <w:rPr>
          <w:lang w:val="fr-FR"/>
        </w:rPr>
      </w:pPr>
    </w:p>
    <w:p w:rsidR="00E36319" w:rsidRPr="00641449" w:rsidRDefault="00E36319" w:rsidP="00B135CE">
      <w:pPr>
        <w:pStyle w:val="ONUMFS"/>
        <w:rPr>
          <w:lang w:val="fr-FR"/>
        </w:rPr>
      </w:pPr>
      <w:r w:rsidRPr="00641449">
        <w:rPr>
          <w:lang w:val="fr-FR"/>
        </w:rPr>
        <w:t>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 avait à examiner les points suivants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ordre du jour unifié </w:t>
      </w:r>
      <w:r w:rsidR="00F73EE4" w:rsidRPr="00641449">
        <w:rPr>
          <w:lang w:val="fr-FR"/>
        </w:rPr>
        <w:t>(document</w:t>
      </w:r>
      <w:r w:rsidR="00286226" w:rsidRPr="00641449">
        <w:rPr>
          <w:lang w:val="fr-FR"/>
        </w:rPr>
        <w:t> </w:t>
      </w:r>
      <w:r w:rsidRPr="00641449">
        <w:rPr>
          <w:lang w:val="fr-FR"/>
        </w:rPr>
        <w:t xml:space="preserve">A/54/1) : </w:t>
      </w:r>
      <w:r w:rsidRPr="00641449">
        <w:rPr>
          <w:color w:val="000000"/>
          <w:lang w:val="fr-FR"/>
        </w:rPr>
        <w:t xml:space="preserve">1, 3, 4, 5, 6, 12, </w:t>
      </w:r>
      <w:r w:rsidRPr="00641449">
        <w:rPr>
          <w:lang w:val="fr-FR"/>
        </w:rPr>
        <w:t>20, 26 et 27.</w:t>
      </w:r>
    </w:p>
    <w:p w:rsidR="00E36319" w:rsidRPr="00641449" w:rsidRDefault="00E36319" w:rsidP="00B135CE">
      <w:pPr>
        <w:pStyle w:val="ONUMFS"/>
        <w:rPr>
          <w:lang w:val="fr-FR"/>
        </w:rPr>
      </w:pPr>
      <w:r w:rsidRPr="00641449">
        <w:rPr>
          <w:lang w:val="fr-FR"/>
        </w:rPr>
        <w:t>Le rapport sur ces points,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exception du point 20, figure dans le rapport général (document A/54/13).</w:t>
      </w:r>
    </w:p>
    <w:p w:rsidR="00E36319" w:rsidRPr="00641449" w:rsidRDefault="00E36319" w:rsidP="00B135CE">
      <w:pPr>
        <w:pStyle w:val="ONUMFS"/>
        <w:rPr>
          <w:lang w:val="fr-FR"/>
        </w:rPr>
      </w:pPr>
      <w:r w:rsidRPr="00641449">
        <w:rPr>
          <w:lang w:val="fr-FR"/>
        </w:rPr>
        <w:t xml:space="preserve">Le rapport sur </w:t>
      </w:r>
      <w:proofErr w:type="gramStart"/>
      <w:r w:rsidRPr="00641449">
        <w:rPr>
          <w:lang w:val="fr-FR"/>
        </w:rPr>
        <w:t>le point 20 figure</w:t>
      </w:r>
      <w:proofErr w:type="gramEnd"/>
      <w:r w:rsidRPr="00641449">
        <w:rPr>
          <w:lang w:val="fr-FR"/>
        </w:rPr>
        <w:t xml:space="preserve"> dans le présent document.</w:t>
      </w:r>
    </w:p>
    <w:p w:rsidR="00E36319" w:rsidRPr="00641449" w:rsidRDefault="009B71C5" w:rsidP="00B135CE">
      <w:pPr>
        <w:pStyle w:val="ONUMFS"/>
        <w:rPr>
          <w:lang w:val="fr-FR"/>
        </w:rPr>
      </w:pPr>
      <w:r w:rsidRPr="00641449">
        <w:rPr>
          <w:lang w:val="fr-FR"/>
        </w:rPr>
        <w:t>En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absence de la présidente et en raison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indisponibilité des vice</w:t>
      </w:r>
      <w:r w:rsidR="00501FEB" w:rsidRPr="00641449">
        <w:rPr>
          <w:rFonts w:eastAsia="MS Gothic"/>
          <w:lang w:val="fr-FR"/>
        </w:rPr>
        <w:noBreakHyphen/>
      </w:r>
      <w:r w:rsidRPr="00641449">
        <w:rPr>
          <w:lang w:val="fr-FR"/>
        </w:rPr>
        <w:t>présidents, Mme Grace </w:t>
      </w:r>
      <w:proofErr w:type="spellStart"/>
      <w:r w:rsidRPr="00641449">
        <w:rPr>
          <w:lang w:val="fr-FR"/>
        </w:rPr>
        <w:t>Issahaque</w:t>
      </w:r>
      <w:proofErr w:type="spellEnd"/>
      <w:r w:rsidRPr="00641449">
        <w:rPr>
          <w:lang w:val="fr-FR"/>
        </w:rPr>
        <w:t xml:space="preserve"> (Ghana) a assuré la présidence ad hoc de la réunion.</w:t>
      </w:r>
    </w:p>
    <w:p w:rsidR="00E36319" w:rsidRPr="00641449" w:rsidRDefault="00E36319" w:rsidP="00E36319">
      <w:pPr>
        <w:pStyle w:val="Heading2"/>
        <w:rPr>
          <w:lang w:val="fr-FR"/>
        </w:rPr>
      </w:pPr>
      <w:r w:rsidRPr="00641449">
        <w:rPr>
          <w:lang w:val="fr-FR"/>
        </w:rPr>
        <w:br w:type="page"/>
      </w:r>
      <w:r w:rsidRPr="00641449">
        <w:rPr>
          <w:lang w:val="fr-FR"/>
        </w:rPr>
        <w:lastRenderedPageBreak/>
        <w:t>Point 20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ordre du jour unifié</w:t>
      </w:r>
    </w:p>
    <w:p w:rsidR="00E36319" w:rsidRPr="00641449" w:rsidRDefault="00E36319" w:rsidP="00E36319">
      <w:pPr>
        <w:pStyle w:val="Heading2"/>
        <w:rPr>
          <w:szCs w:val="22"/>
          <w:lang w:val="fr-FR"/>
        </w:rPr>
      </w:pPr>
      <w:r w:rsidRPr="00641449">
        <w:rPr>
          <w:szCs w:val="22"/>
          <w:lang w:val="fr-FR"/>
        </w:rPr>
        <w:t xml:space="preserve">Système de </w:t>
      </w:r>
      <w:r w:rsidR="00292EEA" w:rsidRPr="00641449">
        <w:rPr>
          <w:szCs w:val="22"/>
          <w:lang w:val="fr-FR"/>
        </w:rPr>
        <w:t>La Haye</w:t>
      </w:r>
    </w:p>
    <w:p w:rsidR="00E36319" w:rsidRPr="00641449" w:rsidRDefault="00E36319" w:rsidP="00E36319">
      <w:pPr>
        <w:rPr>
          <w:szCs w:val="22"/>
          <w:lang w:val="fr-FR"/>
        </w:rPr>
      </w:pPr>
    </w:p>
    <w:p w:rsidR="00E36319" w:rsidRPr="00641449" w:rsidRDefault="00E36319" w:rsidP="00B135CE">
      <w:pPr>
        <w:pStyle w:val="ONUMFS"/>
        <w:rPr>
          <w:lang w:val="fr-FR"/>
        </w:rPr>
      </w:pPr>
      <w:r w:rsidRPr="00641449">
        <w:rPr>
          <w:lang w:val="fr-FR"/>
        </w:rPr>
        <w:t>Les délibérations ont eu lieu sur la base des documents H/A/34/1 et H/A/34/2.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La présidente a ouvert la réunion et souhaité la bienvenue aux délégations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Union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invitation de la présidente, le Secrétariat a évoqué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adhésion du </w:t>
      </w:r>
      <w:proofErr w:type="spellStart"/>
      <w:r w:rsidRPr="00641449">
        <w:rPr>
          <w:lang w:val="fr-FR"/>
        </w:rPr>
        <w:t>Brunéi</w:t>
      </w:r>
      <w:proofErr w:type="spellEnd"/>
      <w:r w:rsidRPr="00641449">
        <w:rPr>
          <w:lang w:val="fr-FR"/>
        </w:rPr>
        <w:t xml:space="preserve"> Darussalam et de la République de Corée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et s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est félicité de leur première participation en tant que membres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Union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.  Il a ensuite mentionné les déclarations faites par un certain nombre de délégations pendant les assemblées, concernant leur intention de devenir membres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Union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.  Pour favoriser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expansion géographique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et soutenir la croissance des dépôts, il était essentiel que les cadres informatique et juridique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évoluent de manière coordonnée et intégrée.  Les deux documents présentés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 avaient pour objet de permettre la réalisation de cet objectif.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La délégation de la Chine a exprimé sa reconnaissance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OMPI pour le rôle actif joué par le Bureau international dans le développement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.  Elle a indiqué que son pays était disposé à contribuer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amélioration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pour le rendre encore plus flexible et plus convivial.  Elle a expliqué que la mise en œuvre des procédures internes relatives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adhésion de la Chine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avait bien avancé.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La délégation du Japon a expliqué que son pays, avec le ferme appui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OMPI, avait accéléré la mise en œuvre des procédures nationales en vue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adhésion du Japon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Arrangement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, dans le but de pouvoir accepter les premiers enregistrements internationaux désignant le Japon au printemps 2015.  Elle estimait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il était essentiel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améliorer encore le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sur le plan juridique et opérationnel pour aider les pays qui envisageaient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adhérer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Arrangement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ou qui étaient engagés dans un processus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adhésion à cet instrument.  En outre, devant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augmentation prévue du nombre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États membres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, il était essentiel que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OMPI renforce son rôle afin de garantir le fonctionnement adapté et efficace du système.</w:t>
      </w:r>
    </w:p>
    <w:p w:rsidR="00DB2943" w:rsidRPr="00641449" w:rsidRDefault="00DB2943" w:rsidP="00B135CE">
      <w:pPr>
        <w:pStyle w:val="Heading3"/>
        <w:rPr>
          <w:lang w:val="fr-FR"/>
        </w:rPr>
      </w:pPr>
      <w:r w:rsidRPr="00641449">
        <w:rPr>
          <w:lang w:val="fr-FR"/>
        </w:rPr>
        <w:t>Rapport sur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état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avancement du programme de modernisation informatique (système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enregistrement international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)</w:t>
      </w:r>
    </w:p>
    <w:p w:rsidR="00DB2943" w:rsidRPr="00641449" w:rsidRDefault="00DB2943" w:rsidP="00DB2943">
      <w:pPr>
        <w:rPr>
          <w:lang w:val="fr-FR"/>
        </w:rPr>
      </w:pP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Les délibérations ont eu lieu sur la base du document H/A/34/1.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Le Secrétariat a présenté le document et rendu compte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état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avancement du programme de modernisation informatique depuis la dernière session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Union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Le Secrétariat a déclaré que, depuis la dernière Assemblée,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accent avait été mis sur la mise en œuvre de la phase II du programme et il a précisé que le partenaire extérieur chargé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exécution avait effectué les travaux relatifs à la phase II pour le système de Madrid et que des ressources techniques internes procédaient actuellement à des essais système sur les éléments qui avaient été fournis.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Le Secrétariat a aussi indiqué que, s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agissant du Service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enregistrement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, il avait semblé évident avant la fin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année 2013 que les adhésions imminentes de nouveaux États membres obligeraient à apporter des modifications importantes aux procédures informatiques.  Il a été considéré que ces modifications présenteraient un risque opérationnel moindre si elles étaient apportées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ancien système informatique.  Les activités relevant de la phase II pour le Service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enregistrement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avaient donc été interrompues et elles </w:t>
      </w:r>
      <w:r w:rsidRPr="00641449">
        <w:rPr>
          <w:lang w:val="fr-FR"/>
        </w:rPr>
        <w:lastRenderedPageBreak/>
        <w:t>reprendraient lorsque les modifications apportées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ancien système informatique seraient stabilisées.</w:t>
      </w:r>
    </w:p>
    <w:p w:rsidR="00DB2943" w:rsidRPr="00641449" w:rsidRDefault="00DB2943" w:rsidP="00B135CE">
      <w:pPr>
        <w:pStyle w:val="ONUMFS"/>
        <w:rPr>
          <w:lang w:val="fr-FR"/>
        </w:rPr>
      </w:pPr>
      <w:r w:rsidRPr="00641449">
        <w:rPr>
          <w:lang w:val="fr-FR"/>
        </w:rPr>
        <w:t>Le Secrétariat a fait observer que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opération de vérification et de validation indépendante menée actuellement par le Service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enregistrement de Madrid pourrait être également utilisée par le Service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enregistrement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lors de la future exécution de la phase II le concernant.</w:t>
      </w:r>
    </w:p>
    <w:p w:rsidR="00DB2943" w:rsidRPr="00641449" w:rsidRDefault="00DB2943" w:rsidP="00DB2943">
      <w:pPr>
        <w:pStyle w:val="ONUMFS"/>
        <w:ind w:left="567"/>
        <w:rPr>
          <w:lang w:val="fr-FR"/>
        </w:rPr>
      </w:pPr>
      <w:r w:rsidRPr="00641449">
        <w:rPr>
          <w:lang w:val="fr-FR"/>
        </w:rPr>
        <w:t>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 a pris note du contenu du rapport sur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état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avancement du programme de modernisation informatique (système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enregistrement international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) figurant dans le document H/A/34/1.</w:t>
      </w:r>
    </w:p>
    <w:p w:rsidR="00DB2943" w:rsidRPr="00641449" w:rsidRDefault="00DB2943" w:rsidP="00B135CE">
      <w:pPr>
        <w:pStyle w:val="Heading3"/>
        <w:rPr>
          <w:lang w:val="fr-FR"/>
        </w:rPr>
      </w:pPr>
      <w:r w:rsidRPr="00641449">
        <w:rPr>
          <w:lang w:val="fr-FR"/>
        </w:rPr>
        <w:t xml:space="preserve">Questions concernant le développement juridique du système de </w:t>
      </w:r>
      <w:r w:rsidR="00292EEA" w:rsidRPr="00641449">
        <w:rPr>
          <w:lang w:val="fr-FR"/>
        </w:rPr>
        <w:t>La Haye</w:t>
      </w:r>
    </w:p>
    <w:p w:rsidR="00B135CE" w:rsidRPr="00641449" w:rsidRDefault="00B135CE" w:rsidP="00B135CE">
      <w:pPr>
        <w:rPr>
          <w:lang w:val="fr-FR"/>
        </w:rPr>
      </w:pP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/>
        </w:rPr>
        <w:t>Les délibérations ont eu lieu sur la base du document H/A/34/2.</w:t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/>
        </w:rPr>
        <w:t>Le Secrétariat a présenté le document H/A/34/2 et a expliqué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il contenait des recommandations faites par le Groupe de travail sur le développement juridique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concernant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enregistrement international des dessins et modèles industriels à sa quatrième session, tenue du 16 au 18 juin 2014.  Tout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abord, le document contenait une proposition de recommandation visant à faire du “certificat de cession” un document acceptable par les parties contractantes ayant fait une déclaration en vertu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article 16.2)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1999.  Ensuite, il contenait des propositions de modification du règlement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exécution commun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et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1960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Arrangement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>.</w:t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/>
        </w:rPr>
        <w:t>Conformément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article 16.2)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1999,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inscription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un changement de titulaire au registre international ne produirait pas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effets dans une partie contractante ayant fait une déclaration au titre de cet article tant que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office de cette partie contractante n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aurait pas reçu les déclarations ou les documents précisés dans la déclaration susmentionnée. 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heure actuelle, trois parties contractantes avaient fait une déclaration au titre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article 16.2)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mais un certain nombre de futures parties contractantes devraient le faire aussi.</w:t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/>
        </w:rPr>
        <w:t>Afin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éviter que les utilisateurs du système de </w:t>
      </w:r>
      <w:r w:rsidR="00292EEA" w:rsidRPr="00641449">
        <w:rPr>
          <w:lang w:val="fr-FR"/>
        </w:rPr>
        <w:t>La Haye</w:t>
      </w:r>
      <w:r w:rsidRPr="00641449">
        <w:rPr>
          <w:lang w:val="fr-FR"/>
        </w:rPr>
        <w:t xml:space="preserve"> aient à présenter plusieurs séries de documents ou de déclarations différents aux offices qui les demandent, le groupe de travail est convenu du format et du contenu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un document type appelé “certificat de cession”.  Il était en outre favorable à la présentation du document type par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intermédiaire du Bureau international et à sa diffusion électronique aux offices concernés.</w:t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/>
        </w:rPr>
        <w:t>Le Secrétariat a souligné que cette recommandation visait simplement à encourager les offices concernés à accepter le document type comme ayant les mêmes effets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une déclaration ou un document soumis dans ce but en vertu de la législation de la partie contractante concernée.  Si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 devait adopter cette recommandation, le Bureau international, après consultation avec les offices des parties contractantes concernées, établirait une liste des offices en mesure de suivre la recommandation,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il publierait sur le site Web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Organisation avec le certificat de cession.</w:t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/>
        </w:rPr>
        <w:t>Le Secrétariat a ensuite présenté les propositions de modifications du règlement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exécution commun et du barème des taxes contenu dans ledit règlement.  Il a été rappelé que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article 14.2)c)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prévoyait que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effet conféré à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enregistrement international en vertu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article 14.1), 2)a) et b) s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appliquait aux dessins ou modèles industriels tels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ils ont été reçus du Bureau international par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office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une partie contractante désignée ou, le cas échéant, “tels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ils ont été modifiés pendant la procédure devant cet office”.</w:t>
      </w:r>
    </w:p>
    <w:p w:rsidR="008F4F4D" w:rsidRPr="00641449" w:rsidRDefault="008F4F4D">
      <w:pPr>
        <w:rPr>
          <w:lang w:val="fr-FR" w:eastAsia="ja-JP"/>
        </w:rPr>
      </w:pPr>
      <w:r w:rsidRPr="00641449">
        <w:rPr>
          <w:lang w:val="fr-FR" w:eastAsia="ja-JP"/>
        </w:rPr>
        <w:br w:type="page"/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 w:eastAsia="ja-JP"/>
        </w:rPr>
        <w:lastRenderedPageBreak/>
        <w:t>Le groupe de travail est convenu de la nécessité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établir un mécanisme concernant ces modifications destinées à être communiquées au Bureau international par l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office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une partie contractante désignée et à être mises à la disposition du public de manière centralisée par le Bureau international (le “mécanisme de retour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informations”).</w:t>
      </w:r>
      <w:r w:rsidRPr="00641449">
        <w:rPr>
          <w:lang w:val="fr-FR"/>
        </w:rPr>
        <w:t xml:space="preserve">  </w:t>
      </w:r>
      <w:r w:rsidRPr="00641449">
        <w:rPr>
          <w:lang w:val="fr-FR" w:eastAsia="ja-JP"/>
        </w:rPr>
        <w:t>Une bonne communication des informations relatives aux modifications consisterait à transmettre une déclaration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octroi de la protection telle que prévue à la règle 18</w:t>
      </w:r>
      <w:r w:rsidRPr="00641449">
        <w:rPr>
          <w:i/>
          <w:lang w:val="fr-FR" w:eastAsia="ja-JP"/>
        </w:rPr>
        <w:t>bis</w:t>
      </w:r>
      <w:r w:rsidRPr="00641449">
        <w:rPr>
          <w:lang w:val="fr-FR" w:eastAsia="ja-JP"/>
        </w:rPr>
        <w:t>.1) et 2) ainsi qu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une notification de retrait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 refus telle que prévue à la règle 18.4) du règlement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exécution commun.</w:t>
      </w:r>
      <w:r w:rsidRPr="00641449">
        <w:rPr>
          <w:lang w:val="fr-FR"/>
        </w:rPr>
        <w:t xml:space="preserve">  </w:t>
      </w:r>
      <w:r w:rsidRPr="00641449">
        <w:rPr>
          <w:lang w:val="fr-FR" w:eastAsia="ja-JP"/>
        </w:rPr>
        <w:t>Tout retrait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 refus et toute déclaration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 xml:space="preserve">octroi de la protection seraient inscrits au registre international et publié dans le </w:t>
      </w:r>
      <w:r w:rsidRPr="00641449">
        <w:rPr>
          <w:i/>
          <w:lang w:val="fr-FR" w:eastAsia="ja-JP"/>
        </w:rPr>
        <w:t>Bulletin des dessins et modèles internationaux</w:t>
      </w:r>
      <w:r w:rsidRPr="00641449">
        <w:rPr>
          <w:lang w:val="fr-FR" w:eastAsia="ja-JP"/>
        </w:rPr>
        <w:t>.</w:t>
      </w:r>
      <w:r w:rsidRPr="00641449">
        <w:rPr>
          <w:lang w:val="fr-FR"/>
        </w:rPr>
        <w:t xml:space="preserve">  </w:t>
      </w:r>
      <w:r w:rsidRPr="00641449">
        <w:rPr>
          <w:lang w:val="fr-FR" w:eastAsia="ja-JP"/>
        </w:rPr>
        <w:t>À cet égard, compte tenu de la variété des types de modification, la solution la plus sûre et la plus pragmatique pour mettre à la disposition du public les informations relatives aux modifications consisterait pour le Bureau international à télécharger une copie de la notification ou de la déclaration reçue de l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office et à la diffuser par le biais du Bulletin.</w:t>
      </w:r>
    </w:p>
    <w:p w:rsidR="00DB2943" w:rsidRPr="00641449" w:rsidRDefault="00DB2943" w:rsidP="00DB2943">
      <w:pPr>
        <w:pStyle w:val="ONUMFS"/>
        <w:rPr>
          <w:lang w:val="fr-FR"/>
        </w:rPr>
      </w:pPr>
      <w:r w:rsidRPr="00641449">
        <w:rPr>
          <w:lang w:val="fr-FR" w:eastAsia="ja-JP"/>
        </w:rPr>
        <w:t>En outre, à sa quatrième session, le groupe de travail a estimé que “la date à laquelle l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enregistrement international produit ou produira les mêmes effets que l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octroi de la protection</w:t>
      </w:r>
      <w:r w:rsidR="009D5E89" w:rsidRPr="00641449">
        <w:rPr>
          <w:lang w:val="fr-FR" w:eastAsia="ja-JP"/>
        </w:rPr>
        <w:t xml:space="preserve"> </w:t>
      </w:r>
      <w:r w:rsidRPr="00641449">
        <w:rPr>
          <w:lang w:val="fr-FR" w:eastAsia="ja-JP"/>
        </w:rPr>
        <w:t>en vertu de la législation applicable” constituerait également un important élément qui devrait</w:t>
      </w:r>
      <w:r w:rsidR="009D5E89" w:rsidRPr="00641449">
        <w:rPr>
          <w:lang w:val="fr-FR" w:eastAsia="ja-JP"/>
        </w:rPr>
        <w:t xml:space="preserve"> </w:t>
      </w:r>
      <w:r w:rsidRPr="00641449">
        <w:rPr>
          <w:lang w:val="fr-FR" w:eastAsia="ja-JP"/>
        </w:rPr>
        <w:t>être communiqué au Bureau international par l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office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une partie contractante désignée et mis</w:t>
      </w:r>
      <w:r w:rsidR="009D5E89" w:rsidRPr="00641449">
        <w:rPr>
          <w:lang w:val="fr-FR" w:eastAsia="ja-JP"/>
        </w:rPr>
        <w:t xml:space="preserve"> </w:t>
      </w:r>
      <w:r w:rsidRPr="00641449">
        <w:rPr>
          <w:lang w:val="fr-FR" w:eastAsia="ja-JP"/>
        </w:rPr>
        <w:t>à la disposition du public de manière centralisée par le Bureau international.</w:t>
      </w:r>
      <w:r w:rsidRPr="00641449">
        <w:rPr>
          <w:lang w:val="fr-FR"/>
        </w:rPr>
        <w:t xml:space="preserve">  </w:t>
      </w:r>
      <w:r w:rsidRPr="00641449">
        <w:rPr>
          <w:lang w:val="fr-FR" w:eastAsia="ja-JP"/>
        </w:rPr>
        <w:t>Il a également été convenu que l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émission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une déclaration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octroi de la protection serait obligatoire dans certaines circonstances.</w:t>
      </w:r>
      <w:r w:rsidRPr="00641449">
        <w:rPr>
          <w:lang w:val="fr-FR"/>
        </w:rPr>
        <w:t xml:space="preserve">  </w:t>
      </w:r>
      <w:r w:rsidRPr="00641449">
        <w:rPr>
          <w:lang w:val="fr-FR" w:eastAsia="ja-JP"/>
        </w:rPr>
        <w:t>Enfin, le groupe de travail s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est prononcé en faveur de la proposition de modification du barème des taxes visant à autoriser le Bureau international à percevoir une taxe pour des services supplémentaires, par exemple en cas de présentation tardive de documents de priorité après le dépôt d</w:t>
      </w:r>
      <w:r w:rsidR="00292EEA" w:rsidRPr="00641449">
        <w:rPr>
          <w:lang w:val="fr-FR" w:eastAsia="ja-JP"/>
        </w:rPr>
        <w:t>’</w:t>
      </w:r>
      <w:r w:rsidRPr="00641449">
        <w:rPr>
          <w:lang w:val="fr-FR" w:eastAsia="ja-JP"/>
        </w:rPr>
        <w:t>une demande internationale.</w:t>
      </w:r>
    </w:p>
    <w:p w:rsidR="00DB2943" w:rsidRPr="00641449" w:rsidRDefault="00DB2943" w:rsidP="00B135CE">
      <w:pPr>
        <w:pStyle w:val="ONUMFS"/>
        <w:ind w:left="567"/>
        <w:rPr>
          <w:lang w:val="fr-FR"/>
        </w:rPr>
      </w:pPr>
      <w:r w:rsidRPr="00641449">
        <w:rPr>
          <w:lang w:val="fr-FR"/>
        </w:rPr>
        <w:t>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assemblée</w:t>
      </w:r>
    </w:p>
    <w:p w:rsidR="00DB2943" w:rsidRPr="00641449" w:rsidRDefault="00DB2943" w:rsidP="00B135CE">
      <w:pPr>
        <w:pStyle w:val="ONUMFS"/>
        <w:numPr>
          <w:ilvl w:val="2"/>
          <w:numId w:val="6"/>
        </w:numPr>
        <w:rPr>
          <w:lang w:val="fr-FR"/>
        </w:rPr>
      </w:pPr>
      <w:r w:rsidRPr="00641449">
        <w:rPr>
          <w:lang w:val="fr-FR"/>
        </w:rPr>
        <w:t>a adopté la recommandation visant à faire du certificat de cession un document acceptable par les parties contractantes ayant fait une déclaration en vertu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article 16.2) de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Acte de 1999 telle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 xml:space="preserve">elle </w:t>
      </w:r>
      <w:r w:rsidR="009D5E89" w:rsidRPr="00641449">
        <w:rPr>
          <w:lang w:val="fr-FR"/>
        </w:rPr>
        <w:t>figure à l</w:t>
      </w:r>
      <w:r w:rsidR="00292EEA" w:rsidRPr="00641449">
        <w:rPr>
          <w:lang w:val="fr-FR"/>
        </w:rPr>
        <w:t>’</w:t>
      </w:r>
      <w:r w:rsidR="009D5E89" w:rsidRPr="00641449">
        <w:rPr>
          <w:lang w:val="fr-FR"/>
        </w:rPr>
        <w:t>annexe I du document </w:t>
      </w:r>
      <w:r w:rsidRPr="00641449">
        <w:rPr>
          <w:lang w:val="fr-FR"/>
        </w:rPr>
        <w:t>H/A/34/2;</w:t>
      </w:r>
    </w:p>
    <w:p w:rsidR="00DB2943" w:rsidRPr="00641449" w:rsidRDefault="00DB2943" w:rsidP="00B135CE">
      <w:pPr>
        <w:pStyle w:val="ONUMFS"/>
        <w:numPr>
          <w:ilvl w:val="2"/>
          <w:numId w:val="6"/>
        </w:numPr>
        <w:rPr>
          <w:lang w:val="fr-FR"/>
        </w:rPr>
      </w:pPr>
      <w:r w:rsidRPr="00641449">
        <w:rPr>
          <w:lang w:val="fr-FR"/>
        </w:rPr>
        <w:t xml:space="preserve">a adopté les modifications apportées au </w:t>
      </w:r>
      <w:r w:rsidR="00501FEB" w:rsidRPr="00641449">
        <w:rPr>
          <w:lang w:val="fr-FR"/>
        </w:rPr>
        <w:t>r</w:t>
      </w:r>
      <w:r w:rsidRPr="00641449">
        <w:rPr>
          <w:lang w:val="fr-FR"/>
        </w:rPr>
        <w:t>èglement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exécution commun s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agissant de la règle 18.4) et de la règle 18</w:t>
      </w:r>
      <w:r w:rsidRPr="00641449">
        <w:rPr>
          <w:i/>
          <w:lang w:val="fr-FR"/>
        </w:rPr>
        <w:t>bis</w:t>
      </w:r>
      <w:r w:rsidRPr="00641449">
        <w:rPr>
          <w:lang w:val="fr-FR"/>
        </w:rPr>
        <w:t>.1) et 2) telles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elles sont énoncées dans l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annexe V du document H/A/34/2, avec effet au 1</w:t>
      </w:r>
      <w:r w:rsidRPr="00641449">
        <w:rPr>
          <w:vertAlign w:val="superscript"/>
          <w:lang w:val="fr-FR"/>
        </w:rPr>
        <w:t>er</w:t>
      </w:r>
      <w:r w:rsidRPr="00641449">
        <w:rPr>
          <w:lang w:val="fr-FR"/>
        </w:rPr>
        <w:t> janvier 2015;</w:t>
      </w:r>
    </w:p>
    <w:p w:rsidR="00DB2943" w:rsidRPr="00641449" w:rsidRDefault="00DB2943" w:rsidP="00B135CE">
      <w:pPr>
        <w:pStyle w:val="ONUMFS"/>
        <w:numPr>
          <w:ilvl w:val="2"/>
          <w:numId w:val="6"/>
        </w:numPr>
        <w:rPr>
          <w:lang w:val="fr-FR"/>
        </w:rPr>
      </w:pPr>
      <w:r w:rsidRPr="00641449">
        <w:rPr>
          <w:lang w:val="fr-FR"/>
        </w:rPr>
        <w:t xml:space="preserve">a adopté les modifications apportées au </w:t>
      </w:r>
      <w:r w:rsidR="00501FEB" w:rsidRPr="00641449">
        <w:rPr>
          <w:lang w:val="fr-FR"/>
        </w:rPr>
        <w:t>r</w:t>
      </w:r>
      <w:r w:rsidRPr="00641449">
        <w:rPr>
          <w:lang w:val="fr-FR"/>
        </w:rPr>
        <w:t>èglement d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exécution commun s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agissant du barème des taxes tel qu</w:t>
      </w:r>
      <w:r w:rsidR="00292EEA" w:rsidRPr="00641449">
        <w:rPr>
          <w:lang w:val="fr-FR"/>
        </w:rPr>
        <w:t>’</w:t>
      </w:r>
      <w:r w:rsidRPr="00641449">
        <w:rPr>
          <w:lang w:val="fr-FR"/>
        </w:rPr>
        <w:t>il fig</w:t>
      </w:r>
      <w:r w:rsidR="009D5E89" w:rsidRPr="00641449">
        <w:rPr>
          <w:lang w:val="fr-FR"/>
        </w:rPr>
        <w:t>ure dans l</w:t>
      </w:r>
      <w:r w:rsidR="00292EEA" w:rsidRPr="00641449">
        <w:rPr>
          <w:lang w:val="fr-FR"/>
        </w:rPr>
        <w:t>’</w:t>
      </w:r>
      <w:r w:rsidR="009D5E89" w:rsidRPr="00641449">
        <w:rPr>
          <w:lang w:val="fr-FR"/>
        </w:rPr>
        <w:t>annexe V du document </w:t>
      </w:r>
      <w:r w:rsidRPr="00641449">
        <w:rPr>
          <w:lang w:val="fr-FR"/>
        </w:rPr>
        <w:t>H/A/34/2, avec effet au 1</w:t>
      </w:r>
      <w:r w:rsidRPr="00641449">
        <w:rPr>
          <w:vertAlign w:val="superscript"/>
          <w:lang w:val="fr-FR"/>
        </w:rPr>
        <w:t>er</w:t>
      </w:r>
      <w:r w:rsidRPr="00641449">
        <w:rPr>
          <w:lang w:val="fr-FR"/>
        </w:rPr>
        <w:t> janvier 2015.</w:t>
      </w:r>
    </w:p>
    <w:p w:rsidR="00DB2943" w:rsidRPr="00B95156" w:rsidRDefault="00DB2943" w:rsidP="00807FDE">
      <w:pPr>
        <w:pStyle w:val="Endofdocument-Annex"/>
        <w:rPr>
          <w:lang w:val="fr-CH"/>
        </w:rPr>
      </w:pPr>
    </w:p>
    <w:p w:rsidR="00DB2943" w:rsidRPr="00B95156" w:rsidRDefault="00DB2943" w:rsidP="00807FDE">
      <w:pPr>
        <w:pStyle w:val="Endofdocument-Annex"/>
        <w:rPr>
          <w:lang w:val="fr-CH"/>
        </w:rPr>
      </w:pPr>
    </w:p>
    <w:p w:rsidR="00DB2943" w:rsidRPr="00641449" w:rsidRDefault="00DB2943" w:rsidP="00807FDE">
      <w:pPr>
        <w:pStyle w:val="Endofdocument-Annex"/>
      </w:pPr>
      <w:r w:rsidRPr="00641449">
        <w:t>[Fin du document]</w:t>
      </w:r>
    </w:p>
    <w:sectPr w:rsidR="00DB2943" w:rsidRPr="00641449" w:rsidSect="00F24520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3DF" w:rsidRDefault="00CC13DF">
      <w:r>
        <w:separator/>
      </w:r>
    </w:p>
  </w:endnote>
  <w:endnote w:type="continuationSeparator" w:id="0">
    <w:p w:rsidR="00CC13DF" w:rsidRPr="009D30E6" w:rsidRDefault="00CC13DF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CC13DF" w:rsidRPr="009D30E6" w:rsidRDefault="00CC13DF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CC13DF" w:rsidRPr="009D30E6" w:rsidRDefault="00CC13DF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3DF" w:rsidRDefault="00CC13DF">
      <w:r>
        <w:separator/>
      </w:r>
    </w:p>
  </w:footnote>
  <w:footnote w:type="continuationSeparator" w:id="0">
    <w:p w:rsidR="00CC13DF" w:rsidRDefault="00CC13DF" w:rsidP="007461F1">
      <w:r>
        <w:separator/>
      </w:r>
    </w:p>
    <w:p w:rsidR="00CC13DF" w:rsidRPr="009D30E6" w:rsidRDefault="00CC13DF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CC13DF" w:rsidRPr="009D30E6" w:rsidRDefault="00CC13DF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975" w:rsidRDefault="00CC13DF" w:rsidP="00477D6B">
    <w:pPr>
      <w:jc w:val="right"/>
    </w:pPr>
    <w:bookmarkStart w:id="5" w:name="Code2"/>
    <w:bookmarkEnd w:id="5"/>
    <w:r>
      <w:t>H/A/34/3</w:t>
    </w:r>
  </w:p>
  <w:p w:rsidR="00F16975" w:rsidRDefault="00F16975" w:rsidP="00477D6B">
    <w:pPr>
      <w:jc w:val="right"/>
    </w:pPr>
    <w:proofErr w:type="gramStart"/>
    <w:r>
      <w:t>page</w:t>
    </w:r>
    <w:proofErr w:type="gramEnd"/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197986">
      <w:rPr>
        <w:noProof/>
      </w:rPr>
      <w:t>4</w:t>
    </w:r>
    <w:r>
      <w:fldChar w:fldCharType="end"/>
    </w:r>
  </w:p>
  <w:p w:rsidR="00F16975" w:rsidRDefault="00F16975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844CC86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644AD672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134" w:firstLine="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DF"/>
    <w:rsid w:val="00011B7D"/>
    <w:rsid w:val="00021556"/>
    <w:rsid w:val="00075432"/>
    <w:rsid w:val="000F5E56"/>
    <w:rsid w:val="001362EE"/>
    <w:rsid w:val="0014063B"/>
    <w:rsid w:val="001832A6"/>
    <w:rsid w:val="00195C6E"/>
    <w:rsid w:val="00197986"/>
    <w:rsid w:val="001B266A"/>
    <w:rsid w:val="001D3D56"/>
    <w:rsid w:val="00240654"/>
    <w:rsid w:val="002634C4"/>
    <w:rsid w:val="002649E0"/>
    <w:rsid w:val="00286226"/>
    <w:rsid w:val="00292EEA"/>
    <w:rsid w:val="002E4D1A"/>
    <w:rsid w:val="002F16BC"/>
    <w:rsid w:val="002F4E68"/>
    <w:rsid w:val="003845C1"/>
    <w:rsid w:val="003A1BCD"/>
    <w:rsid w:val="004008A2"/>
    <w:rsid w:val="004025DF"/>
    <w:rsid w:val="00423E3E"/>
    <w:rsid w:val="00427AF4"/>
    <w:rsid w:val="004647DA"/>
    <w:rsid w:val="00477D6B"/>
    <w:rsid w:val="00495447"/>
    <w:rsid w:val="004A240A"/>
    <w:rsid w:val="004D6471"/>
    <w:rsid w:val="00501FEB"/>
    <w:rsid w:val="00525B63"/>
    <w:rsid w:val="00547476"/>
    <w:rsid w:val="00567A4C"/>
    <w:rsid w:val="00583746"/>
    <w:rsid w:val="005E6516"/>
    <w:rsid w:val="00605827"/>
    <w:rsid w:val="00641449"/>
    <w:rsid w:val="00676936"/>
    <w:rsid w:val="006B0DB5"/>
    <w:rsid w:val="006D5192"/>
    <w:rsid w:val="006E4243"/>
    <w:rsid w:val="0072368C"/>
    <w:rsid w:val="007461F1"/>
    <w:rsid w:val="007D6961"/>
    <w:rsid w:val="007F07CB"/>
    <w:rsid w:val="00807FDE"/>
    <w:rsid w:val="00810CEF"/>
    <w:rsid w:val="0081208D"/>
    <w:rsid w:val="008B2CC1"/>
    <w:rsid w:val="008E7930"/>
    <w:rsid w:val="008F4F4D"/>
    <w:rsid w:val="0090731E"/>
    <w:rsid w:val="00916DA0"/>
    <w:rsid w:val="00966A22"/>
    <w:rsid w:val="00974CD6"/>
    <w:rsid w:val="009B71C5"/>
    <w:rsid w:val="009D30E6"/>
    <w:rsid w:val="009D5E89"/>
    <w:rsid w:val="009E3F6F"/>
    <w:rsid w:val="009F499F"/>
    <w:rsid w:val="00A95C93"/>
    <w:rsid w:val="00AC0AE4"/>
    <w:rsid w:val="00AD61DB"/>
    <w:rsid w:val="00B135CE"/>
    <w:rsid w:val="00B718BB"/>
    <w:rsid w:val="00B95156"/>
    <w:rsid w:val="00C270E6"/>
    <w:rsid w:val="00C40E15"/>
    <w:rsid w:val="00C664C8"/>
    <w:rsid w:val="00CA15F5"/>
    <w:rsid w:val="00CC13DF"/>
    <w:rsid w:val="00CF0460"/>
    <w:rsid w:val="00D45252"/>
    <w:rsid w:val="00D71B4D"/>
    <w:rsid w:val="00D75C1E"/>
    <w:rsid w:val="00D93D55"/>
    <w:rsid w:val="00DA4A59"/>
    <w:rsid w:val="00DB2943"/>
    <w:rsid w:val="00DD6A16"/>
    <w:rsid w:val="00E0091A"/>
    <w:rsid w:val="00E203AA"/>
    <w:rsid w:val="00E36319"/>
    <w:rsid w:val="00E527A5"/>
    <w:rsid w:val="00E70918"/>
    <w:rsid w:val="00E76456"/>
    <w:rsid w:val="00ED3BF0"/>
    <w:rsid w:val="00EE71CB"/>
    <w:rsid w:val="00EE75E9"/>
    <w:rsid w:val="00F072EE"/>
    <w:rsid w:val="00F16975"/>
    <w:rsid w:val="00F24520"/>
    <w:rsid w:val="00F37D7F"/>
    <w:rsid w:val="00F66152"/>
    <w:rsid w:val="00F73EE4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021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556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ONUMEChar">
    <w:name w:val="ONUM E Char"/>
    <w:link w:val="ONUME"/>
    <w:rsid w:val="00E36319"/>
    <w:rPr>
      <w:rFonts w:ascii="Arial" w:eastAsia="SimSun" w:hAnsi="Arial" w:cs="Arial"/>
      <w:sz w:val="2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36319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DB2943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Hyperlink">
    <w:name w:val="Hyperlink"/>
    <w:basedOn w:val="DefaultParagraphFont"/>
    <w:rsid w:val="00501FE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link w:val="Heading3Char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paragraph" w:styleId="BalloonText">
    <w:name w:val="Balloon Text"/>
    <w:basedOn w:val="Normal"/>
    <w:link w:val="BalloonTextChar"/>
    <w:rsid w:val="000215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1556"/>
    <w:rPr>
      <w:rFonts w:ascii="Tahoma" w:eastAsia="SimSun" w:hAnsi="Tahoma" w:cs="Tahoma"/>
      <w:sz w:val="16"/>
      <w:szCs w:val="16"/>
      <w:lang w:val="fr-CH" w:eastAsia="zh-CN"/>
    </w:rPr>
  </w:style>
  <w:style w:type="character" w:customStyle="1" w:styleId="ONUMEChar">
    <w:name w:val="ONUM E Char"/>
    <w:link w:val="ONUME"/>
    <w:rsid w:val="00E36319"/>
    <w:rPr>
      <w:rFonts w:ascii="Arial" w:eastAsia="SimSun" w:hAnsi="Arial" w:cs="Arial"/>
      <w:sz w:val="22"/>
      <w:lang w:val="fr-CH" w:eastAsia="zh-CN"/>
    </w:rPr>
  </w:style>
  <w:style w:type="character" w:customStyle="1" w:styleId="Heading2Char">
    <w:name w:val="Heading 2 Char"/>
    <w:basedOn w:val="DefaultParagraphFont"/>
    <w:link w:val="Heading2"/>
    <w:rsid w:val="00E36319"/>
    <w:rPr>
      <w:rFonts w:ascii="Arial" w:eastAsia="SimSun" w:hAnsi="Arial" w:cs="Arial"/>
      <w:bCs/>
      <w:iCs/>
      <w:caps/>
      <w:sz w:val="22"/>
      <w:szCs w:val="28"/>
      <w:lang w:val="fr-CH" w:eastAsia="zh-CN"/>
    </w:rPr>
  </w:style>
  <w:style w:type="character" w:customStyle="1" w:styleId="Heading3Char">
    <w:name w:val="Heading 3 Char"/>
    <w:basedOn w:val="DefaultParagraphFont"/>
    <w:link w:val="Heading3"/>
    <w:rsid w:val="00DB2943"/>
    <w:rPr>
      <w:rFonts w:ascii="Arial" w:eastAsia="SimSun" w:hAnsi="Arial" w:cs="Arial"/>
      <w:bCs/>
      <w:sz w:val="22"/>
      <w:szCs w:val="26"/>
      <w:u w:val="single"/>
      <w:lang w:val="fr-CH" w:eastAsia="zh-CN"/>
    </w:rPr>
  </w:style>
  <w:style w:type="character" w:styleId="Hyperlink">
    <w:name w:val="Hyperlink"/>
    <w:basedOn w:val="DefaultParagraphFont"/>
    <w:rsid w:val="00501F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H%20A%2034%20(F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838F1-1E36-4B02-A142-DC260D85D8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7CCB2-681B-4BF7-83E9-EB2B83D12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 A 34 (F)</Template>
  <TotalTime>20</TotalTime>
  <Pages>4</Pages>
  <Words>1668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H/A/34/</vt:lpstr>
    </vt:vector>
  </TitlesOfParts>
  <Company>WIPO</Company>
  <LinksUpToDate>false</LinksUpToDate>
  <CharactersWithSpaces>10658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H/A/34/</dc:title>
  <dc:creator>COUTURE Sébastien</dc:creator>
  <cp:keywords>KO</cp:keywords>
  <cp:lastModifiedBy>HÄFLIGER Patience</cp:lastModifiedBy>
  <cp:revision>17</cp:revision>
  <cp:lastPrinted>2015-01-07T15:47:00Z</cp:lastPrinted>
  <dcterms:created xsi:type="dcterms:W3CDTF">2015-01-07T07:54:00Z</dcterms:created>
  <dcterms:modified xsi:type="dcterms:W3CDTF">2015-01-07T15:48:00Z</dcterms:modified>
</cp:coreProperties>
</file>