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23560" w14:textId="77777777" w:rsidR="008B2CC1" w:rsidRPr="00E862E4" w:rsidRDefault="00DB0349" w:rsidP="00E862E4">
      <w:pPr>
        <w:spacing w:after="120"/>
        <w:jc w:val="right"/>
        <w:rPr>
          <w:lang w:val="fr-FR"/>
        </w:rPr>
      </w:pPr>
      <w:r w:rsidRPr="00E862E4">
        <w:rPr>
          <w:noProof/>
          <w:lang w:val="fr-FR" w:eastAsia="en-US"/>
        </w:rPr>
        <w:drawing>
          <wp:inline distT="0" distB="0" distL="0" distR="0" wp14:anchorId="0043B9EC" wp14:editId="4140362D">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E862E4">
        <w:rPr>
          <w:rFonts w:ascii="Arial Black" w:hAnsi="Arial Black"/>
          <w:caps/>
          <w:noProof/>
          <w:sz w:val="15"/>
          <w:szCs w:val="15"/>
          <w:lang w:val="fr-FR" w:eastAsia="en-US"/>
        </w:rPr>
        <mc:AlternateContent>
          <mc:Choice Requires="wps">
            <w:drawing>
              <wp:inline distT="0" distB="0" distL="0" distR="0" wp14:anchorId="576B32F7" wp14:editId="468F150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EB989C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62668BC" w14:textId="037B0305" w:rsidR="008B2CC1" w:rsidRPr="00E862E4" w:rsidRDefault="00F66968" w:rsidP="00E862E4">
      <w:pPr>
        <w:jc w:val="right"/>
        <w:rPr>
          <w:rFonts w:ascii="Arial Black" w:hAnsi="Arial Black"/>
          <w:caps/>
          <w:sz w:val="15"/>
          <w:szCs w:val="15"/>
          <w:lang w:val="fr-FR"/>
        </w:rPr>
      </w:pPr>
      <w:r w:rsidRPr="00E862E4">
        <w:rPr>
          <w:rFonts w:ascii="Arial Black" w:hAnsi="Arial Black"/>
          <w:caps/>
          <w:sz w:val="15"/>
          <w:szCs w:val="15"/>
          <w:lang w:val="fr-FR"/>
        </w:rPr>
        <w:t>A/6</w:t>
      </w:r>
      <w:r w:rsidR="00891FB4" w:rsidRPr="00E862E4">
        <w:rPr>
          <w:rFonts w:ascii="Arial Black" w:hAnsi="Arial Black"/>
          <w:caps/>
          <w:sz w:val="15"/>
          <w:szCs w:val="15"/>
          <w:lang w:val="fr-FR"/>
        </w:rPr>
        <w:t>6</w:t>
      </w:r>
      <w:r w:rsidRPr="00E862E4">
        <w:rPr>
          <w:rFonts w:ascii="Arial Black" w:hAnsi="Arial Black"/>
          <w:caps/>
          <w:sz w:val="15"/>
          <w:szCs w:val="15"/>
          <w:lang w:val="fr-FR"/>
        </w:rPr>
        <w:t>/</w:t>
      </w:r>
      <w:bookmarkStart w:id="0" w:name="Code"/>
      <w:r w:rsidR="00855109" w:rsidRPr="00E862E4">
        <w:rPr>
          <w:rFonts w:ascii="Arial Black" w:hAnsi="Arial Black"/>
          <w:caps/>
          <w:sz w:val="15"/>
          <w:szCs w:val="15"/>
          <w:lang w:val="fr-FR"/>
        </w:rPr>
        <w:t>6</w:t>
      </w:r>
    </w:p>
    <w:bookmarkEnd w:id="0"/>
    <w:p w14:paraId="4A8CCB5D" w14:textId="0A903D4C" w:rsidR="008B2CC1" w:rsidRPr="00E862E4" w:rsidRDefault="00DB0349" w:rsidP="00E862E4">
      <w:pPr>
        <w:jc w:val="right"/>
        <w:rPr>
          <w:rFonts w:ascii="Arial Black" w:hAnsi="Arial Black"/>
          <w:caps/>
          <w:sz w:val="15"/>
          <w:szCs w:val="15"/>
          <w:lang w:val="fr-FR"/>
        </w:rPr>
      </w:pPr>
      <w:r w:rsidRPr="00E862E4">
        <w:rPr>
          <w:rFonts w:ascii="Arial Black" w:hAnsi="Arial Black"/>
          <w:caps/>
          <w:sz w:val="15"/>
          <w:szCs w:val="15"/>
          <w:lang w:val="fr-FR"/>
        </w:rPr>
        <w:t>Original</w:t>
      </w:r>
      <w:r w:rsidR="00743D89" w:rsidRPr="00E862E4">
        <w:rPr>
          <w:rFonts w:ascii="Arial Black" w:hAnsi="Arial Black"/>
          <w:caps/>
          <w:sz w:val="15"/>
          <w:szCs w:val="15"/>
          <w:lang w:val="fr-FR"/>
        </w:rPr>
        <w:t> :</w:t>
      </w:r>
      <w:r w:rsidRPr="00E862E4">
        <w:rPr>
          <w:rFonts w:ascii="Arial Black" w:hAnsi="Arial Black"/>
          <w:caps/>
          <w:sz w:val="15"/>
          <w:szCs w:val="15"/>
          <w:lang w:val="fr-FR"/>
        </w:rPr>
        <w:t xml:space="preserve"> </w:t>
      </w:r>
      <w:bookmarkStart w:id="1" w:name="Original"/>
      <w:r w:rsidR="00855109" w:rsidRPr="00E862E4">
        <w:rPr>
          <w:rFonts w:ascii="Arial Black" w:hAnsi="Arial Black"/>
          <w:caps/>
          <w:sz w:val="15"/>
          <w:szCs w:val="15"/>
          <w:lang w:val="fr-FR"/>
        </w:rPr>
        <w:t>anglais</w:t>
      </w:r>
    </w:p>
    <w:bookmarkEnd w:id="1"/>
    <w:p w14:paraId="16628B2D" w14:textId="54747BC8" w:rsidR="008B2CC1" w:rsidRPr="00E862E4" w:rsidRDefault="00E238BC" w:rsidP="00E862E4">
      <w:pPr>
        <w:spacing w:after="1200"/>
        <w:jc w:val="right"/>
        <w:rPr>
          <w:rFonts w:ascii="Arial Black" w:hAnsi="Arial Black"/>
          <w:sz w:val="15"/>
          <w:szCs w:val="15"/>
          <w:lang w:val="fr-FR"/>
        </w:rPr>
      </w:pPr>
      <w:r w:rsidRPr="00E862E4">
        <w:rPr>
          <w:rFonts w:ascii="Arial Black" w:hAnsi="Arial Black"/>
          <w:sz w:val="15"/>
          <w:szCs w:val="15"/>
          <w:lang w:val="fr-FR"/>
        </w:rPr>
        <w:t>DATE</w:t>
      </w:r>
      <w:r w:rsidR="00743D89" w:rsidRPr="00E862E4">
        <w:rPr>
          <w:rFonts w:ascii="Arial Black" w:hAnsi="Arial Black"/>
          <w:sz w:val="15"/>
          <w:szCs w:val="15"/>
          <w:lang w:val="fr-FR"/>
        </w:rPr>
        <w:t> :</w:t>
      </w:r>
      <w:r w:rsidR="00DB0349" w:rsidRPr="00E862E4">
        <w:rPr>
          <w:rFonts w:ascii="Arial Black" w:hAnsi="Arial Black"/>
          <w:sz w:val="15"/>
          <w:szCs w:val="15"/>
          <w:lang w:val="fr-FR"/>
        </w:rPr>
        <w:t xml:space="preserve"> </w:t>
      </w:r>
      <w:bookmarkStart w:id="2" w:name="Date"/>
      <w:r w:rsidR="00112E34" w:rsidRPr="00E862E4">
        <w:rPr>
          <w:rFonts w:ascii="Arial Black" w:hAnsi="Arial Black"/>
          <w:sz w:val="15"/>
          <w:szCs w:val="15"/>
          <w:lang w:val="fr-FR"/>
        </w:rPr>
        <w:t>20</w:t>
      </w:r>
      <w:r w:rsidR="00855109" w:rsidRPr="00E862E4">
        <w:rPr>
          <w:rFonts w:ascii="Arial Black" w:hAnsi="Arial Black"/>
          <w:sz w:val="15"/>
          <w:szCs w:val="15"/>
          <w:lang w:val="fr-FR"/>
        </w:rPr>
        <w:t> </w:t>
      </w:r>
      <w:r w:rsidR="00855109" w:rsidRPr="00E862E4">
        <w:rPr>
          <w:rFonts w:ascii="Arial Black" w:hAnsi="Arial Black"/>
          <w:caps/>
          <w:sz w:val="15"/>
          <w:szCs w:val="15"/>
          <w:lang w:val="fr-FR"/>
        </w:rPr>
        <w:t>mai</w:t>
      </w:r>
      <w:r w:rsidR="00855109" w:rsidRPr="00E862E4">
        <w:rPr>
          <w:rFonts w:ascii="Arial Black" w:hAnsi="Arial Black"/>
          <w:sz w:val="15"/>
          <w:szCs w:val="15"/>
          <w:lang w:val="fr-FR"/>
        </w:rPr>
        <w:t> 2025</w:t>
      </w:r>
    </w:p>
    <w:bookmarkEnd w:id="2"/>
    <w:p w14:paraId="5D81EF66" w14:textId="16F3E590" w:rsidR="00C40E15" w:rsidRPr="00E862E4" w:rsidRDefault="00F66968" w:rsidP="00E862E4">
      <w:pPr>
        <w:spacing w:after="600"/>
        <w:rPr>
          <w:b/>
          <w:sz w:val="28"/>
          <w:szCs w:val="28"/>
          <w:lang w:val="fr-FR"/>
        </w:rPr>
      </w:pPr>
      <w:r w:rsidRPr="00E862E4">
        <w:rPr>
          <w:b/>
          <w:sz w:val="28"/>
          <w:szCs w:val="28"/>
          <w:lang w:val="fr-FR"/>
        </w:rPr>
        <w:t>Assemblées des États membres de l</w:t>
      </w:r>
      <w:r w:rsidR="00743D89" w:rsidRPr="00E862E4">
        <w:rPr>
          <w:b/>
          <w:sz w:val="28"/>
          <w:szCs w:val="28"/>
          <w:lang w:val="fr-FR"/>
        </w:rPr>
        <w:t>’</w:t>
      </w:r>
      <w:r w:rsidRPr="00E862E4">
        <w:rPr>
          <w:b/>
          <w:sz w:val="28"/>
          <w:szCs w:val="28"/>
          <w:lang w:val="fr-FR"/>
        </w:rPr>
        <w:t>OMPI</w:t>
      </w:r>
    </w:p>
    <w:p w14:paraId="5CCA02C8" w14:textId="648AE672" w:rsidR="008B2CC1" w:rsidRPr="00E862E4" w:rsidRDefault="00F66968" w:rsidP="00E862E4">
      <w:pPr>
        <w:rPr>
          <w:b/>
          <w:sz w:val="24"/>
          <w:szCs w:val="24"/>
          <w:lang w:val="fr-FR"/>
        </w:rPr>
      </w:pPr>
      <w:r w:rsidRPr="00E862E4">
        <w:rPr>
          <w:b/>
          <w:sz w:val="24"/>
          <w:szCs w:val="24"/>
          <w:lang w:val="fr-FR"/>
        </w:rPr>
        <w:t>Soixante</w:t>
      </w:r>
      <w:r w:rsidR="00C249FA">
        <w:rPr>
          <w:b/>
          <w:sz w:val="24"/>
          <w:szCs w:val="24"/>
          <w:lang w:val="fr-FR"/>
        </w:rPr>
        <w:noBreakHyphen/>
      </w:r>
      <w:r w:rsidR="00891FB4" w:rsidRPr="00E862E4">
        <w:rPr>
          <w:b/>
          <w:sz w:val="24"/>
          <w:szCs w:val="24"/>
          <w:lang w:val="fr-FR"/>
        </w:rPr>
        <w:t xml:space="preserve">sixième </w:t>
      </w:r>
      <w:r w:rsidRPr="00E862E4">
        <w:rPr>
          <w:b/>
          <w:sz w:val="24"/>
          <w:szCs w:val="24"/>
          <w:lang w:val="fr-FR"/>
        </w:rPr>
        <w:t>série de réunions</w:t>
      </w:r>
    </w:p>
    <w:p w14:paraId="4CD98D9E" w14:textId="5B10B067" w:rsidR="008B2CC1" w:rsidRPr="00E862E4" w:rsidRDefault="00F66968" w:rsidP="00E862E4">
      <w:pPr>
        <w:spacing w:after="720"/>
        <w:rPr>
          <w:b/>
          <w:sz w:val="24"/>
          <w:szCs w:val="24"/>
          <w:lang w:val="fr-FR"/>
        </w:rPr>
      </w:pPr>
      <w:r w:rsidRPr="00E862E4">
        <w:rPr>
          <w:b/>
          <w:sz w:val="24"/>
          <w:szCs w:val="24"/>
          <w:lang w:val="fr-FR"/>
        </w:rPr>
        <w:t xml:space="preserve">Genève, </w:t>
      </w:r>
      <w:r w:rsidR="00891FB4" w:rsidRPr="00E862E4">
        <w:rPr>
          <w:b/>
          <w:sz w:val="24"/>
          <w:szCs w:val="24"/>
          <w:lang w:val="fr-FR"/>
        </w:rPr>
        <w:t>8</w:t>
      </w:r>
      <w:r w:rsidR="00265E59" w:rsidRPr="00E862E4">
        <w:rPr>
          <w:b/>
          <w:sz w:val="24"/>
          <w:szCs w:val="24"/>
          <w:lang w:val="fr-FR"/>
        </w:rPr>
        <w:t xml:space="preserve"> – 1</w:t>
      </w:r>
      <w:r w:rsidR="00743D89" w:rsidRPr="00E862E4">
        <w:rPr>
          <w:b/>
          <w:sz w:val="24"/>
          <w:szCs w:val="24"/>
          <w:lang w:val="fr-FR"/>
        </w:rPr>
        <w:t>7 juillet 20</w:t>
      </w:r>
      <w:r w:rsidR="00265E59" w:rsidRPr="00E862E4">
        <w:rPr>
          <w:b/>
          <w:sz w:val="24"/>
          <w:szCs w:val="24"/>
          <w:lang w:val="fr-FR"/>
        </w:rPr>
        <w:t>2</w:t>
      </w:r>
      <w:r w:rsidR="00891FB4" w:rsidRPr="00E862E4">
        <w:rPr>
          <w:b/>
          <w:sz w:val="24"/>
          <w:szCs w:val="24"/>
          <w:lang w:val="fr-FR"/>
        </w:rPr>
        <w:t>5</w:t>
      </w:r>
    </w:p>
    <w:p w14:paraId="511AD3DE" w14:textId="76710F55" w:rsidR="008B2CC1" w:rsidRPr="00E862E4" w:rsidRDefault="00855109" w:rsidP="00E862E4">
      <w:pPr>
        <w:spacing w:after="360"/>
        <w:rPr>
          <w:caps/>
          <w:sz w:val="24"/>
          <w:lang w:val="fr-FR"/>
        </w:rPr>
      </w:pPr>
      <w:bookmarkStart w:id="3" w:name="TitleOfDoc"/>
      <w:r w:rsidRPr="00E862E4">
        <w:rPr>
          <w:caps/>
          <w:sz w:val="24"/>
          <w:lang w:val="fr-FR"/>
        </w:rPr>
        <w:t>Rapport du vérificateur externe des comptes</w:t>
      </w:r>
    </w:p>
    <w:p w14:paraId="0D3ED3F4" w14:textId="7023A0A2" w:rsidR="00525B63" w:rsidRPr="00E862E4" w:rsidRDefault="00855109" w:rsidP="00E862E4">
      <w:pPr>
        <w:spacing w:after="960"/>
        <w:rPr>
          <w:i/>
          <w:iCs/>
          <w:lang w:val="fr-FR"/>
        </w:rPr>
      </w:pPr>
      <w:bookmarkStart w:id="4" w:name="Prepared"/>
      <w:bookmarkEnd w:id="3"/>
      <w:r w:rsidRPr="00E862E4">
        <w:rPr>
          <w:i/>
          <w:iCs/>
          <w:lang w:val="fr-FR"/>
        </w:rPr>
        <w:t>établi par le Secrétariat</w:t>
      </w:r>
    </w:p>
    <w:bookmarkEnd w:id="4"/>
    <w:p w14:paraId="6E7447DD" w14:textId="7D4178CD" w:rsidR="00855109" w:rsidRPr="00E862E4" w:rsidRDefault="00855109" w:rsidP="00E862E4">
      <w:pPr>
        <w:pStyle w:val="ONUMFS"/>
        <w:rPr>
          <w:rFonts w:eastAsia="Calibri"/>
          <w:szCs w:val="22"/>
          <w:lang w:val="fr-FR"/>
        </w:rPr>
      </w:pPr>
      <w:r w:rsidRPr="00E862E4">
        <w:rPr>
          <w:lang w:val="fr-FR"/>
        </w:rPr>
        <w:t>Le présent document contient le “Rapport du vérificateur externe des comptes” (document</w:t>
      </w:r>
      <w:r w:rsidR="00596148">
        <w:rPr>
          <w:lang w:val="fr-FR"/>
        </w:rPr>
        <w:t> </w:t>
      </w:r>
      <w:r w:rsidRPr="00E862E4">
        <w:rPr>
          <w:lang w:val="fr-FR"/>
        </w:rPr>
        <w:t>WO/PBC/39/4), qui est soumis au Comité du programme et budget (PBC) à sa trente</w:t>
      </w:r>
      <w:r w:rsidR="00C249FA">
        <w:rPr>
          <w:lang w:val="fr-FR"/>
        </w:rPr>
        <w:noBreakHyphen/>
      </w:r>
      <w:r w:rsidRPr="00E862E4">
        <w:rPr>
          <w:lang w:val="fr-FR"/>
        </w:rPr>
        <w:t>neuv</w:t>
      </w:r>
      <w:r w:rsidR="00743D89" w:rsidRPr="00E862E4">
        <w:rPr>
          <w:lang w:val="fr-FR"/>
        </w:rPr>
        <w:t>ième session</w:t>
      </w:r>
      <w:r w:rsidRPr="00E862E4">
        <w:rPr>
          <w:lang w:val="fr-FR"/>
        </w:rPr>
        <w:t xml:space="preserve"> (16 – 2</w:t>
      </w:r>
      <w:r w:rsidR="00743D89" w:rsidRPr="00E862E4">
        <w:rPr>
          <w:lang w:val="fr-FR"/>
        </w:rPr>
        <w:t>0 juin</w:t>
      </w:r>
      <w:r w:rsidRPr="00E862E4">
        <w:rPr>
          <w:lang w:val="fr-FR"/>
        </w:rPr>
        <w:t> 2025).</w:t>
      </w:r>
    </w:p>
    <w:p w14:paraId="5E672E04" w14:textId="613FC394" w:rsidR="00855109" w:rsidRPr="00E862E4" w:rsidRDefault="00855109" w:rsidP="00E862E4">
      <w:pPr>
        <w:pStyle w:val="ONUMFS"/>
        <w:rPr>
          <w:rFonts w:eastAsia="Calibri"/>
          <w:szCs w:val="22"/>
          <w:lang w:val="fr-FR"/>
        </w:rPr>
      </w:pPr>
      <w:r w:rsidRPr="00E862E4">
        <w:rPr>
          <w:lang w:val="fr-FR"/>
        </w:rPr>
        <w:t>Toute décision</w:t>
      </w:r>
      <w:r w:rsidR="00743D89" w:rsidRPr="00E862E4">
        <w:rPr>
          <w:lang w:val="fr-FR"/>
        </w:rPr>
        <w:t xml:space="preserve"> du PBC</w:t>
      </w:r>
      <w:r w:rsidRPr="00E862E4">
        <w:rPr>
          <w:lang w:val="fr-FR"/>
        </w:rPr>
        <w:t xml:space="preserve"> concernant ces documents figurera dans la “Liste des décisions adoptées par le Comité du programme et budget” (document A/66/7).</w:t>
      </w:r>
    </w:p>
    <w:p w14:paraId="7A225023" w14:textId="687B544F" w:rsidR="00855109" w:rsidRPr="00E862E4" w:rsidRDefault="00855109" w:rsidP="00E862E4">
      <w:pPr>
        <w:pStyle w:val="Endofdocument-Annex"/>
        <w:sectPr w:rsidR="00855109" w:rsidRPr="00E862E4" w:rsidSect="00E862E4">
          <w:headerReference w:type="even" r:id="rId8"/>
          <w:headerReference w:type="default" r:id="rId9"/>
          <w:footerReference w:type="even" r:id="rId10"/>
          <w:footerReference w:type="default" r:id="rId11"/>
          <w:headerReference w:type="first" r:id="rId12"/>
          <w:footerReference w:type="first" r:id="rId13"/>
          <w:endnotePr>
            <w:numFmt w:val="decimal"/>
          </w:endnotePr>
          <w:type w:val="nextColumn"/>
          <w:pgSz w:w="11907" w:h="16840" w:code="9"/>
          <w:pgMar w:top="567" w:right="1134" w:bottom="1418" w:left="1418" w:header="510" w:footer="1021" w:gutter="0"/>
          <w:cols w:space="720"/>
          <w:titlePg/>
          <w:docGrid w:linePitch="299"/>
        </w:sectPr>
      </w:pPr>
      <w:r w:rsidRPr="00E862E4">
        <w:t xml:space="preserve">[Le </w:t>
      </w:r>
      <w:r w:rsidR="00743D89" w:rsidRPr="00E862E4">
        <w:t>document</w:t>
      </w:r>
      <w:r w:rsidR="00596148">
        <w:t> </w:t>
      </w:r>
      <w:r w:rsidR="00743D89" w:rsidRPr="00E862E4">
        <w:t>WO</w:t>
      </w:r>
      <w:r w:rsidRPr="00E862E4">
        <w:t>/PBC/39/4 suit]</w:t>
      </w:r>
    </w:p>
    <w:p w14:paraId="6C14BCDE" w14:textId="77777777" w:rsidR="00855109" w:rsidRPr="00E862E4" w:rsidRDefault="00855109" w:rsidP="00E862E4">
      <w:pPr>
        <w:spacing w:after="120"/>
        <w:jc w:val="right"/>
        <w:rPr>
          <w:lang w:val="fr-FR"/>
        </w:rPr>
      </w:pPr>
      <w:r w:rsidRPr="00E862E4">
        <w:rPr>
          <w:noProof/>
          <w:lang w:val="fr-FR" w:eastAsia="en-US"/>
        </w:rPr>
        <w:lastRenderedPageBreak/>
        <w:drawing>
          <wp:inline distT="0" distB="0" distL="0" distR="0" wp14:anchorId="7D4EDC8D" wp14:editId="55700901">
            <wp:extent cx="2948267" cy="1332000"/>
            <wp:effectExtent l="0" t="0" r="5080" b="1905"/>
            <wp:docPr id="2060698161" name="Picture 206069816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E862E4">
        <w:rPr>
          <w:rFonts w:ascii="Arial Black" w:hAnsi="Arial Black"/>
          <w:caps/>
          <w:noProof/>
          <w:sz w:val="15"/>
          <w:szCs w:val="15"/>
          <w:lang w:val="fr-FR" w:eastAsia="en-US"/>
        </w:rPr>
        <mc:AlternateContent>
          <mc:Choice Requires="wps">
            <w:drawing>
              <wp:inline distT="0" distB="0" distL="0" distR="0" wp14:anchorId="461647E6" wp14:editId="5FD128E8">
                <wp:extent cx="5935980" cy="0"/>
                <wp:effectExtent l="0" t="0" r="26670" b="19050"/>
                <wp:docPr id="617800415" name="Straight Connector 617800415"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CF7B02E" id="Straight Connector 617800415"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29E7978" w14:textId="77777777" w:rsidR="00855109" w:rsidRPr="00E862E4" w:rsidRDefault="00855109" w:rsidP="00E862E4">
      <w:pPr>
        <w:jc w:val="right"/>
        <w:rPr>
          <w:rFonts w:ascii="Arial Black" w:hAnsi="Arial Black"/>
          <w:caps/>
          <w:sz w:val="15"/>
          <w:szCs w:val="15"/>
          <w:lang w:val="fr-FR"/>
        </w:rPr>
      </w:pPr>
      <w:r w:rsidRPr="00E862E4">
        <w:rPr>
          <w:rFonts w:ascii="Arial Black" w:hAnsi="Arial Black"/>
          <w:caps/>
          <w:sz w:val="15"/>
          <w:szCs w:val="15"/>
          <w:lang w:val="fr-FR"/>
        </w:rPr>
        <w:t>WO/PBC/39/4</w:t>
      </w:r>
    </w:p>
    <w:p w14:paraId="44A6F54B" w14:textId="6737C127" w:rsidR="00855109" w:rsidRPr="00E862E4" w:rsidRDefault="00855109" w:rsidP="00E862E4">
      <w:pPr>
        <w:jc w:val="right"/>
        <w:rPr>
          <w:rFonts w:ascii="Arial Black" w:hAnsi="Arial Black"/>
          <w:caps/>
          <w:sz w:val="15"/>
          <w:szCs w:val="15"/>
          <w:lang w:val="fr-FR"/>
        </w:rPr>
      </w:pPr>
      <w:r w:rsidRPr="00E862E4">
        <w:rPr>
          <w:rFonts w:ascii="Arial Black" w:hAnsi="Arial Black"/>
          <w:caps/>
          <w:sz w:val="15"/>
          <w:szCs w:val="15"/>
          <w:lang w:val="fr-FR"/>
        </w:rPr>
        <w:t>ORIGINAL</w:t>
      </w:r>
      <w:r w:rsidR="00743D89" w:rsidRPr="00E862E4">
        <w:rPr>
          <w:rFonts w:ascii="Arial Black" w:hAnsi="Arial Black"/>
          <w:caps/>
          <w:sz w:val="15"/>
          <w:szCs w:val="15"/>
          <w:lang w:val="fr-FR"/>
        </w:rPr>
        <w:t> :</w:t>
      </w:r>
      <w:r w:rsidRPr="00E862E4">
        <w:rPr>
          <w:rFonts w:ascii="Arial Black" w:hAnsi="Arial Black"/>
          <w:caps/>
          <w:sz w:val="15"/>
          <w:szCs w:val="15"/>
          <w:lang w:val="fr-FR"/>
        </w:rPr>
        <w:t xml:space="preserve"> anglais</w:t>
      </w:r>
    </w:p>
    <w:p w14:paraId="541D0C18" w14:textId="6DDFEADB" w:rsidR="00855109" w:rsidRPr="00E862E4" w:rsidRDefault="00855109" w:rsidP="00E862E4">
      <w:pPr>
        <w:spacing w:after="1200"/>
        <w:jc w:val="right"/>
        <w:rPr>
          <w:rFonts w:ascii="Arial Black" w:hAnsi="Arial Black"/>
          <w:caps/>
          <w:sz w:val="15"/>
          <w:szCs w:val="15"/>
          <w:lang w:val="fr-FR"/>
        </w:rPr>
      </w:pPr>
      <w:r w:rsidRPr="00E862E4">
        <w:rPr>
          <w:rFonts w:ascii="Arial Black" w:hAnsi="Arial Black"/>
          <w:caps/>
          <w:sz w:val="15"/>
          <w:szCs w:val="15"/>
          <w:lang w:val="fr-FR"/>
        </w:rPr>
        <w:t>DATE</w:t>
      </w:r>
      <w:r w:rsidR="00743D89" w:rsidRPr="00E862E4">
        <w:rPr>
          <w:rFonts w:ascii="Arial Black" w:hAnsi="Arial Black"/>
          <w:caps/>
          <w:sz w:val="15"/>
          <w:szCs w:val="15"/>
          <w:lang w:val="fr-FR"/>
        </w:rPr>
        <w:t> :</w:t>
      </w:r>
      <w:r w:rsidRPr="00E862E4">
        <w:rPr>
          <w:rFonts w:ascii="Arial Black" w:hAnsi="Arial Black"/>
          <w:caps/>
          <w:sz w:val="15"/>
          <w:szCs w:val="15"/>
          <w:lang w:val="fr-FR"/>
        </w:rPr>
        <w:t xml:space="preserve"> </w:t>
      </w:r>
      <w:r w:rsidR="00112E34" w:rsidRPr="00E862E4">
        <w:rPr>
          <w:rFonts w:ascii="Arial Black" w:hAnsi="Arial Black"/>
          <w:caps/>
          <w:sz w:val="15"/>
          <w:szCs w:val="15"/>
          <w:lang w:val="fr-FR"/>
        </w:rPr>
        <w:t>20</w:t>
      </w:r>
      <w:r w:rsidRPr="00E862E4">
        <w:rPr>
          <w:rFonts w:ascii="Arial Black" w:hAnsi="Arial Black"/>
          <w:caps/>
          <w:sz w:val="15"/>
          <w:szCs w:val="15"/>
          <w:lang w:val="fr-FR"/>
        </w:rPr>
        <w:t> mai 2025</w:t>
      </w:r>
    </w:p>
    <w:p w14:paraId="7965EA5A" w14:textId="77777777" w:rsidR="00855109" w:rsidRPr="00E862E4" w:rsidRDefault="00855109" w:rsidP="00E862E4">
      <w:pPr>
        <w:spacing w:after="600"/>
        <w:rPr>
          <w:b/>
          <w:sz w:val="28"/>
          <w:szCs w:val="28"/>
          <w:lang w:val="fr-FR"/>
        </w:rPr>
      </w:pPr>
      <w:r w:rsidRPr="00E862E4">
        <w:rPr>
          <w:b/>
          <w:sz w:val="28"/>
          <w:szCs w:val="28"/>
          <w:lang w:val="fr-FR"/>
        </w:rPr>
        <w:t>Comité du programme et budget</w:t>
      </w:r>
    </w:p>
    <w:p w14:paraId="55DC85A4" w14:textId="29FF3523" w:rsidR="00855109" w:rsidRPr="00E862E4" w:rsidRDefault="00855109" w:rsidP="00E862E4">
      <w:pPr>
        <w:rPr>
          <w:b/>
          <w:sz w:val="24"/>
          <w:szCs w:val="24"/>
          <w:lang w:val="fr-FR"/>
        </w:rPr>
      </w:pPr>
      <w:r w:rsidRPr="00E862E4">
        <w:rPr>
          <w:b/>
          <w:sz w:val="24"/>
          <w:szCs w:val="24"/>
          <w:lang w:val="fr-FR"/>
        </w:rPr>
        <w:t>Trente</w:t>
      </w:r>
      <w:r w:rsidR="00C249FA">
        <w:rPr>
          <w:b/>
          <w:sz w:val="24"/>
          <w:szCs w:val="24"/>
          <w:lang w:val="fr-FR"/>
        </w:rPr>
        <w:noBreakHyphen/>
      </w:r>
      <w:r w:rsidRPr="00E862E4">
        <w:rPr>
          <w:b/>
          <w:sz w:val="24"/>
          <w:szCs w:val="24"/>
          <w:lang w:val="fr-FR"/>
        </w:rPr>
        <w:t>neuv</w:t>
      </w:r>
      <w:r w:rsidR="00743D89" w:rsidRPr="00E862E4">
        <w:rPr>
          <w:b/>
          <w:sz w:val="24"/>
          <w:szCs w:val="24"/>
          <w:lang w:val="fr-FR"/>
        </w:rPr>
        <w:t>ième session</w:t>
      </w:r>
    </w:p>
    <w:p w14:paraId="07FFC3AA" w14:textId="77ADA75B" w:rsidR="00855109" w:rsidRPr="00E862E4" w:rsidRDefault="00855109" w:rsidP="00E862E4">
      <w:pPr>
        <w:spacing w:after="720"/>
        <w:rPr>
          <w:lang w:val="fr-FR"/>
        </w:rPr>
      </w:pPr>
      <w:r w:rsidRPr="00E862E4">
        <w:rPr>
          <w:b/>
          <w:sz w:val="24"/>
          <w:szCs w:val="24"/>
          <w:lang w:val="fr-FR"/>
        </w:rPr>
        <w:t>Genève, 16 – 2</w:t>
      </w:r>
      <w:r w:rsidR="00743D89" w:rsidRPr="00E862E4">
        <w:rPr>
          <w:b/>
          <w:sz w:val="24"/>
          <w:szCs w:val="24"/>
          <w:lang w:val="fr-FR"/>
        </w:rPr>
        <w:t>0 juin 20</w:t>
      </w:r>
      <w:r w:rsidRPr="00E862E4">
        <w:rPr>
          <w:b/>
          <w:sz w:val="24"/>
          <w:szCs w:val="24"/>
          <w:lang w:val="fr-FR"/>
        </w:rPr>
        <w:t>25</w:t>
      </w:r>
    </w:p>
    <w:p w14:paraId="7A02177D" w14:textId="77777777" w:rsidR="00855109" w:rsidRPr="00E862E4" w:rsidRDefault="00855109" w:rsidP="00E862E4">
      <w:pPr>
        <w:spacing w:after="360"/>
        <w:rPr>
          <w:caps/>
          <w:sz w:val="24"/>
          <w:lang w:val="fr-FR"/>
        </w:rPr>
      </w:pPr>
      <w:r w:rsidRPr="00E862E4">
        <w:rPr>
          <w:caps/>
          <w:sz w:val="24"/>
          <w:lang w:val="fr-FR"/>
        </w:rPr>
        <w:t>Rapport du vérificateur externe des comptes</w:t>
      </w:r>
    </w:p>
    <w:p w14:paraId="3D4C023C" w14:textId="77777777" w:rsidR="00855109" w:rsidRPr="00E862E4" w:rsidRDefault="00855109" w:rsidP="00E862E4">
      <w:pPr>
        <w:spacing w:after="960"/>
        <w:rPr>
          <w:i/>
          <w:lang w:val="fr-FR"/>
        </w:rPr>
      </w:pPr>
      <w:r w:rsidRPr="00E862E4">
        <w:rPr>
          <w:i/>
          <w:lang w:val="fr-FR"/>
        </w:rPr>
        <w:t>établi par le Secrétariat</w:t>
      </w:r>
    </w:p>
    <w:p w14:paraId="27FE79F6" w14:textId="72433323" w:rsidR="00855109" w:rsidRPr="00E862E4" w:rsidRDefault="00855109" w:rsidP="00E862E4">
      <w:pPr>
        <w:pStyle w:val="ONUMFS"/>
        <w:numPr>
          <w:ilvl w:val="0"/>
          <w:numId w:val="39"/>
        </w:numPr>
        <w:rPr>
          <w:lang w:val="fr-FR"/>
        </w:rPr>
      </w:pPr>
      <w:r w:rsidRPr="00E862E4">
        <w:rPr>
          <w:lang w:val="fr-FR"/>
        </w:rPr>
        <w:t>Le présent document se compose des éléments suivants</w:t>
      </w:r>
      <w:r w:rsidR="00743D89" w:rsidRPr="00E862E4">
        <w:rPr>
          <w:lang w:val="fr-FR"/>
        </w:rPr>
        <w:t> :</w:t>
      </w:r>
    </w:p>
    <w:p w14:paraId="66EC8767" w14:textId="7247A84B" w:rsidR="00855109" w:rsidRPr="00E862E4" w:rsidRDefault="00855109" w:rsidP="00E862E4">
      <w:pPr>
        <w:pStyle w:val="ONUMFS"/>
        <w:numPr>
          <w:ilvl w:val="2"/>
          <w:numId w:val="6"/>
        </w:numPr>
        <w:tabs>
          <w:tab w:val="clear" w:pos="1701"/>
          <w:tab w:val="left" w:pos="1134"/>
        </w:tabs>
        <w:ind w:left="567"/>
        <w:rPr>
          <w:lang w:val="fr-FR"/>
        </w:rPr>
      </w:pPr>
      <w:r w:rsidRPr="00E862E4">
        <w:rPr>
          <w:lang w:val="fr-FR"/>
        </w:rPr>
        <w:t>le rapport du vérificateur indépendant des comptes, qui contient l</w:t>
      </w:r>
      <w:r w:rsidR="00743D89" w:rsidRPr="00E862E4">
        <w:rPr>
          <w:lang w:val="fr-FR"/>
        </w:rPr>
        <w:t>’</w:t>
      </w:r>
      <w:r w:rsidRPr="00E862E4">
        <w:rPr>
          <w:lang w:val="fr-FR"/>
        </w:rPr>
        <w:t>opinion du vérificateur externe des comptes sur les états financiers de l</w:t>
      </w:r>
      <w:r w:rsidR="00743D89" w:rsidRPr="00E862E4">
        <w:rPr>
          <w:lang w:val="fr-FR"/>
        </w:rPr>
        <w:t>’</w:t>
      </w:r>
      <w:r w:rsidRPr="00E862E4">
        <w:rPr>
          <w:lang w:val="fr-FR"/>
        </w:rPr>
        <w:t>Organisation Mondiale de la Propriété Intellectuelle (OMPI) pour l</w:t>
      </w:r>
      <w:r w:rsidR="00743D89" w:rsidRPr="00E862E4">
        <w:rPr>
          <w:lang w:val="fr-FR"/>
        </w:rPr>
        <w:t>’</w:t>
      </w:r>
      <w:r w:rsidRPr="00E862E4">
        <w:rPr>
          <w:lang w:val="fr-FR"/>
        </w:rPr>
        <w:t>exercice clos au 31 </w:t>
      </w:r>
      <w:r w:rsidR="00743D89" w:rsidRPr="00E862E4">
        <w:rPr>
          <w:lang w:val="fr-FR"/>
        </w:rPr>
        <w:t>décembre 20</w:t>
      </w:r>
      <w:r w:rsidRPr="00E862E4">
        <w:rPr>
          <w:lang w:val="fr-FR"/>
        </w:rPr>
        <w:t>24;  et</w:t>
      </w:r>
    </w:p>
    <w:p w14:paraId="5317F12B" w14:textId="0A120473" w:rsidR="00855109" w:rsidRPr="00E862E4" w:rsidRDefault="00855109" w:rsidP="00E862E4">
      <w:pPr>
        <w:pStyle w:val="ONUMFS"/>
        <w:numPr>
          <w:ilvl w:val="2"/>
          <w:numId w:val="6"/>
        </w:numPr>
        <w:tabs>
          <w:tab w:val="clear" w:pos="1701"/>
          <w:tab w:val="left" w:pos="1134"/>
        </w:tabs>
        <w:ind w:left="567"/>
        <w:rPr>
          <w:lang w:val="fr-FR"/>
        </w:rPr>
      </w:pPr>
      <w:r w:rsidRPr="00E862E4">
        <w:rPr>
          <w:lang w:val="fr-FR"/>
        </w:rPr>
        <w:t>le rapport du vérificateur externe des comptes pour l</w:t>
      </w:r>
      <w:r w:rsidR="00743D89" w:rsidRPr="00E862E4">
        <w:rPr>
          <w:lang w:val="fr-FR"/>
        </w:rPr>
        <w:t>’</w:t>
      </w:r>
      <w:r w:rsidRPr="00E862E4">
        <w:rPr>
          <w:lang w:val="fr-FR"/>
        </w:rPr>
        <w:t>exercice 2024 à la soixante</w:t>
      </w:r>
      <w:r w:rsidR="00C249FA">
        <w:rPr>
          <w:lang w:val="fr-FR"/>
        </w:rPr>
        <w:noBreakHyphen/>
      </w:r>
      <w:r w:rsidRPr="00E862E4">
        <w:rPr>
          <w:lang w:val="fr-FR"/>
        </w:rPr>
        <w:t>sixième série de réunions des assemblées des États membres de l</w:t>
      </w:r>
      <w:r w:rsidR="00743D89" w:rsidRPr="00E862E4">
        <w:rPr>
          <w:lang w:val="fr-FR"/>
        </w:rPr>
        <w:t>’</w:t>
      </w:r>
      <w:r w:rsidRPr="00E862E4">
        <w:rPr>
          <w:lang w:val="fr-FR"/>
        </w:rPr>
        <w:t xml:space="preserve">OMPI (également dénommé “rapport détaillé”). </w:t>
      </w:r>
      <w:r w:rsidR="001B7F27" w:rsidRPr="00E862E4">
        <w:rPr>
          <w:lang w:val="fr-FR"/>
        </w:rPr>
        <w:t xml:space="preserve"> </w:t>
      </w:r>
      <w:r w:rsidRPr="00E862E4">
        <w:rPr>
          <w:lang w:val="fr-FR"/>
        </w:rPr>
        <w:t>Ce rapport contient les recommandations du vérificateur externe des comptes découlant des vérifications effectuées au cours de l</w:t>
      </w:r>
      <w:r w:rsidR="00743D89" w:rsidRPr="00E862E4">
        <w:rPr>
          <w:lang w:val="fr-FR"/>
        </w:rPr>
        <w:t>’</w:t>
      </w:r>
      <w:r w:rsidRPr="00E862E4">
        <w:rPr>
          <w:lang w:val="fr-FR"/>
        </w:rPr>
        <w:t>exercice 2024.</w:t>
      </w:r>
    </w:p>
    <w:p w14:paraId="0A15805C" w14:textId="1786A66B" w:rsidR="00855109" w:rsidRPr="00E862E4" w:rsidRDefault="00855109" w:rsidP="00E862E4">
      <w:pPr>
        <w:pStyle w:val="ONUMFS"/>
        <w:rPr>
          <w:lang w:val="fr-FR"/>
        </w:rPr>
      </w:pPr>
      <w:r w:rsidRPr="00E862E4">
        <w:rPr>
          <w:lang w:val="fr-FR"/>
        </w:rPr>
        <w:t>Le paragraphe de décision ci</w:t>
      </w:r>
      <w:r w:rsidR="00C249FA">
        <w:rPr>
          <w:lang w:val="fr-FR"/>
        </w:rPr>
        <w:noBreakHyphen/>
      </w:r>
      <w:r w:rsidRPr="00E862E4">
        <w:rPr>
          <w:lang w:val="fr-FR"/>
        </w:rPr>
        <w:t>après est proposé.</w:t>
      </w:r>
    </w:p>
    <w:p w14:paraId="2C053BD3" w14:textId="7DB74CA9" w:rsidR="00855109" w:rsidRPr="00E862E4" w:rsidRDefault="00855109" w:rsidP="00E862E4">
      <w:pPr>
        <w:pStyle w:val="ONUMFS"/>
        <w:ind w:left="5533"/>
        <w:rPr>
          <w:i/>
          <w:lang w:val="fr-FR"/>
        </w:rPr>
      </w:pPr>
      <w:r w:rsidRPr="00E862E4">
        <w:rPr>
          <w:i/>
          <w:lang w:val="fr-FR"/>
        </w:rPr>
        <w:t>Le Comité du programme et budget (PBC) a recommandé aux assemblées de l</w:t>
      </w:r>
      <w:r w:rsidR="00743D89" w:rsidRPr="00E862E4">
        <w:rPr>
          <w:i/>
          <w:lang w:val="fr-FR"/>
        </w:rPr>
        <w:t>’</w:t>
      </w:r>
      <w:r w:rsidRPr="00E862E4">
        <w:rPr>
          <w:i/>
          <w:lang w:val="fr-FR"/>
        </w:rPr>
        <w:t>OMPI, chacune pour ce qui la concerne, de prendre note du ‟Rapport du vérificateur externe des comptes” (document</w:t>
      </w:r>
      <w:r w:rsidR="00596148">
        <w:rPr>
          <w:i/>
          <w:lang w:val="fr-FR"/>
        </w:rPr>
        <w:t> </w:t>
      </w:r>
      <w:r w:rsidRPr="00E862E4">
        <w:rPr>
          <w:i/>
          <w:lang w:val="fr-FR"/>
        </w:rPr>
        <w:t>WO/PBC/39/4).</w:t>
      </w:r>
    </w:p>
    <w:p w14:paraId="7A00B332" w14:textId="77777777" w:rsidR="00C249FA" w:rsidRDefault="00855109" w:rsidP="00E862E4">
      <w:pPr>
        <w:pStyle w:val="Endofdocument-Annex"/>
        <w:sectPr w:rsidR="00C249FA" w:rsidSect="00E862E4">
          <w:headerReference w:type="default" r:id="rId14"/>
          <w:endnotePr>
            <w:numFmt w:val="decimal"/>
          </w:endnotePr>
          <w:type w:val="nextColumn"/>
          <w:pgSz w:w="11907" w:h="16840" w:orient="landscape" w:code="9"/>
          <w:pgMar w:top="567" w:right="1134" w:bottom="1418" w:left="1418" w:header="510" w:footer="1021" w:gutter="0"/>
          <w:cols w:space="720"/>
          <w:titlePg/>
          <w:docGrid w:linePitch="299"/>
        </w:sectPr>
      </w:pPr>
      <w:r w:rsidRPr="00E862E4">
        <w:t>[Le Rapport du vérificateur externe des comptes suit]</w:t>
      </w:r>
    </w:p>
    <w:p w14:paraId="288ED60C" w14:textId="77777777" w:rsidR="00855109" w:rsidRDefault="00855109" w:rsidP="00E862E4">
      <w:pPr>
        <w:rPr>
          <w:lang w:val="fr-FR"/>
        </w:rPr>
      </w:pPr>
    </w:p>
    <w:p w14:paraId="59B78484" w14:textId="77777777" w:rsidR="00C249FA" w:rsidRDefault="00C249FA" w:rsidP="00E862E4">
      <w:pPr>
        <w:rPr>
          <w:lang w:val="fr-FR"/>
        </w:rPr>
      </w:pPr>
    </w:p>
    <w:p w14:paraId="382B7645" w14:textId="77777777" w:rsidR="00C249FA" w:rsidRDefault="00C249FA" w:rsidP="00E862E4">
      <w:pPr>
        <w:rPr>
          <w:lang w:val="fr-FR"/>
        </w:rPr>
      </w:pPr>
    </w:p>
    <w:p w14:paraId="1F415D36" w14:textId="77777777" w:rsidR="00C249FA" w:rsidRDefault="00C249FA" w:rsidP="00E862E4">
      <w:pPr>
        <w:rPr>
          <w:lang w:val="fr-FR"/>
        </w:rPr>
      </w:pPr>
    </w:p>
    <w:p w14:paraId="3AFF7D3F" w14:textId="77777777" w:rsidR="00C249FA" w:rsidRPr="00E862E4" w:rsidRDefault="00C249FA" w:rsidP="00E862E4">
      <w:pPr>
        <w:rPr>
          <w:lang w:val="fr-FR"/>
        </w:rPr>
      </w:pPr>
    </w:p>
    <w:p w14:paraId="1E5A085A" w14:textId="77777777" w:rsidR="00206809" w:rsidRPr="00E862E4" w:rsidRDefault="00206809" w:rsidP="00E862E4">
      <w:pPr>
        <w:rPr>
          <w:lang w:val="fr-FR"/>
        </w:rPr>
      </w:pPr>
    </w:p>
    <w:p w14:paraId="0AB65FC8" w14:textId="4909F71E" w:rsidR="00855109" w:rsidRPr="00E862E4" w:rsidRDefault="00855109" w:rsidP="00E862E4">
      <w:pPr>
        <w:rPr>
          <w:lang w:val="fr-FR"/>
        </w:rPr>
      </w:pPr>
      <w:r w:rsidRPr="00E862E4">
        <w:rPr>
          <w:noProof/>
          <w:lang w:val="fr-FR"/>
        </w:rPr>
        <mc:AlternateContent>
          <mc:Choice Requires="wpg">
            <w:drawing>
              <wp:inline distT="0" distB="0" distL="0" distR="0" wp14:anchorId="761B2AC3" wp14:editId="69684251">
                <wp:extent cx="5423280" cy="611301"/>
                <wp:effectExtent l="0" t="0" r="0" b="0"/>
                <wp:docPr id="450306450" name="Group 17"/>
                <wp:cNvGraphicFramePr/>
                <a:graphic xmlns:a="http://schemas.openxmlformats.org/drawingml/2006/main">
                  <a:graphicData uri="http://schemas.microsoft.com/office/word/2010/wordprocessingGroup">
                    <wpg:wgp>
                      <wpg:cNvGrpSpPr/>
                      <wpg:grpSpPr>
                        <a:xfrm>
                          <a:off x="0" y="0"/>
                          <a:ext cx="5423280" cy="611301"/>
                          <a:chOff x="0" y="0"/>
                          <a:chExt cx="5423280" cy="611301"/>
                        </a:xfrm>
                      </wpg:grpSpPr>
                      <wps:wsp>
                        <wps:cNvPr id="1998171781" name="Text Box 1"/>
                        <wps:cNvSpPr txBox="1"/>
                        <wps:spPr>
                          <a:xfrm>
                            <a:off x="1903475" y="69011"/>
                            <a:ext cx="3519805" cy="542290"/>
                          </a:xfrm>
                          <a:prstGeom prst="rect">
                            <a:avLst/>
                          </a:prstGeom>
                          <a:noFill/>
                          <a:ln>
                            <a:noFill/>
                          </a:ln>
                        </wps:spPr>
                        <wps:txbx>
                          <w:txbxContent>
                            <w:p w14:paraId="78F69E96" w14:textId="77777777" w:rsidR="00855109" w:rsidRPr="004E2BF3" w:rsidRDefault="00855109" w:rsidP="00855109">
                              <w:pPr>
                                <w:rPr>
                                  <w:rFonts w:ascii="Helvetica" w:hAnsi="Helvetica"/>
                                  <w:color w:val="000000" w:themeColor="text1"/>
                                  <w:szCs w:val="22"/>
                                  <w14:textOutline w14:w="0" w14:cap="flat" w14:cmpd="sng" w14:algn="ctr">
                                    <w14:noFill/>
                                    <w14:prstDash w14:val="solid"/>
                                    <w14:round/>
                                  </w14:textOutline>
                                </w:rPr>
                              </w:pPr>
                              <w:r>
                                <w:rPr>
                                  <w:rFonts w:ascii="Helvetica" w:hAnsi="Helvetica"/>
                                  <w:color w:val="000000" w:themeColor="text1"/>
                                  <w14:textOutline w14:w="0" w14:cap="flat" w14:cmpd="sng" w14:algn="ctr">
                                    <w14:noFill/>
                                    <w14:prstDash w14:val="solid"/>
                                    <w14:round/>
                                  </w14:textOutline>
                                </w:rPr>
                                <w:t xml:space="preserve">COMMISSION D’AUDIT DE </w:t>
                              </w:r>
                            </w:p>
                            <w:p w14:paraId="282ED2E9" w14:textId="77777777" w:rsidR="00855109" w:rsidRPr="004E2BF3" w:rsidRDefault="00855109" w:rsidP="00855109">
                              <w:pPr>
                                <w:rPr>
                                  <w:rFonts w:ascii="Helvetica" w:hAnsi="Helvetica"/>
                                  <w:color w:val="000000" w:themeColor="text1"/>
                                  <w:szCs w:val="22"/>
                                  <w14:textOutline w14:w="0" w14:cap="flat" w14:cmpd="sng" w14:algn="ctr">
                                    <w14:noFill/>
                                    <w14:prstDash w14:val="solid"/>
                                    <w14:round/>
                                  </w14:textOutline>
                                </w:rPr>
                              </w:pPr>
                              <w:r>
                                <w:rPr>
                                  <w:rFonts w:ascii="Helvetica" w:hAnsi="Helvetica"/>
                                  <w:color w:val="000000" w:themeColor="text1"/>
                                  <w14:textOutline w14:w="0" w14:cap="flat" w14:cmpd="sng" w14:algn="ctr">
                                    <w14:noFill/>
                                    <w14:prstDash w14:val="solid"/>
                                    <w14:round/>
                                  </w14:textOutline>
                                </w:rPr>
                                <w:t>LA RÉPUBLIQUE D’INDONÉSIE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36500191" name="Picture 2"/>
                          <pic:cNvPicPr>
                            <a:picLocks noChangeAspect="1"/>
                          </pic:cNvPicPr>
                        </pic:nvPicPr>
                        <pic:blipFill>
                          <a:blip r:embed="rId15" cstate="print">
                            <a:extLst>
                              <a:ext uri="{28A0092B-C50C-407E-A947-70E740481C1C}">
                                <a14:useLocalDpi xmlns:a14="http://schemas.microsoft.com/office/drawing/2010/main" val="0"/>
                              </a:ext>
                            </a:extLst>
                          </a:blip>
                          <a:srcRect/>
                          <a:stretch/>
                        </pic:blipFill>
                        <pic:spPr>
                          <a:xfrm>
                            <a:off x="0" y="51759"/>
                            <a:ext cx="456565" cy="456565"/>
                          </a:xfrm>
                          <a:prstGeom prst="rect">
                            <a:avLst/>
                          </a:prstGeom>
                          <a:noFill/>
                        </pic:spPr>
                      </pic:pic>
                      <wps:wsp>
                        <wps:cNvPr id="2043461494" name="Text Box 15"/>
                        <wps:cNvSpPr txBox="1"/>
                        <wps:spPr>
                          <a:xfrm>
                            <a:off x="396815" y="0"/>
                            <a:ext cx="1781810" cy="542290"/>
                          </a:xfrm>
                          <a:prstGeom prst="rect">
                            <a:avLst/>
                          </a:prstGeom>
                          <a:noFill/>
                          <a:ln>
                            <a:noFill/>
                          </a:ln>
                        </wps:spPr>
                        <wps:txbx>
                          <w:txbxContent>
                            <w:p w14:paraId="5ABB269E" w14:textId="77777777" w:rsidR="00855109" w:rsidRPr="00F41A22" w:rsidRDefault="00855109" w:rsidP="00855109">
                              <w:pPr>
                                <w:rPr>
                                  <w:rFonts w:ascii="Helvetica" w:hAnsi="Helvetica"/>
                                  <w:b/>
                                  <w:bCs/>
                                  <w:color w:val="000000" w:themeColor="text1"/>
                                  <w:sz w:val="60"/>
                                  <w:szCs w:val="60"/>
                                  <w14:textOutline w14:w="0" w14:cap="flat" w14:cmpd="sng" w14:algn="ctr">
                                    <w14:noFill/>
                                    <w14:prstDash w14:val="solid"/>
                                    <w14:round/>
                                  </w14:textOutline>
                                </w:rPr>
                              </w:pPr>
                              <w:r>
                                <w:rPr>
                                  <w:rFonts w:ascii="Helvetica" w:hAnsi="Helvetica"/>
                                  <w:b/>
                                  <w:color w:val="000000" w:themeColor="text1"/>
                                  <w:sz w:val="60"/>
                                  <w14:textOutline w14:w="0" w14:cap="flat" w14:cmpd="sng" w14:algn="ctr">
                                    <w14:noFill/>
                                    <w14:prstDash w14:val="solid"/>
                                    <w14:round/>
                                  </w14:textOutline>
                                </w:rPr>
                                <w:t>BPK 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61B2AC3" id="Group 17" o:spid="_x0000_s1026" style="width:427.05pt;height:48.15pt;mso-position-horizontal-relative:char;mso-position-vertical-relative:line" coordsize="54232,61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">
                <v:shapetype id="_x0000_t202" coordsize="21600,21600" o:spt="202" path="m,l,21600r21600,l21600,xe">
                  <v:stroke joinstyle="miter"/>
                  <v:path gradientshapeok="t" o:connecttype="rect"/>
                </v:shapetype>
                <v:shape id="Text Box 1" o:spid="_x0000_s1027" type="#_x0000_t202" style="position:absolute;left:19034;top:690;width:35198;height:5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" filled="f" stroked="f">
                  <v:textbox>
                    <w:txbxContent>
                      <w:p w14:paraId="78F69E96" w14:textId="77777777" w:rsidR="00855109" w:rsidRPr="004E2BF3" w:rsidRDefault="00855109" w:rsidP="00855109">
                        <w:pPr>
                          <w:rPr>
                            <w:rFonts w:ascii="Helvetica" w:hAnsi="Helvetica"/>
                            <w:color w:val="000000" w:themeColor="text1"/>
                            <w:szCs w:val="22"/>
                            <w14:textOutline w14:w="0" w14:cap="flat" w14:cmpd="sng" w14:algn="ctr">
                              <w14:noFill/>
                              <w14:prstDash w14:val="solid"/>
                              <w14:round/>
                            </w14:textOutline>
                          </w:rPr>
                        </w:pPr>
                        <w:r>
                          <w:rPr>
                            <w:rFonts w:ascii="Helvetica" w:hAnsi="Helvetica"/>
                            <w:color w:val="000000" w:themeColor="text1"/>
                            <w14:textOutline w14:w="0" w14:cap="flat" w14:cmpd="sng" w14:algn="ctr">
                              <w14:noFill/>
                              <w14:prstDash w14:val="solid"/>
                              <w14:round/>
                            </w14:textOutline>
                          </w:rPr>
                          <w:t xml:space="preserve">COMMISSION D’AUDIT DE </w:t>
                        </w:r>
                      </w:p>
                      <w:p w14:paraId="282ED2E9" w14:textId="77777777" w:rsidR="00855109" w:rsidRPr="004E2BF3" w:rsidRDefault="00855109" w:rsidP="00855109">
                        <w:pPr>
                          <w:rPr>
                            <w:rFonts w:ascii="Helvetica" w:hAnsi="Helvetica"/>
                            <w:color w:val="000000" w:themeColor="text1"/>
                            <w:szCs w:val="22"/>
                            <w14:textOutline w14:w="0" w14:cap="flat" w14:cmpd="sng" w14:algn="ctr">
                              <w14:noFill/>
                              <w14:prstDash w14:val="solid"/>
                              <w14:round/>
                            </w14:textOutline>
                          </w:rPr>
                        </w:pPr>
                        <w:r>
                          <w:rPr>
                            <w:rFonts w:ascii="Helvetica" w:hAnsi="Helvetica"/>
                            <w:color w:val="000000" w:themeColor="text1"/>
                            <w14:textOutline w14:w="0" w14:cap="flat" w14:cmpd="sng" w14:algn="ctr">
                              <w14:noFill/>
                              <w14:prstDash w14:val="solid"/>
                              <w14:round/>
                            </w14:textOutline>
                          </w:rPr>
                          <w:t>LA RÉPUBLIQUE D’INDONÉSIE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top:517;width:4565;height:4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">
                  <v:imagedata r:id="rId16" o:title=""/>
                </v:shape>
                <v:shape id="Text Box 15" o:spid="_x0000_s1029" type="#_x0000_t202" style="position:absolute;left:3968;width:17818;height:5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" filled="f" stroked="f">
                  <v:textbox>
                    <w:txbxContent>
                      <w:p w14:paraId="5ABB269E" w14:textId="77777777" w:rsidR="00855109" w:rsidRPr="00F41A22" w:rsidRDefault="00855109" w:rsidP="00855109">
                        <w:pPr>
                          <w:rPr>
                            <w:rFonts w:ascii="Helvetica" w:hAnsi="Helvetica"/>
                            <w:b/>
                            <w:bCs/>
                            <w:color w:val="000000" w:themeColor="text1"/>
                            <w:sz w:val="60"/>
                            <w:szCs w:val="60"/>
                            <w14:textOutline w14:w="0" w14:cap="flat" w14:cmpd="sng" w14:algn="ctr">
                              <w14:noFill/>
                              <w14:prstDash w14:val="solid"/>
                              <w14:round/>
                            </w14:textOutline>
                          </w:rPr>
                        </w:pPr>
                        <w:r>
                          <w:rPr>
                            <w:rFonts w:ascii="Helvetica" w:hAnsi="Helvetica"/>
                            <w:b/>
                            <w:color w:val="000000" w:themeColor="text1"/>
                            <w:sz w:val="60"/>
                            <w14:textOutline w14:w="0" w14:cap="flat" w14:cmpd="sng" w14:algn="ctr">
                              <w14:noFill/>
                              <w14:prstDash w14:val="solid"/>
                              <w14:round/>
                            </w14:textOutline>
                          </w:rPr>
                          <w:t>BPK RI</w:t>
                        </w:r>
                      </w:p>
                    </w:txbxContent>
                  </v:textbox>
                </v:shape>
                <w10:anchorlock/>
              </v:group>
            </w:pict>
          </mc:Fallback>
        </mc:AlternateContent>
      </w:r>
    </w:p>
    <w:p w14:paraId="24710113" w14:textId="77777777" w:rsidR="00206809" w:rsidRPr="00E862E4" w:rsidRDefault="00206809" w:rsidP="00E862E4">
      <w:pPr>
        <w:rPr>
          <w:rFonts w:ascii="Aptos" w:eastAsia="Aptos" w:hAnsi="Aptos" w:cs="Aptos"/>
          <w:color w:val="000000" w:themeColor="text1"/>
          <w:lang w:val="fr-FR"/>
        </w:rPr>
      </w:pPr>
    </w:p>
    <w:p w14:paraId="0BD433D0" w14:textId="77777777" w:rsidR="00206809" w:rsidRPr="00E862E4" w:rsidRDefault="00206809" w:rsidP="00E862E4">
      <w:pPr>
        <w:rPr>
          <w:rFonts w:ascii="Aptos" w:eastAsia="Aptos" w:hAnsi="Aptos" w:cs="Aptos"/>
          <w:color w:val="000000" w:themeColor="text1"/>
          <w:lang w:val="fr-FR"/>
        </w:rPr>
      </w:pPr>
    </w:p>
    <w:p w14:paraId="7F6967A2" w14:textId="77777777" w:rsidR="00206809" w:rsidRPr="00E862E4" w:rsidRDefault="00206809" w:rsidP="00E862E4">
      <w:pPr>
        <w:rPr>
          <w:rFonts w:ascii="Aptos" w:eastAsia="Aptos" w:hAnsi="Aptos" w:cs="Aptos"/>
          <w:color w:val="000000" w:themeColor="text1"/>
          <w:lang w:val="fr-FR"/>
        </w:rPr>
      </w:pPr>
    </w:p>
    <w:p w14:paraId="35D65EE7" w14:textId="77777777" w:rsidR="00206809" w:rsidRPr="00E862E4" w:rsidRDefault="00206809" w:rsidP="00E862E4">
      <w:pPr>
        <w:rPr>
          <w:rFonts w:ascii="Aptos" w:eastAsia="Aptos" w:hAnsi="Aptos" w:cs="Aptos"/>
          <w:color w:val="000000" w:themeColor="text1"/>
          <w:lang w:val="fr-FR"/>
        </w:rPr>
      </w:pPr>
    </w:p>
    <w:p w14:paraId="118531D5" w14:textId="3EA89E22" w:rsidR="00855109" w:rsidRPr="00E862E4" w:rsidRDefault="00855109" w:rsidP="00E862E4">
      <w:pPr>
        <w:rPr>
          <w:rFonts w:ascii="Aptos" w:eastAsia="Aptos" w:hAnsi="Aptos" w:cs="Aptos"/>
          <w:color w:val="000000" w:themeColor="text1"/>
          <w:lang w:val="fr-FR"/>
        </w:rPr>
      </w:pPr>
    </w:p>
    <w:p w14:paraId="41778CA2" w14:textId="371F09E4" w:rsidR="00855109" w:rsidRPr="00E862E4" w:rsidRDefault="00206809" w:rsidP="00E862E4">
      <w:pPr>
        <w:ind w:left="-1418"/>
        <w:rPr>
          <w:rFonts w:ascii="Times New Roman" w:eastAsia="Times New Roman" w:hAnsi="Times New Roman" w:cs="Times New Roman"/>
          <w:b/>
          <w:bCs/>
          <w:color w:val="000000"/>
          <w:lang w:val="fr-FR"/>
        </w:rPr>
      </w:pPr>
      <w:r w:rsidRPr="00E862E4">
        <w:rPr>
          <w:noProof/>
          <w:lang w:val="fr-FR"/>
        </w:rPr>
        <mc:AlternateContent>
          <mc:Choice Requires="wps">
            <w:drawing>
              <wp:anchor distT="0" distB="0" distL="114300" distR="114300" simplePos="0" relativeHeight="251663360" behindDoc="0" locked="0" layoutInCell="1" allowOverlap="1" wp14:anchorId="14947ADA" wp14:editId="5148E9D2">
                <wp:simplePos x="0" y="0"/>
                <wp:positionH relativeFrom="page">
                  <wp:posOffset>-690245</wp:posOffset>
                </wp:positionH>
                <wp:positionV relativeFrom="paragraph">
                  <wp:posOffset>8991930</wp:posOffset>
                </wp:positionV>
                <wp:extent cx="8251546" cy="254000"/>
                <wp:effectExtent l="0" t="0" r="0" b="0"/>
                <wp:wrapNone/>
                <wp:docPr id="675108989" name="Rectangle 14"/>
                <wp:cNvGraphicFramePr/>
                <a:graphic xmlns:a="http://schemas.openxmlformats.org/drawingml/2006/main">
                  <a:graphicData uri="http://schemas.microsoft.com/office/word/2010/wordprocessingShape">
                    <wps:wsp>
                      <wps:cNvSpPr/>
                      <wps:spPr>
                        <a:xfrm>
                          <a:off x="0" y="0"/>
                          <a:ext cx="8251546" cy="254000"/>
                        </a:xfrm>
                        <a:prstGeom prst="rect">
                          <a:avLst/>
                        </a:prstGeom>
                        <a:solidFill>
                          <a:srgbClr val="215F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7BBB5" id="Rectangle 14" o:spid="_x0000_s1026" style="position:absolute;margin-left:-54.35pt;margin-top:708.05pt;width:649.75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" fillcolor="#215f9a" stroked="f" strokeweight="2pt">
                <w10:wrap anchorx="page"/>
              </v:rect>
            </w:pict>
          </mc:Fallback>
        </mc:AlternateContent>
      </w:r>
      <w:r w:rsidRPr="00E862E4">
        <w:rPr>
          <w:noProof/>
          <w:lang w:val="fr-FR"/>
        </w:rPr>
        <mc:AlternateContent>
          <mc:Choice Requires="wpg">
            <w:drawing>
              <wp:inline distT="0" distB="0" distL="0" distR="0" wp14:anchorId="05916D43" wp14:editId="6DF8422C">
                <wp:extent cx="6791960" cy="3555187"/>
                <wp:effectExtent l="0" t="0" r="8890" b="7620"/>
                <wp:docPr id="850979624" name="Group 9"/>
                <wp:cNvGraphicFramePr/>
                <a:graphic xmlns:a="http://schemas.openxmlformats.org/drawingml/2006/main">
                  <a:graphicData uri="http://schemas.microsoft.com/office/word/2010/wordprocessingGroup">
                    <wpg:wgp>
                      <wpg:cNvGrpSpPr/>
                      <wpg:grpSpPr>
                        <a:xfrm>
                          <a:off x="0" y="0"/>
                          <a:ext cx="6791960" cy="3555187"/>
                          <a:chOff x="0" y="0"/>
                          <a:chExt cx="6792054" cy="3141072"/>
                        </a:xfrm>
                      </wpg:grpSpPr>
                      <wps:wsp>
                        <wps:cNvPr id="75652361" name="Rectangle 3"/>
                        <wps:cNvSpPr/>
                        <wps:spPr>
                          <a:xfrm>
                            <a:off x="0" y="0"/>
                            <a:ext cx="6792054" cy="2786251"/>
                          </a:xfrm>
                          <a:prstGeom prst="rect">
                            <a:avLst/>
                          </a:prstGeom>
                          <a:solidFill>
                            <a:srgbClr val="215F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186788" name="Text Box 1"/>
                        <wps:cNvSpPr txBox="1"/>
                        <wps:spPr>
                          <a:xfrm>
                            <a:off x="986884" y="145006"/>
                            <a:ext cx="5805170" cy="792480"/>
                          </a:xfrm>
                          <a:prstGeom prst="rect">
                            <a:avLst/>
                          </a:prstGeom>
                          <a:noFill/>
                          <a:ln>
                            <a:noFill/>
                          </a:ln>
                        </wps:spPr>
                        <wps:txbx>
                          <w:txbxContent>
                            <w:p w14:paraId="14EDC01E" w14:textId="77777777" w:rsidR="00855109" w:rsidRPr="008F6CD5" w:rsidRDefault="00855109" w:rsidP="00855109">
                              <w:pPr>
                                <w:jc w:val="center"/>
                                <w:rPr>
                                  <w:rFonts w:ascii="Helvetica" w:hAnsi="Helvetica"/>
                                  <w:b/>
                                  <w:bCs/>
                                  <w:color w:val="FFFFFF" w:themeColor="background1"/>
                                  <w:sz w:val="96"/>
                                  <w:szCs w:val="96"/>
                                  <w14:textOutline w14:w="0" w14:cap="flat" w14:cmpd="sng" w14:algn="ctr">
                                    <w14:noFill/>
                                    <w14:prstDash w14:val="solid"/>
                                    <w14:round/>
                                  </w14:textOutline>
                                </w:rPr>
                              </w:pPr>
                              <w:r>
                                <w:rPr>
                                  <w:rFonts w:ascii="Helvetica" w:hAnsi="Helvetica"/>
                                  <w:b/>
                                  <w:color w:val="FFFFFF" w:themeColor="background1"/>
                                  <w:sz w:val="96"/>
                                  <w14:textOutline w14:w="0" w14:cap="flat" w14:cmpd="sng" w14:algn="ctr">
                                    <w14:noFill/>
                                    <w14:prstDash w14:val="solid"/>
                                    <w14:round/>
                                  </w14:textOutline>
                                </w:rPr>
                                <w:t>RAPPORT D’AUDIT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0127182" name="Text Box 1"/>
                        <wps:cNvSpPr txBox="1"/>
                        <wps:spPr>
                          <a:xfrm>
                            <a:off x="1001441" y="913980"/>
                            <a:ext cx="5365750" cy="1318260"/>
                          </a:xfrm>
                          <a:prstGeom prst="rect">
                            <a:avLst/>
                          </a:prstGeom>
                          <a:noFill/>
                          <a:ln>
                            <a:noFill/>
                          </a:ln>
                        </wps:spPr>
                        <wps:txbx>
                          <w:txbxContent>
                            <w:p w14:paraId="3548C67E" w14:textId="77777777" w:rsidR="00855109" w:rsidRPr="00EE7D00" w:rsidRDefault="00855109" w:rsidP="00855109">
                              <w:pPr>
                                <w:rPr>
                                  <w:rFonts w:ascii="Helvetica" w:hAnsi="Helvetica"/>
                                  <w:color w:val="FFFFFF" w:themeColor="background1"/>
                                  <w:sz w:val="56"/>
                                  <w:szCs w:val="56"/>
                                  <w14:textOutline w14:w="0" w14:cap="flat" w14:cmpd="sng" w14:algn="ctr">
                                    <w14:noFill/>
                                    <w14:prstDash w14:val="solid"/>
                                    <w14:round/>
                                  </w14:textOutline>
                                </w:rPr>
                              </w:pPr>
                              <w:r>
                                <w:rPr>
                                  <w:rFonts w:ascii="Helvetica" w:hAnsi="Helvetica"/>
                                  <w:color w:val="FFFFFF" w:themeColor="background1"/>
                                  <w:sz w:val="56"/>
                                  <w14:textOutline w14:w="0" w14:cap="flat" w14:cmpd="sng" w14:algn="ctr">
                                    <w14:noFill/>
                                    <w14:prstDash w14:val="solid"/>
                                    <w14:round/>
                                  </w14:textOutline>
                                </w:rPr>
                                <w:t>DE L’ORGANISATION MONDIALE DE LA PROPRIÉTÉ INTELLECTUELLE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1350820" name="Text Box 1"/>
                        <wps:cNvSpPr txBox="1"/>
                        <wps:spPr>
                          <a:xfrm>
                            <a:off x="986934" y="2121094"/>
                            <a:ext cx="3351530" cy="441960"/>
                          </a:xfrm>
                          <a:prstGeom prst="rect">
                            <a:avLst/>
                          </a:prstGeom>
                          <a:noFill/>
                          <a:ln>
                            <a:noFill/>
                          </a:ln>
                        </wps:spPr>
                        <wps:txbx>
                          <w:txbxContent>
                            <w:p w14:paraId="75CA3D30" w14:textId="5CA6754A" w:rsidR="00855109" w:rsidRPr="00EE7D00" w:rsidRDefault="00855109" w:rsidP="00855109">
                              <w:pPr>
                                <w:rPr>
                                  <w:rFonts w:ascii="Helvetica" w:hAnsi="Helvetica"/>
                                  <w:color w:val="FFFFFF" w:themeColor="background1"/>
                                  <w:sz w:val="48"/>
                                  <w:szCs w:val="48"/>
                                  <w14:textOutline w14:w="0" w14:cap="flat" w14:cmpd="sng" w14:algn="ctr">
                                    <w14:noFill/>
                                    <w14:prstDash w14:val="solid"/>
                                    <w14:round/>
                                  </w14:textOutline>
                                </w:rPr>
                              </w:pPr>
                              <w:r>
                                <w:rPr>
                                  <w:rFonts w:ascii="Helvetica" w:hAnsi="Helvetica"/>
                                  <w:color w:val="FFFFFF" w:themeColor="background1"/>
                                  <w:sz w:val="48"/>
                                  <w14:textOutline w14:w="0" w14:cap="flat" w14:cmpd="sng" w14:algn="ctr">
                                    <w14:noFill/>
                                    <w14:prstDash w14:val="solid"/>
                                    <w14:round/>
                                  </w14:textOutline>
                                </w:rPr>
                                <w:t>Exercice financier</w:t>
                              </w:r>
                              <w:r w:rsidR="00596148">
                                <w:rPr>
                                  <w:rFonts w:ascii="Helvetica" w:hAnsi="Helvetica"/>
                                  <w:color w:val="FFFFFF" w:themeColor="background1"/>
                                  <w:sz w:val="48"/>
                                  <w14:textOutline w14:w="0" w14:cap="flat" w14:cmpd="sng" w14:algn="ctr">
                                    <w14:noFill/>
                                    <w14:prstDash w14:val="solid"/>
                                    <w14:round/>
                                  </w14:textOutline>
                                </w:rPr>
                                <w:t> </w:t>
                              </w:r>
                              <w:r>
                                <w:rPr>
                                  <w:rFonts w:ascii="Helvetica" w:hAnsi="Helvetica"/>
                                  <w:color w:val="FFFFFF" w:themeColor="background1"/>
                                  <w:sz w:val="48"/>
                                  <w14:textOutline w14:w="0" w14:cap="flat" w14:cmpd="sng" w14:algn="ctr">
                                    <w14:noFill/>
                                    <w14:prstDash w14:val="solid"/>
                                    <w14:round/>
                                  </w14:textOutline>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0733887" name="Text Box 16"/>
                        <wps:cNvSpPr txBox="1"/>
                        <wps:spPr>
                          <a:xfrm>
                            <a:off x="1074057" y="2786742"/>
                            <a:ext cx="3519805" cy="354330"/>
                          </a:xfrm>
                          <a:prstGeom prst="rect">
                            <a:avLst/>
                          </a:prstGeom>
                          <a:noFill/>
                          <a:ln>
                            <a:noFill/>
                          </a:ln>
                        </wps:spPr>
                        <wps:txbx>
                          <w:txbxContent>
                            <w:p w14:paraId="3C0A748E" w14:textId="77777777" w:rsidR="00855109" w:rsidRPr="00203E88" w:rsidRDefault="00855109" w:rsidP="00C249FA">
                              <w:pPr>
                                <w:spacing w:before="180"/>
                                <w:rPr>
                                  <w:rFonts w:ascii="Helvetica" w:hAnsi="Helvetica"/>
                                  <w:color w:val="000000" w:themeColor="text1"/>
                                  <w:sz w:val="32"/>
                                  <w:szCs w:val="32"/>
                                  <w14:textOutline w14:w="0" w14:cap="flat" w14:cmpd="sng" w14:algn="ctr">
                                    <w14:noFill/>
                                    <w14:prstDash w14:val="solid"/>
                                    <w14:round/>
                                  </w14:textOutline>
                                </w:rPr>
                              </w:pPr>
                              <w:r>
                                <w:rPr>
                                  <w:rFonts w:ascii="Helvetica" w:hAnsi="Helvetica"/>
                                  <w:color w:val="000000" w:themeColor="text1"/>
                                  <w:sz w:val="32"/>
                                  <w14:textOutline w14:w="0" w14:cap="flat" w14:cmpd="sng" w14:algn="ctr">
                                    <w14:noFill/>
                                    <w14:prstDash w14:val="solid"/>
                                    <w14:round/>
                                  </w14:textOutline>
                                </w:rPr>
                                <w:t>MAI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5916D43" id="Group 9" o:spid="_x0000_s1030" style="width:534.8pt;height:279.95pt;mso-position-horizontal-relative:char;mso-position-vertical-relative:line" coordsize="67920,3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">
                <v:rect id="Rectangle 3" o:spid="_x0000_s1031" style="position:absolute;width:67920;height:27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" fillcolor="#215f9a" stroked="f" strokeweight="2pt"/>
                <v:shape id="Text Box 1" o:spid="_x0000_s1032" type="#_x0000_t202" style="position:absolute;left:9868;top:1450;width:58052;height:7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" filled="f" stroked="f">
                  <v:textbox>
                    <w:txbxContent>
                      <w:p w14:paraId="14EDC01E" w14:textId="77777777" w:rsidR="00855109" w:rsidRPr="008F6CD5" w:rsidRDefault="00855109" w:rsidP="00855109">
                        <w:pPr>
                          <w:jc w:val="center"/>
                          <w:rPr>
                            <w:rFonts w:ascii="Helvetica" w:hAnsi="Helvetica"/>
                            <w:b/>
                            <w:bCs/>
                            <w:color w:val="FFFFFF" w:themeColor="background1"/>
                            <w:sz w:val="96"/>
                            <w:szCs w:val="96"/>
                            <w14:textOutline w14:w="0" w14:cap="flat" w14:cmpd="sng" w14:algn="ctr">
                              <w14:noFill/>
                              <w14:prstDash w14:val="solid"/>
                              <w14:round/>
                            </w14:textOutline>
                          </w:rPr>
                        </w:pPr>
                        <w:r>
                          <w:rPr>
                            <w:rFonts w:ascii="Helvetica" w:hAnsi="Helvetica"/>
                            <w:b/>
                            <w:color w:val="FFFFFF" w:themeColor="background1"/>
                            <w:sz w:val="96"/>
                            <w14:textOutline w14:w="0" w14:cap="flat" w14:cmpd="sng" w14:algn="ctr">
                              <w14:noFill/>
                              <w14:prstDash w14:val="solid"/>
                              <w14:round/>
                            </w14:textOutline>
                          </w:rPr>
                          <w:t>RAPPORT D’AUDIT</w:t>
                        </w:r>
                      </w:p>
                    </w:txbxContent>
                  </v:textbox>
                </v:shape>
                <v:shape id="Text Box 1" o:spid="_x0000_s1033" type="#_x0000_t202" style="position:absolute;left:10014;top:9139;width:53657;height:13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" filled="f" stroked="f">
                  <v:textbox>
                    <w:txbxContent>
                      <w:p w14:paraId="3548C67E" w14:textId="77777777" w:rsidR="00855109" w:rsidRPr="00EE7D00" w:rsidRDefault="00855109" w:rsidP="00855109">
                        <w:pPr>
                          <w:rPr>
                            <w:rFonts w:ascii="Helvetica" w:hAnsi="Helvetica"/>
                            <w:color w:val="FFFFFF" w:themeColor="background1"/>
                            <w:sz w:val="56"/>
                            <w:szCs w:val="56"/>
                            <w14:textOutline w14:w="0" w14:cap="flat" w14:cmpd="sng" w14:algn="ctr">
                              <w14:noFill/>
                              <w14:prstDash w14:val="solid"/>
                              <w14:round/>
                            </w14:textOutline>
                          </w:rPr>
                        </w:pPr>
                        <w:r>
                          <w:rPr>
                            <w:rFonts w:ascii="Helvetica" w:hAnsi="Helvetica"/>
                            <w:color w:val="FFFFFF" w:themeColor="background1"/>
                            <w:sz w:val="56"/>
                            <w14:textOutline w14:w="0" w14:cap="flat" w14:cmpd="sng" w14:algn="ctr">
                              <w14:noFill/>
                              <w14:prstDash w14:val="solid"/>
                              <w14:round/>
                            </w14:textOutline>
                          </w:rPr>
                          <w:t>DE L’ORGANISATION MONDIALE DE LA PROPRIÉTÉ INTELLECTUELLE</w:t>
                        </w:r>
                      </w:p>
                    </w:txbxContent>
                  </v:textbox>
                </v:shape>
                <v:shape id="Text Box 1" o:spid="_x0000_s1034" type="#_x0000_t202" style="position:absolute;left:9869;top:21210;width:33515;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" filled="f" stroked="f">
                  <v:textbox>
                    <w:txbxContent>
                      <w:p w14:paraId="75CA3D30" w14:textId="5CA6754A" w:rsidR="00855109" w:rsidRPr="00EE7D00" w:rsidRDefault="00855109" w:rsidP="00855109">
                        <w:pPr>
                          <w:rPr>
                            <w:rFonts w:ascii="Helvetica" w:hAnsi="Helvetica"/>
                            <w:color w:val="FFFFFF" w:themeColor="background1"/>
                            <w:sz w:val="48"/>
                            <w:szCs w:val="48"/>
                            <w14:textOutline w14:w="0" w14:cap="flat" w14:cmpd="sng" w14:algn="ctr">
                              <w14:noFill/>
                              <w14:prstDash w14:val="solid"/>
                              <w14:round/>
                            </w14:textOutline>
                          </w:rPr>
                        </w:pPr>
                        <w:r>
                          <w:rPr>
                            <w:rFonts w:ascii="Helvetica" w:hAnsi="Helvetica"/>
                            <w:color w:val="FFFFFF" w:themeColor="background1"/>
                            <w:sz w:val="48"/>
                            <w14:textOutline w14:w="0" w14:cap="flat" w14:cmpd="sng" w14:algn="ctr">
                              <w14:noFill/>
                              <w14:prstDash w14:val="solid"/>
                              <w14:round/>
                            </w14:textOutline>
                          </w:rPr>
                          <w:t>Exercice financier</w:t>
                        </w:r>
                        <w:r w:rsidR="00596148">
                          <w:rPr>
                            <w:rFonts w:ascii="Helvetica" w:hAnsi="Helvetica"/>
                            <w:color w:val="FFFFFF" w:themeColor="background1"/>
                            <w:sz w:val="48"/>
                            <w14:textOutline w14:w="0" w14:cap="flat" w14:cmpd="sng" w14:algn="ctr">
                              <w14:noFill/>
                              <w14:prstDash w14:val="solid"/>
                              <w14:round/>
                            </w14:textOutline>
                          </w:rPr>
                          <w:t> </w:t>
                        </w:r>
                        <w:r>
                          <w:rPr>
                            <w:rFonts w:ascii="Helvetica" w:hAnsi="Helvetica"/>
                            <w:color w:val="FFFFFF" w:themeColor="background1"/>
                            <w:sz w:val="48"/>
                            <w14:textOutline w14:w="0" w14:cap="flat" w14:cmpd="sng" w14:algn="ctr">
                              <w14:noFill/>
                              <w14:prstDash w14:val="solid"/>
                              <w14:round/>
                            </w14:textOutline>
                          </w:rPr>
                          <w:t>2024</w:t>
                        </w:r>
                      </w:p>
                    </w:txbxContent>
                  </v:textbox>
                </v:shape>
                <v:shape id="Text Box 16" o:spid="_x0000_s1035" type="#_x0000_t202" style="position:absolute;left:10740;top:27867;width:35198;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" filled="f" stroked="f">
                  <v:textbox>
                    <w:txbxContent>
                      <w:p w14:paraId="3C0A748E" w14:textId="77777777" w:rsidR="00855109" w:rsidRPr="00203E88" w:rsidRDefault="00855109" w:rsidP="00C249FA">
                        <w:pPr>
                          <w:spacing w:before="180"/>
                          <w:rPr>
                            <w:rFonts w:ascii="Helvetica" w:hAnsi="Helvetica"/>
                            <w:color w:val="000000" w:themeColor="text1"/>
                            <w:sz w:val="32"/>
                            <w:szCs w:val="32"/>
                            <w14:textOutline w14:w="0" w14:cap="flat" w14:cmpd="sng" w14:algn="ctr">
                              <w14:noFill/>
                              <w14:prstDash w14:val="solid"/>
                              <w14:round/>
                            </w14:textOutline>
                          </w:rPr>
                        </w:pPr>
                        <w:r>
                          <w:rPr>
                            <w:rFonts w:ascii="Helvetica" w:hAnsi="Helvetica"/>
                            <w:color w:val="000000" w:themeColor="text1"/>
                            <w:sz w:val="32"/>
                            <w14:textOutline w14:w="0" w14:cap="flat" w14:cmpd="sng" w14:algn="ctr">
                              <w14:noFill/>
                              <w14:prstDash w14:val="solid"/>
                              <w14:round/>
                            </w14:textOutline>
                          </w:rPr>
                          <w:t>MAI 2025</w:t>
                        </w:r>
                      </w:p>
                    </w:txbxContent>
                  </v:textbox>
                </v:shape>
                <w10:anchorlock/>
              </v:group>
            </w:pict>
          </mc:Fallback>
        </mc:AlternateContent>
      </w:r>
      <w:bookmarkStart w:id="6" w:name="_Toc197377460"/>
    </w:p>
    <w:p w14:paraId="225AFE91" w14:textId="77777777" w:rsidR="00855109" w:rsidRPr="00E862E4" w:rsidRDefault="00855109" w:rsidP="00E862E4">
      <w:pPr>
        <w:keepNext/>
        <w:keepLines/>
        <w:jc w:val="center"/>
        <w:outlineLvl w:val="0"/>
        <w:rPr>
          <w:rFonts w:ascii="Times New Roman" w:eastAsia="Times New Roman" w:hAnsi="Times New Roman" w:cs="Times New Roman"/>
          <w:b/>
          <w:bCs/>
          <w:color w:val="000000"/>
          <w:lang w:val="fr-FR"/>
        </w:rPr>
      </w:pPr>
    </w:p>
    <w:p w14:paraId="6091A146" w14:textId="77777777" w:rsidR="00206809" w:rsidRPr="00E862E4" w:rsidRDefault="00206809" w:rsidP="00E862E4">
      <w:pPr>
        <w:rPr>
          <w:rFonts w:ascii="Times New Roman" w:hAnsi="Times New Roman"/>
          <w:b/>
          <w:color w:val="000000"/>
          <w:lang w:val="fr-FR"/>
        </w:rPr>
      </w:pPr>
      <w:r w:rsidRPr="00E862E4">
        <w:rPr>
          <w:rFonts w:ascii="Times New Roman" w:hAnsi="Times New Roman"/>
          <w:b/>
          <w:color w:val="000000"/>
          <w:lang w:val="fr-FR"/>
        </w:rPr>
        <w:br w:type="page"/>
      </w:r>
    </w:p>
    <w:p w14:paraId="50E7C8AB" w14:textId="784307FB" w:rsidR="00C249FA" w:rsidRPr="00C249FA" w:rsidRDefault="00C249FA" w:rsidP="00687B89">
      <w:pPr>
        <w:tabs>
          <w:tab w:val="left" w:pos="1985"/>
          <w:tab w:val="center" w:pos="7088"/>
        </w:tabs>
        <w:spacing w:after="480"/>
        <w:rPr>
          <w:b/>
          <w:szCs w:val="22"/>
        </w:rPr>
      </w:pPr>
      <w:r w:rsidRPr="00C249FA">
        <w:rPr>
          <w:b/>
          <w:szCs w:val="22"/>
        </w:rPr>
        <w:lastRenderedPageBreak/>
        <w:t>Traduction d</w:t>
      </w:r>
      <w:r w:rsidR="00687B89">
        <w:rPr>
          <w:b/>
          <w:szCs w:val="22"/>
        </w:rPr>
        <w:t>e la lettre</w:t>
      </w:r>
      <w:r w:rsidRPr="00C249FA">
        <w:rPr>
          <w:b/>
          <w:szCs w:val="22"/>
        </w:rPr>
        <w:t xml:space="preserve"> </w:t>
      </w:r>
      <w:r w:rsidR="00687B89" w:rsidRPr="00C249FA">
        <w:rPr>
          <w:b/>
          <w:color w:val="000000"/>
          <w:szCs w:val="22"/>
          <w:lang w:val="fr-FR"/>
        </w:rPr>
        <w:t>du vérificateur externe des comptes à l’intention du président de l’Assemblée générale de l’O</w:t>
      </w:r>
      <w:r w:rsidR="00687B89">
        <w:rPr>
          <w:b/>
          <w:color w:val="000000"/>
          <w:szCs w:val="22"/>
          <w:lang w:val="fr-FR"/>
        </w:rPr>
        <w:t>MPI,</w:t>
      </w:r>
      <w:r w:rsidR="00687B89" w:rsidRPr="00C249FA">
        <w:rPr>
          <w:b/>
          <w:szCs w:val="22"/>
        </w:rPr>
        <w:t xml:space="preserve"> </w:t>
      </w:r>
      <w:r w:rsidRPr="00C249FA">
        <w:rPr>
          <w:b/>
          <w:szCs w:val="22"/>
        </w:rPr>
        <w:t>datée de mai 2025 (référence</w:t>
      </w:r>
      <w:r w:rsidR="00307F40">
        <w:rPr>
          <w:b/>
          <w:szCs w:val="22"/>
        </w:rPr>
        <w:t> :</w:t>
      </w:r>
      <w:r w:rsidRPr="00C249FA">
        <w:rPr>
          <w:b/>
          <w:szCs w:val="22"/>
        </w:rPr>
        <w:t xml:space="preserve"> </w:t>
      </w:r>
      <w:r w:rsidRPr="00C249FA">
        <w:rPr>
          <w:b/>
          <w:szCs w:val="22"/>
          <w:lang w:val="fr-FR"/>
        </w:rPr>
        <w:t>/</w:t>
      </w:r>
      <w:r w:rsidRPr="00C249FA">
        <w:rPr>
          <w:b/>
          <w:szCs w:val="22"/>
        </w:rPr>
        <w:t>S/I/05/2025)</w:t>
      </w:r>
    </w:p>
    <w:p w14:paraId="6A70C01C" w14:textId="096BFD83" w:rsidR="00C249FA" w:rsidRPr="00C249FA" w:rsidRDefault="00C249FA" w:rsidP="00C249FA">
      <w:pPr>
        <w:tabs>
          <w:tab w:val="right" w:pos="2552"/>
          <w:tab w:val="left" w:pos="3119"/>
        </w:tabs>
        <w:ind w:left="3119" w:hanging="3119"/>
        <w:rPr>
          <w:szCs w:val="22"/>
        </w:rPr>
      </w:pPr>
      <w:r w:rsidRPr="00C249FA">
        <w:rPr>
          <w:szCs w:val="22"/>
        </w:rPr>
        <w:tab/>
      </w:r>
      <w:r w:rsidRPr="00C249FA">
        <w:rPr>
          <w:b/>
          <w:szCs w:val="22"/>
        </w:rPr>
        <w:t>adressée par :</w:t>
      </w:r>
      <w:r w:rsidRPr="00C249FA">
        <w:rPr>
          <w:szCs w:val="22"/>
        </w:rPr>
        <w:tab/>
      </w:r>
      <w:r w:rsidRPr="00C249FA">
        <w:rPr>
          <w:b/>
          <w:color w:val="000000"/>
          <w:szCs w:val="22"/>
          <w:lang w:val="fr-FR"/>
        </w:rPr>
        <w:t>M. Isma Yatun, CSFA, CFrA</w:t>
      </w:r>
    </w:p>
    <w:p w14:paraId="3760888B" w14:textId="0EE93E25" w:rsidR="00C249FA" w:rsidRPr="00C249FA" w:rsidRDefault="00C249FA" w:rsidP="00C249FA">
      <w:pPr>
        <w:autoSpaceDE w:val="0"/>
        <w:autoSpaceDN w:val="0"/>
        <w:adjustRightInd w:val="0"/>
        <w:ind w:left="3119"/>
        <w:rPr>
          <w:rFonts w:eastAsia="Calibri"/>
          <w:b/>
          <w:color w:val="000000"/>
          <w:szCs w:val="22"/>
          <w:lang w:val="fr-FR"/>
        </w:rPr>
      </w:pPr>
      <w:r w:rsidRPr="00C249FA">
        <w:rPr>
          <w:b/>
          <w:color w:val="000000"/>
          <w:szCs w:val="22"/>
          <w:lang w:val="fr-FR"/>
        </w:rPr>
        <w:t>Président de la Commission d’audit de la République d’Indonésie</w:t>
      </w:r>
    </w:p>
    <w:p w14:paraId="0D630A20" w14:textId="77777777" w:rsidR="00C249FA" w:rsidRPr="00C249FA" w:rsidRDefault="00C249FA" w:rsidP="00C249FA">
      <w:pPr>
        <w:ind w:left="3119"/>
        <w:rPr>
          <w:rFonts w:eastAsia="Calibri"/>
          <w:b/>
          <w:color w:val="000000"/>
          <w:szCs w:val="22"/>
          <w:lang w:val="fr-FR"/>
        </w:rPr>
      </w:pPr>
      <w:r w:rsidRPr="00C249FA">
        <w:rPr>
          <w:b/>
          <w:color w:val="000000"/>
          <w:szCs w:val="22"/>
          <w:lang w:val="fr-FR"/>
        </w:rPr>
        <w:t>Vérificateur externe des comptes</w:t>
      </w:r>
    </w:p>
    <w:p w14:paraId="1555AB64" w14:textId="77777777" w:rsidR="00687B89" w:rsidRDefault="00C249FA" w:rsidP="00C249FA">
      <w:pPr>
        <w:tabs>
          <w:tab w:val="right" w:pos="2552"/>
          <w:tab w:val="left" w:pos="3119"/>
        </w:tabs>
        <w:ind w:left="3119"/>
        <w:rPr>
          <w:b/>
          <w:color w:val="000000"/>
          <w:szCs w:val="22"/>
          <w:lang w:val="fr-FR"/>
        </w:rPr>
      </w:pPr>
      <w:r w:rsidRPr="00C249FA">
        <w:rPr>
          <w:b/>
          <w:color w:val="000000"/>
          <w:szCs w:val="22"/>
          <w:lang w:val="fr-FR"/>
        </w:rPr>
        <w:t>Jakarta</w:t>
      </w:r>
    </w:p>
    <w:p w14:paraId="0286D96D" w14:textId="129CC9B6" w:rsidR="00C249FA" w:rsidRDefault="00C249FA" w:rsidP="00687B89">
      <w:pPr>
        <w:tabs>
          <w:tab w:val="right" w:pos="2552"/>
          <w:tab w:val="left" w:pos="3119"/>
        </w:tabs>
        <w:spacing w:after="240"/>
        <w:ind w:left="3119"/>
        <w:rPr>
          <w:b/>
          <w:color w:val="000000"/>
          <w:szCs w:val="22"/>
          <w:lang w:val="fr-FR"/>
        </w:rPr>
      </w:pPr>
      <w:r w:rsidRPr="00C249FA">
        <w:rPr>
          <w:b/>
          <w:color w:val="000000"/>
          <w:szCs w:val="22"/>
          <w:lang w:val="fr-FR"/>
        </w:rPr>
        <w:t>Indonésie</w:t>
      </w:r>
    </w:p>
    <w:p w14:paraId="73D85C8E" w14:textId="77777777" w:rsidR="00C249FA" w:rsidRPr="00C249FA" w:rsidRDefault="00C249FA" w:rsidP="00C249FA">
      <w:pPr>
        <w:tabs>
          <w:tab w:val="right" w:pos="2552"/>
          <w:tab w:val="left" w:pos="3119"/>
        </w:tabs>
        <w:ind w:left="3119" w:hanging="3119"/>
        <w:rPr>
          <w:b/>
          <w:color w:val="000000"/>
          <w:szCs w:val="22"/>
          <w:lang w:val="fr-FR"/>
        </w:rPr>
      </w:pPr>
      <w:r w:rsidRPr="00C249FA">
        <w:rPr>
          <w:szCs w:val="22"/>
        </w:rPr>
        <w:tab/>
      </w:r>
      <w:r w:rsidRPr="00C249FA">
        <w:rPr>
          <w:b/>
          <w:szCs w:val="22"/>
        </w:rPr>
        <w:t>à :</w:t>
      </w:r>
      <w:r w:rsidRPr="00C249FA">
        <w:rPr>
          <w:b/>
          <w:szCs w:val="22"/>
        </w:rPr>
        <w:tab/>
        <w:t>P</w:t>
      </w:r>
      <w:r w:rsidRPr="00C249FA">
        <w:rPr>
          <w:b/>
          <w:color w:val="000000"/>
          <w:szCs w:val="22"/>
          <w:lang w:val="fr-FR"/>
        </w:rPr>
        <w:t xml:space="preserve">résident de l’Assemblée générale </w:t>
      </w:r>
    </w:p>
    <w:p w14:paraId="0A4FE99E" w14:textId="7E1B2E9E" w:rsidR="00C249FA" w:rsidRPr="00C249FA" w:rsidRDefault="00C249FA" w:rsidP="00C249FA">
      <w:pPr>
        <w:tabs>
          <w:tab w:val="right" w:pos="2552"/>
          <w:tab w:val="left" w:pos="3119"/>
        </w:tabs>
        <w:ind w:left="3119"/>
        <w:rPr>
          <w:b/>
          <w:color w:val="000000"/>
          <w:szCs w:val="22"/>
          <w:lang w:val="fr-FR"/>
        </w:rPr>
      </w:pPr>
      <w:r w:rsidRPr="00C249FA">
        <w:rPr>
          <w:b/>
          <w:color w:val="000000"/>
          <w:szCs w:val="22"/>
          <w:lang w:val="fr-FR"/>
        </w:rPr>
        <w:t>Organisation Mondiale de la Propriété Intellectuelle</w:t>
      </w:r>
    </w:p>
    <w:p w14:paraId="0D1B811D" w14:textId="77777777" w:rsidR="00C249FA" w:rsidRPr="00C249FA" w:rsidRDefault="00C249FA" w:rsidP="00C249FA">
      <w:pPr>
        <w:tabs>
          <w:tab w:val="right" w:pos="2552"/>
          <w:tab w:val="left" w:pos="3119"/>
        </w:tabs>
        <w:ind w:left="3119"/>
        <w:rPr>
          <w:b/>
          <w:color w:val="000000"/>
          <w:szCs w:val="22"/>
          <w:lang w:val="fr-FR"/>
        </w:rPr>
      </w:pPr>
      <w:r w:rsidRPr="00C249FA">
        <w:rPr>
          <w:b/>
          <w:color w:val="000000"/>
          <w:szCs w:val="22"/>
          <w:lang w:val="fr-FR"/>
        </w:rPr>
        <w:t>34, chemin des Colombettes</w:t>
      </w:r>
    </w:p>
    <w:p w14:paraId="7334F8D1" w14:textId="77777777" w:rsidR="00C249FA" w:rsidRPr="00C249FA" w:rsidRDefault="00C249FA" w:rsidP="00C249FA">
      <w:pPr>
        <w:tabs>
          <w:tab w:val="right" w:pos="2552"/>
          <w:tab w:val="left" w:pos="3119"/>
        </w:tabs>
        <w:ind w:left="3119"/>
        <w:rPr>
          <w:b/>
          <w:color w:val="000000"/>
          <w:szCs w:val="22"/>
          <w:lang w:val="fr-FR"/>
        </w:rPr>
      </w:pPr>
      <w:r w:rsidRPr="00C249FA">
        <w:rPr>
          <w:b/>
          <w:color w:val="000000"/>
          <w:szCs w:val="22"/>
          <w:lang w:val="fr-FR"/>
        </w:rPr>
        <w:t>CH</w:t>
      </w:r>
      <w:r w:rsidRPr="00C249FA">
        <w:rPr>
          <w:b/>
          <w:color w:val="000000"/>
          <w:szCs w:val="22"/>
          <w:lang w:val="fr-FR"/>
        </w:rPr>
        <w:noBreakHyphen/>
        <w:t>1211 Genève 20</w:t>
      </w:r>
    </w:p>
    <w:p w14:paraId="523A6E79" w14:textId="77777777" w:rsidR="00C249FA" w:rsidRPr="00C249FA" w:rsidRDefault="00C249FA" w:rsidP="00687B89">
      <w:pPr>
        <w:tabs>
          <w:tab w:val="right" w:pos="2552"/>
          <w:tab w:val="left" w:pos="3119"/>
        </w:tabs>
        <w:spacing w:after="720"/>
        <w:ind w:left="3119"/>
        <w:rPr>
          <w:b/>
          <w:color w:val="000000"/>
          <w:szCs w:val="22"/>
          <w:lang w:val="fr-FR"/>
        </w:rPr>
      </w:pPr>
      <w:r w:rsidRPr="00C249FA">
        <w:rPr>
          <w:b/>
          <w:color w:val="000000"/>
          <w:szCs w:val="22"/>
          <w:lang w:val="fr-FR"/>
        </w:rPr>
        <w:t>Suisse</w:t>
      </w:r>
    </w:p>
    <w:bookmarkEnd w:id="6"/>
    <w:p w14:paraId="5B3F6F71" w14:textId="4CB06FBB" w:rsidR="00855109" w:rsidRPr="00C249FA" w:rsidRDefault="00855109" w:rsidP="00E862E4">
      <w:pPr>
        <w:spacing w:after="160" w:line="259" w:lineRule="auto"/>
        <w:rPr>
          <w:rFonts w:eastAsia="Calibri"/>
          <w:szCs w:val="22"/>
          <w:shd w:val="clear" w:color="auto" w:fill="FFFFFF"/>
          <w:lang w:val="fr-FR"/>
        </w:rPr>
      </w:pPr>
      <w:r w:rsidRPr="00C249FA">
        <w:rPr>
          <w:szCs w:val="22"/>
          <w:shd w:val="clear" w:color="auto" w:fill="FFFFFF"/>
          <w:lang w:val="fr-FR"/>
        </w:rPr>
        <w:t>Monsieur le Président,</w:t>
      </w:r>
    </w:p>
    <w:p w14:paraId="578EE0B7" w14:textId="15A60783" w:rsidR="00743D89" w:rsidRPr="00C249FA" w:rsidRDefault="00855109" w:rsidP="00687B89">
      <w:pPr>
        <w:spacing w:before="480" w:after="220" w:line="360" w:lineRule="auto"/>
        <w:jc w:val="both"/>
        <w:rPr>
          <w:szCs w:val="22"/>
          <w:shd w:val="clear" w:color="auto" w:fill="FFFFFF"/>
          <w:lang w:val="fr-FR"/>
        </w:rPr>
      </w:pPr>
      <w:r w:rsidRPr="00C249FA">
        <w:rPr>
          <w:szCs w:val="22"/>
          <w:shd w:val="clear" w:color="auto" w:fill="FFFFFF"/>
          <w:lang w:val="fr-FR"/>
        </w:rPr>
        <w:t>Conformément à l</w:t>
      </w:r>
      <w:r w:rsidR="00743D89" w:rsidRPr="00C249FA">
        <w:rPr>
          <w:szCs w:val="22"/>
          <w:shd w:val="clear" w:color="auto" w:fill="FFFFFF"/>
          <w:lang w:val="fr-FR"/>
        </w:rPr>
        <w:t>’</w:t>
      </w:r>
      <w:r w:rsidRPr="00C249FA">
        <w:rPr>
          <w:szCs w:val="22"/>
          <w:shd w:val="clear" w:color="auto" w:fill="FFFFFF"/>
          <w:lang w:val="fr-FR"/>
        </w:rPr>
        <w:t>article 6.11 du Règlement financier de l</w:t>
      </w:r>
      <w:r w:rsidR="00743D89" w:rsidRPr="00C249FA">
        <w:rPr>
          <w:szCs w:val="22"/>
          <w:shd w:val="clear" w:color="auto" w:fill="FFFFFF"/>
          <w:lang w:val="fr-FR"/>
        </w:rPr>
        <w:t>’</w:t>
      </w:r>
      <w:r w:rsidRPr="00C249FA">
        <w:rPr>
          <w:szCs w:val="22"/>
          <w:shd w:val="clear" w:color="auto" w:fill="FFFFFF"/>
          <w:lang w:val="fr-FR"/>
        </w:rPr>
        <w:t xml:space="preserve">Organisation </w:t>
      </w:r>
      <w:r w:rsidR="001B7F27" w:rsidRPr="00C249FA">
        <w:rPr>
          <w:szCs w:val="22"/>
          <w:shd w:val="clear" w:color="auto" w:fill="FFFFFF"/>
          <w:lang w:val="fr-FR"/>
        </w:rPr>
        <w:t>Mondiale</w:t>
      </w:r>
      <w:r w:rsidRPr="00C249FA">
        <w:rPr>
          <w:szCs w:val="22"/>
          <w:shd w:val="clear" w:color="auto" w:fill="FFFFFF"/>
          <w:lang w:val="fr-FR"/>
        </w:rPr>
        <w:t xml:space="preserve"> de la </w:t>
      </w:r>
      <w:r w:rsidR="001B7F27" w:rsidRPr="00C249FA">
        <w:rPr>
          <w:szCs w:val="22"/>
          <w:shd w:val="clear" w:color="auto" w:fill="FFFFFF"/>
          <w:lang w:val="fr-FR"/>
        </w:rPr>
        <w:t>Propriété Intellectuelle</w:t>
      </w:r>
      <w:r w:rsidRPr="00C249FA">
        <w:rPr>
          <w:szCs w:val="22"/>
          <w:shd w:val="clear" w:color="auto" w:fill="FFFFFF"/>
          <w:lang w:val="fr-FR"/>
        </w:rPr>
        <w:t xml:space="preserve"> (l</w:t>
      </w:r>
      <w:r w:rsidR="00743D89" w:rsidRPr="00C249FA">
        <w:rPr>
          <w:szCs w:val="22"/>
          <w:shd w:val="clear" w:color="auto" w:fill="FFFFFF"/>
          <w:lang w:val="fr-FR"/>
        </w:rPr>
        <w:t>’</w:t>
      </w:r>
      <w:r w:rsidRPr="00C249FA">
        <w:rPr>
          <w:szCs w:val="22"/>
          <w:shd w:val="clear" w:color="auto" w:fill="FFFFFF"/>
          <w:lang w:val="fr-FR"/>
        </w:rPr>
        <w:t>Organisation), j</w:t>
      </w:r>
      <w:r w:rsidR="00743D89" w:rsidRPr="00C249FA">
        <w:rPr>
          <w:szCs w:val="22"/>
          <w:shd w:val="clear" w:color="auto" w:fill="FFFFFF"/>
          <w:lang w:val="fr-FR"/>
        </w:rPr>
        <w:t>’</w:t>
      </w:r>
      <w:r w:rsidRPr="00C249FA">
        <w:rPr>
          <w:szCs w:val="22"/>
          <w:shd w:val="clear" w:color="auto" w:fill="FFFFFF"/>
          <w:lang w:val="fr-FR"/>
        </w:rPr>
        <w:t>ai l</w:t>
      </w:r>
      <w:r w:rsidR="00743D89" w:rsidRPr="00C249FA">
        <w:rPr>
          <w:szCs w:val="22"/>
          <w:shd w:val="clear" w:color="auto" w:fill="FFFFFF"/>
          <w:lang w:val="fr-FR"/>
        </w:rPr>
        <w:t>’</w:t>
      </w:r>
      <w:r w:rsidRPr="00C249FA">
        <w:rPr>
          <w:szCs w:val="22"/>
          <w:shd w:val="clear" w:color="auto" w:fill="FFFFFF"/>
          <w:lang w:val="fr-FR"/>
        </w:rPr>
        <w:t>honneur de vous présenter le rapport de la Commission d</w:t>
      </w:r>
      <w:r w:rsidR="00743D89" w:rsidRPr="00C249FA">
        <w:rPr>
          <w:szCs w:val="22"/>
          <w:shd w:val="clear" w:color="auto" w:fill="FFFFFF"/>
          <w:lang w:val="fr-FR"/>
        </w:rPr>
        <w:t>’</w:t>
      </w:r>
      <w:r w:rsidRPr="00C249FA">
        <w:rPr>
          <w:szCs w:val="22"/>
          <w:shd w:val="clear" w:color="auto" w:fill="FFFFFF"/>
          <w:lang w:val="fr-FR"/>
        </w:rPr>
        <w:t>audit de la République d</w:t>
      </w:r>
      <w:r w:rsidR="00743D89" w:rsidRPr="00C249FA">
        <w:rPr>
          <w:szCs w:val="22"/>
          <w:shd w:val="clear" w:color="auto" w:fill="FFFFFF"/>
          <w:lang w:val="fr-FR"/>
        </w:rPr>
        <w:t>’</w:t>
      </w:r>
      <w:r w:rsidRPr="00C249FA">
        <w:rPr>
          <w:szCs w:val="22"/>
          <w:shd w:val="clear" w:color="auto" w:fill="FFFFFF"/>
          <w:lang w:val="fr-FR"/>
        </w:rPr>
        <w:t>Indonésie (Badan Pemeriksa Keuangan (BPK)).</w:t>
      </w:r>
    </w:p>
    <w:p w14:paraId="5CE1EAE9" w14:textId="2D7B8227" w:rsidR="00855109" w:rsidRPr="00C249FA" w:rsidRDefault="00855109" w:rsidP="00687B89">
      <w:pPr>
        <w:spacing w:after="220" w:line="360" w:lineRule="auto"/>
        <w:jc w:val="both"/>
        <w:rPr>
          <w:rFonts w:eastAsia="Calibri"/>
          <w:szCs w:val="22"/>
          <w:shd w:val="clear" w:color="auto" w:fill="FFFFFF"/>
          <w:lang w:val="fr-FR"/>
        </w:rPr>
      </w:pPr>
      <w:r w:rsidRPr="00C249FA">
        <w:rPr>
          <w:szCs w:val="22"/>
          <w:shd w:val="clear" w:color="auto" w:fill="FFFFFF"/>
          <w:lang w:val="fr-FR"/>
        </w:rPr>
        <w:t>Ce rapport comprend l</w:t>
      </w:r>
      <w:r w:rsidR="00743D89" w:rsidRPr="00C249FA">
        <w:rPr>
          <w:szCs w:val="22"/>
          <w:shd w:val="clear" w:color="auto" w:fill="FFFFFF"/>
          <w:lang w:val="fr-FR"/>
        </w:rPr>
        <w:t>’</w:t>
      </w:r>
      <w:r w:rsidRPr="00C249FA">
        <w:rPr>
          <w:szCs w:val="22"/>
          <w:shd w:val="clear" w:color="auto" w:fill="FFFFFF"/>
          <w:lang w:val="fr-FR"/>
        </w:rPr>
        <w:t>opinion et le rapport détaillé du vérificateur externe des comptes sur les états financiers vérifiés de l</w:t>
      </w:r>
      <w:r w:rsidR="00743D89" w:rsidRPr="00C249FA">
        <w:rPr>
          <w:szCs w:val="22"/>
          <w:shd w:val="clear" w:color="auto" w:fill="FFFFFF"/>
          <w:lang w:val="fr-FR"/>
        </w:rPr>
        <w:t>’</w:t>
      </w:r>
      <w:r w:rsidRPr="00C249FA">
        <w:rPr>
          <w:szCs w:val="22"/>
          <w:shd w:val="clear" w:color="auto" w:fill="FFFFFF"/>
          <w:lang w:val="fr-FR"/>
        </w:rPr>
        <w:t>Organisation pour l</w:t>
      </w:r>
      <w:r w:rsidR="00743D89" w:rsidRPr="00C249FA">
        <w:rPr>
          <w:szCs w:val="22"/>
          <w:shd w:val="clear" w:color="auto" w:fill="FFFFFF"/>
          <w:lang w:val="fr-FR"/>
        </w:rPr>
        <w:t>’</w:t>
      </w:r>
      <w:r w:rsidRPr="00C249FA">
        <w:rPr>
          <w:szCs w:val="22"/>
          <w:shd w:val="clear" w:color="auto" w:fill="FFFFFF"/>
          <w:lang w:val="fr-FR"/>
        </w:rPr>
        <w:t>exercice clos le 31 décembre 2024, établis par l</w:t>
      </w:r>
      <w:r w:rsidR="00743D89" w:rsidRPr="00C249FA">
        <w:rPr>
          <w:szCs w:val="22"/>
          <w:shd w:val="clear" w:color="auto" w:fill="FFFFFF"/>
          <w:lang w:val="fr-FR"/>
        </w:rPr>
        <w:t>’</w:t>
      </w:r>
      <w:r w:rsidRPr="00C249FA">
        <w:rPr>
          <w:szCs w:val="22"/>
          <w:shd w:val="clear" w:color="auto" w:fill="FFFFFF"/>
          <w:lang w:val="fr-FR"/>
        </w:rPr>
        <w:t>Organisation.</w:t>
      </w:r>
    </w:p>
    <w:p w14:paraId="4FE86FB9" w14:textId="17992409" w:rsidR="00743D89" w:rsidRPr="00C249FA" w:rsidRDefault="00855109" w:rsidP="00687B89">
      <w:pPr>
        <w:spacing w:before="480" w:after="480" w:line="360" w:lineRule="auto"/>
        <w:rPr>
          <w:szCs w:val="22"/>
          <w:shd w:val="clear" w:color="auto" w:fill="FFFFFF"/>
          <w:lang w:val="fr-FR"/>
        </w:rPr>
      </w:pPr>
      <w:r w:rsidRPr="00C249FA">
        <w:rPr>
          <w:szCs w:val="22"/>
          <w:shd w:val="clear" w:color="auto" w:fill="FFFFFF"/>
          <w:lang w:val="fr-FR"/>
        </w:rPr>
        <w:t>Veuillez agréer, Monsieur le Président, l</w:t>
      </w:r>
      <w:r w:rsidR="00743D89" w:rsidRPr="00C249FA">
        <w:rPr>
          <w:szCs w:val="22"/>
          <w:shd w:val="clear" w:color="auto" w:fill="FFFFFF"/>
          <w:lang w:val="fr-FR"/>
        </w:rPr>
        <w:t>’</w:t>
      </w:r>
      <w:r w:rsidRPr="00C249FA">
        <w:rPr>
          <w:szCs w:val="22"/>
          <w:shd w:val="clear" w:color="auto" w:fill="FFFFFF"/>
          <w:lang w:val="fr-FR"/>
        </w:rPr>
        <w:t>assurance de ma considération distinguée.</w:t>
      </w:r>
    </w:p>
    <w:p w14:paraId="3794D1C9" w14:textId="77777777" w:rsidR="00687B89" w:rsidRPr="0090349F" w:rsidRDefault="00687B89" w:rsidP="00687B89">
      <w:pPr>
        <w:pStyle w:val="Signature"/>
        <w:rPr>
          <w:szCs w:val="22"/>
          <w:lang w:val="es-ES_tradnl"/>
        </w:rPr>
      </w:pPr>
      <w:r w:rsidRPr="0090349F">
        <w:rPr>
          <w:szCs w:val="22"/>
          <w:lang w:val="es-ES_tradnl"/>
        </w:rPr>
        <w:t xml:space="preserve">(Signé :) </w:t>
      </w:r>
    </w:p>
    <w:p w14:paraId="04D139B0" w14:textId="77777777" w:rsidR="00687B89" w:rsidRPr="0090349F" w:rsidRDefault="00687B89" w:rsidP="00687B89">
      <w:pPr>
        <w:pStyle w:val="Signature"/>
        <w:rPr>
          <w:bCs/>
          <w:color w:val="000000"/>
          <w:szCs w:val="22"/>
          <w:lang w:val="es-ES_tradnl"/>
        </w:rPr>
      </w:pPr>
      <w:r w:rsidRPr="0090349F">
        <w:rPr>
          <w:bCs/>
          <w:color w:val="000000"/>
          <w:szCs w:val="22"/>
          <w:lang w:val="es-ES_tradnl"/>
        </w:rPr>
        <w:t>M. Isma Yatun, CSFA, CFrA</w:t>
      </w:r>
    </w:p>
    <w:p w14:paraId="699EBCCC" w14:textId="77777777" w:rsidR="00687B89" w:rsidRPr="00687B89" w:rsidRDefault="00687B89" w:rsidP="00687B89">
      <w:pPr>
        <w:pStyle w:val="Signature"/>
        <w:rPr>
          <w:bCs/>
          <w:color w:val="000000"/>
          <w:szCs w:val="22"/>
          <w:lang w:val="fr-FR"/>
        </w:rPr>
      </w:pPr>
      <w:r w:rsidRPr="00687B89">
        <w:rPr>
          <w:bCs/>
          <w:color w:val="000000"/>
          <w:szCs w:val="22"/>
          <w:lang w:val="fr-FR"/>
        </w:rPr>
        <w:t>Président de la Commission d’audit de la République d’Indonésie.</w:t>
      </w:r>
    </w:p>
    <w:p w14:paraId="6340EC27" w14:textId="09BDD03B" w:rsidR="00687B89" w:rsidRPr="00C249FA" w:rsidRDefault="00687B89" w:rsidP="00687B89">
      <w:pPr>
        <w:pStyle w:val="Signature"/>
        <w:rPr>
          <w:szCs w:val="22"/>
        </w:rPr>
      </w:pPr>
      <w:r w:rsidRPr="00687B89">
        <w:rPr>
          <w:bCs/>
          <w:color w:val="000000"/>
          <w:szCs w:val="22"/>
          <w:lang w:val="fr-FR"/>
        </w:rPr>
        <w:t>Vérificateur externe des comptes</w:t>
      </w:r>
    </w:p>
    <w:p w14:paraId="284E744F" w14:textId="77777777" w:rsidR="00687B89" w:rsidRDefault="00687B89" w:rsidP="00687B89">
      <w:pPr>
        <w:rPr>
          <w:lang w:val="fr-FR"/>
        </w:rPr>
        <w:sectPr w:rsidR="00687B89" w:rsidSect="00C249FA">
          <w:headerReference w:type="default" r:id="rId17"/>
          <w:headerReference w:type="first" r:id="rId18"/>
          <w:endnotePr>
            <w:numFmt w:val="decimal"/>
          </w:endnotePr>
          <w:pgSz w:w="11907" w:h="16840" w:orient="landscape" w:code="9"/>
          <w:pgMar w:top="567" w:right="1134" w:bottom="1418" w:left="1418" w:header="510" w:footer="1021" w:gutter="0"/>
          <w:cols w:space="720"/>
          <w:titlePg/>
          <w:docGrid w:linePitch="299"/>
        </w:sectPr>
      </w:pPr>
    </w:p>
    <w:p w14:paraId="2FDEABE1" w14:textId="5E4E3EEC" w:rsidR="00855109" w:rsidRPr="009E613B" w:rsidRDefault="00855109" w:rsidP="009E613B">
      <w:pPr>
        <w:pStyle w:val="Heading2"/>
      </w:pPr>
      <w:bookmarkStart w:id="7" w:name="_Toc199153471"/>
      <w:r w:rsidRPr="009E613B">
        <w:lastRenderedPageBreak/>
        <w:t>Table des matières</w:t>
      </w:r>
      <w:bookmarkEnd w:id="7"/>
    </w:p>
    <w:p w14:paraId="3BC798A2" w14:textId="550CBC23" w:rsidR="003F52D7" w:rsidRDefault="00715B40" w:rsidP="003F52D7">
      <w:pPr>
        <w:pStyle w:val="TOC2"/>
        <w:rPr>
          <w:rFonts w:asciiTheme="minorHAnsi" w:eastAsiaTheme="minorEastAsia" w:hAnsiTheme="minorHAnsi" w:cstheme="minorBidi"/>
          <w:color w:val="auto"/>
          <w:sz w:val="24"/>
          <w:szCs w:val="24"/>
          <w:lang w:val="en-US"/>
        </w:rPr>
      </w:pPr>
      <w:r w:rsidRPr="003F52D7">
        <w:rPr>
          <w:iCs/>
        </w:rPr>
        <w:fldChar w:fldCharType="begin"/>
      </w:r>
      <w:r w:rsidRPr="003F52D7">
        <w:rPr>
          <w:iCs/>
        </w:rPr>
        <w:instrText xml:space="preserve"> TOC \o "1-5" \h \z \u </w:instrText>
      </w:r>
      <w:r w:rsidRPr="003F52D7">
        <w:rPr>
          <w:iCs/>
        </w:rPr>
        <w:fldChar w:fldCharType="separate"/>
      </w:r>
      <w:hyperlink w:anchor="_Toc199153471" w:history="1">
        <w:r w:rsidR="003F52D7" w:rsidRPr="0062715B">
          <w:rPr>
            <w:rStyle w:val="Hyperlink"/>
          </w:rPr>
          <w:t>Table des matières</w:t>
        </w:r>
        <w:r w:rsidR="003F52D7">
          <w:rPr>
            <w:webHidden/>
          </w:rPr>
          <w:tab/>
        </w:r>
        <w:r w:rsidR="003F52D7">
          <w:rPr>
            <w:webHidden/>
          </w:rPr>
          <w:fldChar w:fldCharType="begin"/>
        </w:r>
        <w:r w:rsidR="003F52D7">
          <w:rPr>
            <w:webHidden/>
          </w:rPr>
          <w:instrText xml:space="preserve"> PAGEREF _Toc199153471 \h </w:instrText>
        </w:r>
        <w:r w:rsidR="003F52D7">
          <w:rPr>
            <w:webHidden/>
          </w:rPr>
        </w:r>
        <w:r w:rsidR="003F52D7">
          <w:rPr>
            <w:webHidden/>
          </w:rPr>
          <w:fldChar w:fldCharType="separate"/>
        </w:r>
        <w:r w:rsidR="00C90090">
          <w:rPr>
            <w:webHidden/>
          </w:rPr>
          <w:t>5</w:t>
        </w:r>
        <w:r w:rsidR="003F52D7">
          <w:rPr>
            <w:webHidden/>
          </w:rPr>
          <w:fldChar w:fldCharType="end"/>
        </w:r>
      </w:hyperlink>
    </w:p>
    <w:p w14:paraId="73374428" w14:textId="137C0CDD" w:rsidR="003F52D7" w:rsidRDefault="003F52D7" w:rsidP="003F52D7">
      <w:pPr>
        <w:pStyle w:val="TOC2"/>
        <w:rPr>
          <w:rFonts w:asciiTheme="minorHAnsi" w:eastAsiaTheme="minorEastAsia" w:hAnsiTheme="minorHAnsi" w:cstheme="minorBidi"/>
          <w:color w:val="auto"/>
          <w:sz w:val="24"/>
          <w:szCs w:val="24"/>
          <w:lang w:val="en-US"/>
        </w:rPr>
      </w:pPr>
      <w:hyperlink w:anchor="_Toc199153472" w:history="1">
        <w:r w:rsidRPr="0062715B">
          <w:rPr>
            <w:rStyle w:val="Hyperlink"/>
          </w:rPr>
          <w:t>Liste des tableaux</w:t>
        </w:r>
        <w:r>
          <w:rPr>
            <w:webHidden/>
          </w:rPr>
          <w:tab/>
        </w:r>
        <w:r>
          <w:rPr>
            <w:webHidden/>
          </w:rPr>
          <w:fldChar w:fldCharType="begin"/>
        </w:r>
        <w:r>
          <w:rPr>
            <w:webHidden/>
          </w:rPr>
          <w:instrText xml:space="preserve"> PAGEREF _Toc199153472 \h </w:instrText>
        </w:r>
        <w:r>
          <w:rPr>
            <w:webHidden/>
          </w:rPr>
        </w:r>
        <w:r>
          <w:rPr>
            <w:webHidden/>
          </w:rPr>
          <w:fldChar w:fldCharType="separate"/>
        </w:r>
        <w:r w:rsidR="00C90090">
          <w:rPr>
            <w:webHidden/>
          </w:rPr>
          <w:t>7</w:t>
        </w:r>
        <w:r>
          <w:rPr>
            <w:webHidden/>
          </w:rPr>
          <w:fldChar w:fldCharType="end"/>
        </w:r>
      </w:hyperlink>
    </w:p>
    <w:p w14:paraId="2A3EB369" w14:textId="1EDC8F15" w:rsidR="003F52D7" w:rsidRDefault="003F52D7">
      <w:pPr>
        <w:pStyle w:val="TOC1"/>
        <w:rPr>
          <w:rFonts w:asciiTheme="minorHAnsi" w:eastAsiaTheme="minorEastAsia" w:hAnsiTheme="minorHAnsi" w:cstheme="minorBidi"/>
          <w:b w:val="0"/>
          <w:bCs w:val="0"/>
          <w:iCs w:val="0"/>
          <w:sz w:val="24"/>
          <w:szCs w:val="24"/>
          <w:lang w:val="en-US"/>
        </w:rPr>
      </w:pPr>
      <w:hyperlink w:anchor="_Toc199153473" w:history="1">
        <w:r w:rsidRPr="0062715B">
          <w:rPr>
            <w:rStyle w:val="Hyperlink"/>
          </w:rPr>
          <w:t>Partie I – Opinion du vérificateur externe des comptes</w:t>
        </w:r>
        <w:r>
          <w:rPr>
            <w:webHidden/>
          </w:rPr>
          <w:tab/>
        </w:r>
        <w:r>
          <w:rPr>
            <w:webHidden/>
          </w:rPr>
          <w:fldChar w:fldCharType="begin"/>
        </w:r>
        <w:r>
          <w:rPr>
            <w:webHidden/>
          </w:rPr>
          <w:instrText xml:space="preserve"> PAGEREF _Toc199153473 \h </w:instrText>
        </w:r>
        <w:r>
          <w:rPr>
            <w:webHidden/>
          </w:rPr>
        </w:r>
        <w:r>
          <w:rPr>
            <w:webHidden/>
          </w:rPr>
          <w:fldChar w:fldCharType="separate"/>
        </w:r>
        <w:r w:rsidR="00C90090">
          <w:rPr>
            <w:webHidden/>
          </w:rPr>
          <w:t>8</w:t>
        </w:r>
        <w:r>
          <w:rPr>
            <w:webHidden/>
          </w:rPr>
          <w:fldChar w:fldCharType="end"/>
        </w:r>
      </w:hyperlink>
    </w:p>
    <w:p w14:paraId="427586CE" w14:textId="0BDEF873" w:rsidR="003F52D7" w:rsidRDefault="003F52D7">
      <w:pPr>
        <w:pStyle w:val="TOC1"/>
        <w:rPr>
          <w:rFonts w:asciiTheme="minorHAnsi" w:eastAsiaTheme="minorEastAsia" w:hAnsiTheme="minorHAnsi" w:cstheme="minorBidi"/>
          <w:b w:val="0"/>
          <w:bCs w:val="0"/>
          <w:iCs w:val="0"/>
          <w:sz w:val="24"/>
          <w:szCs w:val="24"/>
          <w:lang w:val="en-US"/>
        </w:rPr>
      </w:pPr>
      <w:hyperlink w:anchor="_Toc199153474" w:history="1">
        <w:r w:rsidRPr="0062715B">
          <w:rPr>
            <w:rStyle w:val="Hyperlink"/>
          </w:rPr>
          <w:t>Partie II – Rapport détaillé du vérificateur externe des comptes</w:t>
        </w:r>
        <w:r>
          <w:rPr>
            <w:webHidden/>
          </w:rPr>
          <w:tab/>
        </w:r>
        <w:r>
          <w:rPr>
            <w:webHidden/>
          </w:rPr>
          <w:fldChar w:fldCharType="begin"/>
        </w:r>
        <w:r>
          <w:rPr>
            <w:webHidden/>
          </w:rPr>
          <w:instrText xml:space="preserve"> PAGEREF _Toc199153474 \h </w:instrText>
        </w:r>
        <w:r>
          <w:rPr>
            <w:webHidden/>
          </w:rPr>
        </w:r>
        <w:r>
          <w:rPr>
            <w:webHidden/>
          </w:rPr>
          <w:fldChar w:fldCharType="separate"/>
        </w:r>
        <w:r w:rsidR="00C90090">
          <w:rPr>
            <w:webHidden/>
          </w:rPr>
          <w:t>13</w:t>
        </w:r>
        <w:r>
          <w:rPr>
            <w:webHidden/>
          </w:rPr>
          <w:fldChar w:fldCharType="end"/>
        </w:r>
      </w:hyperlink>
    </w:p>
    <w:p w14:paraId="31C16780" w14:textId="5E56D1C0" w:rsidR="003F52D7" w:rsidRPr="003F52D7" w:rsidRDefault="003F52D7" w:rsidP="003F52D7">
      <w:pPr>
        <w:pStyle w:val="TOC2"/>
        <w:rPr>
          <w:rFonts w:asciiTheme="minorHAnsi" w:eastAsiaTheme="minorEastAsia" w:hAnsiTheme="minorHAnsi" w:cstheme="minorBidi"/>
          <w:color w:val="auto"/>
          <w:sz w:val="24"/>
          <w:szCs w:val="24"/>
          <w:lang w:val="en-US"/>
        </w:rPr>
      </w:pPr>
      <w:hyperlink w:anchor="_Toc199153475" w:history="1">
        <w:r w:rsidRPr="003F52D7">
          <w:rPr>
            <w:rStyle w:val="Hyperlink"/>
          </w:rPr>
          <w:t>Résumé</w:t>
        </w:r>
        <w:r w:rsidRPr="003F52D7">
          <w:rPr>
            <w:webHidden/>
          </w:rPr>
          <w:tab/>
        </w:r>
        <w:r w:rsidRPr="003F52D7">
          <w:rPr>
            <w:webHidden/>
          </w:rPr>
          <w:fldChar w:fldCharType="begin"/>
        </w:r>
        <w:r w:rsidRPr="003F52D7">
          <w:rPr>
            <w:webHidden/>
          </w:rPr>
          <w:instrText xml:space="preserve"> PAGEREF _Toc199153475 \h </w:instrText>
        </w:r>
        <w:r w:rsidRPr="003F52D7">
          <w:rPr>
            <w:webHidden/>
          </w:rPr>
        </w:r>
        <w:r w:rsidRPr="003F52D7">
          <w:rPr>
            <w:webHidden/>
          </w:rPr>
          <w:fldChar w:fldCharType="separate"/>
        </w:r>
        <w:r w:rsidR="00C90090">
          <w:rPr>
            <w:webHidden/>
          </w:rPr>
          <w:t>14</w:t>
        </w:r>
        <w:r w:rsidRPr="003F52D7">
          <w:rPr>
            <w:webHidden/>
          </w:rPr>
          <w:fldChar w:fldCharType="end"/>
        </w:r>
      </w:hyperlink>
    </w:p>
    <w:p w14:paraId="63AC6B18" w14:textId="3FBDD541" w:rsidR="003F52D7" w:rsidRPr="003F52D7" w:rsidRDefault="003F52D7" w:rsidP="003F52D7">
      <w:pPr>
        <w:pStyle w:val="TOC2"/>
        <w:rPr>
          <w:rFonts w:asciiTheme="minorHAnsi" w:eastAsiaTheme="minorEastAsia" w:hAnsiTheme="minorHAnsi" w:cstheme="minorBidi"/>
          <w:color w:val="auto"/>
          <w:sz w:val="24"/>
          <w:szCs w:val="24"/>
          <w:lang w:val="en-US"/>
        </w:rPr>
      </w:pPr>
      <w:hyperlink w:anchor="_Toc199153476" w:history="1">
        <w:r w:rsidRPr="003F52D7">
          <w:rPr>
            <w:rStyle w:val="Hyperlink"/>
          </w:rPr>
          <w:t>Rapport détaillé du vérificateur externe des comptes</w:t>
        </w:r>
        <w:r w:rsidRPr="003F52D7">
          <w:rPr>
            <w:webHidden/>
          </w:rPr>
          <w:tab/>
        </w:r>
        <w:r w:rsidRPr="003F52D7">
          <w:rPr>
            <w:webHidden/>
          </w:rPr>
          <w:fldChar w:fldCharType="begin"/>
        </w:r>
        <w:r w:rsidRPr="003F52D7">
          <w:rPr>
            <w:webHidden/>
          </w:rPr>
          <w:instrText xml:space="preserve"> PAGEREF _Toc199153476 \h </w:instrText>
        </w:r>
        <w:r w:rsidRPr="003F52D7">
          <w:rPr>
            <w:webHidden/>
          </w:rPr>
        </w:r>
        <w:r w:rsidRPr="003F52D7">
          <w:rPr>
            <w:webHidden/>
          </w:rPr>
          <w:fldChar w:fldCharType="separate"/>
        </w:r>
        <w:r w:rsidR="00C90090">
          <w:rPr>
            <w:webHidden/>
          </w:rPr>
          <w:t>16</w:t>
        </w:r>
        <w:r w:rsidRPr="003F52D7">
          <w:rPr>
            <w:webHidden/>
          </w:rPr>
          <w:fldChar w:fldCharType="end"/>
        </w:r>
      </w:hyperlink>
    </w:p>
    <w:p w14:paraId="68957080" w14:textId="6797A801" w:rsidR="003F52D7" w:rsidRDefault="003F52D7">
      <w:pPr>
        <w:pStyle w:val="TOC3"/>
        <w:tabs>
          <w:tab w:val="left" w:pos="1560"/>
        </w:tabs>
        <w:rPr>
          <w:rFonts w:asciiTheme="minorHAnsi" w:eastAsiaTheme="minorEastAsia" w:hAnsiTheme="minorHAnsi"/>
          <w:b w:val="0"/>
          <w:noProof/>
          <w:color w:val="auto"/>
          <w:sz w:val="24"/>
          <w:szCs w:val="24"/>
          <w:lang w:val="en-US"/>
        </w:rPr>
      </w:pPr>
      <w:hyperlink w:anchor="_Toc199153477" w:history="1">
        <w:r w:rsidRPr="0062715B">
          <w:rPr>
            <w:rStyle w:val="Hyperlink"/>
            <w:noProof/>
          </w:rPr>
          <w:t>A.</w:t>
        </w:r>
        <w:r>
          <w:rPr>
            <w:rFonts w:asciiTheme="minorHAnsi" w:eastAsiaTheme="minorEastAsia" w:hAnsiTheme="minorHAnsi"/>
            <w:b w:val="0"/>
            <w:noProof/>
            <w:color w:val="auto"/>
            <w:sz w:val="24"/>
            <w:szCs w:val="24"/>
            <w:lang w:val="en-US"/>
          </w:rPr>
          <w:tab/>
        </w:r>
        <w:r w:rsidRPr="0062715B">
          <w:rPr>
            <w:rStyle w:val="Hyperlink"/>
            <w:noProof/>
          </w:rPr>
          <w:t>Introduction</w:t>
        </w:r>
        <w:r>
          <w:rPr>
            <w:noProof/>
            <w:webHidden/>
          </w:rPr>
          <w:tab/>
        </w:r>
        <w:r>
          <w:rPr>
            <w:noProof/>
            <w:webHidden/>
          </w:rPr>
          <w:fldChar w:fldCharType="begin"/>
        </w:r>
        <w:r>
          <w:rPr>
            <w:noProof/>
            <w:webHidden/>
          </w:rPr>
          <w:instrText xml:space="preserve"> PAGEREF _Toc199153477 \h </w:instrText>
        </w:r>
        <w:r>
          <w:rPr>
            <w:noProof/>
            <w:webHidden/>
          </w:rPr>
        </w:r>
        <w:r>
          <w:rPr>
            <w:noProof/>
            <w:webHidden/>
          </w:rPr>
          <w:fldChar w:fldCharType="separate"/>
        </w:r>
        <w:r w:rsidR="00C90090">
          <w:rPr>
            <w:noProof/>
            <w:webHidden/>
          </w:rPr>
          <w:t>16</w:t>
        </w:r>
        <w:r>
          <w:rPr>
            <w:noProof/>
            <w:webHidden/>
          </w:rPr>
          <w:fldChar w:fldCharType="end"/>
        </w:r>
      </w:hyperlink>
    </w:p>
    <w:p w14:paraId="4809D736" w14:textId="043E69AB" w:rsidR="003F52D7" w:rsidRDefault="003F52D7">
      <w:pPr>
        <w:pStyle w:val="TOC4"/>
        <w:rPr>
          <w:rFonts w:asciiTheme="minorHAnsi" w:eastAsiaTheme="minorEastAsia" w:hAnsiTheme="minorHAnsi"/>
          <w:noProof/>
          <w:sz w:val="24"/>
          <w:szCs w:val="24"/>
          <w:lang w:val="en-US"/>
        </w:rPr>
      </w:pPr>
      <w:hyperlink w:anchor="_Toc199153478" w:history="1">
        <w:r w:rsidRPr="0062715B">
          <w:rPr>
            <w:rStyle w:val="Hyperlink"/>
            <w:noProof/>
          </w:rPr>
          <w:t>Mandat</w:t>
        </w:r>
        <w:r>
          <w:rPr>
            <w:noProof/>
            <w:webHidden/>
          </w:rPr>
          <w:tab/>
        </w:r>
        <w:r>
          <w:rPr>
            <w:noProof/>
            <w:webHidden/>
          </w:rPr>
          <w:fldChar w:fldCharType="begin"/>
        </w:r>
        <w:r>
          <w:rPr>
            <w:noProof/>
            <w:webHidden/>
          </w:rPr>
          <w:instrText xml:space="preserve"> PAGEREF _Toc199153478 \h </w:instrText>
        </w:r>
        <w:r>
          <w:rPr>
            <w:noProof/>
            <w:webHidden/>
          </w:rPr>
        </w:r>
        <w:r>
          <w:rPr>
            <w:noProof/>
            <w:webHidden/>
          </w:rPr>
          <w:fldChar w:fldCharType="separate"/>
        </w:r>
        <w:r w:rsidR="00C90090">
          <w:rPr>
            <w:noProof/>
            <w:webHidden/>
          </w:rPr>
          <w:t>16</w:t>
        </w:r>
        <w:r>
          <w:rPr>
            <w:noProof/>
            <w:webHidden/>
          </w:rPr>
          <w:fldChar w:fldCharType="end"/>
        </w:r>
      </w:hyperlink>
    </w:p>
    <w:p w14:paraId="3C91FDFF" w14:textId="65DC2ECA" w:rsidR="003F52D7" w:rsidRDefault="003F52D7">
      <w:pPr>
        <w:pStyle w:val="TOC4"/>
        <w:rPr>
          <w:rFonts w:asciiTheme="minorHAnsi" w:eastAsiaTheme="minorEastAsia" w:hAnsiTheme="minorHAnsi"/>
          <w:noProof/>
          <w:sz w:val="24"/>
          <w:szCs w:val="24"/>
          <w:lang w:val="en-US"/>
        </w:rPr>
      </w:pPr>
      <w:hyperlink w:anchor="_Toc199153479" w:history="1">
        <w:r w:rsidRPr="0062715B">
          <w:rPr>
            <w:rStyle w:val="Hyperlink"/>
            <w:noProof/>
          </w:rPr>
          <w:t>Objectifs de l’audit</w:t>
        </w:r>
        <w:r>
          <w:rPr>
            <w:noProof/>
            <w:webHidden/>
          </w:rPr>
          <w:tab/>
        </w:r>
        <w:r>
          <w:rPr>
            <w:noProof/>
            <w:webHidden/>
          </w:rPr>
          <w:fldChar w:fldCharType="begin"/>
        </w:r>
        <w:r>
          <w:rPr>
            <w:noProof/>
            <w:webHidden/>
          </w:rPr>
          <w:instrText xml:space="preserve"> PAGEREF _Toc199153479 \h </w:instrText>
        </w:r>
        <w:r>
          <w:rPr>
            <w:noProof/>
            <w:webHidden/>
          </w:rPr>
        </w:r>
        <w:r>
          <w:rPr>
            <w:noProof/>
            <w:webHidden/>
          </w:rPr>
          <w:fldChar w:fldCharType="separate"/>
        </w:r>
        <w:r w:rsidR="00C90090">
          <w:rPr>
            <w:noProof/>
            <w:webHidden/>
          </w:rPr>
          <w:t>16</w:t>
        </w:r>
        <w:r>
          <w:rPr>
            <w:noProof/>
            <w:webHidden/>
          </w:rPr>
          <w:fldChar w:fldCharType="end"/>
        </w:r>
      </w:hyperlink>
    </w:p>
    <w:p w14:paraId="47C9EF23" w14:textId="3D4919AF" w:rsidR="003F52D7" w:rsidRDefault="003F52D7">
      <w:pPr>
        <w:pStyle w:val="TOC4"/>
        <w:rPr>
          <w:rFonts w:asciiTheme="minorHAnsi" w:eastAsiaTheme="minorEastAsia" w:hAnsiTheme="minorHAnsi"/>
          <w:noProof/>
          <w:sz w:val="24"/>
          <w:szCs w:val="24"/>
          <w:lang w:val="en-US"/>
        </w:rPr>
      </w:pPr>
      <w:hyperlink w:anchor="_Toc199153480" w:history="1">
        <w:r w:rsidRPr="0062715B">
          <w:rPr>
            <w:rStyle w:val="Hyperlink"/>
            <w:noProof/>
          </w:rPr>
          <w:t>Portée de l’audit</w:t>
        </w:r>
        <w:r>
          <w:rPr>
            <w:noProof/>
            <w:webHidden/>
          </w:rPr>
          <w:tab/>
        </w:r>
        <w:r>
          <w:rPr>
            <w:noProof/>
            <w:webHidden/>
          </w:rPr>
          <w:fldChar w:fldCharType="begin"/>
        </w:r>
        <w:r>
          <w:rPr>
            <w:noProof/>
            <w:webHidden/>
          </w:rPr>
          <w:instrText xml:space="preserve"> PAGEREF _Toc199153480 \h </w:instrText>
        </w:r>
        <w:r>
          <w:rPr>
            <w:noProof/>
            <w:webHidden/>
          </w:rPr>
        </w:r>
        <w:r>
          <w:rPr>
            <w:noProof/>
            <w:webHidden/>
          </w:rPr>
          <w:fldChar w:fldCharType="separate"/>
        </w:r>
        <w:r w:rsidR="00C90090">
          <w:rPr>
            <w:noProof/>
            <w:webHidden/>
          </w:rPr>
          <w:t>16</w:t>
        </w:r>
        <w:r>
          <w:rPr>
            <w:noProof/>
            <w:webHidden/>
          </w:rPr>
          <w:fldChar w:fldCharType="end"/>
        </w:r>
      </w:hyperlink>
    </w:p>
    <w:p w14:paraId="28E7E0D7" w14:textId="03EE65AE" w:rsidR="003F52D7" w:rsidRDefault="003F52D7">
      <w:pPr>
        <w:pStyle w:val="TOC4"/>
        <w:rPr>
          <w:rFonts w:asciiTheme="minorHAnsi" w:eastAsiaTheme="minorEastAsia" w:hAnsiTheme="minorHAnsi"/>
          <w:noProof/>
          <w:sz w:val="24"/>
          <w:szCs w:val="24"/>
          <w:lang w:val="en-US"/>
        </w:rPr>
      </w:pPr>
      <w:hyperlink w:anchor="_Toc199153481" w:history="1">
        <w:r w:rsidRPr="0062715B">
          <w:rPr>
            <w:rStyle w:val="Hyperlink"/>
            <w:noProof/>
          </w:rPr>
          <w:t>Normes d’audit</w:t>
        </w:r>
        <w:r>
          <w:rPr>
            <w:noProof/>
            <w:webHidden/>
          </w:rPr>
          <w:tab/>
        </w:r>
        <w:r>
          <w:rPr>
            <w:noProof/>
            <w:webHidden/>
          </w:rPr>
          <w:fldChar w:fldCharType="begin"/>
        </w:r>
        <w:r>
          <w:rPr>
            <w:noProof/>
            <w:webHidden/>
          </w:rPr>
          <w:instrText xml:space="preserve"> PAGEREF _Toc199153481 \h </w:instrText>
        </w:r>
        <w:r>
          <w:rPr>
            <w:noProof/>
            <w:webHidden/>
          </w:rPr>
        </w:r>
        <w:r>
          <w:rPr>
            <w:noProof/>
            <w:webHidden/>
          </w:rPr>
          <w:fldChar w:fldCharType="separate"/>
        </w:r>
        <w:r w:rsidR="00C90090">
          <w:rPr>
            <w:noProof/>
            <w:webHidden/>
          </w:rPr>
          <w:t>17</w:t>
        </w:r>
        <w:r>
          <w:rPr>
            <w:noProof/>
            <w:webHidden/>
          </w:rPr>
          <w:fldChar w:fldCharType="end"/>
        </w:r>
      </w:hyperlink>
    </w:p>
    <w:p w14:paraId="62A96AC0" w14:textId="2D1458F4" w:rsidR="003F52D7" w:rsidRDefault="003F52D7">
      <w:pPr>
        <w:pStyle w:val="TOC4"/>
        <w:rPr>
          <w:rFonts w:asciiTheme="minorHAnsi" w:eastAsiaTheme="minorEastAsia" w:hAnsiTheme="minorHAnsi"/>
          <w:noProof/>
          <w:sz w:val="24"/>
          <w:szCs w:val="24"/>
          <w:lang w:val="en-US"/>
        </w:rPr>
      </w:pPr>
      <w:hyperlink w:anchor="_Toc199153482" w:history="1">
        <w:r w:rsidRPr="0062715B">
          <w:rPr>
            <w:rStyle w:val="Hyperlink"/>
            <w:noProof/>
          </w:rPr>
          <w:t>Méthodologie de l’audit</w:t>
        </w:r>
        <w:r>
          <w:rPr>
            <w:noProof/>
            <w:webHidden/>
          </w:rPr>
          <w:tab/>
        </w:r>
        <w:r>
          <w:rPr>
            <w:noProof/>
            <w:webHidden/>
          </w:rPr>
          <w:fldChar w:fldCharType="begin"/>
        </w:r>
        <w:r>
          <w:rPr>
            <w:noProof/>
            <w:webHidden/>
          </w:rPr>
          <w:instrText xml:space="preserve"> PAGEREF _Toc199153482 \h </w:instrText>
        </w:r>
        <w:r>
          <w:rPr>
            <w:noProof/>
            <w:webHidden/>
          </w:rPr>
        </w:r>
        <w:r>
          <w:rPr>
            <w:noProof/>
            <w:webHidden/>
          </w:rPr>
          <w:fldChar w:fldCharType="separate"/>
        </w:r>
        <w:r w:rsidR="00C90090">
          <w:rPr>
            <w:noProof/>
            <w:webHidden/>
          </w:rPr>
          <w:t>17</w:t>
        </w:r>
        <w:r>
          <w:rPr>
            <w:noProof/>
            <w:webHidden/>
          </w:rPr>
          <w:fldChar w:fldCharType="end"/>
        </w:r>
      </w:hyperlink>
    </w:p>
    <w:p w14:paraId="18712F01" w14:textId="61D17099" w:rsidR="003F52D7" w:rsidRDefault="003F52D7">
      <w:pPr>
        <w:pStyle w:val="TOC4"/>
        <w:rPr>
          <w:rFonts w:asciiTheme="minorHAnsi" w:eastAsiaTheme="minorEastAsia" w:hAnsiTheme="minorHAnsi"/>
          <w:noProof/>
          <w:sz w:val="24"/>
          <w:szCs w:val="24"/>
          <w:lang w:val="en-US"/>
        </w:rPr>
      </w:pPr>
      <w:hyperlink w:anchor="_Toc199153483" w:history="1">
        <w:r w:rsidRPr="0062715B">
          <w:rPr>
            <w:rStyle w:val="Hyperlink"/>
            <w:noProof/>
          </w:rPr>
          <w:t>Reddition de compte</w:t>
        </w:r>
        <w:r>
          <w:rPr>
            <w:noProof/>
            <w:webHidden/>
          </w:rPr>
          <w:tab/>
        </w:r>
        <w:r>
          <w:rPr>
            <w:noProof/>
            <w:webHidden/>
          </w:rPr>
          <w:fldChar w:fldCharType="begin"/>
        </w:r>
        <w:r>
          <w:rPr>
            <w:noProof/>
            <w:webHidden/>
          </w:rPr>
          <w:instrText xml:space="preserve"> PAGEREF _Toc199153483 \h </w:instrText>
        </w:r>
        <w:r>
          <w:rPr>
            <w:noProof/>
            <w:webHidden/>
          </w:rPr>
        </w:r>
        <w:r>
          <w:rPr>
            <w:noProof/>
            <w:webHidden/>
          </w:rPr>
          <w:fldChar w:fldCharType="separate"/>
        </w:r>
        <w:r w:rsidR="00C90090">
          <w:rPr>
            <w:noProof/>
            <w:webHidden/>
          </w:rPr>
          <w:t>18</w:t>
        </w:r>
        <w:r>
          <w:rPr>
            <w:noProof/>
            <w:webHidden/>
          </w:rPr>
          <w:fldChar w:fldCharType="end"/>
        </w:r>
      </w:hyperlink>
    </w:p>
    <w:p w14:paraId="4924F861" w14:textId="46736897" w:rsidR="003F52D7" w:rsidRDefault="003F52D7">
      <w:pPr>
        <w:pStyle w:val="TOC4"/>
        <w:rPr>
          <w:rFonts w:asciiTheme="minorHAnsi" w:eastAsiaTheme="minorEastAsia" w:hAnsiTheme="minorHAnsi"/>
          <w:noProof/>
          <w:sz w:val="24"/>
          <w:szCs w:val="24"/>
          <w:lang w:val="en-US"/>
        </w:rPr>
      </w:pPr>
      <w:hyperlink w:anchor="_Toc199153484" w:history="1">
        <w:r w:rsidRPr="0062715B">
          <w:rPr>
            <w:rStyle w:val="Hyperlink"/>
            <w:noProof/>
          </w:rPr>
          <w:t>Mission d’audit initiale</w:t>
        </w:r>
        <w:r>
          <w:rPr>
            <w:noProof/>
            <w:webHidden/>
          </w:rPr>
          <w:tab/>
        </w:r>
        <w:r>
          <w:rPr>
            <w:noProof/>
            <w:webHidden/>
          </w:rPr>
          <w:fldChar w:fldCharType="begin"/>
        </w:r>
        <w:r>
          <w:rPr>
            <w:noProof/>
            <w:webHidden/>
          </w:rPr>
          <w:instrText xml:space="preserve"> PAGEREF _Toc199153484 \h </w:instrText>
        </w:r>
        <w:r>
          <w:rPr>
            <w:noProof/>
            <w:webHidden/>
          </w:rPr>
        </w:r>
        <w:r>
          <w:rPr>
            <w:noProof/>
            <w:webHidden/>
          </w:rPr>
          <w:fldChar w:fldCharType="separate"/>
        </w:r>
        <w:r w:rsidR="00C90090">
          <w:rPr>
            <w:noProof/>
            <w:webHidden/>
          </w:rPr>
          <w:t>18</w:t>
        </w:r>
        <w:r>
          <w:rPr>
            <w:noProof/>
            <w:webHidden/>
          </w:rPr>
          <w:fldChar w:fldCharType="end"/>
        </w:r>
      </w:hyperlink>
    </w:p>
    <w:p w14:paraId="2A5971DD" w14:textId="58C4CA3D" w:rsidR="003F52D7" w:rsidRDefault="003F52D7">
      <w:pPr>
        <w:pStyle w:val="TOC3"/>
        <w:tabs>
          <w:tab w:val="left" w:pos="1560"/>
        </w:tabs>
        <w:rPr>
          <w:rFonts w:asciiTheme="minorHAnsi" w:eastAsiaTheme="minorEastAsia" w:hAnsiTheme="minorHAnsi"/>
          <w:b w:val="0"/>
          <w:noProof/>
          <w:color w:val="auto"/>
          <w:sz w:val="24"/>
          <w:szCs w:val="24"/>
          <w:lang w:val="en-US"/>
        </w:rPr>
      </w:pPr>
      <w:hyperlink w:anchor="_Toc199153485" w:history="1">
        <w:r w:rsidRPr="0062715B">
          <w:rPr>
            <w:rStyle w:val="Hyperlink"/>
            <w:noProof/>
          </w:rPr>
          <w:t>B.</w:t>
        </w:r>
        <w:r>
          <w:rPr>
            <w:rFonts w:asciiTheme="minorHAnsi" w:eastAsiaTheme="minorEastAsia" w:hAnsiTheme="minorHAnsi"/>
            <w:b w:val="0"/>
            <w:noProof/>
            <w:color w:val="auto"/>
            <w:sz w:val="24"/>
            <w:szCs w:val="24"/>
            <w:lang w:val="en-US"/>
          </w:rPr>
          <w:tab/>
        </w:r>
        <w:r w:rsidRPr="0062715B">
          <w:rPr>
            <w:rStyle w:val="Hyperlink"/>
            <w:noProof/>
          </w:rPr>
          <w:t>Synthèse financière</w:t>
        </w:r>
        <w:r>
          <w:rPr>
            <w:noProof/>
            <w:webHidden/>
          </w:rPr>
          <w:tab/>
        </w:r>
        <w:r>
          <w:rPr>
            <w:noProof/>
            <w:webHidden/>
          </w:rPr>
          <w:fldChar w:fldCharType="begin"/>
        </w:r>
        <w:r>
          <w:rPr>
            <w:noProof/>
            <w:webHidden/>
          </w:rPr>
          <w:instrText xml:space="preserve"> PAGEREF _Toc199153485 \h </w:instrText>
        </w:r>
        <w:r>
          <w:rPr>
            <w:noProof/>
            <w:webHidden/>
          </w:rPr>
        </w:r>
        <w:r>
          <w:rPr>
            <w:noProof/>
            <w:webHidden/>
          </w:rPr>
          <w:fldChar w:fldCharType="separate"/>
        </w:r>
        <w:r w:rsidR="00C90090">
          <w:rPr>
            <w:noProof/>
            <w:webHidden/>
          </w:rPr>
          <w:t>20</w:t>
        </w:r>
        <w:r>
          <w:rPr>
            <w:noProof/>
            <w:webHidden/>
          </w:rPr>
          <w:fldChar w:fldCharType="end"/>
        </w:r>
      </w:hyperlink>
    </w:p>
    <w:p w14:paraId="4471EFD8" w14:textId="68FDBF2D" w:rsidR="003F52D7" w:rsidRDefault="003F52D7">
      <w:pPr>
        <w:pStyle w:val="TOC4"/>
        <w:rPr>
          <w:rFonts w:asciiTheme="minorHAnsi" w:eastAsiaTheme="minorEastAsia" w:hAnsiTheme="minorHAnsi"/>
          <w:noProof/>
          <w:sz w:val="24"/>
          <w:szCs w:val="24"/>
          <w:lang w:val="en-US"/>
        </w:rPr>
      </w:pPr>
      <w:hyperlink w:anchor="_Toc199153486" w:history="1">
        <w:r w:rsidRPr="0062715B">
          <w:rPr>
            <w:rStyle w:val="Hyperlink"/>
            <w:noProof/>
          </w:rPr>
          <w:t>Situation financière</w:t>
        </w:r>
        <w:r>
          <w:rPr>
            <w:noProof/>
            <w:webHidden/>
          </w:rPr>
          <w:tab/>
        </w:r>
        <w:r>
          <w:rPr>
            <w:noProof/>
            <w:webHidden/>
          </w:rPr>
          <w:fldChar w:fldCharType="begin"/>
        </w:r>
        <w:r>
          <w:rPr>
            <w:noProof/>
            <w:webHidden/>
          </w:rPr>
          <w:instrText xml:space="preserve"> PAGEREF _Toc199153486 \h </w:instrText>
        </w:r>
        <w:r>
          <w:rPr>
            <w:noProof/>
            <w:webHidden/>
          </w:rPr>
        </w:r>
        <w:r>
          <w:rPr>
            <w:noProof/>
            <w:webHidden/>
          </w:rPr>
          <w:fldChar w:fldCharType="separate"/>
        </w:r>
        <w:r w:rsidR="00C90090">
          <w:rPr>
            <w:noProof/>
            <w:webHidden/>
          </w:rPr>
          <w:t>20</w:t>
        </w:r>
        <w:r>
          <w:rPr>
            <w:noProof/>
            <w:webHidden/>
          </w:rPr>
          <w:fldChar w:fldCharType="end"/>
        </w:r>
      </w:hyperlink>
    </w:p>
    <w:p w14:paraId="620B1306" w14:textId="239AE899" w:rsidR="003F52D7" w:rsidRDefault="003F52D7">
      <w:pPr>
        <w:pStyle w:val="TOC4"/>
        <w:rPr>
          <w:rFonts w:asciiTheme="minorHAnsi" w:eastAsiaTheme="minorEastAsia" w:hAnsiTheme="minorHAnsi"/>
          <w:noProof/>
          <w:sz w:val="24"/>
          <w:szCs w:val="24"/>
          <w:lang w:val="en-US"/>
        </w:rPr>
      </w:pPr>
      <w:hyperlink w:anchor="_Toc199153487" w:history="1">
        <w:r w:rsidRPr="0062715B">
          <w:rPr>
            <w:rStyle w:val="Hyperlink"/>
            <w:noProof/>
          </w:rPr>
          <w:t>Performance financière</w:t>
        </w:r>
        <w:r>
          <w:rPr>
            <w:noProof/>
            <w:webHidden/>
          </w:rPr>
          <w:tab/>
        </w:r>
        <w:r>
          <w:rPr>
            <w:noProof/>
            <w:webHidden/>
          </w:rPr>
          <w:fldChar w:fldCharType="begin"/>
        </w:r>
        <w:r>
          <w:rPr>
            <w:noProof/>
            <w:webHidden/>
          </w:rPr>
          <w:instrText xml:space="preserve"> PAGEREF _Toc199153487 \h </w:instrText>
        </w:r>
        <w:r>
          <w:rPr>
            <w:noProof/>
            <w:webHidden/>
          </w:rPr>
        </w:r>
        <w:r>
          <w:rPr>
            <w:noProof/>
            <w:webHidden/>
          </w:rPr>
          <w:fldChar w:fldCharType="separate"/>
        </w:r>
        <w:r w:rsidR="00C90090">
          <w:rPr>
            <w:noProof/>
            <w:webHidden/>
          </w:rPr>
          <w:t>20</w:t>
        </w:r>
        <w:r>
          <w:rPr>
            <w:noProof/>
            <w:webHidden/>
          </w:rPr>
          <w:fldChar w:fldCharType="end"/>
        </w:r>
      </w:hyperlink>
    </w:p>
    <w:p w14:paraId="5DE5BA0D" w14:textId="2DB734A1" w:rsidR="003F52D7" w:rsidRDefault="003F52D7">
      <w:pPr>
        <w:pStyle w:val="TOC4"/>
        <w:rPr>
          <w:rFonts w:asciiTheme="minorHAnsi" w:eastAsiaTheme="minorEastAsia" w:hAnsiTheme="minorHAnsi"/>
          <w:noProof/>
          <w:sz w:val="24"/>
          <w:szCs w:val="24"/>
          <w:lang w:val="en-US"/>
        </w:rPr>
      </w:pPr>
      <w:hyperlink w:anchor="_Toc199153488" w:history="1">
        <w:r w:rsidRPr="0062715B">
          <w:rPr>
            <w:rStyle w:val="Hyperlink"/>
            <w:noProof/>
          </w:rPr>
          <w:t>Santé financière</w:t>
        </w:r>
        <w:r>
          <w:rPr>
            <w:noProof/>
            <w:webHidden/>
          </w:rPr>
          <w:tab/>
        </w:r>
        <w:r>
          <w:rPr>
            <w:noProof/>
            <w:webHidden/>
          </w:rPr>
          <w:fldChar w:fldCharType="begin"/>
        </w:r>
        <w:r>
          <w:rPr>
            <w:noProof/>
            <w:webHidden/>
          </w:rPr>
          <w:instrText xml:space="preserve"> PAGEREF _Toc199153488 \h </w:instrText>
        </w:r>
        <w:r>
          <w:rPr>
            <w:noProof/>
            <w:webHidden/>
          </w:rPr>
        </w:r>
        <w:r>
          <w:rPr>
            <w:noProof/>
            <w:webHidden/>
          </w:rPr>
          <w:fldChar w:fldCharType="separate"/>
        </w:r>
        <w:r w:rsidR="00C90090">
          <w:rPr>
            <w:noProof/>
            <w:webHidden/>
          </w:rPr>
          <w:t>21</w:t>
        </w:r>
        <w:r>
          <w:rPr>
            <w:noProof/>
            <w:webHidden/>
          </w:rPr>
          <w:fldChar w:fldCharType="end"/>
        </w:r>
      </w:hyperlink>
    </w:p>
    <w:p w14:paraId="511F5BA4" w14:textId="6214A568" w:rsidR="003F52D7" w:rsidRDefault="003F52D7">
      <w:pPr>
        <w:pStyle w:val="TOC4"/>
        <w:rPr>
          <w:rFonts w:asciiTheme="minorHAnsi" w:eastAsiaTheme="minorEastAsia" w:hAnsiTheme="minorHAnsi"/>
          <w:noProof/>
          <w:sz w:val="24"/>
          <w:szCs w:val="24"/>
          <w:lang w:val="en-US"/>
        </w:rPr>
      </w:pPr>
      <w:hyperlink w:anchor="_Toc199153489" w:history="1">
        <w:r w:rsidRPr="0062715B">
          <w:rPr>
            <w:rStyle w:val="Hyperlink"/>
            <w:noProof/>
          </w:rPr>
          <w:t>Budgétisation</w:t>
        </w:r>
        <w:r>
          <w:rPr>
            <w:noProof/>
            <w:webHidden/>
          </w:rPr>
          <w:tab/>
        </w:r>
        <w:r>
          <w:rPr>
            <w:noProof/>
            <w:webHidden/>
          </w:rPr>
          <w:fldChar w:fldCharType="begin"/>
        </w:r>
        <w:r>
          <w:rPr>
            <w:noProof/>
            <w:webHidden/>
          </w:rPr>
          <w:instrText xml:space="preserve"> PAGEREF _Toc199153489 \h </w:instrText>
        </w:r>
        <w:r>
          <w:rPr>
            <w:noProof/>
            <w:webHidden/>
          </w:rPr>
        </w:r>
        <w:r>
          <w:rPr>
            <w:noProof/>
            <w:webHidden/>
          </w:rPr>
          <w:fldChar w:fldCharType="separate"/>
        </w:r>
        <w:r w:rsidR="00C90090">
          <w:rPr>
            <w:noProof/>
            <w:webHidden/>
          </w:rPr>
          <w:t>21</w:t>
        </w:r>
        <w:r>
          <w:rPr>
            <w:noProof/>
            <w:webHidden/>
          </w:rPr>
          <w:fldChar w:fldCharType="end"/>
        </w:r>
      </w:hyperlink>
    </w:p>
    <w:p w14:paraId="3B0B7107" w14:textId="0CE76CAA" w:rsidR="003F52D7" w:rsidRDefault="003F52D7">
      <w:pPr>
        <w:pStyle w:val="TOC3"/>
        <w:tabs>
          <w:tab w:val="left" w:pos="1560"/>
        </w:tabs>
        <w:rPr>
          <w:rFonts w:asciiTheme="minorHAnsi" w:eastAsiaTheme="minorEastAsia" w:hAnsiTheme="minorHAnsi"/>
          <w:b w:val="0"/>
          <w:noProof/>
          <w:color w:val="auto"/>
          <w:sz w:val="24"/>
          <w:szCs w:val="24"/>
          <w:lang w:val="en-US"/>
        </w:rPr>
      </w:pPr>
      <w:hyperlink w:anchor="_Toc199153490" w:history="1">
        <w:r w:rsidRPr="0062715B">
          <w:rPr>
            <w:rStyle w:val="Hyperlink"/>
            <w:noProof/>
          </w:rPr>
          <w:t>C.</w:t>
        </w:r>
        <w:r>
          <w:rPr>
            <w:rFonts w:asciiTheme="minorHAnsi" w:eastAsiaTheme="minorEastAsia" w:hAnsiTheme="minorHAnsi"/>
            <w:b w:val="0"/>
            <w:noProof/>
            <w:color w:val="auto"/>
            <w:sz w:val="24"/>
            <w:szCs w:val="24"/>
            <w:lang w:val="en-US"/>
          </w:rPr>
          <w:tab/>
        </w:r>
        <w:r w:rsidRPr="0062715B">
          <w:rPr>
            <w:rStyle w:val="Hyperlink"/>
            <w:noProof/>
          </w:rPr>
          <w:t>Audit financier</w:t>
        </w:r>
        <w:r>
          <w:rPr>
            <w:noProof/>
            <w:webHidden/>
          </w:rPr>
          <w:tab/>
        </w:r>
        <w:r>
          <w:rPr>
            <w:noProof/>
            <w:webHidden/>
          </w:rPr>
          <w:fldChar w:fldCharType="begin"/>
        </w:r>
        <w:r>
          <w:rPr>
            <w:noProof/>
            <w:webHidden/>
          </w:rPr>
          <w:instrText xml:space="preserve"> PAGEREF _Toc199153490 \h </w:instrText>
        </w:r>
        <w:r>
          <w:rPr>
            <w:noProof/>
            <w:webHidden/>
          </w:rPr>
        </w:r>
        <w:r>
          <w:rPr>
            <w:noProof/>
            <w:webHidden/>
          </w:rPr>
          <w:fldChar w:fldCharType="separate"/>
        </w:r>
        <w:r w:rsidR="00C90090">
          <w:rPr>
            <w:noProof/>
            <w:webHidden/>
          </w:rPr>
          <w:t>24</w:t>
        </w:r>
        <w:r>
          <w:rPr>
            <w:noProof/>
            <w:webHidden/>
          </w:rPr>
          <w:fldChar w:fldCharType="end"/>
        </w:r>
      </w:hyperlink>
    </w:p>
    <w:p w14:paraId="40FBFA33" w14:textId="3217DFB9" w:rsidR="003F52D7" w:rsidRDefault="003F52D7">
      <w:pPr>
        <w:pStyle w:val="TOC4"/>
        <w:rPr>
          <w:rFonts w:asciiTheme="minorHAnsi" w:eastAsiaTheme="minorEastAsia" w:hAnsiTheme="minorHAnsi"/>
          <w:noProof/>
          <w:sz w:val="24"/>
          <w:szCs w:val="24"/>
          <w:lang w:val="en-US"/>
        </w:rPr>
      </w:pPr>
      <w:hyperlink w:anchor="_Toc199153491" w:history="1">
        <w:r w:rsidRPr="0062715B">
          <w:rPr>
            <w:rStyle w:val="Hyperlink"/>
            <w:noProof/>
          </w:rPr>
          <w:t>Résultats généraux de l’audit</w:t>
        </w:r>
        <w:r>
          <w:rPr>
            <w:noProof/>
            <w:webHidden/>
          </w:rPr>
          <w:tab/>
        </w:r>
        <w:r>
          <w:rPr>
            <w:noProof/>
            <w:webHidden/>
          </w:rPr>
          <w:fldChar w:fldCharType="begin"/>
        </w:r>
        <w:r>
          <w:rPr>
            <w:noProof/>
            <w:webHidden/>
          </w:rPr>
          <w:instrText xml:space="preserve"> PAGEREF _Toc199153491 \h </w:instrText>
        </w:r>
        <w:r>
          <w:rPr>
            <w:noProof/>
            <w:webHidden/>
          </w:rPr>
        </w:r>
        <w:r>
          <w:rPr>
            <w:noProof/>
            <w:webHidden/>
          </w:rPr>
          <w:fldChar w:fldCharType="separate"/>
        </w:r>
        <w:r w:rsidR="00C90090">
          <w:rPr>
            <w:noProof/>
            <w:webHidden/>
          </w:rPr>
          <w:t>24</w:t>
        </w:r>
        <w:r>
          <w:rPr>
            <w:noProof/>
            <w:webHidden/>
          </w:rPr>
          <w:fldChar w:fldCharType="end"/>
        </w:r>
      </w:hyperlink>
    </w:p>
    <w:p w14:paraId="1DBA5C82" w14:textId="502AE821" w:rsidR="003F52D7" w:rsidRDefault="003F52D7">
      <w:pPr>
        <w:pStyle w:val="TOC4"/>
        <w:rPr>
          <w:rFonts w:asciiTheme="minorHAnsi" w:eastAsiaTheme="minorEastAsia" w:hAnsiTheme="minorHAnsi"/>
          <w:noProof/>
          <w:sz w:val="24"/>
          <w:szCs w:val="24"/>
          <w:lang w:val="en-US"/>
        </w:rPr>
      </w:pPr>
      <w:hyperlink w:anchor="_Toc199153492" w:history="1">
        <w:r w:rsidRPr="0062715B">
          <w:rPr>
            <w:rStyle w:val="Hyperlink"/>
            <w:noProof/>
          </w:rPr>
          <w:t>Contrôle interne</w:t>
        </w:r>
        <w:r>
          <w:rPr>
            <w:noProof/>
            <w:webHidden/>
          </w:rPr>
          <w:tab/>
        </w:r>
        <w:r>
          <w:rPr>
            <w:noProof/>
            <w:webHidden/>
          </w:rPr>
          <w:fldChar w:fldCharType="begin"/>
        </w:r>
        <w:r>
          <w:rPr>
            <w:noProof/>
            <w:webHidden/>
          </w:rPr>
          <w:instrText xml:space="preserve"> PAGEREF _Toc199153492 \h </w:instrText>
        </w:r>
        <w:r>
          <w:rPr>
            <w:noProof/>
            <w:webHidden/>
          </w:rPr>
        </w:r>
        <w:r>
          <w:rPr>
            <w:noProof/>
            <w:webHidden/>
          </w:rPr>
          <w:fldChar w:fldCharType="separate"/>
        </w:r>
        <w:r w:rsidR="00C90090">
          <w:rPr>
            <w:noProof/>
            <w:webHidden/>
          </w:rPr>
          <w:t>24</w:t>
        </w:r>
        <w:r>
          <w:rPr>
            <w:noProof/>
            <w:webHidden/>
          </w:rPr>
          <w:fldChar w:fldCharType="end"/>
        </w:r>
      </w:hyperlink>
    </w:p>
    <w:p w14:paraId="117BA2DF" w14:textId="4F4CB4B1" w:rsidR="003F52D7" w:rsidRDefault="003F52D7">
      <w:pPr>
        <w:pStyle w:val="TOC4"/>
        <w:rPr>
          <w:rFonts w:asciiTheme="minorHAnsi" w:eastAsiaTheme="minorEastAsia" w:hAnsiTheme="minorHAnsi"/>
          <w:noProof/>
          <w:sz w:val="24"/>
          <w:szCs w:val="24"/>
          <w:lang w:val="en-US"/>
        </w:rPr>
      </w:pPr>
      <w:hyperlink w:anchor="_Toc199153493" w:history="1">
        <w:r w:rsidRPr="0062715B">
          <w:rPr>
            <w:rStyle w:val="Hyperlink"/>
            <w:noProof/>
          </w:rPr>
          <w:t>Conclusions et recommandations</w:t>
        </w:r>
        <w:r>
          <w:rPr>
            <w:noProof/>
            <w:webHidden/>
          </w:rPr>
          <w:tab/>
        </w:r>
        <w:r>
          <w:rPr>
            <w:noProof/>
            <w:webHidden/>
          </w:rPr>
          <w:fldChar w:fldCharType="begin"/>
        </w:r>
        <w:r>
          <w:rPr>
            <w:noProof/>
            <w:webHidden/>
          </w:rPr>
          <w:instrText xml:space="preserve"> PAGEREF _Toc199153493 \h </w:instrText>
        </w:r>
        <w:r>
          <w:rPr>
            <w:noProof/>
            <w:webHidden/>
          </w:rPr>
        </w:r>
        <w:r>
          <w:rPr>
            <w:noProof/>
            <w:webHidden/>
          </w:rPr>
          <w:fldChar w:fldCharType="separate"/>
        </w:r>
        <w:r w:rsidR="00C90090">
          <w:rPr>
            <w:noProof/>
            <w:webHidden/>
          </w:rPr>
          <w:t>25</w:t>
        </w:r>
        <w:r>
          <w:rPr>
            <w:noProof/>
            <w:webHidden/>
          </w:rPr>
          <w:fldChar w:fldCharType="end"/>
        </w:r>
      </w:hyperlink>
    </w:p>
    <w:p w14:paraId="4F240EF7" w14:textId="005E8F06" w:rsidR="003F52D7" w:rsidRDefault="003F52D7">
      <w:pPr>
        <w:pStyle w:val="TOC5"/>
        <w:rPr>
          <w:rFonts w:asciiTheme="minorHAnsi" w:eastAsiaTheme="minorEastAsia" w:hAnsiTheme="minorHAnsi"/>
          <w:i w:val="0"/>
          <w:noProof/>
          <w:sz w:val="24"/>
          <w:szCs w:val="24"/>
          <w:lang w:val="en-US"/>
        </w:rPr>
      </w:pPr>
      <w:hyperlink w:anchor="_Toc199153494" w:history="1">
        <w:r w:rsidRPr="0062715B">
          <w:rPr>
            <w:rStyle w:val="Hyperlink"/>
            <w:noProof/>
          </w:rPr>
          <w:t>Optimisation de l’utilisation et de l’automatisation des systèmes pour l’établissement des rapports financiers</w:t>
        </w:r>
        <w:r>
          <w:rPr>
            <w:noProof/>
            <w:webHidden/>
          </w:rPr>
          <w:tab/>
        </w:r>
        <w:r>
          <w:rPr>
            <w:noProof/>
            <w:webHidden/>
          </w:rPr>
          <w:fldChar w:fldCharType="begin"/>
        </w:r>
        <w:r>
          <w:rPr>
            <w:noProof/>
            <w:webHidden/>
          </w:rPr>
          <w:instrText xml:space="preserve"> PAGEREF _Toc199153494 \h </w:instrText>
        </w:r>
        <w:r>
          <w:rPr>
            <w:noProof/>
            <w:webHidden/>
          </w:rPr>
        </w:r>
        <w:r>
          <w:rPr>
            <w:noProof/>
            <w:webHidden/>
          </w:rPr>
          <w:fldChar w:fldCharType="separate"/>
        </w:r>
        <w:r w:rsidR="00C90090">
          <w:rPr>
            <w:noProof/>
            <w:webHidden/>
          </w:rPr>
          <w:t>25</w:t>
        </w:r>
        <w:r>
          <w:rPr>
            <w:noProof/>
            <w:webHidden/>
          </w:rPr>
          <w:fldChar w:fldCharType="end"/>
        </w:r>
      </w:hyperlink>
    </w:p>
    <w:p w14:paraId="355EFE49" w14:textId="3BEED99D" w:rsidR="003F52D7" w:rsidRDefault="003F52D7">
      <w:pPr>
        <w:pStyle w:val="TOC5"/>
        <w:rPr>
          <w:rFonts w:asciiTheme="minorHAnsi" w:eastAsiaTheme="minorEastAsia" w:hAnsiTheme="minorHAnsi"/>
          <w:i w:val="0"/>
          <w:noProof/>
          <w:sz w:val="24"/>
          <w:szCs w:val="24"/>
          <w:lang w:val="en-US"/>
        </w:rPr>
      </w:pPr>
      <w:hyperlink w:anchor="_Toc199153495" w:history="1">
        <w:r w:rsidRPr="0062715B">
          <w:rPr>
            <w:rStyle w:val="Hyperlink"/>
            <w:noProof/>
          </w:rPr>
          <w:t>Amélioration de la politique comptable régissant les taxes du système de Madrid</w:t>
        </w:r>
        <w:r>
          <w:rPr>
            <w:noProof/>
            <w:webHidden/>
          </w:rPr>
          <w:tab/>
        </w:r>
        <w:r>
          <w:rPr>
            <w:noProof/>
            <w:webHidden/>
          </w:rPr>
          <w:fldChar w:fldCharType="begin"/>
        </w:r>
        <w:r>
          <w:rPr>
            <w:noProof/>
            <w:webHidden/>
          </w:rPr>
          <w:instrText xml:space="preserve"> PAGEREF _Toc199153495 \h </w:instrText>
        </w:r>
        <w:r>
          <w:rPr>
            <w:noProof/>
            <w:webHidden/>
          </w:rPr>
        </w:r>
        <w:r>
          <w:rPr>
            <w:noProof/>
            <w:webHidden/>
          </w:rPr>
          <w:fldChar w:fldCharType="separate"/>
        </w:r>
        <w:r w:rsidR="00C90090">
          <w:rPr>
            <w:noProof/>
            <w:webHidden/>
          </w:rPr>
          <w:t>26</w:t>
        </w:r>
        <w:r>
          <w:rPr>
            <w:noProof/>
            <w:webHidden/>
          </w:rPr>
          <w:fldChar w:fldCharType="end"/>
        </w:r>
      </w:hyperlink>
    </w:p>
    <w:p w14:paraId="184E0738" w14:textId="29994197" w:rsidR="003F52D7" w:rsidRDefault="003F52D7">
      <w:pPr>
        <w:pStyle w:val="TOC5"/>
        <w:rPr>
          <w:rFonts w:asciiTheme="minorHAnsi" w:eastAsiaTheme="minorEastAsia" w:hAnsiTheme="minorHAnsi"/>
          <w:i w:val="0"/>
          <w:noProof/>
          <w:sz w:val="24"/>
          <w:szCs w:val="24"/>
          <w:lang w:val="en-US"/>
        </w:rPr>
      </w:pPr>
      <w:hyperlink w:anchor="_Toc199153496" w:history="1">
        <w:r w:rsidRPr="0062715B">
          <w:rPr>
            <w:rStyle w:val="Hyperlink"/>
            <w:noProof/>
          </w:rPr>
          <w:t>Gestion des paiements en suspens liés à des marques</w:t>
        </w:r>
        <w:r>
          <w:rPr>
            <w:noProof/>
            <w:webHidden/>
          </w:rPr>
          <w:tab/>
        </w:r>
        <w:r>
          <w:rPr>
            <w:noProof/>
            <w:webHidden/>
          </w:rPr>
          <w:fldChar w:fldCharType="begin"/>
        </w:r>
        <w:r>
          <w:rPr>
            <w:noProof/>
            <w:webHidden/>
          </w:rPr>
          <w:instrText xml:space="preserve"> PAGEREF _Toc199153496 \h </w:instrText>
        </w:r>
        <w:r>
          <w:rPr>
            <w:noProof/>
            <w:webHidden/>
          </w:rPr>
        </w:r>
        <w:r>
          <w:rPr>
            <w:noProof/>
            <w:webHidden/>
          </w:rPr>
          <w:fldChar w:fldCharType="separate"/>
        </w:r>
        <w:r w:rsidR="00C90090">
          <w:rPr>
            <w:noProof/>
            <w:webHidden/>
          </w:rPr>
          <w:t>27</w:t>
        </w:r>
        <w:r>
          <w:rPr>
            <w:noProof/>
            <w:webHidden/>
          </w:rPr>
          <w:fldChar w:fldCharType="end"/>
        </w:r>
      </w:hyperlink>
    </w:p>
    <w:p w14:paraId="0477BAE0" w14:textId="082A3CD5" w:rsidR="003F52D7" w:rsidRDefault="003F52D7">
      <w:pPr>
        <w:pStyle w:val="TOC3"/>
        <w:tabs>
          <w:tab w:val="left" w:pos="1560"/>
        </w:tabs>
        <w:rPr>
          <w:rFonts w:asciiTheme="minorHAnsi" w:eastAsiaTheme="minorEastAsia" w:hAnsiTheme="minorHAnsi"/>
          <w:b w:val="0"/>
          <w:noProof/>
          <w:color w:val="auto"/>
          <w:sz w:val="24"/>
          <w:szCs w:val="24"/>
          <w:lang w:val="en-US"/>
        </w:rPr>
      </w:pPr>
      <w:hyperlink w:anchor="_Toc199153497" w:history="1">
        <w:r w:rsidRPr="0062715B">
          <w:rPr>
            <w:rStyle w:val="Hyperlink"/>
            <w:noProof/>
          </w:rPr>
          <w:t>D.</w:t>
        </w:r>
        <w:r>
          <w:rPr>
            <w:rFonts w:asciiTheme="minorHAnsi" w:eastAsiaTheme="minorEastAsia" w:hAnsiTheme="minorHAnsi"/>
            <w:b w:val="0"/>
            <w:noProof/>
            <w:color w:val="auto"/>
            <w:sz w:val="24"/>
            <w:szCs w:val="24"/>
            <w:lang w:val="en-US"/>
          </w:rPr>
          <w:tab/>
        </w:r>
        <w:r w:rsidRPr="0062715B">
          <w:rPr>
            <w:rStyle w:val="Hyperlink"/>
            <w:noProof/>
          </w:rPr>
          <w:t>Audit de performance</w:t>
        </w:r>
        <w:r>
          <w:rPr>
            <w:noProof/>
            <w:webHidden/>
          </w:rPr>
          <w:tab/>
        </w:r>
        <w:r>
          <w:rPr>
            <w:noProof/>
            <w:webHidden/>
          </w:rPr>
          <w:fldChar w:fldCharType="begin"/>
        </w:r>
        <w:r>
          <w:rPr>
            <w:noProof/>
            <w:webHidden/>
          </w:rPr>
          <w:instrText xml:space="preserve"> PAGEREF _Toc199153497 \h </w:instrText>
        </w:r>
        <w:r>
          <w:rPr>
            <w:noProof/>
            <w:webHidden/>
          </w:rPr>
        </w:r>
        <w:r>
          <w:rPr>
            <w:noProof/>
            <w:webHidden/>
          </w:rPr>
          <w:fldChar w:fldCharType="separate"/>
        </w:r>
        <w:r w:rsidR="00C90090">
          <w:rPr>
            <w:noProof/>
            <w:webHidden/>
          </w:rPr>
          <w:t>29</w:t>
        </w:r>
        <w:r>
          <w:rPr>
            <w:noProof/>
            <w:webHidden/>
          </w:rPr>
          <w:fldChar w:fldCharType="end"/>
        </w:r>
      </w:hyperlink>
    </w:p>
    <w:p w14:paraId="0048DA74" w14:textId="74AB2C78" w:rsidR="003F52D7" w:rsidRDefault="003F52D7">
      <w:pPr>
        <w:pStyle w:val="TOC4"/>
        <w:rPr>
          <w:rFonts w:asciiTheme="minorHAnsi" w:eastAsiaTheme="minorEastAsia" w:hAnsiTheme="minorHAnsi"/>
          <w:noProof/>
          <w:sz w:val="24"/>
          <w:szCs w:val="24"/>
          <w:lang w:val="en-US"/>
        </w:rPr>
      </w:pPr>
      <w:hyperlink w:anchor="_Toc199153498" w:history="1">
        <w:r w:rsidRPr="0062715B">
          <w:rPr>
            <w:rStyle w:val="Hyperlink"/>
            <w:noProof/>
          </w:rPr>
          <w:t>Contexte</w:t>
        </w:r>
        <w:r>
          <w:rPr>
            <w:noProof/>
            <w:webHidden/>
          </w:rPr>
          <w:tab/>
        </w:r>
        <w:r>
          <w:rPr>
            <w:noProof/>
            <w:webHidden/>
          </w:rPr>
          <w:fldChar w:fldCharType="begin"/>
        </w:r>
        <w:r>
          <w:rPr>
            <w:noProof/>
            <w:webHidden/>
          </w:rPr>
          <w:instrText xml:space="preserve"> PAGEREF _Toc199153498 \h </w:instrText>
        </w:r>
        <w:r>
          <w:rPr>
            <w:noProof/>
            <w:webHidden/>
          </w:rPr>
        </w:r>
        <w:r>
          <w:rPr>
            <w:noProof/>
            <w:webHidden/>
          </w:rPr>
          <w:fldChar w:fldCharType="separate"/>
        </w:r>
        <w:r w:rsidR="00C90090">
          <w:rPr>
            <w:noProof/>
            <w:webHidden/>
          </w:rPr>
          <w:t>29</w:t>
        </w:r>
        <w:r>
          <w:rPr>
            <w:noProof/>
            <w:webHidden/>
          </w:rPr>
          <w:fldChar w:fldCharType="end"/>
        </w:r>
      </w:hyperlink>
    </w:p>
    <w:p w14:paraId="05F134AA" w14:textId="5C95DE99" w:rsidR="003F52D7" w:rsidRDefault="003F52D7">
      <w:pPr>
        <w:pStyle w:val="TOC4"/>
        <w:rPr>
          <w:rFonts w:asciiTheme="minorHAnsi" w:eastAsiaTheme="minorEastAsia" w:hAnsiTheme="minorHAnsi"/>
          <w:noProof/>
          <w:sz w:val="24"/>
          <w:szCs w:val="24"/>
          <w:lang w:val="en-US"/>
        </w:rPr>
      </w:pPr>
      <w:hyperlink w:anchor="_Toc199153499" w:history="1">
        <w:r w:rsidRPr="0062715B">
          <w:rPr>
            <w:rStyle w:val="Hyperlink"/>
            <w:noProof/>
          </w:rPr>
          <w:t>Observations découlant de l’audit</w:t>
        </w:r>
        <w:r>
          <w:rPr>
            <w:noProof/>
            <w:webHidden/>
          </w:rPr>
          <w:tab/>
        </w:r>
        <w:r>
          <w:rPr>
            <w:noProof/>
            <w:webHidden/>
          </w:rPr>
          <w:fldChar w:fldCharType="begin"/>
        </w:r>
        <w:r>
          <w:rPr>
            <w:noProof/>
            <w:webHidden/>
          </w:rPr>
          <w:instrText xml:space="preserve"> PAGEREF _Toc199153499 \h </w:instrText>
        </w:r>
        <w:r>
          <w:rPr>
            <w:noProof/>
            <w:webHidden/>
          </w:rPr>
        </w:r>
        <w:r>
          <w:rPr>
            <w:noProof/>
            <w:webHidden/>
          </w:rPr>
          <w:fldChar w:fldCharType="separate"/>
        </w:r>
        <w:r w:rsidR="00C90090">
          <w:rPr>
            <w:noProof/>
            <w:webHidden/>
          </w:rPr>
          <w:t>30</w:t>
        </w:r>
        <w:r>
          <w:rPr>
            <w:noProof/>
            <w:webHidden/>
          </w:rPr>
          <w:fldChar w:fldCharType="end"/>
        </w:r>
      </w:hyperlink>
    </w:p>
    <w:p w14:paraId="117E0ACB" w14:textId="3EF57CE2" w:rsidR="003F52D7" w:rsidRDefault="003F52D7">
      <w:pPr>
        <w:pStyle w:val="TOC5"/>
        <w:rPr>
          <w:rFonts w:asciiTheme="minorHAnsi" w:eastAsiaTheme="minorEastAsia" w:hAnsiTheme="minorHAnsi"/>
          <w:i w:val="0"/>
          <w:noProof/>
          <w:sz w:val="24"/>
          <w:szCs w:val="24"/>
          <w:lang w:val="en-US"/>
        </w:rPr>
      </w:pPr>
      <w:hyperlink w:anchor="_Toc199153500" w:history="1">
        <w:r w:rsidRPr="0062715B">
          <w:rPr>
            <w:rStyle w:val="Hyperlink"/>
            <w:noProof/>
          </w:rPr>
          <w:t>Établissement de procédures opérationnelles standardisées pour l’organisation des réunions des organes décisionnels et de négociation de l’OMPI</w:t>
        </w:r>
        <w:r>
          <w:rPr>
            <w:noProof/>
            <w:webHidden/>
          </w:rPr>
          <w:tab/>
        </w:r>
        <w:r>
          <w:rPr>
            <w:noProof/>
            <w:webHidden/>
          </w:rPr>
          <w:fldChar w:fldCharType="begin"/>
        </w:r>
        <w:r>
          <w:rPr>
            <w:noProof/>
            <w:webHidden/>
          </w:rPr>
          <w:instrText xml:space="preserve"> PAGEREF _Toc199153500 \h </w:instrText>
        </w:r>
        <w:r>
          <w:rPr>
            <w:noProof/>
            <w:webHidden/>
          </w:rPr>
        </w:r>
        <w:r>
          <w:rPr>
            <w:noProof/>
            <w:webHidden/>
          </w:rPr>
          <w:fldChar w:fldCharType="separate"/>
        </w:r>
        <w:r w:rsidR="00C90090">
          <w:rPr>
            <w:noProof/>
            <w:webHidden/>
          </w:rPr>
          <w:t>30</w:t>
        </w:r>
        <w:r>
          <w:rPr>
            <w:noProof/>
            <w:webHidden/>
          </w:rPr>
          <w:fldChar w:fldCharType="end"/>
        </w:r>
      </w:hyperlink>
    </w:p>
    <w:p w14:paraId="2B70D5F7" w14:textId="168469EB" w:rsidR="003F52D7" w:rsidRDefault="003F52D7">
      <w:pPr>
        <w:pStyle w:val="TOC5"/>
        <w:rPr>
          <w:rFonts w:asciiTheme="minorHAnsi" w:eastAsiaTheme="minorEastAsia" w:hAnsiTheme="minorHAnsi"/>
          <w:i w:val="0"/>
          <w:noProof/>
          <w:sz w:val="24"/>
          <w:szCs w:val="24"/>
          <w:lang w:val="en-US"/>
        </w:rPr>
      </w:pPr>
      <w:hyperlink w:anchor="_Toc199153501" w:history="1">
        <w:r w:rsidRPr="0062715B">
          <w:rPr>
            <w:rStyle w:val="Hyperlink"/>
            <w:noProof/>
          </w:rPr>
          <w:t>Affiner la formulation et la cohérence des indicateurs d’exécution de l’OMPI pour une meilleure mesure des résultats</w:t>
        </w:r>
        <w:r>
          <w:rPr>
            <w:noProof/>
            <w:webHidden/>
          </w:rPr>
          <w:tab/>
        </w:r>
        <w:r>
          <w:rPr>
            <w:noProof/>
            <w:webHidden/>
          </w:rPr>
          <w:fldChar w:fldCharType="begin"/>
        </w:r>
        <w:r>
          <w:rPr>
            <w:noProof/>
            <w:webHidden/>
          </w:rPr>
          <w:instrText xml:space="preserve"> PAGEREF _Toc199153501 \h </w:instrText>
        </w:r>
        <w:r>
          <w:rPr>
            <w:noProof/>
            <w:webHidden/>
          </w:rPr>
        </w:r>
        <w:r>
          <w:rPr>
            <w:noProof/>
            <w:webHidden/>
          </w:rPr>
          <w:fldChar w:fldCharType="separate"/>
        </w:r>
        <w:r w:rsidR="00C90090">
          <w:rPr>
            <w:noProof/>
            <w:webHidden/>
          </w:rPr>
          <w:t>31</w:t>
        </w:r>
        <w:r>
          <w:rPr>
            <w:noProof/>
            <w:webHidden/>
          </w:rPr>
          <w:fldChar w:fldCharType="end"/>
        </w:r>
      </w:hyperlink>
    </w:p>
    <w:p w14:paraId="22CD2B94" w14:textId="6275DF58" w:rsidR="003F52D7" w:rsidRDefault="003F52D7">
      <w:pPr>
        <w:pStyle w:val="TOC5"/>
        <w:rPr>
          <w:rFonts w:asciiTheme="minorHAnsi" w:eastAsiaTheme="minorEastAsia" w:hAnsiTheme="minorHAnsi"/>
          <w:i w:val="0"/>
          <w:noProof/>
          <w:sz w:val="24"/>
          <w:szCs w:val="24"/>
          <w:lang w:val="en-US"/>
        </w:rPr>
      </w:pPr>
      <w:hyperlink w:anchor="_Toc199153502" w:history="1">
        <w:r w:rsidRPr="0062715B">
          <w:rPr>
            <w:rStyle w:val="Hyperlink"/>
            <w:noProof/>
          </w:rPr>
          <w:t>Optimisation de l’utilisation de la traduction automatique pour les publications de l’OMPI</w:t>
        </w:r>
        <w:r>
          <w:rPr>
            <w:noProof/>
            <w:webHidden/>
          </w:rPr>
          <w:tab/>
        </w:r>
        <w:r>
          <w:rPr>
            <w:noProof/>
            <w:webHidden/>
          </w:rPr>
          <w:fldChar w:fldCharType="begin"/>
        </w:r>
        <w:r>
          <w:rPr>
            <w:noProof/>
            <w:webHidden/>
          </w:rPr>
          <w:instrText xml:space="preserve"> PAGEREF _Toc199153502 \h </w:instrText>
        </w:r>
        <w:r>
          <w:rPr>
            <w:noProof/>
            <w:webHidden/>
          </w:rPr>
        </w:r>
        <w:r>
          <w:rPr>
            <w:noProof/>
            <w:webHidden/>
          </w:rPr>
          <w:fldChar w:fldCharType="separate"/>
        </w:r>
        <w:r w:rsidR="00C90090">
          <w:rPr>
            <w:noProof/>
            <w:webHidden/>
          </w:rPr>
          <w:t>32</w:t>
        </w:r>
        <w:r>
          <w:rPr>
            <w:noProof/>
            <w:webHidden/>
          </w:rPr>
          <w:fldChar w:fldCharType="end"/>
        </w:r>
      </w:hyperlink>
    </w:p>
    <w:p w14:paraId="340D897F" w14:textId="05F834F2" w:rsidR="003F52D7" w:rsidRDefault="003F52D7">
      <w:pPr>
        <w:pStyle w:val="TOC5"/>
        <w:rPr>
          <w:rFonts w:asciiTheme="minorHAnsi" w:eastAsiaTheme="minorEastAsia" w:hAnsiTheme="minorHAnsi"/>
          <w:i w:val="0"/>
          <w:noProof/>
          <w:sz w:val="24"/>
          <w:szCs w:val="24"/>
          <w:lang w:val="en-US"/>
        </w:rPr>
      </w:pPr>
      <w:hyperlink w:anchor="_Toc199153503" w:history="1">
        <w:r w:rsidRPr="0062715B">
          <w:rPr>
            <w:rStyle w:val="Hyperlink"/>
            <w:noProof/>
          </w:rPr>
          <w:t>Renforcement du rôle de WePerform dans le processus d’évaluation des performances</w:t>
        </w:r>
        <w:r>
          <w:rPr>
            <w:noProof/>
            <w:webHidden/>
          </w:rPr>
          <w:tab/>
        </w:r>
        <w:r>
          <w:rPr>
            <w:noProof/>
            <w:webHidden/>
          </w:rPr>
          <w:fldChar w:fldCharType="begin"/>
        </w:r>
        <w:r>
          <w:rPr>
            <w:noProof/>
            <w:webHidden/>
          </w:rPr>
          <w:instrText xml:space="preserve"> PAGEREF _Toc199153503 \h </w:instrText>
        </w:r>
        <w:r>
          <w:rPr>
            <w:noProof/>
            <w:webHidden/>
          </w:rPr>
        </w:r>
        <w:r>
          <w:rPr>
            <w:noProof/>
            <w:webHidden/>
          </w:rPr>
          <w:fldChar w:fldCharType="separate"/>
        </w:r>
        <w:r w:rsidR="00C90090">
          <w:rPr>
            <w:noProof/>
            <w:webHidden/>
          </w:rPr>
          <w:t>34</w:t>
        </w:r>
        <w:r>
          <w:rPr>
            <w:noProof/>
            <w:webHidden/>
          </w:rPr>
          <w:fldChar w:fldCharType="end"/>
        </w:r>
      </w:hyperlink>
    </w:p>
    <w:p w14:paraId="06609C3A" w14:textId="79253065" w:rsidR="003F52D7" w:rsidRDefault="003F52D7">
      <w:pPr>
        <w:pStyle w:val="TOC5"/>
        <w:rPr>
          <w:rFonts w:asciiTheme="minorHAnsi" w:eastAsiaTheme="minorEastAsia" w:hAnsiTheme="minorHAnsi"/>
          <w:i w:val="0"/>
          <w:noProof/>
          <w:sz w:val="24"/>
          <w:szCs w:val="24"/>
          <w:lang w:val="en-US"/>
        </w:rPr>
      </w:pPr>
      <w:hyperlink w:anchor="_Toc199153504" w:history="1">
        <w:r w:rsidRPr="0062715B">
          <w:rPr>
            <w:rStyle w:val="Hyperlink"/>
            <w:noProof/>
          </w:rPr>
          <w:t>Améliorer le processus d’enquête afin de renforcer la procédure d’évaluation de l’OMPI</w:t>
        </w:r>
        <w:r>
          <w:rPr>
            <w:noProof/>
            <w:webHidden/>
          </w:rPr>
          <w:tab/>
        </w:r>
        <w:r>
          <w:rPr>
            <w:noProof/>
            <w:webHidden/>
          </w:rPr>
          <w:fldChar w:fldCharType="begin"/>
        </w:r>
        <w:r>
          <w:rPr>
            <w:noProof/>
            <w:webHidden/>
          </w:rPr>
          <w:instrText xml:space="preserve"> PAGEREF _Toc199153504 \h </w:instrText>
        </w:r>
        <w:r>
          <w:rPr>
            <w:noProof/>
            <w:webHidden/>
          </w:rPr>
        </w:r>
        <w:r>
          <w:rPr>
            <w:noProof/>
            <w:webHidden/>
          </w:rPr>
          <w:fldChar w:fldCharType="separate"/>
        </w:r>
        <w:r w:rsidR="00C90090">
          <w:rPr>
            <w:noProof/>
            <w:webHidden/>
          </w:rPr>
          <w:t>34</w:t>
        </w:r>
        <w:r>
          <w:rPr>
            <w:noProof/>
            <w:webHidden/>
          </w:rPr>
          <w:fldChar w:fldCharType="end"/>
        </w:r>
      </w:hyperlink>
    </w:p>
    <w:p w14:paraId="4356190D" w14:textId="04ABA638" w:rsidR="003F52D7" w:rsidRDefault="003F52D7">
      <w:pPr>
        <w:pStyle w:val="TOC3"/>
        <w:tabs>
          <w:tab w:val="left" w:pos="1560"/>
        </w:tabs>
        <w:rPr>
          <w:rFonts w:asciiTheme="minorHAnsi" w:eastAsiaTheme="minorEastAsia" w:hAnsiTheme="minorHAnsi"/>
          <w:b w:val="0"/>
          <w:noProof/>
          <w:color w:val="auto"/>
          <w:sz w:val="24"/>
          <w:szCs w:val="24"/>
          <w:lang w:val="en-US"/>
        </w:rPr>
      </w:pPr>
      <w:hyperlink w:anchor="_Toc199153505" w:history="1">
        <w:r w:rsidRPr="0062715B">
          <w:rPr>
            <w:rStyle w:val="Hyperlink"/>
            <w:noProof/>
          </w:rPr>
          <w:t>E.</w:t>
        </w:r>
        <w:r>
          <w:rPr>
            <w:rFonts w:asciiTheme="minorHAnsi" w:eastAsiaTheme="minorEastAsia" w:hAnsiTheme="minorHAnsi"/>
            <w:b w:val="0"/>
            <w:noProof/>
            <w:color w:val="auto"/>
            <w:sz w:val="24"/>
            <w:szCs w:val="24"/>
            <w:lang w:val="en-US"/>
          </w:rPr>
          <w:tab/>
        </w:r>
        <w:r w:rsidRPr="0062715B">
          <w:rPr>
            <w:rStyle w:val="Hyperlink"/>
            <w:noProof/>
          </w:rPr>
          <w:t>Mise en œuvre des recommandations figurant dans les précédents rapports des vérificateurs externes des comptes</w:t>
        </w:r>
        <w:r>
          <w:rPr>
            <w:noProof/>
            <w:webHidden/>
          </w:rPr>
          <w:tab/>
        </w:r>
        <w:r>
          <w:rPr>
            <w:noProof/>
            <w:webHidden/>
          </w:rPr>
          <w:fldChar w:fldCharType="begin"/>
        </w:r>
        <w:r>
          <w:rPr>
            <w:noProof/>
            <w:webHidden/>
          </w:rPr>
          <w:instrText xml:space="preserve"> PAGEREF _Toc199153505 \h </w:instrText>
        </w:r>
        <w:r>
          <w:rPr>
            <w:noProof/>
            <w:webHidden/>
          </w:rPr>
        </w:r>
        <w:r>
          <w:rPr>
            <w:noProof/>
            <w:webHidden/>
          </w:rPr>
          <w:fldChar w:fldCharType="separate"/>
        </w:r>
        <w:r w:rsidR="00C90090">
          <w:rPr>
            <w:noProof/>
            <w:webHidden/>
          </w:rPr>
          <w:t>36</w:t>
        </w:r>
        <w:r>
          <w:rPr>
            <w:noProof/>
            <w:webHidden/>
          </w:rPr>
          <w:fldChar w:fldCharType="end"/>
        </w:r>
      </w:hyperlink>
    </w:p>
    <w:p w14:paraId="590BDDDA" w14:textId="4F2EB682" w:rsidR="003F52D7" w:rsidRDefault="003F52D7" w:rsidP="00565F5B">
      <w:pPr>
        <w:pStyle w:val="TOC3"/>
        <w:keepNext/>
        <w:tabs>
          <w:tab w:val="left" w:pos="1560"/>
        </w:tabs>
        <w:rPr>
          <w:rFonts w:asciiTheme="minorHAnsi" w:eastAsiaTheme="minorEastAsia" w:hAnsiTheme="minorHAnsi"/>
          <w:b w:val="0"/>
          <w:noProof/>
          <w:color w:val="auto"/>
          <w:sz w:val="24"/>
          <w:szCs w:val="24"/>
          <w:lang w:val="en-US"/>
        </w:rPr>
      </w:pPr>
      <w:hyperlink w:anchor="_Toc199153506" w:history="1">
        <w:r w:rsidRPr="0062715B">
          <w:rPr>
            <w:rStyle w:val="Hyperlink"/>
            <w:noProof/>
          </w:rPr>
          <w:t>F.</w:t>
        </w:r>
        <w:r>
          <w:rPr>
            <w:rFonts w:asciiTheme="minorHAnsi" w:eastAsiaTheme="minorEastAsia" w:hAnsiTheme="minorHAnsi"/>
            <w:b w:val="0"/>
            <w:noProof/>
            <w:color w:val="auto"/>
            <w:sz w:val="24"/>
            <w:szCs w:val="24"/>
            <w:lang w:val="en-US"/>
          </w:rPr>
          <w:tab/>
        </w:r>
        <w:r w:rsidRPr="0062715B">
          <w:rPr>
            <w:rStyle w:val="Hyperlink"/>
            <w:noProof/>
          </w:rPr>
          <w:t>Déclarations de la direction</w:t>
        </w:r>
        <w:r>
          <w:rPr>
            <w:noProof/>
            <w:webHidden/>
          </w:rPr>
          <w:tab/>
        </w:r>
        <w:r>
          <w:rPr>
            <w:noProof/>
            <w:webHidden/>
          </w:rPr>
          <w:fldChar w:fldCharType="begin"/>
        </w:r>
        <w:r>
          <w:rPr>
            <w:noProof/>
            <w:webHidden/>
          </w:rPr>
          <w:instrText xml:space="preserve"> PAGEREF _Toc199153506 \h </w:instrText>
        </w:r>
        <w:r>
          <w:rPr>
            <w:noProof/>
            <w:webHidden/>
          </w:rPr>
        </w:r>
        <w:r>
          <w:rPr>
            <w:noProof/>
            <w:webHidden/>
          </w:rPr>
          <w:fldChar w:fldCharType="separate"/>
        </w:r>
        <w:r w:rsidR="00C90090">
          <w:rPr>
            <w:noProof/>
            <w:webHidden/>
          </w:rPr>
          <w:t>37</w:t>
        </w:r>
        <w:r>
          <w:rPr>
            <w:noProof/>
            <w:webHidden/>
          </w:rPr>
          <w:fldChar w:fldCharType="end"/>
        </w:r>
      </w:hyperlink>
    </w:p>
    <w:p w14:paraId="374AD959" w14:textId="33B68D83" w:rsidR="003F52D7" w:rsidRDefault="003F52D7">
      <w:pPr>
        <w:pStyle w:val="TOC4"/>
        <w:rPr>
          <w:rFonts w:asciiTheme="minorHAnsi" w:eastAsiaTheme="minorEastAsia" w:hAnsiTheme="minorHAnsi"/>
          <w:noProof/>
          <w:sz w:val="24"/>
          <w:szCs w:val="24"/>
          <w:lang w:val="en-US"/>
        </w:rPr>
      </w:pPr>
      <w:hyperlink w:anchor="_Toc199153507" w:history="1">
        <w:r w:rsidRPr="0062715B">
          <w:rPr>
            <w:rStyle w:val="Hyperlink"/>
            <w:noProof/>
          </w:rPr>
          <w:t>Inscription de pertes de trésorerie, créances clients et éléments d’actif</w:t>
        </w:r>
        <w:r>
          <w:rPr>
            <w:noProof/>
            <w:webHidden/>
          </w:rPr>
          <w:tab/>
        </w:r>
        <w:r>
          <w:rPr>
            <w:noProof/>
            <w:webHidden/>
          </w:rPr>
          <w:fldChar w:fldCharType="begin"/>
        </w:r>
        <w:r>
          <w:rPr>
            <w:noProof/>
            <w:webHidden/>
          </w:rPr>
          <w:instrText xml:space="preserve"> PAGEREF _Toc199153507 \h </w:instrText>
        </w:r>
        <w:r>
          <w:rPr>
            <w:noProof/>
            <w:webHidden/>
          </w:rPr>
        </w:r>
        <w:r>
          <w:rPr>
            <w:noProof/>
            <w:webHidden/>
          </w:rPr>
          <w:fldChar w:fldCharType="separate"/>
        </w:r>
        <w:r w:rsidR="00C90090">
          <w:rPr>
            <w:noProof/>
            <w:webHidden/>
          </w:rPr>
          <w:t>37</w:t>
        </w:r>
        <w:r>
          <w:rPr>
            <w:noProof/>
            <w:webHidden/>
          </w:rPr>
          <w:fldChar w:fldCharType="end"/>
        </w:r>
      </w:hyperlink>
    </w:p>
    <w:p w14:paraId="4D810D6A" w14:textId="5CAAC558" w:rsidR="003F52D7" w:rsidRDefault="003F52D7">
      <w:pPr>
        <w:pStyle w:val="TOC4"/>
        <w:rPr>
          <w:rFonts w:asciiTheme="minorHAnsi" w:eastAsiaTheme="minorEastAsia" w:hAnsiTheme="minorHAnsi"/>
          <w:noProof/>
          <w:sz w:val="24"/>
          <w:szCs w:val="24"/>
          <w:lang w:val="en-US"/>
        </w:rPr>
      </w:pPr>
      <w:hyperlink w:anchor="_Toc199153508" w:history="1">
        <w:r w:rsidRPr="0062715B">
          <w:rPr>
            <w:rStyle w:val="Hyperlink"/>
            <w:noProof/>
          </w:rPr>
          <w:t>Versements à titre gracieux</w:t>
        </w:r>
        <w:r>
          <w:rPr>
            <w:noProof/>
            <w:webHidden/>
          </w:rPr>
          <w:tab/>
        </w:r>
        <w:r>
          <w:rPr>
            <w:noProof/>
            <w:webHidden/>
          </w:rPr>
          <w:fldChar w:fldCharType="begin"/>
        </w:r>
        <w:r>
          <w:rPr>
            <w:noProof/>
            <w:webHidden/>
          </w:rPr>
          <w:instrText xml:space="preserve"> PAGEREF _Toc199153508 \h </w:instrText>
        </w:r>
        <w:r>
          <w:rPr>
            <w:noProof/>
            <w:webHidden/>
          </w:rPr>
        </w:r>
        <w:r>
          <w:rPr>
            <w:noProof/>
            <w:webHidden/>
          </w:rPr>
          <w:fldChar w:fldCharType="separate"/>
        </w:r>
        <w:r w:rsidR="00C90090">
          <w:rPr>
            <w:noProof/>
            <w:webHidden/>
          </w:rPr>
          <w:t>37</w:t>
        </w:r>
        <w:r>
          <w:rPr>
            <w:noProof/>
            <w:webHidden/>
          </w:rPr>
          <w:fldChar w:fldCharType="end"/>
        </w:r>
      </w:hyperlink>
    </w:p>
    <w:p w14:paraId="6AEC6C6E" w14:textId="260054E2" w:rsidR="003F52D7" w:rsidRDefault="003F52D7">
      <w:pPr>
        <w:pStyle w:val="TOC4"/>
        <w:rPr>
          <w:rFonts w:asciiTheme="minorHAnsi" w:eastAsiaTheme="minorEastAsia" w:hAnsiTheme="minorHAnsi"/>
          <w:noProof/>
          <w:sz w:val="24"/>
          <w:szCs w:val="24"/>
          <w:lang w:val="en-US"/>
        </w:rPr>
      </w:pPr>
      <w:hyperlink w:anchor="_Toc199153509" w:history="1">
        <w:r w:rsidRPr="0062715B">
          <w:rPr>
            <w:rStyle w:val="Hyperlink"/>
            <w:noProof/>
          </w:rPr>
          <w:t>Définition de la fraude et de la présomption de fraude</w:t>
        </w:r>
        <w:r>
          <w:rPr>
            <w:noProof/>
            <w:webHidden/>
          </w:rPr>
          <w:tab/>
        </w:r>
        <w:r>
          <w:rPr>
            <w:noProof/>
            <w:webHidden/>
          </w:rPr>
          <w:fldChar w:fldCharType="begin"/>
        </w:r>
        <w:r>
          <w:rPr>
            <w:noProof/>
            <w:webHidden/>
          </w:rPr>
          <w:instrText xml:space="preserve"> PAGEREF _Toc199153509 \h </w:instrText>
        </w:r>
        <w:r>
          <w:rPr>
            <w:noProof/>
            <w:webHidden/>
          </w:rPr>
        </w:r>
        <w:r>
          <w:rPr>
            <w:noProof/>
            <w:webHidden/>
          </w:rPr>
          <w:fldChar w:fldCharType="separate"/>
        </w:r>
        <w:r w:rsidR="00C90090">
          <w:rPr>
            <w:noProof/>
            <w:webHidden/>
          </w:rPr>
          <w:t>37</w:t>
        </w:r>
        <w:r>
          <w:rPr>
            <w:noProof/>
            <w:webHidden/>
          </w:rPr>
          <w:fldChar w:fldCharType="end"/>
        </w:r>
      </w:hyperlink>
    </w:p>
    <w:p w14:paraId="0B089866" w14:textId="2979EB28" w:rsidR="003F52D7" w:rsidRDefault="003F52D7">
      <w:pPr>
        <w:pStyle w:val="TOC3"/>
        <w:tabs>
          <w:tab w:val="left" w:pos="1560"/>
        </w:tabs>
        <w:rPr>
          <w:rFonts w:asciiTheme="minorHAnsi" w:eastAsiaTheme="minorEastAsia" w:hAnsiTheme="minorHAnsi"/>
          <w:b w:val="0"/>
          <w:noProof/>
          <w:color w:val="auto"/>
          <w:sz w:val="24"/>
          <w:szCs w:val="24"/>
          <w:lang w:val="en-US"/>
        </w:rPr>
      </w:pPr>
      <w:hyperlink w:anchor="_Toc199153510" w:history="1">
        <w:r w:rsidRPr="0062715B">
          <w:rPr>
            <w:rStyle w:val="Hyperlink"/>
            <w:noProof/>
          </w:rPr>
          <w:t>G.</w:t>
        </w:r>
        <w:r>
          <w:rPr>
            <w:rFonts w:asciiTheme="minorHAnsi" w:eastAsiaTheme="minorEastAsia" w:hAnsiTheme="minorHAnsi"/>
            <w:b w:val="0"/>
            <w:noProof/>
            <w:color w:val="auto"/>
            <w:sz w:val="24"/>
            <w:szCs w:val="24"/>
            <w:lang w:val="en-US"/>
          </w:rPr>
          <w:tab/>
        </w:r>
        <w:r w:rsidRPr="0062715B">
          <w:rPr>
            <w:rStyle w:val="Hyperlink"/>
            <w:noProof/>
          </w:rPr>
          <w:t>Passation de pouvoirs en matière de vérification des comptes</w:t>
        </w:r>
        <w:r>
          <w:rPr>
            <w:noProof/>
            <w:webHidden/>
          </w:rPr>
          <w:tab/>
        </w:r>
        <w:r>
          <w:rPr>
            <w:noProof/>
            <w:webHidden/>
          </w:rPr>
          <w:fldChar w:fldCharType="begin"/>
        </w:r>
        <w:r>
          <w:rPr>
            <w:noProof/>
            <w:webHidden/>
          </w:rPr>
          <w:instrText xml:space="preserve"> PAGEREF _Toc199153510 \h </w:instrText>
        </w:r>
        <w:r>
          <w:rPr>
            <w:noProof/>
            <w:webHidden/>
          </w:rPr>
        </w:r>
        <w:r>
          <w:rPr>
            <w:noProof/>
            <w:webHidden/>
          </w:rPr>
          <w:fldChar w:fldCharType="separate"/>
        </w:r>
        <w:r w:rsidR="00C90090">
          <w:rPr>
            <w:noProof/>
            <w:webHidden/>
          </w:rPr>
          <w:t>37</w:t>
        </w:r>
        <w:r>
          <w:rPr>
            <w:noProof/>
            <w:webHidden/>
          </w:rPr>
          <w:fldChar w:fldCharType="end"/>
        </w:r>
      </w:hyperlink>
    </w:p>
    <w:p w14:paraId="63CB2BD6" w14:textId="23B51AC6" w:rsidR="003F52D7" w:rsidRDefault="003F52D7">
      <w:pPr>
        <w:pStyle w:val="TOC3"/>
        <w:tabs>
          <w:tab w:val="left" w:pos="1560"/>
        </w:tabs>
        <w:rPr>
          <w:rFonts w:asciiTheme="minorHAnsi" w:eastAsiaTheme="minorEastAsia" w:hAnsiTheme="minorHAnsi"/>
          <w:b w:val="0"/>
          <w:noProof/>
          <w:color w:val="auto"/>
          <w:sz w:val="24"/>
          <w:szCs w:val="24"/>
          <w:lang w:val="en-US"/>
        </w:rPr>
      </w:pPr>
      <w:hyperlink w:anchor="_Toc199153511" w:history="1">
        <w:r w:rsidRPr="0062715B">
          <w:rPr>
            <w:rStyle w:val="Hyperlink"/>
            <w:noProof/>
          </w:rPr>
          <w:t>H.</w:t>
        </w:r>
        <w:r>
          <w:rPr>
            <w:rFonts w:asciiTheme="minorHAnsi" w:eastAsiaTheme="minorEastAsia" w:hAnsiTheme="minorHAnsi"/>
            <w:b w:val="0"/>
            <w:noProof/>
            <w:color w:val="auto"/>
            <w:sz w:val="24"/>
            <w:szCs w:val="24"/>
            <w:lang w:val="en-US"/>
          </w:rPr>
          <w:tab/>
        </w:r>
        <w:r w:rsidRPr="0062715B">
          <w:rPr>
            <w:rStyle w:val="Hyperlink"/>
            <w:noProof/>
          </w:rPr>
          <w:t>Témoignage de reconnaissance</w:t>
        </w:r>
        <w:r>
          <w:rPr>
            <w:noProof/>
            <w:webHidden/>
          </w:rPr>
          <w:tab/>
        </w:r>
        <w:r>
          <w:rPr>
            <w:noProof/>
            <w:webHidden/>
          </w:rPr>
          <w:fldChar w:fldCharType="begin"/>
        </w:r>
        <w:r>
          <w:rPr>
            <w:noProof/>
            <w:webHidden/>
          </w:rPr>
          <w:instrText xml:space="preserve"> PAGEREF _Toc199153511 \h </w:instrText>
        </w:r>
        <w:r>
          <w:rPr>
            <w:noProof/>
            <w:webHidden/>
          </w:rPr>
        </w:r>
        <w:r>
          <w:rPr>
            <w:noProof/>
            <w:webHidden/>
          </w:rPr>
          <w:fldChar w:fldCharType="separate"/>
        </w:r>
        <w:r w:rsidR="00C90090">
          <w:rPr>
            <w:noProof/>
            <w:webHidden/>
          </w:rPr>
          <w:t>38</w:t>
        </w:r>
        <w:r>
          <w:rPr>
            <w:noProof/>
            <w:webHidden/>
          </w:rPr>
          <w:fldChar w:fldCharType="end"/>
        </w:r>
      </w:hyperlink>
    </w:p>
    <w:p w14:paraId="1A8BCA56" w14:textId="16177F27" w:rsidR="00565F5B" w:rsidRPr="00565F5B" w:rsidRDefault="00715B40" w:rsidP="00565F5B">
      <w:pPr>
        <w:tabs>
          <w:tab w:val="left" w:pos="1701"/>
        </w:tabs>
        <w:spacing w:before="360" w:after="60"/>
        <w:ind w:left="1701" w:right="283" w:hanging="1134"/>
        <w:rPr>
          <w:szCs w:val="22"/>
        </w:rPr>
      </w:pPr>
      <w:r w:rsidRPr="003F52D7">
        <w:rPr>
          <w:rFonts w:eastAsiaTheme="minorHAnsi"/>
          <w:iCs/>
          <w:noProof/>
          <w:color w:val="000000" w:themeColor="text1"/>
          <w:kern w:val="2"/>
          <w:sz w:val="20"/>
          <w:lang w:val="fr-FR" w:eastAsia="en-US"/>
          <w14:ligatures w14:val="standardContextual"/>
        </w:rPr>
        <w:fldChar w:fldCharType="end"/>
      </w:r>
      <w:r w:rsidR="00565F5B" w:rsidRPr="00565F5B">
        <w:rPr>
          <w:szCs w:val="22"/>
        </w:rPr>
        <w:t>Annexe </w:t>
      </w:r>
      <w:r w:rsidR="006C0481">
        <w:rPr>
          <w:szCs w:val="22"/>
        </w:rPr>
        <w:t>I</w:t>
      </w:r>
      <w:r w:rsidR="00565F5B" w:rsidRPr="00565F5B">
        <w:rPr>
          <w:szCs w:val="22"/>
        </w:rPr>
        <w:t xml:space="preserve">.  </w:t>
      </w:r>
      <w:r w:rsidR="00565F5B" w:rsidRPr="00565F5B">
        <w:rPr>
          <w:szCs w:val="22"/>
        </w:rPr>
        <w:tab/>
        <w:t>État d’avancement au 31 mars 2025 de la mise en œuvre des recommandations des années précédentes</w:t>
      </w:r>
    </w:p>
    <w:p w14:paraId="685E6D92" w14:textId="345B1CC4" w:rsidR="00565F5B" w:rsidRPr="00565F5B" w:rsidRDefault="00565F5B" w:rsidP="00565F5B">
      <w:pPr>
        <w:tabs>
          <w:tab w:val="left" w:pos="1701"/>
        </w:tabs>
        <w:spacing w:after="60"/>
        <w:ind w:left="567" w:right="283"/>
        <w:rPr>
          <w:szCs w:val="22"/>
        </w:rPr>
      </w:pPr>
      <w:r w:rsidRPr="00565F5B">
        <w:rPr>
          <w:szCs w:val="22"/>
        </w:rPr>
        <w:t>Annexe</w:t>
      </w:r>
      <w:r w:rsidR="005908BF">
        <w:rPr>
          <w:szCs w:val="22"/>
        </w:rPr>
        <w:t> </w:t>
      </w:r>
      <w:r w:rsidR="006C0481">
        <w:rPr>
          <w:szCs w:val="22"/>
        </w:rPr>
        <w:t>II</w:t>
      </w:r>
      <w:r w:rsidRPr="00565F5B">
        <w:rPr>
          <w:szCs w:val="22"/>
        </w:rPr>
        <w:t xml:space="preserve">.  </w:t>
      </w:r>
      <w:r w:rsidRPr="00565F5B">
        <w:rPr>
          <w:szCs w:val="22"/>
        </w:rPr>
        <w:tab/>
        <w:t>Liste des sigles</w:t>
      </w:r>
    </w:p>
    <w:p w14:paraId="0DC6F87A" w14:textId="77777777" w:rsidR="00565F5B" w:rsidRDefault="00565F5B" w:rsidP="00E862E4">
      <w:pPr>
        <w:jc w:val="both"/>
        <w:rPr>
          <w:rFonts w:eastAsiaTheme="minorHAnsi"/>
          <w:iCs/>
          <w:noProof/>
          <w:color w:val="000000" w:themeColor="text1"/>
          <w:kern w:val="2"/>
          <w:sz w:val="20"/>
          <w:lang w:val="fr-FR" w:eastAsia="en-US"/>
          <w14:ligatures w14:val="standardContextual"/>
        </w:rPr>
      </w:pPr>
    </w:p>
    <w:p w14:paraId="4CF0EB6D" w14:textId="77777777" w:rsidR="00565F5B" w:rsidRPr="00565F5B" w:rsidRDefault="00565F5B" w:rsidP="00E862E4">
      <w:pPr>
        <w:jc w:val="both"/>
        <w:rPr>
          <w:bCs/>
          <w:lang w:val="fr-FR"/>
        </w:rPr>
      </w:pPr>
    </w:p>
    <w:p w14:paraId="73B431D6" w14:textId="77777777" w:rsidR="00687B89" w:rsidRDefault="00687B89" w:rsidP="00E862E4">
      <w:pPr>
        <w:rPr>
          <w:rFonts w:ascii="Times New Roman" w:hAnsi="Times New Roman" w:cs="Times New Roman"/>
          <w:b/>
          <w:bCs/>
          <w:szCs w:val="22"/>
          <w:lang w:val="fr-FR"/>
        </w:rPr>
        <w:sectPr w:rsidR="00687B89" w:rsidSect="00C249FA">
          <w:headerReference w:type="default" r:id="rId19"/>
          <w:endnotePr>
            <w:numFmt w:val="decimal"/>
          </w:endnotePr>
          <w:pgSz w:w="11907" w:h="16840" w:orient="landscape" w:code="9"/>
          <w:pgMar w:top="567" w:right="1134" w:bottom="1418" w:left="1418" w:header="510" w:footer="1021" w:gutter="0"/>
          <w:cols w:space="720"/>
          <w:titlePg/>
          <w:docGrid w:linePitch="299"/>
        </w:sectPr>
      </w:pPr>
    </w:p>
    <w:p w14:paraId="53D8C77E" w14:textId="77777777" w:rsidR="00855109" w:rsidRPr="00E862E4" w:rsidRDefault="00855109" w:rsidP="009E613B">
      <w:pPr>
        <w:pStyle w:val="Heading2"/>
      </w:pPr>
      <w:bookmarkStart w:id="8" w:name="_Toc199153472"/>
      <w:r w:rsidRPr="00E862E4">
        <w:lastRenderedPageBreak/>
        <w:t>Liste des tableaux</w:t>
      </w:r>
      <w:bookmarkEnd w:id="8"/>
    </w:p>
    <w:p w14:paraId="3E6A0B42" w14:textId="6A6DECE1" w:rsidR="00855109" w:rsidRPr="00565F5B" w:rsidRDefault="00855109" w:rsidP="007D3443">
      <w:pPr>
        <w:pStyle w:val="TableofFigures"/>
        <w:tabs>
          <w:tab w:val="left" w:pos="1134"/>
          <w:tab w:val="right" w:leader="dot" w:pos="9072"/>
        </w:tabs>
        <w:ind w:left="1134" w:right="851" w:hanging="1134"/>
        <w:rPr>
          <w:rFonts w:ascii="Arial" w:eastAsiaTheme="minorEastAsia" w:hAnsi="Arial" w:cs="Arial"/>
          <w:noProof/>
          <w:color w:val="auto"/>
          <w:sz w:val="24"/>
        </w:rPr>
      </w:pPr>
      <w:r w:rsidRPr="00565F5B">
        <w:rPr>
          <w:rFonts w:ascii="Arial" w:hAnsi="Arial" w:cs="Arial"/>
          <w:b/>
        </w:rPr>
        <w:fldChar w:fldCharType="begin"/>
      </w:r>
      <w:r w:rsidRPr="00565F5B">
        <w:rPr>
          <w:rFonts w:ascii="Arial" w:hAnsi="Arial" w:cs="Arial"/>
          <w:b/>
        </w:rPr>
        <w:instrText xml:space="preserve"> TOC \h \z \c "Table" </w:instrText>
      </w:r>
      <w:r w:rsidRPr="00565F5B">
        <w:rPr>
          <w:rFonts w:ascii="Arial" w:hAnsi="Arial" w:cs="Arial"/>
          <w:b/>
        </w:rPr>
        <w:fldChar w:fldCharType="separate"/>
      </w:r>
      <w:hyperlink w:anchor="_Toc199138715" w:history="1">
        <w:r w:rsidRPr="00565F5B">
          <w:rPr>
            <w:rStyle w:val="Hyperlink"/>
            <w:rFonts w:ascii="Arial" w:hAnsi="Arial" w:cs="Arial"/>
            <w:noProof/>
          </w:rPr>
          <w:t>Tableau</w:t>
        </w:r>
        <w:r w:rsidR="00596148" w:rsidRPr="00565F5B">
          <w:rPr>
            <w:rStyle w:val="Hyperlink"/>
            <w:rFonts w:ascii="Arial" w:hAnsi="Arial" w:cs="Arial"/>
            <w:noProof/>
          </w:rPr>
          <w:t> </w:t>
        </w:r>
        <w:r w:rsidRPr="00565F5B">
          <w:rPr>
            <w:rStyle w:val="Hyperlink"/>
            <w:rFonts w:ascii="Arial" w:hAnsi="Arial" w:cs="Arial"/>
            <w:noProof/>
          </w:rPr>
          <w:t xml:space="preserve">1. </w:t>
        </w:r>
        <w:r w:rsidR="00596148" w:rsidRPr="00565F5B">
          <w:rPr>
            <w:rStyle w:val="Hyperlink"/>
            <w:rFonts w:ascii="Arial" w:hAnsi="Arial" w:cs="Arial"/>
            <w:noProof/>
          </w:rPr>
          <w:t xml:space="preserve"> </w:t>
        </w:r>
        <w:r w:rsidRPr="00565F5B">
          <w:rPr>
            <w:rStyle w:val="Hyperlink"/>
            <w:rFonts w:ascii="Arial" w:hAnsi="Arial" w:cs="Arial"/>
            <w:noProof/>
          </w:rPr>
          <w:t>Ratios financiers de l</w:t>
        </w:r>
        <w:r w:rsidR="00743D89" w:rsidRPr="00565F5B">
          <w:rPr>
            <w:rStyle w:val="Hyperlink"/>
            <w:rFonts w:ascii="Arial" w:hAnsi="Arial" w:cs="Arial"/>
            <w:noProof/>
          </w:rPr>
          <w:t>’</w:t>
        </w:r>
        <w:r w:rsidRPr="00565F5B">
          <w:rPr>
            <w:rStyle w:val="Hyperlink"/>
            <w:rFonts w:ascii="Arial" w:hAnsi="Arial" w:cs="Arial"/>
            <w:noProof/>
          </w:rPr>
          <w:t>Organisation</w:t>
        </w:r>
        <w:r w:rsidRPr="00565F5B">
          <w:rPr>
            <w:rFonts w:ascii="Arial" w:hAnsi="Arial" w:cs="Arial"/>
            <w:noProof/>
            <w:webHidden/>
          </w:rPr>
          <w:tab/>
        </w:r>
        <w:r w:rsidRPr="00565F5B">
          <w:rPr>
            <w:rFonts w:ascii="Arial" w:hAnsi="Arial" w:cs="Arial"/>
            <w:noProof/>
            <w:webHidden/>
          </w:rPr>
          <w:fldChar w:fldCharType="begin"/>
        </w:r>
        <w:r w:rsidRPr="00565F5B">
          <w:rPr>
            <w:rFonts w:ascii="Arial" w:hAnsi="Arial" w:cs="Arial"/>
            <w:noProof/>
            <w:webHidden/>
          </w:rPr>
          <w:instrText xml:space="preserve"> PAGEREF _Toc199138715 \h </w:instrText>
        </w:r>
        <w:r w:rsidRPr="00565F5B">
          <w:rPr>
            <w:rFonts w:ascii="Arial" w:hAnsi="Arial" w:cs="Arial"/>
            <w:noProof/>
            <w:webHidden/>
          </w:rPr>
        </w:r>
        <w:r w:rsidRPr="00565F5B">
          <w:rPr>
            <w:rFonts w:ascii="Arial" w:hAnsi="Arial" w:cs="Arial"/>
            <w:noProof/>
            <w:webHidden/>
          </w:rPr>
          <w:fldChar w:fldCharType="separate"/>
        </w:r>
        <w:r w:rsidR="00C90090">
          <w:rPr>
            <w:rFonts w:ascii="Arial" w:hAnsi="Arial" w:cs="Arial"/>
            <w:noProof/>
            <w:webHidden/>
          </w:rPr>
          <w:t>21</w:t>
        </w:r>
        <w:r w:rsidRPr="00565F5B">
          <w:rPr>
            <w:rFonts w:ascii="Arial" w:hAnsi="Arial" w:cs="Arial"/>
            <w:noProof/>
            <w:webHidden/>
          </w:rPr>
          <w:fldChar w:fldCharType="end"/>
        </w:r>
      </w:hyperlink>
    </w:p>
    <w:p w14:paraId="053EBEB1" w14:textId="30CA70AE" w:rsidR="00855109" w:rsidRPr="00565F5B" w:rsidRDefault="00855109" w:rsidP="007D3443">
      <w:pPr>
        <w:pStyle w:val="TableofFigures"/>
        <w:tabs>
          <w:tab w:val="left" w:pos="1134"/>
          <w:tab w:val="right" w:leader="dot" w:pos="9072"/>
        </w:tabs>
        <w:ind w:left="1134" w:right="851" w:hanging="1134"/>
        <w:rPr>
          <w:rFonts w:ascii="Arial" w:eastAsiaTheme="minorEastAsia" w:hAnsi="Arial" w:cs="Arial"/>
          <w:noProof/>
          <w:color w:val="auto"/>
          <w:sz w:val="24"/>
        </w:rPr>
      </w:pPr>
      <w:hyperlink w:anchor="_Toc199138716" w:history="1">
        <w:r w:rsidRPr="00565F5B">
          <w:rPr>
            <w:rStyle w:val="Hyperlink"/>
            <w:rFonts w:ascii="Arial" w:hAnsi="Arial" w:cs="Arial"/>
            <w:noProof/>
          </w:rPr>
          <w:t xml:space="preserve">Tableau 2. </w:t>
        </w:r>
        <w:r w:rsidR="00596148" w:rsidRPr="00565F5B">
          <w:rPr>
            <w:rStyle w:val="Hyperlink"/>
            <w:rFonts w:ascii="Arial" w:hAnsi="Arial" w:cs="Arial"/>
            <w:noProof/>
          </w:rPr>
          <w:t xml:space="preserve"> </w:t>
        </w:r>
        <w:r w:rsidRPr="00565F5B">
          <w:rPr>
            <w:rStyle w:val="Hyperlink"/>
            <w:rFonts w:ascii="Arial" w:hAnsi="Arial" w:cs="Arial"/>
            <w:noProof/>
          </w:rPr>
          <w:t>Résultats au regard des budgets (en millions de francs suisses)</w:t>
        </w:r>
        <w:r w:rsidRPr="00565F5B">
          <w:rPr>
            <w:rFonts w:ascii="Arial" w:hAnsi="Arial" w:cs="Arial"/>
            <w:noProof/>
            <w:webHidden/>
          </w:rPr>
          <w:tab/>
        </w:r>
        <w:r w:rsidRPr="00565F5B">
          <w:rPr>
            <w:rFonts w:ascii="Arial" w:hAnsi="Arial" w:cs="Arial"/>
            <w:noProof/>
            <w:webHidden/>
          </w:rPr>
          <w:fldChar w:fldCharType="begin"/>
        </w:r>
        <w:r w:rsidRPr="00565F5B">
          <w:rPr>
            <w:rFonts w:ascii="Arial" w:hAnsi="Arial" w:cs="Arial"/>
            <w:noProof/>
            <w:webHidden/>
          </w:rPr>
          <w:instrText xml:space="preserve"> PAGEREF _Toc199138716 \h </w:instrText>
        </w:r>
        <w:r w:rsidRPr="00565F5B">
          <w:rPr>
            <w:rFonts w:ascii="Arial" w:hAnsi="Arial" w:cs="Arial"/>
            <w:noProof/>
            <w:webHidden/>
          </w:rPr>
        </w:r>
        <w:r w:rsidRPr="00565F5B">
          <w:rPr>
            <w:rFonts w:ascii="Arial" w:hAnsi="Arial" w:cs="Arial"/>
            <w:noProof/>
            <w:webHidden/>
          </w:rPr>
          <w:fldChar w:fldCharType="separate"/>
        </w:r>
        <w:r w:rsidR="00C90090">
          <w:rPr>
            <w:rFonts w:ascii="Arial" w:hAnsi="Arial" w:cs="Arial"/>
            <w:noProof/>
            <w:webHidden/>
          </w:rPr>
          <w:t>22</w:t>
        </w:r>
        <w:r w:rsidRPr="00565F5B">
          <w:rPr>
            <w:rFonts w:ascii="Arial" w:hAnsi="Arial" w:cs="Arial"/>
            <w:noProof/>
            <w:webHidden/>
          </w:rPr>
          <w:fldChar w:fldCharType="end"/>
        </w:r>
      </w:hyperlink>
    </w:p>
    <w:p w14:paraId="53264C5D" w14:textId="10622BA9" w:rsidR="00855109" w:rsidRPr="00565F5B" w:rsidRDefault="00855109" w:rsidP="007D3443">
      <w:pPr>
        <w:pStyle w:val="TableofFigures"/>
        <w:tabs>
          <w:tab w:val="left" w:pos="1134"/>
          <w:tab w:val="right" w:leader="dot" w:pos="9072"/>
        </w:tabs>
        <w:ind w:left="1134" w:right="851" w:hanging="1134"/>
        <w:rPr>
          <w:rFonts w:ascii="Arial" w:eastAsiaTheme="minorEastAsia" w:hAnsi="Arial" w:cs="Arial"/>
          <w:noProof/>
          <w:color w:val="auto"/>
          <w:sz w:val="24"/>
        </w:rPr>
      </w:pPr>
      <w:hyperlink w:anchor="_Toc199138717" w:history="1">
        <w:r w:rsidRPr="00565F5B">
          <w:rPr>
            <w:rStyle w:val="Hyperlink"/>
            <w:rFonts w:ascii="Arial" w:hAnsi="Arial" w:cs="Arial"/>
            <w:noProof/>
          </w:rPr>
          <w:t xml:space="preserve">Tableau 3. </w:t>
        </w:r>
        <w:r w:rsidR="00596148" w:rsidRPr="00565F5B">
          <w:rPr>
            <w:rStyle w:val="Hyperlink"/>
            <w:rFonts w:ascii="Arial" w:hAnsi="Arial" w:cs="Arial"/>
            <w:noProof/>
          </w:rPr>
          <w:t xml:space="preserve"> </w:t>
        </w:r>
        <w:r w:rsidRPr="00565F5B">
          <w:rPr>
            <w:rStyle w:val="Hyperlink"/>
            <w:rFonts w:ascii="Arial" w:hAnsi="Arial" w:cs="Arial"/>
            <w:noProof/>
          </w:rPr>
          <w:t>Récapitulatif de l</w:t>
        </w:r>
        <w:r w:rsidR="00743D89" w:rsidRPr="00565F5B">
          <w:rPr>
            <w:rStyle w:val="Hyperlink"/>
            <w:rFonts w:ascii="Arial" w:hAnsi="Arial" w:cs="Arial"/>
            <w:noProof/>
          </w:rPr>
          <w:t>’</w:t>
        </w:r>
        <w:r w:rsidRPr="00565F5B">
          <w:rPr>
            <w:rStyle w:val="Hyperlink"/>
            <w:rFonts w:ascii="Arial" w:hAnsi="Arial" w:cs="Arial"/>
            <w:noProof/>
          </w:rPr>
          <w:t>état d</w:t>
        </w:r>
        <w:r w:rsidR="00743D89" w:rsidRPr="00565F5B">
          <w:rPr>
            <w:rStyle w:val="Hyperlink"/>
            <w:rFonts w:ascii="Arial" w:hAnsi="Arial" w:cs="Arial"/>
            <w:noProof/>
          </w:rPr>
          <w:t>’</w:t>
        </w:r>
        <w:r w:rsidRPr="00565F5B">
          <w:rPr>
            <w:rStyle w:val="Hyperlink"/>
            <w:rFonts w:ascii="Arial" w:hAnsi="Arial" w:cs="Arial"/>
            <w:noProof/>
          </w:rPr>
          <w:t>avancement de la mise en œuvre des recommandations des vérifications externes des comptes des années précédentes</w:t>
        </w:r>
        <w:r w:rsidR="00565F5B" w:rsidRPr="00565F5B">
          <w:rPr>
            <w:rFonts w:ascii="Arial" w:hAnsi="Arial" w:cs="Arial"/>
            <w:noProof/>
            <w:webHidden/>
          </w:rPr>
          <w:tab/>
        </w:r>
        <w:r w:rsidRPr="00565F5B">
          <w:rPr>
            <w:rFonts w:ascii="Arial" w:hAnsi="Arial" w:cs="Arial"/>
            <w:noProof/>
            <w:webHidden/>
          </w:rPr>
          <w:fldChar w:fldCharType="begin"/>
        </w:r>
        <w:r w:rsidRPr="00565F5B">
          <w:rPr>
            <w:rFonts w:ascii="Arial" w:hAnsi="Arial" w:cs="Arial"/>
            <w:noProof/>
            <w:webHidden/>
          </w:rPr>
          <w:instrText xml:space="preserve"> PAGEREF _Toc199138717 \h </w:instrText>
        </w:r>
        <w:r w:rsidRPr="00565F5B">
          <w:rPr>
            <w:rFonts w:ascii="Arial" w:hAnsi="Arial" w:cs="Arial"/>
            <w:noProof/>
            <w:webHidden/>
          </w:rPr>
        </w:r>
        <w:r w:rsidRPr="00565F5B">
          <w:rPr>
            <w:rFonts w:ascii="Arial" w:hAnsi="Arial" w:cs="Arial"/>
            <w:noProof/>
            <w:webHidden/>
          </w:rPr>
          <w:fldChar w:fldCharType="separate"/>
        </w:r>
        <w:r w:rsidR="00C90090">
          <w:rPr>
            <w:rFonts w:ascii="Arial" w:hAnsi="Arial" w:cs="Arial"/>
            <w:noProof/>
            <w:webHidden/>
          </w:rPr>
          <w:t>36</w:t>
        </w:r>
        <w:r w:rsidRPr="00565F5B">
          <w:rPr>
            <w:rFonts w:ascii="Arial" w:hAnsi="Arial" w:cs="Arial"/>
            <w:noProof/>
            <w:webHidden/>
          </w:rPr>
          <w:fldChar w:fldCharType="end"/>
        </w:r>
      </w:hyperlink>
    </w:p>
    <w:p w14:paraId="731CD4C2" w14:textId="77777777" w:rsidR="00206809" w:rsidRPr="00565F5B" w:rsidRDefault="00855109" w:rsidP="007D3443">
      <w:pPr>
        <w:tabs>
          <w:tab w:val="right" w:leader="dot" w:pos="8789"/>
          <w:tab w:val="right" w:leader="dot" w:pos="9072"/>
        </w:tabs>
        <w:ind w:right="851"/>
        <w:rPr>
          <w:b/>
          <w:color w:val="000000" w:themeColor="text1"/>
          <w:lang w:val="fr-FR"/>
        </w:rPr>
      </w:pPr>
      <w:r w:rsidRPr="00565F5B">
        <w:rPr>
          <w:b/>
          <w:color w:val="000000" w:themeColor="text1"/>
          <w:lang w:val="fr-FR"/>
        </w:rPr>
        <w:fldChar w:fldCharType="end"/>
      </w:r>
    </w:p>
    <w:p w14:paraId="62E8E5FC" w14:textId="77777777" w:rsidR="00687B89" w:rsidRPr="00565F5B" w:rsidRDefault="00687B89" w:rsidP="00E862E4">
      <w:pPr>
        <w:rPr>
          <w:color w:val="365F91" w:themeColor="accent1" w:themeShade="BF"/>
          <w:sz w:val="72"/>
          <w:lang w:val="fr-FR"/>
        </w:rPr>
        <w:sectPr w:rsidR="00687B89" w:rsidRPr="00565F5B" w:rsidSect="00C249FA">
          <w:endnotePr>
            <w:numFmt w:val="decimal"/>
          </w:endnotePr>
          <w:pgSz w:w="11907" w:h="16840" w:orient="landscape" w:code="9"/>
          <w:pgMar w:top="567" w:right="1134" w:bottom="1418" w:left="1418" w:header="510" w:footer="1021" w:gutter="0"/>
          <w:cols w:space="720"/>
          <w:titlePg/>
          <w:docGrid w:linePitch="299"/>
        </w:sectPr>
      </w:pPr>
    </w:p>
    <w:p w14:paraId="2A93E38E" w14:textId="0048E948" w:rsidR="00743D89" w:rsidRPr="005040A4" w:rsidRDefault="009E613B" w:rsidP="009E613B">
      <w:pPr>
        <w:pStyle w:val="Heading1"/>
        <w:spacing w:before="480" w:line="360" w:lineRule="auto"/>
        <w:rPr>
          <w:sz w:val="20"/>
        </w:rPr>
      </w:pPr>
      <w:bookmarkStart w:id="9" w:name="_Toc199153473"/>
      <w:r>
        <w:lastRenderedPageBreak/>
        <w:t>P</w:t>
      </w:r>
      <w:r w:rsidR="00855109" w:rsidRPr="002E182B">
        <w:t>artie</w:t>
      </w:r>
      <w:r>
        <w:t> I –</w:t>
      </w:r>
      <w:r>
        <w:br/>
      </w:r>
      <w:r w:rsidR="00855109" w:rsidRPr="005040A4">
        <w:t>Opinion du vérificateur externe</w:t>
      </w:r>
      <w:r>
        <w:t> </w:t>
      </w:r>
      <w:r w:rsidR="00855109" w:rsidRPr="005040A4">
        <w:t>des comptes</w:t>
      </w:r>
      <w:bookmarkEnd w:id="9"/>
    </w:p>
    <w:p w14:paraId="1BCBEF82" w14:textId="77777777" w:rsidR="00687B89" w:rsidRPr="005040A4" w:rsidRDefault="00687B89" w:rsidP="009E613B">
      <w:pPr>
        <w:spacing w:line="360" w:lineRule="auto"/>
        <w:rPr>
          <w:color w:val="365F91" w:themeColor="accent1" w:themeShade="BF"/>
          <w:sz w:val="20"/>
          <w:szCs w:val="18"/>
          <w:lang w:val="fr-FR"/>
        </w:rPr>
        <w:sectPr w:rsidR="00687B89" w:rsidRPr="005040A4" w:rsidSect="00C249FA">
          <w:endnotePr>
            <w:numFmt w:val="decimal"/>
          </w:endnotePr>
          <w:pgSz w:w="11907" w:h="16840" w:orient="landscape" w:code="9"/>
          <w:pgMar w:top="567" w:right="1134" w:bottom="1418" w:left="1418" w:header="510" w:footer="1021" w:gutter="0"/>
          <w:cols w:space="720"/>
          <w:titlePg/>
          <w:docGrid w:linePitch="299"/>
        </w:sectPr>
      </w:pPr>
      <w:bookmarkStart w:id="10" w:name="_Toc96949251"/>
      <w:bookmarkStart w:id="11" w:name="_Toc192177122"/>
      <w:bookmarkStart w:id="12" w:name="_Toc197205513"/>
      <w:bookmarkStart w:id="13" w:name="_Toc197205630"/>
      <w:bookmarkStart w:id="14" w:name="_Toc197206614"/>
      <w:bookmarkStart w:id="15" w:name="_Toc197206834"/>
      <w:bookmarkStart w:id="16" w:name="_Toc197377464"/>
    </w:p>
    <w:p w14:paraId="403F7668" w14:textId="18E19A34" w:rsidR="00855109" w:rsidRPr="009E613B" w:rsidRDefault="00855109" w:rsidP="009E613B">
      <w:pPr>
        <w:spacing w:after="360"/>
        <w:jc w:val="center"/>
        <w:rPr>
          <w:b/>
          <w:bCs/>
          <w:sz w:val="28"/>
          <w:szCs w:val="28"/>
        </w:rPr>
      </w:pPr>
      <w:r w:rsidRPr="009E613B">
        <w:rPr>
          <w:b/>
          <w:bCs/>
          <w:sz w:val="28"/>
          <w:szCs w:val="28"/>
        </w:rPr>
        <w:lastRenderedPageBreak/>
        <w:t>OPINION D</w:t>
      </w:r>
      <w:r w:rsidR="00743D89" w:rsidRPr="009E613B">
        <w:rPr>
          <w:b/>
          <w:bCs/>
          <w:sz w:val="28"/>
          <w:szCs w:val="28"/>
        </w:rPr>
        <w:t>’</w:t>
      </w:r>
      <w:r w:rsidRPr="009E613B">
        <w:rPr>
          <w:b/>
          <w:bCs/>
          <w:sz w:val="28"/>
          <w:szCs w:val="28"/>
        </w:rPr>
        <w:t>AUDIT</w:t>
      </w:r>
      <w:bookmarkEnd w:id="10"/>
      <w:bookmarkEnd w:id="11"/>
      <w:bookmarkEnd w:id="12"/>
      <w:bookmarkEnd w:id="13"/>
      <w:bookmarkEnd w:id="14"/>
      <w:bookmarkEnd w:id="15"/>
      <w:bookmarkEnd w:id="16"/>
    </w:p>
    <w:p w14:paraId="04302FC4" w14:textId="77777777" w:rsidR="00743D89" w:rsidRPr="005040A4" w:rsidRDefault="00855109" w:rsidP="009E613B">
      <w:pPr>
        <w:autoSpaceDE w:val="0"/>
        <w:autoSpaceDN w:val="0"/>
        <w:adjustRightInd w:val="0"/>
        <w:jc w:val="center"/>
        <w:rPr>
          <w:b/>
          <w:lang w:val="fr-FR"/>
        </w:rPr>
      </w:pPr>
      <w:r w:rsidRPr="005040A4">
        <w:rPr>
          <w:b/>
          <w:lang w:val="fr-FR"/>
        </w:rPr>
        <w:t>CERTIFICAT DU VÉRIFICATEUR EXTERNE DES COMPTES</w:t>
      </w:r>
    </w:p>
    <w:p w14:paraId="26C888B2" w14:textId="77777777" w:rsidR="00743D89" w:rsidRPr="005040A4" w:rsidRDefault="00855109" w:rsidP="009E613B">
      <w:pPr>
        <w:autoSpaceDE w:val="0"/>
        <w:autoSpaceDN w:val="0"/>
        <w:adjustRightInd w:val="0"/>
        <w:jc w:val="center"/>
        <w:rPr>
          <w:b/>
          <w:lang w:val="fr-FR"/>
        </w:rPr>
      </w:pPr>
      <w:r w:rsidRPr="005040A4">
        <w:rPr>
          <w:b/>
          <w:lang w:val="fr-FR"/>
        </w:rPr>
        <w:t>RELATIF AUX ÉTATS FINANCIERS</w:t>
      </w:r>
    </w:p>
    <w:p w14:paraId="62C990DE" w14:textId="03D8BEEE" w:rsidR="00855109" w:rsidRPr="005040A4" w:rsidRDefault="00855109" w:rsidP="009E613B">
      <w:pPr>
        <w:autoSpaceDE w:val="0"/>
        <w:autoSpaceDN w:val="0"/>
        <w:adjustRightInd w:val="0"/>
        <w:jc w:val="center"/>
        <w:rPr>
          <w:b/>
          <w:bCs/>
          <w:lang w:val="fr-FR"/>
        </w:rPr>
      </w:pPr>
      <w:r w:rsidRPr="005040A4">
        <w:rPr>
          <w:b/>
          <w:lang w:val="fr-FR"/>
        </w:rPr>
        <w:t>DE L</w:t>
      </w:r>
      <w:r w:rsidR="00743D89" w:rsidRPr="005040A4">
        <w:rPr>
          <w:b/>
          <w:lang w:val="fr-FR"/>
        </w:rPr>
        <w:t>’</w:t>
      </w:r>
      <w:r w:rsidRPr="005040A4">
        <w:rPr>
          <w:b/>
          <w:lang w:val="fr-FR"/>
        </w:rPr>
        <w:t>ORGANISATION MONDIALE DE LA PROPRIÉTÉ INTELLECTUELLE</w:t>
      </w:r>
    </w:p>
    <w:p w14:paraId="69C76E69" w14:textId="368703A4" w:rsidR="00855109" w:rsidRPr="005040A4" w:rsidRDefault="00855109" w:rsidP="009E613B">
      <w:pPr>
        <w:autoSpaceDE w:val="0"/>
        <w:autoSpaceDN w:val="0"/>
        <w:adjustRightInd w:val="0"/>
        <w:spacing w:after="360"/>
        <w:jc w:val="center"/>
        <w:rPr>
          <w:b/>
          <w:bCs/>
          <w:lang w:val="fr-FR"/>
        </w:rPr>
      </w:pPr>
      <w:r w:rsidRPr="005040A4">
        <w:rPr>
          <w:b/>
          <w:lang w:val="fr-FR"/>
        </w:rPr>
        <w:t>TELS QU</w:t>
      </w:r>
      <w:r w:rsidR="00743D89" w:rsidRPr="005040A4">
        <w:rPr>
          <w:b/>
          <w:lang w:val="fr-FR"/>
        </w:rPr>
        <w:t>’</w:t>
      </w:r>
      <w:r w:rsidRPr="005040A4">
        <w:rPr>
          <w:b/>
          <w:lang w:val="fr-FR"/>
        </w:rPr>
        <w:t>ÉTABLIS POUR L</w:t>
      </w:r>
      <w:r w:rsidR="00743D89" w:rsidRPr="005040A4">
        <w:rPr>
          <w:b/>
          <w:lang w:val="fr-FR"/>
        </w:rPr>
        <w:t>’</w:t>
      </w:r>
      <w:r w:rsidRPr="005040A4">
        <w:rPr>
          <w:b/>
          <w:lang w:val="fr-FR"/>
        </w:rPr>
        <w:t>EXERCICE FINANCIER CLOS LE 31 DÉCEMBRE 2024</w:t>
      </w:r>
    </w:p>
    <w:p w14:paraId="11F92C21" w14:textId="3A555081" w:rsidR="00855109" w:rsidRPr="005040A4" w:rsidRDefault="00855109" w:rsidP="009E613B">
      <w:pPr>
        <w:autoSpaceDE w:val="0"/>
        <w:autoSpaceDN w:val="0"/>
        <w:adjustRightInd w:val="0"/>
        <w:spacing w:before="480" w:after="480"/>
        <w:jc w:val="both"/>
        <w:rPr>
          <w:b/>
          <w:bCs/>
          <w:color w:val="000000"/>
          <w:szCs w:val="22"/>
          <w:lang w:val="fr-FR"/>
        </w:rPr>
      </w:pPr>
      <w:r w:rsidRPr="005040A4">
        <w:rPr>
          <w:color w:val="000000"/>
          <w:lang w:val="fr-FR"/>
        </w:rPr>
        <w:t>À l</w:t>
      </w:r>
      <w:r w:rsidR="00743D89" w:rsidRPr="005040A4">
        <w:rPr>
          <w:color w:val="000000"/>
          <w:lang w:val="fr-FR"/>
        </w:rPr>
        <w:t>’</w:t>
      </w:r>
      <w:r w:rsidRPr="005040A4">
        <w:rPr>
          <w:color w:val="000000"/>
          <w:lang w:val="fr-FR"/>
        </w:rPr>
        <w:t>attention de l</w:t>
      </w:r>
      <w:r w:rsidR="00743D89" w:rsidRPr="005040A4">
        <w:rPr>
          <w:color w:val="000000"/>
          <w:lang w:val="fr-FR"/>
        </w:rPr>
        <w:t>’</w:t>
      </w:r>
      <w:r w:rsidRPr="005040A4">
        <w:rPr>
          <w:color w:val="000000"/>
          <w:lang w:val="fr-FR"/>
        </w:rPr>
        <w:t>Assemblée générale de l</w:t>
      </w:r>
      <w:r w:rsidR="00743D89" w:rsidRPr="005040A4">
        <w:rPr>
          <w:color w:val="000000"/>
          <w:lang w:val="fr-FR"/>
        </w:rPr>
        <w:t>’</w:t>
      </w:r>
      <w:r w:rsidRPr="005040A4">
        <w:rPr>
          <w:color w:val="000000"/>
          <w:lang w:val="fr-FR"/>
        </w:rPr>
        <w:t>Organisation Mondiale de la Propriété Intellectuelle</w:t>
      </w:r>
    </w:p>
    <w:p w14:paraId="1F1EBBD7" w14:textId="77777777" w:rsidR="00855109" w:rsidRPr="009E613B" w:rsidRDefault="00855109" w:rsidP="009E613B">
      <w:pPr>
        <w:keepNext/>
        <w:spacing w:before="360" w:after="220"/>
        <w:rPr>
          <w:b/>
          <w:bCs/>
        </w:rPr>
      </w:pPr>
      <w:bookmarkStart w:id="17" w:name="_Toc197205514"/>
      <w:bookmarkStart w:id="18" w:name="_Toc197205631"/>
      <w:bookmarkStart w:id="19" w:name="_Toc197206615"/>
      <w:bookmarkStart w:id="20" w:name="_Toc197206835"/>
      <w:bookmarkStart w:id="21" w:name="_Toc197377465"/>
      <w:r w:rsidRPr="009E613B">
        <w:rPr>
          <w:b/>
          <w:bCs/>
        </w:rPr>
        <w:t>Opinion sur les états financiers</w:t>
      </w:r>
      <w:bookmarkEnd w:id="17"/>
      <w:bookmarkEnd w:id="18"/>
      <w:bookmarkEnd w:id="19"/>
      <w:bookmarkEnd w:id="20"/>
      <w:bookmarkEnd w:id="21"/>
    </w:p>
    <w:p w14:paraId="7918F660" w14:textId="4EA83694" w:rsidR="00855109" w:rsidRPr="005040A4" w:rsidRDefault="00855109" w:rsidP="009E613B">
      <w:pPr>
        <w:autoSpaceDE w:val="0"/>
        <w:autoSpaceDN w:val="0"/>
        <w:adjustRightInd w:val="0"/>
        <w:spacing w:after="220"/>
        <w:jc w:val="both"/>
        <w:rPr>
          <w:szCs w:val="22"/>
          <w:lang w:val="fr-FR"/>
        </w:rPr>
      </w:pPr>
      <w:r w:rsidRPr="005040A4">
        <w:rPr>
          <w:lang w:val="fr-FR"/>
        </w:rPr>
        <w:t>Nous avons procédé à la vérification des états financiers de l</w:t>
      </w:r>
      <w:r w:rsidR="00743D89" w:rsidRPr="005040A4">
        <w:rPr>
          <w:lang w:val="fr-FR"/>
        </w:rPr>
        <w:t>’</w:t>
      </w:r>
      <w:r w:rsidRPr="005040A4">
        <w:rPr>
          <w:lang w:val="fr-FR"/>
        </w:rPr>
        <w:t>Organisation Mondiale de la Propriété Intellectuelle (l</w:t>
      </w:r>
      <w:r w:rsidR="00743D89" w:rsidRPr="005040A4">
        <w:rPr>
          <w:lang w:val="fr-FR"/>
        </w:rPr>
        <w:t>’</w:t>
      </w:r>
      <w:r w:rsidRPr="005040A4">
        <w:rPr>
          <w:lang w:val="fr-FR"/>
        </w:rPr>
        <w:t>Organisation), qui se composent des éléments suivants</w:t>
      </w:r>
      <w:r w:rsidR="00743D89" w:rsidRPr="005040A4">
        <w:rPr>
          <w:lang w:val="fr-FR"/>
        </w:rPr>
        <w:t> :</w:t>
      </w:r>
      <w:r w:rsidRPr="005040A4">
        <w:rPr>
          <w:lang w:val="fr-FR"/>
        </w:rPr>
        <w:t xml:space="preserve"> l</w:t>
      </w:r>
      <w:r w:rsidR="00743D89" w:rsidRPr="005040A4">
        <w:rPr>
          <w:lang w:val="fr-FR"/>
        </w:rPr>
        <w:t>’</w:t>
      </w:r>
      <w:r w:rsidRPr="005040A4">
        <w:rPr>
          <w:lang w:val="fr-FR"/>
        </w:rPr>
        <w:t>état de la situation financière au 31 décembre 2024;  l</w:t>
      </w:r>
      <w:r w:rsidR="00743D89" w:rsidRPr="005040A4">
        <w:rPr>
          <w:lang w:val="fr-FR"/>
        </w:rPr>
        <w:t>’</w:t>
      </w:r>
      <w:r w:rsidRPr="005040A4">
        <w:rPr>
          <w:lang w:val="fr-FR"/>
        </w:rPr>
        <w:t>état de la performance financière;  l</w:t>
      </w:r>
      <w:r w:rsidR="00743D89" w:rsidRPr="005040A4">
        <w:rPr>
          <w:lang w:val="fr-FR"/>
        </w:rPr>
        <w:t>’</w:t>
      </w:r>
      <w:r w:rsidRPr="005040A4">
        <w:rPr>
          <w:lang w:val="fr-FR"/>
        </w:rPr>
        <w:t>état des variations concernant les actifs nets;  l</w:t>
      </w:r>
      <w:r w:rsidR="00743D89" w:rsidRPr="005040A4">
        <w:rPr>
          <w:lang w:val="fr-FR"/>
        </w:rPr>
        <w:t>’</w:t>
      </w:r>
      <w:r w:rsidRPr="005040A4">
        <w:rPr>
          <w:lang w:val="fr-FR"/>
        </w:rPr>
        <w:t>état des flux de trésorerie;  l</w:t>
      </w:r>
      <w:r w:rsidR="00743D89" w:rsidRPr="005040A4">
        <w:rPr>
          <w:lang w:val="fr-FR"/>
        </w:rPr>
        <w:t>’</w:t>
      </w:r>
      <w:r w:rsidRPr="005040A4">
        <w:rPr>
          <w:lang w:val="fr-FR"/>
        </w:rPr>
        <w:t>état de comparaison des montants budgétaires et des montants réels pour l</w:t>
      </w:r>
      <w:r w:rsidR="00743D89" w:rsidRPr="005040A4">
        <w:rPr>
          <w:lang w:val="fr-FR"/>
        </w:rPr>
        <w:t>’</w:t>
      </w:r>
      <w:r w:rsidRPr="005040A4">
        <w:rPr>
          <w:lang w:val="fr-FR"/>
        </w:rPr>
        <w:t>exercice clos à cette date, ainsi que les notes relatives aux états financiers.</w:t>
      </w:r>
    </w:p>
    <w:p w14:paraId="48A8DCAE" w14:textId="10CCF401" w:rsidR="00743D89" w:rsidRPr="005040A4" w:rsidRDefault="00855109" w:rsidP="009E613B">
      <w:pPr>
        <w:autoSpaceDE w:val="0"/>
        <w:autoSpaceDN w:val="0"/>
        <w:adjustRightInd w:val="0"/>
        <w:spacing w:after="220"/>
        <w:jc w:val="both"/>
        <w:rPr>
          <w:lang w:val="fr-FR"/>
        </w:rPr>
      </w:pPr>
      <w:r w:rsidRPr="005040A4">
        <w:rPr>
          <w:lang w:val="fr-FR"/>
        </w:rPr>
        <w:t>À notre avis, les états financiers donnent une image fidèle, dans tous leurs aspects significatifs, de la situation financière au 31 décembre 2024, ainsi que de la performance financière et des flux de trésorerie de l</w:t>
      </w:r>
      <w:r w:rsidR="00743D89" w:rsidRPr="005040A4">
        <w:rPr>
          <w:lang w:val="fr-FR"/>
        </w:rPr>
        <w:t>’</w:t>
      </w:r>
      <w:r w:rsidRPr="005040A4">
        <w:rPr>
          <w:lang w:val="fr-FR"/>
        </w:rPr>
        <w:t>Organisation pour l</w:t>
      </w:r>
      <w:r w:rsidR="00743D89" w:rsidRPr="005040A4">
        <w:rPr>
          <w:lang w:val="fr-FR"/>
        </w:rPr>
        <w:t>’</w:t>
      </w:r>
      <w:r w:rsidRPr="005040A4">
        <w:rPr>
          <w:lang w:val="fr-FR"/>
        </w:rPr>
        <w:t>exercice clos à cette date, conformément aux normes comptables internationales pour le secteur public (normes</w:t>
      </w:r>
      <w:r w:rsidR="001B7F27" w:rsidRPr="005040A4">
        <w:rPr>
          <w:lang w:val="fr-FR"/>
        </w:rPr>
        <w:t> </w:t>
      </w:r>
      <w:r w:rsidRPr="005040A4">
        <w:rPr>
          <w:lang w:val="fr-FR"/>
        </w:rPr>
        <w:t>IPSAS).</w:t>
      </w:r>
    </w:p>
    <w:p w14:paraId="11EEA260" w14:textId="7630C956" w:rsidR="00855109" w:rsidRPr="009E613B" w:rsidRDefault="00855109" w:rsidP="009E613B">
      <w:pPr>
        <w:keepNext/>
        <w:spacing w:before="360" w:after="220"/>
        <w:rPr>
          <w:b/>
          <w:bCs/>
        </w:rPr>
      </w:pPr>
      <w:bookmarkStart w:id="22" w:name="_Toc197205515"/>
      <w:bookmarkStart w:id="23" w:name="_Toc197205632"/>
      <w:bookmarkStart w:id="24" w:name="_Toc197206616"/>
      <w:bookmarkStart w:id="25" w:name="_Toc197206836"/>
      <w:bookmarkStart w:id="26" w:name="_Toc197377466"/>
      <w:r w:rsidRPr="009E613B">
        <w:rPr>
          <w:b/>
          <w:bCs/>
        </w:rPr>
        <w:t>Opinion sur la régularité</w:t>
      </w:r>
      <w:bookmarkEnd w:id="22"/>
      <w:bookmarkEnd w:id="23"/>
      <w:bookmarkEnd w:id="24"/>
      <w:bookmarkEnd w:id="25"/>
      <w:bookmarkEnd w:id="26"/>
    </w:p>
    <w:p w14:paraId="0AD8039C" w14:textId="4AD37DCC" w:rsidR="00855109" w:rsidRPr="005040A4" w:rsidRDefault="00855109" w:rsidP="009E613B">
      <w:pPr>
        <w:autoSpaceDE w:val="0"/>
        <w:autoSpaceDN w:val="0"/>
        <w:adjustRightInd w:val="0"/>
        <w:spacing w:after="220"/>
        <w:jc w:val="both"/>
        <w:rPr>
          <w:b/>
          <w:bCs/>
          <w:szCs w:val="22"/>
          <w:lang w:val="fr-FR"/>
        </w:rPr>
      </w:pPr>
      <w:r w:rsidRPr="005040A4">
        <w:rPr>
          <w:lang w:val="fr-FR"/>
        </w:rPr>
        <w:t>À notre avis, dans tous les aspects significatifs, les recettes et les dépenses ont été appliquées au service des objectifs visés par l</w:t>
      </w:r>
      <w:r w:rsidR="00743D89" w:rsidRPr="005040A4">
        <w:rPr>
          <w:lang w:val="fr-FR"/>
        </w:rPr>
        <w:t>’</w:t>
      </w:r>
      <w:r w:rsidRPr="005040A4">
        <w:rPr>
          <w:lang w:val="fr-FR"/>
        </w:rPr>
        <w:t>Assemblée générale de l</w:t>
      </w:r>
      <w:r w:rsidR="00743D89" w:rsidRPr="005040A4">
        <w:rPr>
          <w:lang w:val="fr-FR"/>
        </w:rPr>
        <w:t>’</w:t>
      </w:r>
      <w:r w:rsidRPr="005040A4">
        <w:rPr>
          <w:lang w:val="fr-FR"/>
        </w:rPr>
        <w:t>Organisation et les transactions financières sont conformes au Règlement financier de l</w:t>
      </w:r>
      <w:r w:rsidR="00743D89" w:rsidRPr="005040A4">
        <w:rPr>
          <w:lang w:val="fr-FR"/>
        </w:rPr>
        <w:t>’</w:t>
      </w:r>
      <w:r w:rsidRPr="005040A4">
        <w:rPr>
          <w:lang w:val="fr-FR"/>
        </w:rPr>
        <w:t>Organisation.</w:t>
      </w:r>
    </w:p>
    <w:p w14:paraId="427584F8" w14:textId="128B3BD0" w:rsidR="00743D89" w:rsidRPr="009E613B" w:rsidRDefault="00855109" w:rsidP="009E613B">
      <w:pPr>
        <w:keepNext/>
        <w:spacing w:before="360" w:after="220"/>
        <w:rPr>
          <w:b/>
          <w:bCs/>
        </w:rPr>
      </w:pPr>
      <w:bookmarkStart w:id="27" w:name="_Toc197205516"/>
      <w:bookmarkStart w:id="28" w:name="_Toc197205633"/>
      <w:bookmarkStart w:id="29" w:name="_Toc197206617"/>
      <w:bookmarkStart w:id="30" w:name="_Toc197206837"/>
      <w:bookmarkStart w:id="31" w:name="_Toc197377467"/>
      <w:r w:rsidRPr="009E613B">
        <w:rPr>
          <w:b/>
          <w:bCs/>
        </w:rPr>
        <w:t>Base de l</w:t>
      </w:r>
      <w:r w:rsidR="00743D89" w:rsidRPr="009E613B">
        <w:rPr>
          <w:b/>
          <w:bCs/>
        </w:rPr>
        <w:t>’</w:t>
      </w:r>
      <w:r w:rsidRPr="009E613B">
        <w:rPr>
          <w:b/>
          <w:bCs/>
        </w:rPr>
        <w:t>opinion</w:t>
      </w:r>
      <w:bookmarkEnd w:id="27"/>
      <w:bookmarkEnd w:id="28"/>
      <w:bookmarkEnd w:id="29"/>
      <w:bookmarkEnd w:id="30"/>
      <w:bookmarkEnd w:id="31"/>
    </w:p>
    <w:p w14:paraId="08D8B027" w14:textId="2EF07F8C" w:rsidR="00743D89" w:rsidRPr="005040A4" w:rsidRDefault="00855109" w:rsidP="009E613B">
      <w:pPr>
        <w:autoSpaceDE w:val="0"/>
        <w:autoSpaceDN w:val="0"/>
        <w:adjustRightInd w:val="0"/>
        <w:spacing w:after="220"/>
        <w:jc w:val="both"/>
        <w:rPr>
          <w:lang w:val="fr-FR"/>
        </w:rPr>
      </w:pPr>
      <w:r w:rsidRPr="005040A4">
        <w:rPr>
          <w:lang w:val="fr-FR"/>
        </w:rPr>
        <w:t>Nous avons effectué notre vérification conformément aux Normes internationales d</w:t>
      </w:r>
      <w:r w:rsidR="00743D89" w:rsidRPr="005040A4">
        <w:rPr>
          <w:lang w:val="fr-FR"/>
        </w:rPr>
        <w:t>’</w:t>
      </w:r>
      <w:r w:rsidRPr="005040A4">
        <w:rPr>
          <w:lang w:val="fr-FR"/>
        </w:rPr>
        <w:t>audit (ISA) et au Règlement financier de l</w:t>
      </w:r>
      <w:r w:rsidR="00743D89" w:rsidRPr="005040A4">
        <w:rPr>
          <w:lang w:val="fr-FR"/>
        </w:rPr>
        <w:t>’</w:t>
      </w:r>
      <w:r w:rsidRPr="005040A4">
        <w:rPr>
          <w:lang w:val="fr-FR"/>
        </w:rPr>
        <w:t>Organisati</w:t>
      </w:r>
      <w:r w:rsidR="005652C9" w:rsidRPr="005040A4">
        <w:rPr>
          <w:lang w:val="fr-FR"/>
        </w:rPr>
        <w:t>on.  No</w:t>
      </w:r>
      <w:r w:rsidRPr="005040A4">
        <w:rPr>
          <w:lang w:val="fr-FR"/>
        </w:rPr>
        <w:t>s responsabilités au titre de ces normes sont expliquées dans la section de notre rapport relative aux responsabilités du vérificateur concernant la vérification des états financiers.</w:t>
      </w:r>
    </w:p>
    <w:p w14:paraId="6DB8B90F" w14:textId="3363CCA6" w:rsidR="00743D89" w:rsidRPr="005040A4" w:rsidRDefault="00855109" w:rsidP="009E613B">
      <w:pPr>
        <w:autoSpaceDE w:val="0"/>
        <w:autoSpaceDN w:val="0"/>
        <w:adjustRightInd w:val="0"/>
        <w:spacing w:after="220"/>
        <w:jc w:val="both"/>
        <w:rPr>
          <w:lang w:val="fr-FR"/>
        </w:rPr>
      </w:pPr>
      <w:r w:rsidRPr="005040A4">
        <w:rPr>
          <w:lang w:val="fr-FR"/>
        </w:rPr>
        <w:t>Nous sommes indépendants de l</w:t>
      </w:r>
      <w:r w:rsidR="00743D89" w:rsidRPr="005040A4">
        <w:rPr>
          <w:lang w:val="fr-FR"/>
        </w:rPr>
        <w:t>’</w:t>
      </w:r>
      <w:r w:rsidRPr="005040A4">
        <w:rPr>
          <w:lang w:val="fr-FR"/>
        </w:rPr>
        <w:t>Organisation conformément aux exigences d</w:t>
      </w:r>
      <w:r w:rsidR="00743D89" w:rsidRPr="005040A4">
        <w:rPr>
          <w:lang w:val="fr-FR"/>
        </w:rPr>
        <w:t>’</w:t>
      </w:r>
      <w:r w:rsidRPr="005040A4">
        <w:rPr>
          <w:lang w:val="fr-FR"/>
        </w:rPr>
        <w:t>éthique pertinentes dans le cadre de notre vérification des états financiers et nous avons rempli nos autres responsabilités éthiques en respectant ces exigences.</w:t>
      </w:r>
    </w:p>
    <w:p w14:paraId="27E0E0C8" w14:textId="7BEA7C8A" w:rsidR="00206809" w:rsidRPr="005040A4" w:rsidRDefault="00855109" w:rsidP="009E613B">
      <w:pPr>
        <w:autoSpaceDE w:val="0"/>
        <w:autoSpaceDN w:val="0"/>
        <w:adjustRightInd w:val="0"/>
        <w:spacing w:after="220"/>
        <w:jc w:val="both"/>
        <w:rPr>
          <w:lang w:val="fr-FR"/>
        </w:rPr>
      </w:pPr>
      <w:r w:rsidRPr="005040A4">
        <w:rPr>
          <w:lang w:val="fr-FR"/>
        </w:rPr>
        <w:t>Nous estimons que les éléments probants recueillis sont suffisants et appropriés pour fonder notre opinion.</w:t>
      </w:r>
      <w:bookmarkStart w:id="32" w:name="_Toc197377468"/>
      <w:bookmarkStart w:id="33" w:name="_Toc197205517"/>
      <w:bookmarkStart w:id="34" w:name="_Toc197205634"/>
      <w:bookmarkStart w:id="35" w:name="_Toc197206618"/>
      <w:bookmarkStart w:id="36" w:name="_Toc197206838"/>
    </w:p>
    <w:p w14:paraId="09585B91" w14:textId="77777777" w:rsidR="00687B89" w:rsidRPr="005040A4" w:rsidRDefault="00687B89" w:rsidP="009E613B">
      <w:pPr>
        <w:spacing w:after="220"/>
        <w:rPr>
          <w:lang w:val="fr-FR"/>
        </w:rPr>
        <w:sectPr w:rsidR="00687B89" w:rsidRPr="005040A4" w:rsidSect="00C249FA">
          <w:headerReference w:type="first" r:id="rId20"/>
          <w:endnotePr>
            <w:numFmt w:val="decimal"/>
          </w:endnotePr>
          <w:pgSz w:w="11907" w:h="16840" w:orient="landscape" w:code="9"/>
          <w:pgMar w:top="567" w:right="1134" w:bottom="1418" w:left="1418" w:header="510" w:footer="1021" w:gutter="0"/>
          <w:cols w:space="720"/>
          <w:titlePg/>
          <w:docGrid w:linePitch="299"/>
        </w:sectPr>
      </w:pPr>
    </w:p>
    <w:p w14:paraId="619CBB47" w14:textId="791C1B57" w:rsidR="00855109" w:rsidRPr="009E613B" w:rsidRDefault="00855109" w:rsidP="009E613B">
      <w:pPr>
        <w:keepNext/>
        <w:spacing w:before="360" w:after="220"/>
        <w:rPr>
          <w:b/>
          <w:bCs/>
        </w:rPr>
      </w:pPr>
      <w:r w:rsidRPr="009E613B">
        <w:rPr>
          <w:b/>
          <w:bCs/>
        </w:rPr>
        <w:lastRenderedPageBreak/>
        <w:t>Questions diverses</w:t>
      </w:r>
      <w:bookmarkEnd w:id="32"/>
    </w:p>
    <w:p w14:paraId="54C988BB" w14:textId="00DCA18E" w:rsidR="00855109" w:rsidRPr="005040A4" w:rsidRDefault="00855109" w:rsidP="009E613B">
      <w:pPr>
        <w:spacing w:after="220"/>
        <w:jc w:val="both"/>
        <w:rPr>
          <w:lang w:val="fr-FR"/>
        </w:rPr>
      </w:pPr>
      <w:r w:rsidRPr="005040A4">
        <w:rPr>
          <w:lang w:val="fr-FR"/>
        </w:rPr>
        <w:t>Les états financiers de l</w:t>
      </w:r>
      <w:r w:rsidR="00743D89" w:rsidRPr="005040A4">
        <w:rPr>
          <w:lang w:val="fr-FR"/>
        </w:rPr>
        <w:t>’</w:t>
      </w:r>
      <w:r w:rsidRPr="005040A4">
        <w:rPr>
          <w:lang w:val="fr-FR"/>
        </w:rPr>
        <w:t>Organisation pour l</w:t>
      </w:r>
      <w:r w:rsidR="00743D89" w:rsidRPr="005040A4">
        <w:rPr>
          <w:lang w:val="fr-FR"/>
        </w:rPr>
        <w:t>’</w:t>
      </w:r>
      <w:r w:rsidRPr="005040A4">
        <w:rPr>
          <w:lang w:val="fr-FR"/>
        </w:rPr>
        <w:t>exercice clos le 31 décembre 2023 ont été vérifiés par le Bureau national de vérification des comptes du Royaume</w:t>
      </w:r>
      <w:r w:rsidR="00C249FA" w:rsidRPr="005040A4">
        <w:rPr>
          <w:lang w:val="fr-FR"/>
        </w:rPr>
        <w:noBreakHyphen/>
      </w:r>
      <w:r w:rsidRPr="005040A4">
        <w:rPr>
          <w:lang w:val="fr-FR"/>
        </w:rPr>
        <w:t>Uni, qui a émis une opinion sans réserve sur ces états le 14 mai 2024.</w:t>
      </w:r>
    </w:p>
    <w:p w14:paraId="5812E023" w14:textId="77777777" w:rsidR="00743D89" w:rsidRPr="009E613B" w:rsidRDefault="00855109" w:rsidP="009E613B">
      <w:pPr>
        <w:keepNext/>
        <w:spacing w:before="360" w:after="220"/>
        <w:rPr>
          <w:b/>
          <w:bCs/>
        </w:rPr>
      </w:pPr>
      <w:bookmarkStart w:id="37" w:name="_Toc197377469"/>
      <w:r w:rsidRPr="009E613B">
        <w:rPr>
          <w:b/>
          <w:bCs/>
        </w:rPr>
        <w:t>Autres informations</w:t>
      </w:r>
      <w:bookmarkEnd w:id="33"/>
      <w:bookmarkEnd w:id="34"/>
      <w:bookmarkEnd w:id="35"/>
      <w:bookmarkEnd w:id="36"/>
      <w:bookmarkEnd w:id="37"/>
    </w:p>
    <w:p w14:paraId="59EEE94B" w14:textId="6AF733E4" w:rsidR="00743D89" w:rsidRPr="005040A4" w:rsidRDefault="00855109" w:rsidP="009E613B">
      <w:pPr>
        <w:autoSpaceDE w:val="0"/>
        <w:autoSpaceDN w:val="0"/>
        <w:adjustRightInd w:val="0"/>
        <w:spacing w:after="220"/>
        <w:jc w:val="both"/>
        <w:rPr>
          <w:lang w:val="fr-FR"/>
        </w:rPr>
      </w:pPr>
      <w:r w:rsidRPr="005040A4">
        <w:rPr>
          <w:lang w:val="fr-FR"/>
        </w:rPr>
        <w:t>La direction est responsable des autres informatio</w:t>
      </w:r>
      <w:r w:rsidR="005652C9" w:rsidRPr="005040A4">
        <w:rPr>
          <w:lang w:val="fr-FR"/>
        </w:rPr>
        <w:t>ns.  Il</w:t>
      </w:r>
      <w:r w:rsidRPr="005040A4">
        <w:rPr>
          <w:lang w:val="fr-FR"/>
        </w:rPr>
        <w:t xml:space="preserve"> s</w:t>
      </w:r>
      <w:r w:rsidR="00743D89" w:rsidRPr="005040A4">
        <w:rPr>
          <w:lang w:val="fr-FR"/>
        </w:rPr>
        <w:t>’</w:t>
      </w:r>
      <w:r w:rsidRPr="005040A4">
        <w:rPr>
          <w:lang w:val="fr-FR"/>
        </w:rPr>
        <w:t xml:space="preserve">agit notamment des informations </w:t>
      </w:r>
      <w:r w:rsidRPr="004F2284">
        <w:rPr>
          <w:lang w:val="fr-FR"/>
        </w:rPr>
        <w:t xml:space="preserve">figurant dans la déclaration du Directeur </w:t>
      </w:r>
      <w:r w:rsidR="00C728D1" w:rsidRPr="004F2284">
        <w:rPr>
          <w:lang w:val="fr-FR"/>
        </w:rPr>
        <w:t xml:space="preserve">général </w:t>
      </w:r>
      <w:r w:rsidRPr="004F2284">
        <w:rPr>
          <w:lang w:val="fr-FR"/>
        </w:rPr>
        <w:t>présentée ci</w:t>
      </w:r>
      <w:r w:rsidR="00C249FA" w:rsidRPr="004F2284">
        <w:rPr>
          <w:lang w:val="fr-FR"/>
        </w:rPr>
        <w:noBreakHyphen/>
      </w:r>
      <w:r w:rsidRPr="004F2284">
        <w:rPr>
          <w:lang w:val="fr-FR"/>
        </w:rPr>
        <w:t>après, mais cela n</w:t>
      </w:r>
      <w:r w:rsidR="00743D89" w:rsidRPr="004F2284">
        <w:rPr>
          <w:lang w:val="fr-FR"/>
        </w:rPr>
        <w:t>’</w:t>
      </w:r>
      <w:r w:rsidRPr="004F2284">
        <w:rPr>
          <w:lang w:val="fr-FR"/>
        </w:rPr>
        <w:t>inclut pas les</w:t>
      </w:r>
      <w:r w:rsidRPr="005040A4">
        <w:rPr>
          <w:lang w:val="fr-FR"/>
        </w:rPr>
        <w:t xml:space="preserve"> états financiers ni le rapport de notre vérificateur à ce sujet.</w:t>
      </w:r>
    </w:p>
    <w:p w14:paraId="60665507" w14:textId="77777777" w:rsidR="00743D89" w:rsidRPr="005040A4" w:rsidRDefault="00855109" w:rsidP="009E613B">
      <w:pPr>
        <w:autoSpaceDE w:val="0"/>
        <w:autoSpaceDN w:val="0"/>
        <w:adjustRightInd w:val="0"/>
        <w:spacing w:after="220"/>
        <w:jc w:val="both"/>
        <w:rPr>
          <w:lang w:val="fr-FR"/>
        </w:rPr>
      </w:pPr>
      <w:r w:rsidRPr="005040A4">
        <w:rPr>
          <w:lang w:val="fr-FR"/>
        </w:rPr>
        <w:t>Notre opinion sur les états financiers ne concerne pas les autres informations et, sauf indication contraire explicite dans notre rapport, nous ne formulons aucune conclusion ferme à ce sujet.</w:t>
      </w:r>
    </w:p>
    <w:p w14:paraId="2E56A855" w14:textId="518443EF" w:rsidR="00855109" w:rsidRPr="005040A4" w:rsidRDefault="00855109" w:rsidP="009E613B">
      <w:pPr>
        <w:autoSpaceDE w:val="0"/>
        <w:autoSpaceDN w:val="0"/>
        <w:adjustRightInd w:val="0"/>
        <w:spacing w:after="220"/>
        <w:jc w:val="both"/>
        <w:rPr>
          <w:szCs w:val="22"/>
          <w:lang w:val="fr-FR"/>
        </w:rPr>
      </w:pPr>
      <w:r w:rsidRPr="005040A4">
        <w:rPr>
          <w:lang w:val="fr-FR"/>
        </w:rPr>
        <w:t>Notre responsabilité est de lire les autres informations et, ce faisant, de déterminer si elles sont significativement incompatibles avec les états financiers ou si nos connaissances issues de la vérification des comptes ou d</w:t>
      </w:r>
      <w:r w:rsidR="00743D89" w:rsidRPr="005040A4">
        <w:rPr>
          <w:lang w:val="fr-FR"/>
        </w:rPr>
        <w:t>’</w:t>
      </w:r>
      <w:r w:rsidRPr="005040A4">
        <w:rPr>
          <w:lang w:val="fr-FR"/>
        </w:rPr>
        <w:t>autres sources semblent présenter des erreurs important</w:t>
      </w:r>
      <w:r w:rsidR="005652C9" w:rsidRPr="005040A4">
        <w:rPr>
          <w:lang w:val="fr-FR"/>
        </w:rPr>
        <w:t>es.  Si</w:t>
      </w:r>
      <w:r w:rsidRPr="005040A4">
        <w:rPr>
          <w:lang w:val="fr-FR"/>
        </w:rPr>
        <w:t>, sur la base du travail que nous avons accompli, nous concluons que ces autres informations présentent une anomalie significative, nous sommes tenus de le signal</w:t>
      </w:r>
      <w:r w:rsidR="005652C9" w:rsidRPr="005040A4">
        <w:rPr>
          <w:lang w:val="fr-FR"/>
        </w:rPr>
        <w:t>er.  No</w:t>
      </w:r>
      <w:r w:rsidRPr="005040A4">
        <w:rPr>
          <w:lang w:val="fr-FR"/>
        </w:rPr>
        <w:t>us n</w:t>
      </w:r>
      <w:r w:rsidR="00743D89" w:rsidRPr="005040A4">
        <w:rPr>
          <w:lang w:val="fr-FR"/>
        </w:rPr>
        <w:t>’</w:t>
      </w:r>
      <w:r w:rsidRPr="005040A4">
        <w:rPr>
          <w:lang w:val="fr-FR"/>
        </w:rPr>
        <w:t>avons rien à signaler à ce sujet.</w:t>
      </w:r>
    </w:p>
    <w:p w14:paraId="4D8480E5" w14:textId="77777777" w:rsidR="00855109" w:rsidRPr="009E613B" w:rsidRDefault="00855109" w:rsidP="009E613B">
      <w:pPr>
        <w:keepNext/>
        <w:spacing w:before="360" w:after="220"/>
        <w:rPr>
          <w:b/>
          <w:bCs/>
        </w:rPr>
      </w:pPr>
      <w:bookmarkStart w:id="38" w:name="_Toc197205519"/>
      <w:bookmarkStart w:id="39" w:name="_Toc197205636"/>
      <w:bookmarkStart w:id="40" w:name="_Toc197206620"/>
      <w:bookmarkStart w:id="41" w:name="_Toc197206840"/>
      <w:bookmarkStart w:id="42" w:name="_Toc197377470"/>
      <w:r w:rsidRPr="009E613B">
        <w:rPr>
          <w:b/>
          <w:bCs/>
        </w:rPr>
        <w:t>Responsabilités de la direction et des parties chargées de la gouvernance pour les états financiers</w:t>
      </w:r>
      <w:bookmarkEnd w:id="38"/>
      <w:bookmarkEnd w:id="39"/>
      <w:bookmarkEnd w:id="40"/>
      <w:bookmarkEnd w:id="41"/>
      <w:bookmarkEnd w:id="42"/>
    </w:p>
    <w:p w14:paraId="28EF9A8F" w14:textId="41BF7C00" w:rsidR="00743D89" w:rsidRPr="005040A4" w:rsidRDefault="00855109" w:rsidP="009E613B">
      <w:pPr>
        <w:autoSpaceDE w:val="0"/>
        <w:autoSpaceDN w:val="0"/>
        <w:adjustRightInd w:val="0"/>
        <w:spacing w:after="220"/>
        <w:jc w:val="both"/>
        <w:rPr>
          <w:lang w:val="fr-FR"/>
        </w:rPr>
      </w:pPr>
      <w:r w:rsidRPr="005040A4">
        <w:rPr>
          <w:lang w:val="fr-FR"/>
        </w:rPr>
        <w:t>La direction est chargée d</w:t>
      </w:r>
      <w:r w:rsidR="00743D89" w:rsidRPr="005040A4">
        <w:rPr>
          <w:lang w:val="fr-FR"/>
        </w:rPr>
        <w:t>’</w:t>
      </w:r>
      <w:r w:rsidRPr="005040A4">
        <w:rPr>
          <w:lang w:val="fr-FR"/>
        </w:rPr>
        <w:t>établir les états financiers et d</w:t>
      </w:r>
      <w:r w:rsidR="00743D89" w:rsidRPr="005040A4">
        <w:rPr>
          <w:lang w:val="fr-FR"/>
        </w:rPr>
        <w:t>’</w:t>
      </w:r>
      <w:r w:rsidRPr="005040A4">
        <w:rPr>
          <w:lang w:val="fr-FR"/>
        </w:rPr>
        <w:t>en présenter une image fidèle conformément aux normes</w:t>
      </w:r>
      <w:r w:rsidR="001B7F27" w:rsidRPr="005040A4">
        <w:rPr>
          <w:lang w:val="fr-FR"/>
        </w:rPr>
        <w:t> </w:t>
      </w:r>
      <w:r w:rsidRPr="005040A4">
        <w:rPr>
          <w:lang w:val="fr-FR"/>
        </w:rPr>
        <w:t>IPSAS, et de procéder au contrôle interne que la direction juge nécessaire afin d</w:t>
      </w:r>
      <w:r w:rsidR="00743D89" w:rsidRPr="005040A4">
        <w:rPr>
          <w:lang w:val="fr-FR"/>
        </w:rPr>
        <w:t>’</w:t>
      </w:r>
      <w:r w:rsidRPr="005040A4">
        <w:rPr>
          <w:lang w:val="fr-FR"/>
        </w:rPr>
        <w:t>établir des états financiers exempts d</w:t>
      </w:r>
      <w:r w:rsidR="00743D89" w:rsidRPr="005040A4">
        <w:rPr>
          <w:lang w:val="fr-FR"/>
        </w:rPr>
        <w:t>’</w:t>
      </w:r>
      <w:r w:rsidRPr="005040A4">
        <w:rPr>
          <w:lang w:val="fr-FR"/>
        </w:rPr>
        <w:t>anomalies significatives – que celles</w:t>
      </w:r>
      <w:r w:rsidR="00C249FA" w:rsidRPr="005040A4">
        <w:rPr>
          <w:lang w:val="fr-FR"/>
        </w:rPr>
        <w:noBreakHyphen/>
      </w:r>
      <w:r w:rsidRPr="005040A4">
        <w:rPr>
          <w:lang w:val="fr-FR"/>
        </w:rPr>
        <w:t>ci proviennent de fraudes ou résultent d</w:t>
      </w:r>
      <w:r w:rsidR="00743D89" w:rsidRPr="005040A4">
        <w:rPr>
          <w:lang w:val="fr-FR"/>
        </w:rPr>
        <w:t>’</w:t>
      </w:r>
      <w:r w:rsidRPr="005040A4">
        <w:rPr>
          <w:lang w:val="fr-FR"/>
        </w:rPr>
        <w:t>erreurs.</w:t>
      </w:r>
    </w:p>
    <w:p w14:paraId="2DF262DC" w14:textId="07B90025" w:rsidR="00855109" w:rsidRPr="005040A4" w:rsidRDefault="00855109" w:rsidP="009E613B">
      <w:pPr>
        <w:autoSpaceDE w:val="0"/>
        <w:autoSpaceDN w:val="0"/>
        <w:adjustRightInd w:val="0"/>
        <w:spacing w:after="220"/>
        <w:jc w:val="both"/>
        <w:rPr>
          <w:szCs w:val="22"/>
          <w:lang w:val="fr-FR"/>
        </w:rPr>
      </w:pPr>
      <w:r w:rsidRPr="005040A4">
        <w:rPr>
          <w:lang w:val="fr-FR"/>
        </w:rPr>
        <w:t>Dans l</w:t>
      </w:r>
      <w:r w:rsidR="00743D89" w:rsidRPr="005040A4">
        <w:rPr>
          <w:lang w:val="fr-FR"/>
        </w:rPr>
        <w:t>’</w:t>
      </w:r>
      <w:r w:rsidRPr="005040A4">
        <w:rPr>
          <w:lang w:val="fr-FR"/>
        </w:rPr>
        <w:t>établissement des états financiers, la direction est chargée d</w:t>
      </w:r>
      <w:r w:rsidR="00743D89" w:rsidRPr="005040A4">
        <w:rPr>
          <w:lang w:val="fr-FR"/>
        </w:rPr>
        <w:t>’</w:t>
      </w:r>
      <w:r w:rsidRPr="005040A4">
        <w:rPr>
          <w:lang w:val="fr-FR"/>
        </w:rPr>
        <w:t>évaluer la capacité de l</w:t>
      </w:r>
      <w:r w:rsidR="00743D89" w:rsidRPr="005040A4">
        <w:rPr>
          <w:lang w:val="fr-FR"/>
        </w:rPr>
        <w:t>’</w:t>
      </w:r>
      <w:r w:rsidRPr="005040A4">
        <w:rPr>
          <w:lang w:val="fr-FR"/>
        </w:rPr>
        <w:t>OMPI à poursuivre son activité, en indiquant, s</w:t>
      </w:r>
      <w:r w:rsidR="00743D89" w:rsidRPr="005040A4">
        <w:rPr>
          <w:lang w:val="fr-FR"/>
        </w:rPr>
        <w:t>’</w:t>
      </w:r>
      <w:r w:rsidRPr="005040A4">
        <w:rPr>
          <w:lang w:val="fr-FR"/>
        </w:rPr>
        <w:t>il y a lieu, les éléments en lien avec la poursuite de ses activités, et en utilisant le principe comptable de la continuité de l</w:t>
      </w:r>
      <w:r w:rsidR="00743D89" w:rsidRPr="005040A4">
        <w:rPr>
          <w:lang w:val="fr-FR"/>
        </w:rPr>
        <w:t>’</w:t>
      </w:r>
      <w:r w:rsidRPr="005040A4">
        <w:rPr>
          <w:lang w:val="fr-FR"/>
        </w:rPr>
        <w:t>activité, à moins que la direction ait l</w:t>
      </w:r>
      <w:r w:rsidR="00743D89" w:rsidRPr="005040A4">
        <w:rPr>
          <w:lang w:val="fr-FR"/>
        </w:rPr>
        <w:t>’</w:t>
      </w:r>
      <w:r w:rsidRPr="005040A4">
        <w:rPr>
          <w:lang w:val="fr-FR"/>
        </w:rPr>
        <w:t>intention de liquider l</w:t>
      </w:r>
      <w:r w:rsidR="00743D89" w:rsidRPr="005040A4">
        <w:rPr>
          <w:lang w:val="fr-FR"/>
        </w:rPr>
        <w:t>’</w:t>
      </w:r>
      <w:r w:rsidRPr="005040A4">
        <w:rPr>
          <w:lang w:val="fr-FR"/>
        </w:rPr>
        <w:t>OMPI ou de faire cesser son activité, ou qu</w:t>
      </w:r>
      <w:r w:rsidR="00743D89" w:rsidRPr="005040A4">
        <w:rPr>
          <w:lang w:val="fr-FR"/>
        </w:rPr>
        <w:t>’</w:t>
      </w:r>
      <w:r w:rsidRPr="005040A4">
        <w:rPr>
          <w:lang w:val="fr-FR"/>
        </w:rPr>
        <w:t>il n</w:t>
      </w:r>
      <w:r w:rsidR="00743D89" w:rsidRPr="005040A4">
        <w:rPr>
          <w:lang w:val="fr-FR"/>
        </w:rPr>
        <w:t>’</w:t>
      </w:r>
      <w:r w:rsidRPr="005040A4">
        <w:rPr>
          <w:lang w:val="fr-FR"/>
        </w:rPr>
        <w:t>existe aucune alternative réaliste à cette liquidation ou à cette cessation.</w:t>
      </w:r>
    </w:p>
    <w:p w14:paraId="46C76491" w14:textId="4C8D404D" w:rsidR="00855109" w:rsidRPr="005040A4" w:rsidRDefault="00855109" w:rsidP="009E613B">
      <w:pPr>
        <w:autoSpaceDE w:val="0"/>
        <w:autoSpaceDN w:val="0"/>
        <w:adjustRightInd w:val="0"/>
        <w:spacing w:after="220"/>
        <w:jc w:val="both"/>
        <w:rPr>
          <w:szCs w:val="22"/>
          <w:lang w:val="fr-FR"/>
        </w:rPr>
      </w:pPr>
      <w:r w:rsidRPr="005040A4">
        <w:rPr>
          <w:lang w:val="fr-FR"/>
        </w:rPr>
        <w:t>La direction et les parties chargées de la gouvernance sont responsables de la surveillance du processus de rapport financier de l</w:t>
      </w:r>
      <w:r w:rsidR="00743D89" w:rsidRPr="005040A4">
        <w:rPr>
          <w:lang w:val="fr-FR"/>
        </w:rPr>
        <w:t>’</w:t>
      </w:r>
      <w:r w:rsidRPr="005040A4">
        <w:rPr>
          <w:lang w:val="fr-FR"/>
        </w:rPr>
        <w:t>Organisation.</w:t>
      </w:r>
    </w:p>
    <w:p w14:paraId="6A69F5ED" w14:textId="77777777" w:rsidR="00855109" w:rsidRPr="009E613B" w:rsidRDefault="00855109" w:rsidP="009E613B">
      <w:pPr>
        <w:keepNext/>
        <w:spacing w:before="360" w:after="220"/>
        <w:rPr>
          <w:b/>
          <w:bCs/>
        </w:rPr>
      </w:pPr>
      <w:bookmarkStart w:id="43" w:name="_Toc197205520"/>
      <w:bookmarkStart w:id="44" w:name="_Toc197205637"/>
      <w:bookmarkStart w:id="45" w:name="_Toc197206621"/>
      <w:bookmarkStart w:id="46" w:name="_Toc197206841"/>
      <w:bookmarkStart w:id="47" w:name="_Toc197377471"/>
      <w:r w:rsidRPr="009E613B">
        <w:rPr>
          <w:b/>
          <w:bCs/>
        </w:rPr>
        <w:t>Responsabilités du vérificateur des comptes pour la vérification des états financiers</w:t>
      </w:r>
      <w:bookmarkEnd w:id="43"/>
      <w:bookmarkEnd w:id="44"/>
      <w:bookmarkEnd w:id="45"/>
      <w:bookmarkEnd w:id="46"/>
      <w:bookmarkEnd w:id="47"/>
    </w:p>
    <w:p w14:paraId="7E0C6A79" w14:textId="588D9F4D" w:rsidR="00855109" w:rsidRPr="005040A4" w:rsidRDefault="00855109" w:rsidP="009E613B">
      <w:pPr>
        <w:autoSpaceDE w:val="0"/>
        <w:autoSpaceDN w:val="0"/>
        <w:adjustRightInd w:val="0"/>
        <w:spacing w:after="220"/>
        <w:jc w:val="both"/>
        <w:rPr>
          <w:szCs w:val="22"/>
          <w:lang w:val="fr-FR"/>
        </w:rPr>
      </w:pPr>
      <w:r w:rsidRPr="005040A4">
        <w:rPr>
          <w:lang w:val="fr-FR"/>
        </w:rPr>
        <w:t>Nos objectifs sont d</w:t>
      </w:r>
      <w:r w:rsidR="00743D89" w:rsidRPr="005040A4">
        <w:rPr>
          <w:lang w:val="fr-FR"/>
        </w:rPr>
        <w:t>’</w:t>
      </w:r>
      <w:r w:rsidRPr="005040A4">
        <w:rPr>
          <w:lang w:val="fr-FR"/>
        </w:rPr>
        <w:t>obtenir une assurance raisonnable que les états financiers dans leur ensemble ne comportent pas d</w:t>
      </w:r>
      <w:r w:rsidR="00743D89" w:rsidRPr="005040A4">
        <w:rPr>
          <w:lang w:val="fr-FR"/>
        </w:rPr>
        <w:t>’</w:t>
      </w:r>
      <w:r w:rsidRPr="005040A4">
        <w:rPr>
          <w:lang w:val="fr-FR"/>
        </w:rPr>
        <w:t>anomalies significatives, que celles</w:t>
      </w:r>
      <w:r w:rsidR="00C249FA" w:rsidRPr="005040A4">
        <w:rPr>
          <w:lang w:val="fr-FR"/>
        </w:rPr>
        <w:noBreakHyphen/>
      </w:r>
      <w:r w:rsidRPr="005040A4">
        <w:rPr>
          <w:lang w:val="fr-FR"/>
        </w:rPr>
        <w:t>ci proviennent de fraudes ou résultent d</w:t>
      </w:r>
      <w:r w:rsidR="00743D89" w:rsidRPr="005040A4">
        <w:rPr>
          <w:lang w:val="fr-FR"/>
        </w:rPr>
        <w:t>’</w:t>
      </w:r>
      <w:r w:rsidRPr="005040A4">
        <w:rPr>
          <w:lang w:val="fr-FR"/>
        </w:rPr>
        <w:t>erreurs, et de rendre un rapport du vérificateur qui contienne notre opini</w:t>
      </w:r>
      <w:r w:rsidR="005652C9" w:rsidRPr="005040A4">
        <w:rPr>
          <w:lang w:val="fr-FR"/>
        </w:rPr>
        <w:t>on.  L’a</w:t>
      </w:r>
      <w:r w:rsidRPr="005040A4">
        <w:rPr>
          <w:lang w:val="fr-FR"/>
        </w:rPr>
        <w:t>ssurance raisonnable est un niveau d</w:t>
      </w:r>
      <w:r w:rsidR="00743D89" w:rsidRPr="005040A4">
        <w:rPr>
          <w:lang w:val="fr-FR"/>
        </w:rPr>
        <w:t>’</w:t>
      </w:r>
      <w:r w:rsidRPr="005040A4">
        <w:rPr>
          <w:lang w:val="fr-FR"/>
        </w:rPr>
        <w:t>assurance élevé, mais elle ne constitue pas une garantie qu</w:t>
      </w:r>
      <w:r w:rsidR="00743D89" w:rsidRPr="005040A4">
        <w:rPr>
          <w:lang w:val="fr-FR"/>
        </w:rPr>
        <w:t>’</w:t>
      </w:r>
      <w:r w:rsidRPr="005040A4">
        <w:rPr>
          <w:lang w:val="fr-FR"/>
        </w:rPr>
        <w:t>une vérification menée conformément aux normes internationales d</w:t>
      </w:r>
      <w:r w:rsidR="00743D89" w:rsidRPr="005040A4">
        <w:rPr>
          <w:lang w:val="fr-FR"/>
        </w:rPr>
        <w:t>’</w:t>
      </w:r>
      <w:r w:rsidRPr="005040A4">
        <w:rPr>
          <w:lang w:val="fr-FR"/>
        </w:rPr>
        <w:t>audit repère toujours une anomalie significative lorsqu</w:t>
      </w:r>
      <w:r w:rsidR="00743D89" w:rsidRPr="005040A4">
        <w:rPr>
          <w:lang w:val="fr-FR"/>
        </w:rPr>
        <w:t>’</w:t>
      </w:r>
      <w:r w:rsidRPr="005040A4">
        <w:rPr>
          <w:lang w:val="fr-FR"/>
        </w:rPr>
        <w:t>elle exis</w:t>
      </w:r>
      <w:r w:rsidR="005652C9" w:rsidRPr="005040A4">
        <w:rPr>
          <w:lang w:val="fr-FR"/>
        </w:rPr>
        <w:t>te.  Le</w:t>
      </w:r>
      <w:r w:rsidRPr="005040A4">
        <w:rPr>
          <w:lang w:val="fr-FR"/>
        </w:rPr>
        <w:t>s anomalies peuvent être causées par des fraudes ou des erreurs et elles sont considérées comme significatives si, individuellement ou dans l</w:t>
      </w:r>
      <w:r w:rsidR="00743D89" w:rsidRPr="005040A4">
        <w:rPr>
          <w:lang w:val="fr-FR"/>
        </w:rPr>
        <w:t>’</w:t>
      </w:r>
      <w:r w:rsidRPr="005040A4">
        <w:rPr>
          <w:lang w:val="fr-FR"/>
        </w:rPr>
        <w:t>ensemble, on peut raisonnablement s</w:t>
      </w:r>
      <w:r w:rsidR="00743D89" w:rsidRPr="005040A4">
        <w:rPr>
          <w:lang w:val="fr-FR"/>
        </w:rPr>
        <w:t>’</w:t>
      </w:r>
      <w:r w:rsidRPr="005040A4">
        <w:rPr>
          <w:lang w:val="fr-FR"/>
        </w:rPr>
        <w:t>attendre à ce qu</w:t>
      </w:r>
      <w:r w:rsidR="00743D89" w:rsidRPr="005040A4">
        <w:rPr>
          <w:lang w:val="fr-FR"/>
        </w:rPr>
        <w:t>’</w:t>
      </w:r>
      <w:r w:rsidRPr="005040A4">
        <w:rPr>
          <w:lang w:val="fr-FR"/>
        </w:rPr>
        <w:t>elles influent sur les décisions d</w:t>
      </w:r>
      <w:r w:rsidR="00743D89" w:rsidRPr="005040A4">
        <w:rPr>
          <w:lang w:val="fr-FR"/>
        </w:rPr>
        <w:t>’</w:t>
      </w:r>
      <w:r w:rsidRPr="005040A4">
        <w:rPr>
          <w:lang w:val="fr-FR"/>
        </w:rPr>
        <w:t>ordre économique des utilisateurs.</w:t>
      </w:r>
    </w:p>
    <w:p w14:paraId="3D5D9AF2" w14:textId="4C0C8E60" w:rsidR="00855109" w:rsidRPr="005040A4" w:rsidRDefault="00855109" w:rsidP="009E613B">
      <w:pPr>
        <w:keepNext/>
        <w:autoSpaceDE w:val="0"/>
        <w:autoSpaceDN w:val="0"/>
        <w:adjustRightInd w:val="0"/>
        <w:spacing w:after="220"/>
        <w:jc w:val="both"/>
        <w:rPr>
          <w:szCs w:val="22"/>
          <w:lang w:val="fr-FR"/>
        </w:rPr>
      </w:pPr>
      <w:r w:rsidRPr="005040A4">
        <w:rPr>
          <w:lang w:val="fr-FR"/>
        </w:rPr>
        <w:lastRenderedPageBreak/>
        <w:t>Une description plus détaillée de nos responsabilités en matière de vérification des états financiers figure en annexe du présent rapport d</w:t>
      </w:r>
      <w:r w:rsidR="00743D89" w:rsidRPr="005040A4">
        <w:rPr>
          <w:lang w:val="fr-FR"/>
        </w:rPr>
        <w:t>’</w:t>
      </w:r>
      <w:r w:rsidRPr="005040A4">
        <w:rPr>
          <w:lang w:val="fr-FR"/>
        </w:rPr>
        <w:t>aud</w:t>
      </w:r>
      <w:r w:rsidR="005652C9" w:rsidRPr="005040A4">
        <w:rPr>
          <w:lang w:val="fr-FR"/>
        </w:rPr>
        <w:t>it.  Ce</w:t>
      </w:r>
      <w:r w:rsidRPr="005040A4">
        <w:rPr>
          <w:lang w:val="fr-FR"/>
        </w:rPr>
        <w:t>tte description fait partie intégrante de notre rapport d</w:t>
      </w:r>
      <w:r w:rsidR="00743D89" w:rsidRPr="005040A4">
        <w:rPr>
          <w:lang w:val="fr-FR"/>
        </w:rPr>
        <w:t>’</w:t>
      </w:r>
      <w:r w:rsidRPr="005040A4">
        <w:rPr>
          <w:lang w:val="fr-FR"/>
        </w:rPr>
        <w:t>audit.</w:t>
      </w:r>
    </w:p>
    <w:p w14:paraId="4B0DFA79" w14:textId="45FF373B" w:rsidR="00855109" w:rsidRPr="005040A4" w:rsidRDefault="00855109" w:rsidP="009E613B">
      <w:pPr>
        <w:autoSpaceDE w:val="0"/>
        <w:autoSpaceDN w:val="0"/>
        <w:adjustRightInd w:val="0"/>
        <w:spacing w:after="220"/>
        <w:jc w:val="both"/>
        <w:rPr>
          <w:szCs w:val="22"/>
          <w:lang w:val="fr-FR"/>
        </w:rPr>
      </w:pPr>
      <w:r w:rsidRPr="005040A4">
        <w:rPr>
          <w:lang w:val="fr-FR"/>
        </w:rPr>
        <w:t>En outre, nous sommes tenus d</w:t>
      </w:r>
      <w:r w:rsidR="00743D89" w:rsidRPr="005040A4">
        <w:rPr>
          <w:lang w:val="fr-FR"/>
        </w:rPr>
        <w:t>’</w:t>
      </w:r>
      <w:r w:rsidRPr="005040A4">
        <w:rPr>
          <w:lang w:val="fr-FR"/>
        </w:rPr>
        <w:t>obtenir des justifications suffisantes afin de fournir une assurance raisonnable que les recettes et les dépenses consignées dans les états financiers ont été appliquées au service des objectifs visés par l</w:t>
      </w:r>
      <w:r w:rsidR="00743D89" w:rsidRPr="005040A4">
        <w:rPr>
          <w:lang w:val="fr-FR"/>
        </w:rPr>
        <w:t>’</w:t>
      </w:r>
      <w:r w:rsidRPr="005040A4">
        <w:rPr>
          <w:lang w:val="fr-FR"/>
        </w:rPr>
        <w:t>Assemblée générale et que les transactions financières sont conformes au Règlement financier qui les régit.</w:t>
      </w:r>
    </w:p>
    <w:p w14:paraId="724ED583" w14:textId="77777777" w:rsidR="00855109" w:rsidRPr="005040A4" w:rsidRDefault="00855109" w:rsidP="009E613B">
      <w:pPr>
        <w:autoSpaceDE w:val="0"/>
        <w:autoSpaceDN w:val="0"/>
        <w:adjustRightInd w:val="0"/>
        <w:spacing w:after="220"/>
        <w:jc w:val="both"/>
        <w:rPr>
          <w:szCs w:val="22"/>
          <w:lang w:val="fr-FR"/>
        </w:rPr>
      </w:pPr>
      <w:r w:rsidRPr="005040A4">
        <w:rPr>
          <w:lang w:val="fr-FR"/>
        </w:rPr>
        <w:t>Nous communiquons avec ceux qui sont chargés de la gouvernance à propos, entre autres, de la portée et du calendrier prévus pour la vérification des comptes ainsi que des principales conclusions en découlant, notamment des lacunes importantes en matière de contrôle interne que nous avons repérées lors de notre vérification.</w:t>
      </w:r>
    </w:p>
    <w:p w14:paraId="77CA9C4A" w14:textId="77777777" w:rsidR="00743D89" w:rsidRPr="009E613B" w:rsidRDefault="00855109" w:rsidP="009E613B">
      <w:pPr>
        <w:keepNext/>
        <w:spacing w:before="360" w:after="220"/>
        <w:rPr>
          <w:b/>
          <w:bCs/>
        </w:rPr>
      </w:pPr>
      <w:bookmarkStart w:id="48" w:name="_Toc197205521"/>
      <w:bookmarkStart w:id="49" w:name="_Toc197205638"/>
      <w:bookmarkStart w:id="50" w:name="_Toc197206622"/>
      <w:bookmarkStart w:id="51" w:name="_Toc197206842"/>
      <w:bookmarkStart w:id="52" w:name="_Toc197377472"/>
      <w:r w:rsidRPr="009E613B">
        <w:rPr>
          <w:b/>
          <w:bCs/>
        </w:rPr>
        <w:t>Rapport</w:t>
      </w:r>
      <w:bookmarkEnd w:id="48"/>
      <w:bookmarkEnd w:id="49"/>
      <w:bookmarkEnd w:id="50"/>
      <w:bookmarkEnd w:id="51"/>
      <w:bookmarkEnd w:id="52"/>
    </w:p>
    <w:p w14:paraId="3EF31013" w14:textId="23E0D05D" w:rsidR="00743D89" w:rsidRPr="005040A4" w:rsidRDefault="00855109" w:rsidP="009E613B">
      <w:pPr>
        <w:autoSpaceDE w:val="0"/>
        <w:autoSpaceDN w:val="0"/>
        <w:adjustRightInd w:val="0"/>
        <w:spacing w:after="220"/>
        <w:jc w:val="both"/>
        <w:rPr>
          <w:lang w:val="fr-FR"/>
        </w:rPr>
      </w:pPr>
      <w:r w:rsidRPr="005040A4">
        <w:rPr>
          <w:lang w:val="fr-FR"/>
        </w:rPr>
        <w:t>Conformément à l</w:t>
      </w:r>
      <w:r w:rsidR="00743D89" w:rsidRPr="005040A4">
        <w:rPr>
          <w:lang w:val="fr-FR"/>
        </w:rPr>
        <w:t>’</w:t>
      </w:r>
      <w:r w:rsidRPr="005040A4">
        <w:rPr>
          <w:lang w:val="fr-FR"/>
        </w:rPr>
        <w:t>article 6.11 du Règlement financier de l</w:t>
      </w:r>
      <w:r w:rsidR="00743D89" w:rsidRPr="005040A4">
        <w:rPr>
          <w:lang w:val="fr-FR"/>
        </w:rPr>
        <w:t>’</w:t>
      </w:r>
      <w:r w:rsidRPr="005040A4">
        <w:rPr>
          <w:lang w:val="fr-FR"/>
        </w:rPr>
        <w:t>Organisation et de son règlement d</w:t>
      </w:r>
      <w:r w:rsidR="00743D89" w:rsidRPr="005040A4">
        <w:rPr>
          <w:lang w:val="fr-FR"/>
        </w:rPr>
        <w:t>’</w:t>
      </w:r>
      <w:r w:rsidRPr="005040A4">
        <w:rPr>
          <w:lang w:val="fr-FR"/>
        </w:rPr>
        <w:t>exécution, nous avons également établi un rapport détaillé sur notre audit de l</w:t>
      </w:r>
      <w:r w:rsidR="00743D89" w:rsidRPr="005040A4">
        <w:rPr>
          <w:lang w:val="fr-FR"/>
        </w:rPr>
        <w:t>’</w:t>
      </w:r>
      <w:r w:rsidRPr="005040A4">
        <w:rPr>
          <w:lang w:val="fr-FR"/>
        </w:rPr>
        <w:t>Organisation.</w:t>
      </w:r>
    </w:p>
    <w:p w14:paraId="7FF47723" w14:textId="581AE358" w:rsidR="00855109" w:rsidRPr="005040A4" w:rsidRDefault="00855109" w:rsidP="009E613B">
      <w:pPr>
        <w:autoSpaceDE w:val="0"/>
        <w:autoSpaceDN w:val="0"/>
        <w:adjustRightInd w:val="0"/>
        <w:spacing w:before="480"/>
        <w:ind w:left="2835"/>
        <w:jc w:val="center"/>
        <w:rPr>
          <w:b/>
          <w:color w:val="000000"/>
          <w:lang w:val="fr-FR"/>
        </w:rPr>
      </w:pPr>
      <w:r w:rsidRPr="005040A4">
        <w:rPr>
          <w:b/>
          <w:color w:val="000000"/>
          <w:lang w:val="fr-FR"/>
        </w:rPr>
        <w:t>M. Isma</w:t>
      </w:r>
      <w:r w:rsidR="00596148" w:rsidRPr="005040A4">
        <w:rPr>
          <w:b/>
          <w:color w:val="000000"/>
          <w:lang w:val="fr-FR"/>
        </w:rPr>
        <w:t> </w:t>
      </w:r>
      <w:r w:rsidRPr="005040A4">
        <w:rPr>
          <w:b/>
          <w:color w:val="000000"/>
          <w:lang w:val="fr-FR"/>
        </w:rPr>
        <w:t>Yatun, CSFA, CFrA</w:t>
      </w:r>
    </w:p>
    <w:p w14:paraId="608B866E" w14:textId="4EAD22F5" w:rsidR="00855109" w:rsidRPr="005040A4" w:rsidRDefault="00855109" w:rsidP="00E862E4">
      <w:pPr>
        <w:autoSpaceDE w:val="0"/>
        <w:autoSpaceDN w:val="0"/>
        <w:adjustRightInd w:val="0"/>
        <w:ind w:left="2835"/>
        <w:jc w:val="center"/>
        <w:rPr>
          <w:b/>
          <w:color w:val="000000"/>
          <w:lang w:val="fr-FR"/>
        </w:rPr>
      </w:pPr>
      <w:r w:rsidRPr="005040A4">
        <w:rPr>
          <w:b/>
          <w:color w:val="000000"/>
          <w:lang w:val="fr-FR"/>
        </w:rPr>
        <w:t>Président de la Commission d</w:t>
      </w:r>
      <w:r w:rsidR="00743D89" w:rsidRPr="005040A4">
        <w:rPr>
          <w:b/>
          <w:color w:val="000000"/>
          <w:lang w:val="fr-FR"/>
        </w:rPr>
        <w:t>’</w:t>
      </w:r>
      <w:r w:rsidRPr="005040A4">
        <w:rPr>
          <w:b/>
          <w:color w:val="000000"/>
          <w:lang w:val="fr-FR"/>
        </w:rPr>
        <w:t xml:space="preserve">audit </w:t>
      </w:r>
      <w:r w:rsidR="009E613B">
        <w:rPr>
          <w:b/>
          <w:color w:val="000000"/>
          <w:lang w:val="fr-FR"/>
        </w:rPr>
        <w:br/>
      </w:r>
      <w:r w:rsidRPr="005040A4">
        <w:rPr>
          <w:b/>
          <w:color w:val="000000"/>
          <w:lang w:val="fr-FR"/>
        </w:rPr>
        <w:t>de la République d</w:t>
      </w:r>
      <w:r w:rsidR="00743D89" w:rsidRPr="005040A4">
        <w:rPr>
          <w:b/>
          <w:color w:val="000000"/>
          <w:lang w:val="fr-FR"/>
        </w:rPr>
        <w:t>’</w:t>
      </w:r>
      <w:r w:rsidRPr="005040A4">
        <w:rPr>
          <w:b/>
          <w:color w:val="000000"/>
          <w:lang w:val="fr-FR"/>
        </w:rPr>
        <w:t>Indonésie</w:t>
      </w:r>
    </w:p>
    <w:p w14:paraId="63B10898" w14:textId="77777777" w:rsidR="00855109" w:rsidRPr="005040A4" w:rsidRDefault="00855109" w:rsidP="00E862E4">
      <w:pPr>
        <w:ind w:left="2835"/>
        <w:jc w:val="center"/>
        <w:rPr>
          <w:b/>
          <w:color w:val="000000"/>
          <w:lang w:val="fr-FR"/>
        </w:rPr>
      </w:pPr>
      <w:r w:rsidRPr="005040A4">
        <w:rPr>
          <w:b/>
          <w:color w:val="000000"/>
          <w:lang w:val="fr-FR"/>
        </w:rPr>
        <w:t>Vérificateur externe des comptes</w:t>
      </w:r>
    </w:p>
    <w:p w14:paraId="5F80E203" w14:textId="77777777" w:rsidR="00743D89" w:rsidRPr="005040A4" w:rsidRDefault="00855109" w:rsidP="009E613B">
      <w:pPr>
        <w:spacing w:before="960"/>
        <w:ind w:left="2835"/>
        <w:jc w:val="center"/>
        <w:rPr>
          <w:b/>
          <w:color w:val="000000"/>
          <w:lang w:val="fr-FR"/>
        </w:rPr>
      </w:pPr>
      <w:r w:rsidRPr="005040A4">
        <w:rPr>
          <w:b/>
          <w:color w:val="000000"/>
          <w:lang w:val="fr-FR"/>
        </w:rPr>
        <w:t>Jakarta (Indonésie)</w:t>
      </w:r>
    </w:p>
    <w:p w14:paraId="2712BB0B" w14:textId="70A88346" w:rsidR="00206809" w:rsidRPr="005040A4" w:rsidRDefault="00855109" w:rsidP="00E862E4">
      <w:pPr>
        <w:ind w:left="2835"/>
        <w:jc w:val="center"/>
        <w:rPr>
          <w:b/>
          <w:color w:val="000000"/>
          <w:lang w:val="fr-FR"/>
        </w:rPr>
      </w:pPr>
      <w:r w:rsidRPr="005040A4">
        <w:rPr>
          <w:b/>
          <w:color w:val="000000"/>
          <w:lang w:val="fr-FR"/>
        </w:rPr>
        <w:t>Mai 2025</w:t>
      </w:r>
    </w:p>
    <w:p w14:paraId="657C0EEB" w14:textId="77777777" w:rsidR="00206809" w:rsidRPr="005040A4" w:rsidRDefault="00206809" w:rsidP="00E862E4">
      <w:pPr>
        <w:rPr>
          <w:b/>
          <w:color w:val="000000"/>
          <w:lang w:val="fr-FR"/>
        </w:rPr>
      </w:pPr>
      <w:r w:rsidRPr="005040A4">
        <w:rPr>
          <w:b/>
          <w:color w:val="000000"/>
          <w:lang w:val="fr-FR"/>
        </w:rPr>
        <w:br w:type="page"/>
      </w:r>
    </w:p>
    <w:p w14:paraId="149E6732" w14:textId="14EEEB0C" w:rsidR="00855109" w:rsidRPr="009E613B" w:rsidRDefault="00855109" w:rsidP="009E613B">
      <w:pPr>
        <w:keepNext/>
        <w:spacing w:before="360" w:after="220"/>
        <w:rPr>
          <w:b/>
          <w:bCs/>
        </w:rPr>
      </w:pPr>
      <w:bookmarkStart w:id="53" w:name="_Toc197205522"/>
      <w:bookmarkStart w:id="54" w:name="_Toc197205639"/>
      <w:bookmarkStart w:id="55" w:name="_Toc197206623"/>
      <w:bookmarkStart w:id="56" w:name="_Toc197206843"/>
      <w:bookmarkStart w:id="57" w:name="_Toc197377473"/>
      <w:r w:rsidRPr="009E613B">
        <w:rPr>
          <w:b/>
          <w:bCs/>
        </w:rPr>
        <w:lastRenderedPageBreak/>
        <w:t>Anne</w:t>
      </w:r>
      <w:r w:rsidR="005652C9" w:rsidRPr="009E613B">
        <w:rPr>
          <w:b/>
          <w:bCs/>
        </w:rPr>
        <w:t>xe.  De</w:t>
      </w:r>
      <w:r w:rsidRPr="009E613B">
        <w:rPr>
          <w:b/>
          <w:bCs/>
        </w:rPr>
        <w:t>scription des responsabilités du vérificateur des comptes pour la vérification des états financiers</w:t>
      </w:r>
      <w:bookmarkEnd w:id="53"/>
      <w:bookmarkEnd w:id="54"/>
      <w:bookmarkEnd w:id="55"/>
      <w:bookmarkEnd w:id="56"/>
      <w:bookmarkEnd w:id="57"/>
    </w:p>
    <w:p w14:paraId="6DA9600C" w14:textId="1C1AB166" w:rsidR="00855109" w:rsidRPr="005040A4" w:rsidRDefault="00855109" w:rsidP="00E862E4">
      <w:pPr>
        <w:autoSpaceDE w:val="0"/>
        <w:autoSpaceDN w:val="0"/>
        <w:adjustRightInd w:val="0"/>
        <w:spacing w:before="120"/>
        <w:jc w:val="both"/>
        <w:rPr>
          <w:color w:val="000000"/>
          <w:lang w:val="fr-FR"/>
        </w:rPr>
      </w:pPr>
      <w:r w:rsidRPr="005040A4">
        <w:rPr>
          <w:color w:val="000000"/>
          <w:lang w:val="fr-FR"/>
        </w:rPr>
        <w:t>Étant donné qu</w:t>
      </w:r>
      <w:r w:rsidR="00743D89" w:rsidRPr="005040A4">
        <w:rPr>
          <w:color w:val="000000"/>
          <w:lang w:val="fr-FR"/>
        </w:rPr>
        <w:t>’</w:t>
      </w:r>
      <w:r w:rsidRPr="005040A4">
        <w:rPr>
          <w:color w:val="000000"/>
          <w:lang w:val="fr-FR"/>
        </w:rPr>
        <w:t>il s</w:t>
      </w:r>
      <w:r w:rsidR="00743D89" w:rsidRPr="005040A4">
        <w:rPr>
          <w:color w:val="000000"/>
          <w:lang w:val="fr-FR"/>
        </w:rPr>
        <w:t>’</w:t>
      </w:r>
      <w:r w:rsidRPr="005040A4">
        <w:rPr>
          <w:color w:val="000000"/>
          <w:lang w:val="fr-FR"/>
        </w:rPr>
        <w:t>agit d</w:t>
      </w:r>
      <w:r w:rsidR="00743D89" w:rsidRPr="005040A4">
        <w:rPr>
          <w:color w:val="000000"/>
          <w:lang w:val="fr-FR"/>
        </w:rPr>
        <w:t>’</w:t>
      </w:r>
      <w:r w:rsidRPr="005040A4">
        <w:rPr>
          <w:color w:val="000000"/>
          <w:lang w:val="fr-FR"/>
        </w:rPr>
        <w:t>une vérification des comptes menée conformément aux normes internationales d</w:t>
      </w:r>
      <w:r w:rsidR="00743D89" w:rsidRPr="005040A4">
        <w:rPr>
          <w:color w:val="000000"/>
          <w:lang w:val="fr-FR"/>
        </w:rPr>
        <w:t>’</w:t>
      </w:r>
      <w:r w:rsidRPr="005040A4">
        <w:rPr>
          <w:color w:val="000000"/>
          <w:lang w:val="fr-FR"/>
        </w:rPr>
        <w:t>audit, nous faisons appel à notre jugement professionnel et faisons preuve de scepticisme professionnel tout au long du processus de vérification des compt</w:t>
      </w:r>
      <w:r w:rsidR="005652C9" w:rsidRPr="005040A4">
        <w:rPr>
          <w:color w:val="000000"/>
          <w:lang w:val="fr-FR"/>
        </w:rPr>
        <w:t>es.  No</w:t>
      </w:r>
      <w:r w:rsidRPr="005040A4">
        <w:rPr>
          <w:color w:val="000000"/>
          <w:lang w:val="fr-FR"/>
        </w:rPr>
        <w:t>us nous employons également à</w:t>
      </w:r>
      <w:r w:rsidR="00743D89" w:rsidRPr="005040A4">
        <w:rPr>
          <w:color w:val="000000"/>
          <w:lang w:val="fr-FR"/>
        </w:rPr>
        <w:t> :</w:t>
      </w:r>
    </w:p>
    <w:p w14:paraId="15D6A11A" w14:textId="4C9BB9B4" w:rsidR="00855109" w:rsidRPr="005040A4" w:rsidRDefault="00855109" w:rsidP="000057BC">
      <w:pPr>
        <w:pStyle w:val="ListParagraph"/>
        <w:numPr>
          <w:ilvl w:val="0"/>
          <w:numId w:val="35"/>
        </w:numPr>
      </w:pPr>
      <w:r w:rsidRPr="005040A4">
        <w:t>définir et évaluer les risques que les états financiers comportent des anomalies significatives, que celles</w:t>
      </w:r>
      <w:r w:rsidR="00C249FA" w:rsidRPr="005040A4">
        <w:noBreakHyphen/>
      </w:r>
      <w:r w:rsidRPr="005040A4">
        <w:t>ci proviennent de fraudes ou résultent d</w:t>
      </w:r>
      <w:r w:rsidR="00743D89" w:rsidRPr="005040A4">
        <w:t>’</w:t>
      </w:r>
      <w:r w:rsidRPr="005040A4">
        <w:t>erreurs, créer et appliquer des procédures de vérification répondant à ces risques et recueillir des éléments probants suffisants et appropriés pour fonder notre opini</w:t>
      </w:r>
      <w:r w:rsidR="005652C9" w:rsidRPr="005040A4">
        <w:t>on.  Le</w:t>
      </w:r>
      <w:r w:rsidRPr="005040A4">
        <w:t xml:space="preserve"> risque de ne pas repérer une anomalie significative provenant d</w:t>
      </w:r>
      <w:r w:rsidR="00743D89" w:rsidRPr="005040A4">
        <w:t>’</w:t>
      </w:r>
      <w:r w:rsidRPr="005040A4">
        <w:t>une fraude est plus élevé que pour les anomalies résultant d</w:t>
      </w:r>
      <w:r w:rsidR="00743D89" w:rsidRPr="005040A4">
        <w:t>’</w:t>
      </w:r>
      <w:r w:rsidRPr="005040A4">
        <w:t>une erreur, car les fraudes peuvent impliquer des collusions, des falsifications, des omissions intentionnelles, des fausses déclarations ou des contournements des mécanismes de contrôle interne;</w:t>
      </w:r>
    </w:p>
    <w:p w14:paraId="65EF15EB" w14:textId="6C567340" w:rsidR="00855109" w:rsidRPr="005040A4" w:rsidRDefault="00855109" w:rsidP="000057BC">
      <w:pPr>
        <w:pStyle w:val="ListParagraph"/>
        <w:numPr>
          <w:ilvl w:val="0"/>
          <w:numId w:val="35"/>
        </w:numPr>
      </w:pPr>
      <w:r w:rsidRPr="005040A4">
        <w:t>bien comprendre le contrôle interne dans la perspective de la vérification afin de définir des procédures d</w:t>
      </w:r>
      <w:r w:rsidR="00743D89" w:rsidRPr="005040A4">
        <w:t>’</w:t>
      </w:r>
      <w:r w:rsidRPr="005040A4">
        <w:t>audit appropriées en la circonstance, et non dans le but d</w:t>
      </w:r>
      <w:r w:rsidR="00743D89" w:rsidRPr="005040A4">
        <w:t>’</w:t>
      </w:r>
      <w:r w:rsidRPr="005040A4">
        <w:t>exprimer une opinion sur l</w:t>
      </w:r>
      <w:r w:rsidR="00743D89" w:rsidRPr="005040A4">
        <w:t>’</w:t>
      </w:r>
      <w:r w:rsidRPr="005040A4">
        <w:t>efficacité du contrôle interne de l</w:t>
      </w:r>
      <w:r w:rsidR="00743D89" w:rsidRPr="005040A4">
        <w:t>’</w:t>
      </w:r>
      <w:r w:rsidRPr="005040A4">
        <w:t>OMPI;</w:t>
      </w:r>
    </w:p>
    <w:p w14:paraId="2028D069" w14:textId="77777777" w:rsidR="00855109" w:rsidRPr="005040A4" w:rsidRDefault="00855109" w:rsidP="000057BC">
      <w:pPr>
        <w:pStyle w:val="ListParagraph"/>
        <w:numPr>
          <w:ilvl w:val="0"/>
          <w:numId w:val="35"/>
        </w:numPr>
      </w:pPr>
      <w:r w:rsidRPr="005040A4">
        <w:t>évaluer le caractère approprié des politiques comptables utilisées et le caractère raisonnable des estimations comptables faites par la direction ainsi que des informations à fournir correspondantes;</w:t>
      </w:r>
    </w:p>
    <w:p w14:paraId="58CFFF2B" w14:textId="07754F21" w:rsidR="00855109" w:rsidRDefault="00855109" w:rsidP="000057BC">
      <w:pPr>
        <w:pStyle w:val="ListParagraph"/>
        <w:numPr>
          <w:ilvl w:val="0"/>
          <w:numId w:val="35"/>
        </w:numPr>
      </w:pPr>
      <w:r w:rsidRPr="005040A4">
        <w:t>parvenir à des conclusions en ce qui concerne le caractère approprié de l</w:t>
      </w:r>
      <w:r w:rsidR="00743D89" w:rsidRPr="005040A4">
        <w:t>’</w:t>
      </w:r>
      <w:r w:rsidRPr="005040A4">
        <w:t>utilisation par la direction du principe comptable de la continuité de l</w:t>
      </w:r>
      <w:r w:rsidR="00743D89" w:rsidRPr="005040A4">
        <w:t>’</w:t>
      </w:r>
      <w:r w:rsidRPr="005040A4">
        <w:t>activité et, en fonction des éléments probants obtenus, la question de savoir si des incertitudes significatives existent en lien avec des événements ou des conditions susceptibles de jeter un doute important sur la capacité de l</w:t>
      </w:r>
      <w:r w:rsidR="00743D89" w:rsidRPr="005040A4">
        <w:t>’</w:t>
      </w:r>
      <w:r w:rsidRPr="005040A4">
        <w:t>Organisation de poursuivre son activi</w:t>
      </w:r>
      <w:r w:rsidR="005652C9" w:rsidRPr="005040A4">
        <w:t>té.  Si</w:t>
      </w:r>
      <w:r w:rsidRPr="005040A4">
        <w:t xml:space="preserve"> nous concluons qu</w:t>
      </w:r>
      <w:r w:rsidR="00743D89" w:rsidRPr="005040A4">
        <w:t>’</w:t>
      </w:r>
      <w:r w:rsidRPr="005040A4">
        <w:t>une incertitude significative existe, nous sommes tenus de faire ressortir, dans le rapport du vérificateur, les informations à fournir correspondantes dans les états financiers ou, si les informations en question sont insuffisantes, de modifier notre opini</w:t>
      </w:r>
      <w:r w:rsidR="005652C9" w:rsidRPr="005040A4">
        <w:t>on.  No</w:t>
      </w:r>
      <w:r w:rsidRPr="005040A4">
        <w:t>s conclusions sont fondées sur les éléments probants obtenus jusqu</w:t>
      </w:r>
      <w:r w:rsidR="00743D89" w:rsidRPr="005040A4">
        <w:t>’</w:t>
      </w:r>
      <w:r w:rsidRPr="005040A4">
        <w:t>à la date du rapport du vérificateur des compt</w:t>
      </w:r>
      <w:r w:rsidR="005652C9" w:rsidRPr="005040A4">
        <w:t>es.  To</w:t>
      </w:r>
      <w:r w:rsidRPr="005040A4">
        <w:t>utefois, des événements ou conditions futurs pourraient pousser l</w:t>
      </w:r>
      <w:r w:rsidR="00743D89" w:rsidRPr="005040A4">
        <w:t>’</w:t>
      </w:r>
      <w:r w:rsidRPr="005040A4">
        <w:t>OMPI à cesser ses activités;</w:t>
      </w:r>
    </w:p>
    <w:p w14:paraId="6CB56005" w14:textId="2DF0C860" w:rsidR="009E613B" w:rsidRPr="005040A4" w:rsidRDefault="009E613B" w:rsidP="000057BC">
      <w:pPr>
        <w:pStyle w:val="ListParagraph"/>
        <w:numPr>
          <w:ilvl w:val="0"/>
          <w:numId w:val="35"/>
        </w:numPr>
      </w:pPr>
      <w:r w:rsidRPr="009E613B">
        <w:t>évaluer la présentation, la structure et le contenu globaux des états financiers, notamment des informations à fournir, et déterminer si les états financiers donnent une image fidèle des transactions et événements sous</w:t>
      </w:r>
      <w:r w:rsidRPr="009E613B">
        <w:noBreakHyphen/>
        <w:t>jacents.</w:t>
      </w:r>
    </w:p>
    <w:p w14:paraId="6E290A22" w14:textId="76054355" w:rsidR="00206809" w:rsidRPr="009E613B" w:rsidRDefault="00855109" w:rsidP="009E613B">
      <w:pPr>
        <w:pStyle w:val="Heading1"/>
        <w:spacing w:line="360" w:lineRule="auto"/>
        <w:rPr>
          <w:szCs w:val="56"/>
        </w:rPr>
      </w:pPr>
      <w:r w:rsidRPr="009E613B">
        <w:br w:type="page"/>
      </w:r>
      <w:bookmarkStart w:id="58" w:name="_Toc199153474"/>
      <w:r w:rsidRPr="009E613B">
        <w:rPr>
          <w:szCs w:val="56"/>
        </w:rPr>
        <w:lastRenderedPageBreak/>
        <w:t>Partie</w:t>
      </w:r>
      <w:r w:rsidR="00596148" w:rsidRPr="009E613B">
        <w:rPr>
          <w:szCs w:val="56"/>
        </w:rPr>
        <w:t> </w:t>
      </w:r>
      <w:r w:rsidRPr="009E613B">
        <w:rPr>
          <w:szCs w:val="56"/>
        </w:rPr>
        <w:t>II</w:t>
      </w:r>
      <w:r w:rsidR="009E613B" w:rsidRPr="009E613B">
        <w:rPr>
          <w:szCs w:val="56"/>
        </w:rPr>
        <w:t xml:space="preserve"> –</w:t>
      </w:r>
      <w:r w:rsidR="009E613B" w:rsidRPr="009E613B">
        <w:rPr>
          <w:szCs w:val="56"/>
        </w:rPr>
        <w:br/>
      </w:r>
      <w:r w:rsidRPr="009E613B">
        <w:rPr>
          <w:szCs w:val="56"/>
        </w:rPr>
        <w:t>Rapport détaillé</w:t>
      </w:r>
      <w:r w:rsidR="00D75692">
        <w:rPr>
          <w:szCs w:val="56"/>
        </w:rPr>
        <w:t xml:space="preserve"> </w:t>
      </w:r>
      <w:r w:rsidRPr="009E613B">
        <w:rPr>
          <w:szCs w:val="56"/>
        </w:rPr>
        <w:t>du</w:t>
      </w:r>
      <w:r w:rsidR="00D75692">
        <w:rPr>
          <w:szCs w:val="56"/>
        </w:rPr>
        <w:t> </w:t>
      </w:r>
      <w:r w:rsidRPr="009E613B">
        <w:rPr>
          <w:szCs w:val="56"/>
        </w:rPr>
        <w:t>vérificateur</w:t>
      </w:r>
      <w:r w:rsidR="00D75692">
        <w:rPr>
          <w:szCs w:val="56"/>
        </w:rPr>
        <w:br/>
      </w:r>
      <w:r w:rsidRPr="009E613B">
        <w:rPr>
          <w:szCs w:val="56"/>
        </w:rPr>
        <w:t>externe</w:t>
      </w:r>
      <w:r w:rsidR="00D75692">
        <w:rPr>
          <w:szCs w:val="56"/>
        </w:rPr>
        <w:t> </w:t>
      </w:r>
      <w:r w:rsidRPr="009E613B">
        <w:rPr>
          <w:szCs w:val="56"/>
        </w:rPr>
        <w:t>des comptes</w:t>
      </w:r>
      <w:bookmarkEnd w:id="58"/>
    </w:p>
    <w:p w14:paraId="5C509FD6" w14:textId="77777777" w:rsidR="00206809" w:rsidRPr="00D75692" w:rsidRDefault="00206809" w:rsidP="00D75692">
      <w:pPr>
        <w:rPr>
          <w:lang w:val="fr-FR"/>
        </w:rPr>
      </w:pPr>
      <w:r w:rsidRPr="00D75692">
        <w:rPr>
          <w:lang w:val="fr-FR"/>
        </w:rPr>
        <w:br w:type="page"/>
      </w:r>
    </w:p>
    <w:p w14:paraId="76F2ADD8" w14:textId="239054F8" w:rsidR="00855109" w:rsidRPr="00D75692" w:rsidRDefault="00855109" w:rsidP="00D75692">
      <w:pPr>
        <w:pStyle w:val="Heading2"/>
        <w:rPr>
          <w:caps/>
        </w:rPr>
      </w:pPr>
      <w:bookmarkStart w:id="59" w:name="_Toc199153475"/>
      <w:r w:rsidRPr="00D75692">
        <w:rPr>
          <w:caps/>
        </w:rPr>
        <w:lastRenderedPageBreak/>
        <w:t>R</w:t>
      </w:r>
      <w:r w:rsidR="00D75692" w:rsidRPr="00D75692">
        <w:rPr>
          <w:caps/>
        </w:rPr>
        <w:t>ésumé</w:t>
      </w:r>
      <w:bookmarkEnd w:id="59"/>
    </w:p>
    <w:p w14:paraId="55A24CC8" w14:textId="2212876E" w:rsidR="00855109" w:rsidRPr="005040A4" w:rsidRDefault="00855109" w:rsidP="00D75692">
      <w:pPr>
        <w:spacing w:after="220"/>
        <w:rPr>
          <w:szCs w:val="22"/>
          <w:lang w:val="fr-FR"/>
        </w:rPr>
      </w:pPr>
      <w:r w:rsidRPr="005040A4">
        <w:rPr>
          <w:b/>
          <w:lang w:val="fr-FR"/>
        </w:rPr>
        <w:t>L</w:t>
      </w:r>
      <w:r w:rsidR="00743D89" w:rsidRPr="005040A4">
        <w:rPr>
          <w:b/>
          <w:lang w:val="fr-FR"/>
        </w:rPr>
        <w:t>’</w:t>
      </w:r>
      <w:r w:rsidRPr="005040A4">
        <w:rPr>
          <w:b/>
          <w:lang w:val="fr-FR"/>
        </w:rPr>
        <w:t>importance de cet audit</w:t>
      </w:r>
    </w:p>
    <w:p w14:paraId="4E688233" w14:textId="03BCA439" w:rsidR="00855109" w:rsidRPr="005040A4" w:rsidRDefault="00855109" w:rsidP="00D75692">
      <w:pPr>
        <w:spacing w:after="220"/>
        <w:jc w:val="both"/>
        <w:rPr>
          <w:szCs w:val="22"/>
          <w:lang w:val="fr-FR"/>
        </w:rPr>
      </w:pPr>
      <w:r w:rsidRPr="005040A4">
        <w:rPr>
          <w:lang w:val="fr-FR"/>
        </w:rPr>
        <w:t>En 2024, l</w:t>
      </w:r>
      <w:r w:rsidR="00743D89" w:rsidRPr="005040A4">
        <w:rPr>
          <w:lang w:val="fr-FR"/>
        </w:rPr>
        <w:t>’</w:t>
      </w:r>
      <w:r w:rsidRPr="005040A4">
        <w:rPr>
          <w:lang w:val="fr-FR"/>
        </w:rPr>
        <w:t>Organisation Mondiale de la Propriété Intellectuelle (l</w:t>
      </w:r>
      <w:r w:rsidR="00743D89" w:rsidRPr="005040A4">
        <w:rPr>
          <w:lang w:val="fr-FR"/>
        </w:rPr>
        <w:t>’</w:t>
      </w:r>
      <w:r w:rsidRPr="005040A4">
        <w:rPr>
          <w:lang w:val="fr-FR"/>
        </w:rPr>
        <w:t>Organisation) a géré d</w:t>
      </w:r>
      <w:r w:rsidR="00743D89" w:rsidRPr="005040A4">
        <w:rPr>
          <w:lang w:val="fr-FR"/>
        </w:rPr>
        <w:t>’</w:t>
      </w:r>
      <w:r w:rsidRPr="005040A4">
        <w:rPr>
          <w:lang w:val="fr-FR"/>
        </w:rPr>
        <w:t>importantes ressources financières essentielles à sa mission mondia</w:t>
      </w:r>
      <w:r w:rsidR="005652C9" w:rsidRPr="005040A4">
        <w:rPr>
          <w:lang w:val="fr-FR"/>
        </w:rPr>
        <w:t>le.  Du</w:t>
      </w:r>
      <w:r w:rsidRPr="005040A4">
        <w:rPr>
          <w:lang w:val="fr-FR"/>
        </w:rPr>
        <w:t>rant l</w:t>
      </w:r>
      <w:r w:rsidR="00743D89" w:rsidRPr="005040A4">
        <w:rPr>
          <w:lang w:val="fr-FR"/>
        </w:rPr>
        <w:t>’</w:t>
      </w:r>
      <w:r w:rsidRPr="005040A4">
        <w:rPr>
          <w:lang w:val="fr-FR"/>
        </w:rPr>
        <w:t>année, l</w:t>
      </w:r>
      <w:r w:rsidR="00743D89" w:rsidRPr="005040A4">
        <w:rPr>
          <w:lang w:val="fr-FR"/>
        </w:rPr>
        <w:t>’</w:t>
      </w:r>
      <w:r w:rsidRPr="005040A4">
        <w:rPr>
          <w:lang w:val="fr-FR"/>
        </w:rPr>
        <w:t>Organisation a généré des recettes de 496,67 millions de francs suisses et a comptabilisé des dépenses de 430,33 millions de francs suisses, tout en détenant des actifs à hauteur de 1 912,96 millions de francs suisses et un passif de 1 202,30 millions de francs suisses.</w:t>
      </w:r>
    </w:p>
    <w:p w14:paraId="1A57CDCC" w14:textId="260C5D87" w:rsidR="00855109" w:rsidRPr="005040A4" w:rsidRDefault="00855109" w:rsidP="00D75692">
      <w:pPr>
        <w:spacing w:after="220"/>
        <w:jc w:val="both"/>
        <w:rPr>
          <w:szCs w:val="22"/>
          <w:lang w:val="fr-FR"/>
        </w:rPr>
      </w:pPr>
      <w:r w:rsidRPr="005040A4">
        <w:rPr>
          <w:lang w:val="fr-FR"/>
        </w:rPr>
        <w:t>Un audit indépendant est essentiel pour garantir la responsabilisation de l</w:t>
      </w:r>
      <w:r w:rsidR="00743D89" w:rsidRPr="005040A4">
        <w:rPr>
          <w:lang w:val="fr-FR"/>
        </w:rPr>
        <w:t>’</w:t>
      </w:r>
      <w:r w:rsidRPr="005040A4">
        <w:rPr>
          <w:lang w:val="fr-FR"/>
        </w:rPr>
        <w:t>Organisation au vu du rôle crucial qu</w:t>
      </w:r>
      <w:r w:rsidR="00743D89" w:rsidRPr="005040A4">
        <w:rPr>
          <w:lang w:val="fr-FR"/>
        </w:rPr>
        <w:t>’</w:t>
      </w:r>
      <w:r w:rsidRPr="005040A4">
        <w:rPr>
          <w:lang w:val="fr-FR"/>
        </w:rPr>
        <w:t>elle joue dans le système mondial de la propriété intellectuel</w:t>
      </w:r>
      <w:r w:rsidR="005652C9" w:rsidRPr="005040A4">
        <w:rPr>
          <w:lang w:val="fr-FR"/>
        </w:rPr>
        <w:t>le.  La</w:t>
      </w:r>
      <w:r w:rsidRPr="005040A4">
        <w:rPr>
          <w:lang w:val="fr-FR"/>
        </w:rPr>
        <w:t xml:space="preserve"> Commission d</w:t>
      </w:r>
      <w:r w:rsidR="00743D89" w:rsidRPr="005040A4">
        <w:rPr>
          <w:lang w:val="fr-FR"/>
        </w:rPr>
        <w:t>’</w:t>
      </w:r>
      <w:r w:rsidRPr="005040A4">
        <w:rPr>
          <w:lang w:val="fr-FR"/>
        </w:rPr>
        <w:t>audit de la République d</w:t>
      </w:r>
      <w:r w:rsidR="00743D89" w:rsidRPr="005040A4">
        <w:rPr>
          <w:lang w:val="fr-FR"/>
        </w:rPr>
        <w:t>’</w:t>
      </w:r>
      <w:r w:rsidRPr="005040A4">
        <w:rPr>
          <w:lang w:val="fr-FR"/>
        </w:rPr>
        <w:t>Indonésie (Badan Pemeriksa Keuangan (BPK</w:t>
      </w:r>
      <w:r w:rsidR="0029379C" w:rsidRPr="005040A4">
        <w:rPr>
          <w:lang w:val="fr-FR"/>
        </w:rPr>
        <w:t>)</w:t>
      </w:r>
      <w:r w:rsidRPr="005040A4">
        <w:rPr>
          <w:lang w:val="fr-FR"/>
        </w:rPr>
        <w:t>) présente ce rapport à l</w:t>
      </w:r>
      <w:r w:rsidR="00743D89" w:rsidRPr="005040A4">
        <w:rPr>
          <w:lang w:val="fr-FR"/>
        </w:rPr>
        <w:t>’</w:t>
      </w:r>
      <w:r w:rsidRPr="005040A4">
        <w:rPr>
          <w:lang w:val="fr-FR"/>
        </w:rPr>
        <w:t>issue d</w:t>
      </w:r>
      <w:r w:rsidR="00743D89" w:rsidRPr="005040A4">
        <w:rPr>
          <w:lang w:val="fr-FR"/>
        </w:rPr>
        <w:t>’</w:t>
      </w:r>
      <w:r w:rsidRPr="005040A4">
        <w:rPr>
          <w:lang w:val="fr-FR"/>
        </w:rPr>
        <w:t>un audit complet des états financiers de l</w:t>
      </w:r>
      <w:r w:rsidR="00743D89" w:rsidRPr="005040A4">
        <w:rPr>
          <w:lang w:val="fr-FR"/>
        </w:rPr>
        <w:t>’</w:t>
      </w:r>
      <w:r w:rsidRPr="005040A4">
        <w:rPr>
          <w:lang w:val="fr-FR"/>
        </w:rPr>
        <w:t>Organisation pour l</w:t>
      </w:r>
      <w:r w:rsidR="00743D89" w:rsidRPr="005040A4">
        <w:rPr>
          <w:lang w:val="fr-FR"/>
        </w:rPr>
        <w:t>’</w:t>
      </w:r>
      <w:r w:rsidRPr="005040A4">
        <w:rPr>
          <w:lang w:val="fr-FR"/>
        </w:rPr>
        <w:t xml:space="preserve">exercice clos le 31 décembre 2024. </w:t>
      </w:r>
      <w:r w:rsidR="001B7F27" w:rsidRPr="005040A4">
        <w:rPr>
          <w:lang w:val="fr-FR"/>
        </w:rPr>
        <w:t xml:space="preserve"> </w:t>
      </w:r>
      <w:r w:rsidRPr="005040A4">
        <w:rPr>
          <w:lang w:val="fr-FR"/>
        </w:rPr>
        <w:t>En outre, la BPK a effectué un audit de performance afin d</w:t>
      </w:r>
      <w:r w:rsidR="00743D89" w:rsidRPr="005040A4">
        <w:rPr>
          <w:lang w:val="fr-FR"/>
        </w:rPr>
        <w:t>’</w:t>
      </w:r>
      <w:r w:rsidRPr="005040A4">
        <w:rPr>
          <w:lang w:val="fr-FR"/>
        </w:rPr>
        <w:t>identifier les domaines dans lesquels les services fournis par l</w:t>
      </w:r>
      <w:r w:rsidR="00743D89" w:rsidRPr="005040A4">
        <w:rPr>
          <w:lang w:val="fr-FR"/>
        </w:rPr>
        <w:t>’</w:t>
      </w:r>
      <w:r w:rsidRPr="005040A4">
        <w:rPr>
          <w:lang w:val="fr-FR"/>
        </w:rPr>
        <w:t>Organisation à ses parties prenantes peuvent être amélior</w:t>
      </w:r>
      <w:r w:rsidR="005652C9" w:rsidRPr="005040A4">
        <w:rPr>
          <w:lang w:val="fr-FR"/>
        </w:rPr>
        <w:t>és.  No</w:t>
      </w:r>
      <w:r w:rsidRPr="005040A4">
        <w:rPr>
          <w:lang w:val="fr-FR"/>
        </w:rPr>
        <w:t>tre audit a été mené conformément aux normes internationales d</w:t>
      </w:r>
      <w:r w:rsidR="00743D89" w:rsidRPr="005040A4">
        <w:rPr>
          <w:lang w:val="fr-FR"/>
        </w:rPr>
        <w:t>’</w:t>
      </w:r>
      <w:r w:rsidRPr="005040A4">
        <w:rPr>
          <w:lang w:val="fr-FR"/>
        </w:rPr>
        <w:t>audit et aux normes internationales des institutions supérieures de contrôle des finances publiques (ISSAI).</w:t>
      </w:r>
    </w:p>
    <w:p w14:paraId="357EDAD6" w14:textId="7D9F7B8D" w:rsidR="00855109" w:rsidRPr="005040A4" w:rsidRDefault="00855109" w:rsidP="00D75692">
      <w:pPr>
        <w:spacing w:after="220"/>
        <w:rPr>
          <w:szCs w:val="22"/>
          <w:lang w:val="fr-FR"/>
        </w:rPr>
      </w:pPr>
      <w:r w:rsidRPr="005040A4">
        <w:rPr>
          <w:b/>
          <w:lang w:val="fr-FR"/>
        </w:rPr>
        <w:t>Objectifs de l</w:t>
      </w:r>
      <w:r w:rsidR="00743D89" w:rsidRPr="005040A4">
        <w:rPr>
          <w:b/>
          <w:lang w:val="fr-FR"/>
        </w:rPr>
        <w:t>’</w:t>
      </w:r>
      <w:r w:rsidRPr="005040A4">
        <w:rPr>
          <w:b/>
          <w:lang w:val="fr-FR"/>
        </w:rPr>
        <w:t>audit</w:t>
      </w:r>
    </w:p>
    <w:p w14:paraId="5E9E0168" w14:textId="00F3E5C0" w:rsidR="00855109" w:rsidRPr="005040A4" w:rsidRDefault="00855109" w:rsidP="00D75692">
      <w:pPr>
        <w:spacing w:after="220"/>
        <w:jc w:val="both"/>
        <w:rPr>
          <w:szCs w:val="22"/>
          <w:lang w:val="fr-FR"/>
        </w:rPr>
      </w:pPr>
      <w:r w:rsidRPr="005040A4">
        <w:rPr>
          <w:lang w:val="fr-FR"/>
        </w:rPr>
        <w:t>L</w:t>
      </w:r>
      <w:r w:rsidR="00743D89" w:rsidRPr="005040A4">
        <w:rPr>
          <w:lang w:val="fr-FR"/>
        </w:rPr>
        <w:t>’</w:t>
      </w:r>
      <w:r w:rsidRPr="005040A4">
        <w:rPr>
          <w:lang w:val="fr-FR"/>
        </w:rPr>
        <w:t>audit financier a été mené principalement afin de permettre à la BPK de se forger une opinion sur la question de savoir si les états financiers de l</w:t>
      </w:r>
      <w:r w:rsidR="00743D89" w:rsidRPr="005040A4">
        <w:rPr>
          <w:lang w:val="fr-FR"/>
        </w:rPr>
        <w:t>’</w:t>
      </w:r>
      <w:r w:rsidRPr="005040A4">
        <w:rPr>
          <w:lang w:val="fr-FR"/>
        </w:rPr>
        <w:t>Organisation pour l</w:t>
      </w:r>
      <w:r w:rsidR="00743D89" w:rsidRPr="005040A4">
        <w:rPr>
          <w:lang w:val="fr-FR"/>
        </w:rPr>
        <w:t>’</w:t>
      </w:r>
      <w:r w:rsidRPr="005040A4">
        <w:rPr>
          <w:lang w:val="fr-FR"/>
        </w:rPr>
        <w:t>exercice clos le 31 décembre 2024 donnent une image fidèle, dans tous leurs aspects significatifs, de la situation financière de l</w:t>
      </w:r>
      <w:r w:rsidR="00743D89" w:rsidRPr="005040A4">
        <w:rPr>
          <w:lang w:val="fr-FR"/>
        </w:rPr>
        <w:t>’</w:t>
      </w:r>
      <w:r w:rsidRPr="005040A4">
        <w:rPr>
          <w:lang w:val="fr-FR"/>
        </w:rPr>
        <w:t xml:space="preserve">Organisation conformément aux normes comptables internationales pour le secteur public (IPSAS). </w:t>
      </w:r>
      <w:r w:rsidR="001B7F27" w:rsidRPr="005040A4">
        <w:rPr>
          <w:lang w:val="fr-FR"/>
        </w:rPr>
        <w:t xml:space="preserve"> </w:t>
      </w:r>
      <w:r w:rsidRPr="005040A4">
        <w:rPr>
          <w:lang w:val="fr-FR"/>
        </w:rPr>
        <w:t>Cet audit comprenait une évaluation visant à vérifier si les transactions étaient, dans tous leurs aspects significatifs, conformes au Règlement financier et règlement d</w:t>
      </w:r>
      <w:r w:rsidR="00743D89" w:rsidRPr="005040A4">
        <w:rPr>
          <w:lang w:val="fr-FR"/>
        </w:rPr>
        <w:t>’</w:t>
      </w:r>
      <w:r w:rsidRPr="005040A4">
        <w:rPr>
          <w:lang w:val="fr-FR"/>
        </w:rPr>
        <w:t>exécution du règlement financier de l</w:t>
      </w:r>
      <w:r w:rsidR="00743D89" w:rsidRPr="005040A4">
        <w:rPr>
          <w:lang w:val="fr-FR"/>
        </w:rPr>
        <w:t>’</w:t>
      </w:r>
      <w:r w:rsidRPr="005040A4">
        <w:rPr>
          <w:lang w:val="fr-FR"/>
        </w:rPr>
        <w:t>Organisation.</w:t>
      </w:r>
    </w:p>
    <w:p w14:paraId="3579B9E0" w14:textId="269FBCBC" w:rsidR="00743D89" w:rsidRPr="005040A4" w:rsidRDefault="00855109" w:rsidP="00D75692">
      <w:pPr>
        <w:spacing w:after="220"/>
        <w:jc w:val="both"/>
        <w:rPr>
          <w:lang w:val="fr-FR"/>
        </w:rPr>
      </w:pPr>
      <w:r w:rsidRPr="005040A4">
        <w:rPr>
          <w:lang w:val="fr-FR"/>
        </w:rPr>
        <w:t>L</w:t>
      </w:r>
      <w:r w:rsidR="00743D89" w:rsidRPr="005040A4">
        <w:rPr>
          <w:lang w:val="fr-FR"/>
        </w:rPr>
        <w:t>’</w:t>
      </w:r>
      <w:r w:rsidRPr="005040A4">
        <w:rPr>
          <w:lang w:val="fr-FR"/>
        </w:rPr>
        <w:t>audit de performance avait pour objet d</w:t>
      </w:r>
      <w:r w:rsidR="00743D89" w:rsidRPr="005040A4">
        <w:rPr>
          <w:lang w:val="fr-FR"/>
        </w:rPr>
        <w:t>’</w:t>
      </w:r>
      <w:r w:rsidRPr="005040A4">
        <w:rPr>
          <w:lang w:val="fr-FR"/>
        </w:rPr>
        <w:t>évaluer l</w:t>
      </w:r>
      <w:r w:rsidR="00743D89" w:rsidRPr="005040A4">
        <w:rPr>
          <w:lang w:val="fr-FR"/>
        </w:rPr>
        <w:t>’</w:t>
      </w:r>
      <w:r w:rsidRPr="005040A4">
        <w:rPr>
          <w:lang w:val="fr-FR"/>
        </w:rPr>
        <w:t>efficacité de la direction de l</w:t>
      </w:r>
      <w:r w:rsidR="00743D89" w:rsidRPr="005040A4">
        <w:rPr>
          <w:lang w:val="fr-FR"/>
        </w:rPr>
        <w:t>’</w:t>
      </w:r>
      <w:r w:rsidRPr="005040A4">
        <w:rPr>
          <w:lang w:val="fr-FR"/>
        </w:rPr>
        <w:t>Organisation dans l</w:t>
      </w:r>
      <w:r w:rsidR="00743D89" w:rsidRPr="005040A4">
        <w:rPr>
          <w:lang w:val="fr-FR"/>
        </w:rPr>
        <w:t>’</w:t>
      </w:r>
      <w:r w:rsidRPr="005040A4">
        <w:rPr>
          <w:lang w:val="fr-FR"/>
        </w:rPr>
        <w:t>amélioration des services fournis à ses parties prenantes en ce qui concerne les piliers n</w:t>
      </w:r>
      <w:r w:rsidRPr="005040A4">
        <w:rPr>
          <w:vertAlign w:val="superscript"/>
          <w:lang w:val="fr-FR"/>
        </w:rPr>
        <w:t>os</w:t>
      </w:r>
      <w:r w:rsidRPr="005040A4">
        <w:rPr>
          <w:lang w:val="fr-FR"/>
        </w:rPr>
        <w:t xml:space="preserve"> 1 et 2 du Plan stratégique à moyen terme (PSMT) </w:t>
      </w:r>
      <w:r w:rsidR="00743D89" w:rsidRPr="005040A4">
        <w:rPr>
          <w:lang w:val="fr-FR"/>
        </w:rPr>
        <w:t>pour 2022</w:t>
      </w:r>
      <w:r w:rsidR="00C249FA" w:rsidRPr="005040A4">
        <w:rPr>
          <w:lang w:val="fr-FR"/>
        </w:rPr>
        <w:noBreakHyphen/>
      </w:r>
      <w:r w:rsidRPr="005040A4">
        <w:rPr>
          <w:lang w:val="fr-FR"/>
        </w:rPr>
        <w:t>2026 de l</w:t>
      </w:r>
      <w:r w:rsidR="00743D89" w:rsidRPr="005040A4">
        <w:rPr>
          <w:lang w:val="fr-FR"/>
        </w:rPr>
        <w:t>’</w:t>
      </w:r>
      <w:r w:rsidRPr="005040A4">
        <w:rPr>
          <w:lang w:val="fr-FR"/>
        </w:rPr>
        <w:t>Organisation.</w:t>
      </w:r>
    </w:p>
    <w:p w14:paraId="5F9040F9" w14:textId="4C3BA20B" w:rsidR="00855109" w:rsidRPr="005040A4" w:rsidRDefault="00855109" w:rsidP="00D75692">
      <w:pPr>
        <w:spacing w:after="220"/>
        <w:rPr>
          <w:szCs w:val="22"/>
          <w:lang w:val="fr-FR"/>
        </w:rPr>
      </w:pPr>
      <w:r w:rsidRPr="005040A4">
        <w:rPr>
          <w:b/>
          <w:lang w:val="fr-FR"/>
        </w:rPr>
        <w:t>Opinion d</w:t>
      </w:r>
      <w:r w:rsidR="00743D89" w:rsidRPr="005040A4">
        <w:rPr>
          <w:b/>
          <w:lang w:val="fr-FR"/>
        </w:rPr>
        <w:t>’</w:t>
      </w:r>
      <w:r w:rsidRPr="005040A4">
        <w:rPr>
          <w:b/>
          <w:lang w:val="fr-FR"/>
        </w:rPr>
        <w:t>audit</w:t>
      </w:r>
    </w:p>
    <w:p w14:paraId="3D6BCD24" w14:textId="4C85F18D" w:rsidR="00743D89" w:rsidRPr="005040A4" w:rsidRDefault="00855109" w:rsidP="00D75692">
      <w:pPr>
        <w:spacing w:after="220"/>
        <w:jc w:val="both"/>
        <w:rPr>
          <w:lang w:val="fr-FR"/>
        </w:rPr>
      </w:pPr>
      <w:r w:rsidRPr="005040A4">
        <w:rPr>
          <w:lang w:val="fr-FR"/>
        </w:rPr>
        <w:t>La BPK a conclu que les états financiers donnent une image fidèle, dans tous leurs aspects significatifs, de la situation financière au 31 décembre 2024, ainsi que de la performance financière et des flux de trésorerie de l</w:t>
      </w:r>
      <w:r w:rsidR="00743D89" w:rsidRPr="005040A4">
        <w:rPr>
          <w:lang w:val="fr-FR"/>
        </w:rPr>
        <w:t>’</w:t>
      </w:r>
      <w:r w:rsidRPr="005040A4">
        <w:rPr>
          <w:lang w:val="fr-FR"/>
        </w:rPr>
        <w:t>Organisation pour l</w:t>
      </w:r>
      <w:r w:rsidR="00743D89" w:rsidRPr="005040A4">
        <w:rPr>
          <w:lang w:val="fr-FR"/>
        </w:rPr>
        <w:t>’</w:t>
      </w:r>
      <w:r w:rsidRPr="005040A4">
        <w:rPr>
          <w:lang w:val="fr-FR"/>
        </w:rPr>
        <w:t>exercice clos à cette date, conformément aux normes</w:t>
      </w:r>
      <w:r w:rsidR="001B7F27" w:rsidRPr="005040A4">
        <w:rPr>
          <w:lang w:val="fr-FR"/>
        </w:rPr>
        <w:t> </w:t>
      </w:r>
      <w:r w:rsidRPr="005040A4">
        <w:rPr>
          <w:lang w:val="fr-FR"/>
        </w:rPr>
        <w:t>IPSAS.</w:t>
      </w:r>
    </w:p>
    <w:p w14:paraId="3637F579" w14:textId="19DC8F22" w:rsidR="00855109" w:rsidRPr="005040A4" w:rsidRDefault="00855109" w:rsidP="00D75692">
      <w:pPr>
        <w:spacing w:after="220"/>
        <w:rPr>
          <w:szCs w:val="22"/>
          <w:lang w:val="fr-FR"/>
        </w:rPr>
      </w:pPr>
      <w:r w:rsidRPr="005040A4">
        <w:rPr>
          <w:b/>
          <w:lang w:val="fr-FR"/>
        </w:rPr>
        <w:t>Questions diverses</w:t>
      </w:r>
    </w:p>
    <w:p w14:paraId="1BD0E904" w14:textId="146A4205" w:rsidR="00855109" w:rsidRPr="005040A4" w:rsidRDefault="00855109" w:rsidP="00D75692">
      <w:pPr>
        <w:spacing w:after="220"/>
        <w:jc w:val="both"/>
        <w:rPr>
          <w:szCs w:val="22"/>
          <w:lang w:val="fr-FR"/>
        </w:rPr>
      </w:pPr>
      <w:r w:rsidRPr="005040A4">
        <w:rPr>
          <w:lang w:val="fr-FR"/>
        </w:rPr>
        <w:t>Les états financiers de l</w:t>
      </w:r>
      <w:r w:rsidR="00743D89" w:rsidRPr="005040A4">
        <w:rPr>
          <w:lang w:val="fr-FR"/>
        </w:rPr>
        <w:t>’</w:t>
      </w:r>
      <w:r w:rsidRPr="005040A4">
        <w:rPr>
          <w:lang w:val="fr-FR"/>
        </w:rPr>
        <w:t>Organisation pour l</w:t>
      </w:r>
      <w:r w:rsidR="00743D89" w:rsidRPr="005040A4">
        <w:rPr>
          <w:lang w:val="fr-FR"/>
        </w:rPr>
        <w:t>’</w:t>
      </w:r>
      <w:r w:rsidRPr="005040A4">
        <w:rPr>
          <w:lang w:val="fr-FR"/>
        </w:rPr>
        <w:t>exercice clos le 31 décembre 2023 ont été vérifiés par le Bureau national de vérification des comptes du Royaume</w:t>
      </w:r>
      <w:r w:rsidR="00C249FA" w:rsidRPr="005040A4">
        <w:rPr>
          <w:lang w:val="fr-FR"/>
        </w:rPr>
        <w:noBreakHyphen/>
      </w:r>
      <w:r w:rsidRPr="005040A4">
        <w:rPr>
          <w:lang w:val="fr-FR"/>
        </w:rPr>
        <w:t>Uni, qui a émis une opinion sans réserve sur ces états le 14 mai 2024.</w:t>
      </w:r>
    </w:p>
    <w:p w14:paraId="388811ED" w14:textId="77777777" w:rsidR="00855109" w:rsidRPr="005040A4" w:rsidRDefault="00855109" w:rsidP="00D75692">
      <w:pPr>
        <w:spacing w:after="220"/>
        <w:rPr>
          <w:szCs w:val="22"/>
          <w:lang w:val="fr-FR"/>
        </w:rPr>
      </w:pPr>
      <w:r w:rsidRPr="005040A4">
        <w:rPr>
          <w:b/>
          <w:lang w:val="fr-FR"/>
        </w:rPr>
        <w:t>Questions financières</w:t>
      </w:r>
    </w:p>
    <w:p w14:paraId="572471E9" w14:textId="7DC82C6F" w:rsidR="00855109" w:rsidRPr="005040A4" w:rsidRDefault="00855109" w:rsidP="00D75692">
      <w:pPr>
        <w:spacing w:after="220"/>
        <w:jc w:val="both"/>
        <w:rPr>
          <w:szCs w:val="22"/>
          <w:lang w:val="fr-FR"/>
        </w:rPr>
      </w:pPr>
      <w:r w:rsidRPr="005040A4">
        <w:rPr>
          <w:lang w:val="fr-FR"/>
        </w:rPr>
        <w:t>La BPK reconnaît que les états financiers donnent une image fidèle de la situation financière de l</w:t>
      </w:r>
      <w:r w:rsidR="00743D89" w:rsidRPr="005040A4">
        <w:rPr>
          <w:lang w:val="fr-FR"/>
        </w:rPr>
        <w:t>’</w:t>
      </w:r>
      <w:r w:rsidRPr="005040A4">
        <w:rPr>
          <w:lang w:val="fr-FR"/>
        </w:rPr>
        <w:t>Organisation conformément aux normes</w:t>
      </w:r>
      <w:r w:rsidR="001B7F27" w:rsidRPr="005040A4">
        <w:rPr>
          <w:lang w:val="fr-FR"/>
        </w:rPr>
        <w:t> </w:t>
      </w:r>
      <w:r w:rsidRPr="005040A4">
        <w:rPr>
          <w:lang w:val="fr-FR"/>
        </w:rPr>
        <w:t>IPSAS et au Règlement financi</w:t>
      </w:r>
      <w:r w:rsidR="005652C9" w:rsidRPr="005040A4">
        <w:rPr>
          <w:lang w:val="fr-FR"/>
        </w:rPr>
        <w:t>er.  Au</w:t>
      </w:r>
      <w:r w:rsidRPr="005040A4">
        <w:rPr>
          <w:lang w:val="fr-FR"/>
        </w:rPr>
        <w:t xml:space="preserve"> cours de la première année de sa mission, la BPK a examiné le contrôle interne et la conformité à la réglementation, en s</w:t>
      </w:r>
      <w:r w:rsidR="00743D89" w:rsidRPr="005040A4">
        <w:rPr>
          <w:lang w:val="fr-FR"/>
        </w:rPr>
        <w:t>’</w:t>
      </w:r>
      <w:r w:rsidRPr="005040A4">
        <w:rPr>
          <w:lang w:val="fr-FR"/>
        </w:rPr>
        <w:t>intéressant plus particulièrement au système de Madrid et au contrôle des technologies de l</w:t>
      </w:r>
      <w:r w:rsidR="00743D89" w:rsidRPr="005040A4">
        <w:rPr>
          <w:lang w:val="fr-FR"/>
        </w:rPr>
        <w:t>’</w:t>
      </w:r>
      <w:r w:rsidRPr="005040A4">
        <w:rPr>
          <w:lang w:val="fr-FR"/>
        </w:rPr>
        <w:t xml:space="preserve">information. </w:t>
      </w:r>
      <w:r w:rsidR="001B7F27" w:rsidRPr="005040A4">
        <w:rPr>
          <w:lang w:val="fr-FR"/>
        </w:rPr>
        <w:t xml:space="preserve"> </w:t>
      </w:r>
      <w:r w:rsidRPr="005040A4">
        <w:rPr>
          <w:lang w:val="fr-FR"/>
        </w:rPr>
        <w:t>L</w:t>
      </w:r>
      <w:r w:rsidR="00743D89" w:rsidRPr="005040A4">
        <w:rPr>
          <w:lang w:val="fr-FR"/>
        </w:rPr>
        <w:t>’</w:t>
      </w:r>
      <w:r w:rsidRPr="005040A4">
        <w:rPr>
          <w:lang w:val="fr-FR"/>
        </w:rPr>
        <w:t>audit a mis en évidence certains domaines nécessitant des améliorations dans les systèmes de gestion financière et les pratiques comptables de l</w:t>
      </w:r>
      <w:r w:rsidR="00743D89" w:rsidRPr="005040A4">
        <w:rPr>
          <w:lang w:val="fr-FR"/>
        </w:rPr>
        <w:t>’</w:t>
      </w:r>
      <w:r w:rsidRPr="005040A4">
        <w:rPr>
          <w:lang w:val="fr-FR"/>
        </w:rPr>
        <w:t>Organisation, notamment la nécessité d</w:t>
      </w:r>
      <w:r w:rsidR="00743D89" w:rsidRPr="005040A4">
        <w:rPr>
          <w:lang w:val="fr-FR"/>
        </w:rPr>
        <w:t>’</w:t>
      </w:r>
      <w:r w:rsidRPr="005040A4">
        <w:rPr>
          <w:lang w:val="fr-FR"/>
        </w:rPr>
        <w:t>optimiser et d</w:t>
      </w:r>
      <w:r w:rsidR="00743D89" w:rsidRPr="005040A4">
        <w:rPr>
          <w:lang w:val="fr-FR"/>
        </w:rPr>
        <w:t>’</w:t>
      </w:r>
      <w:r w:rsidRPr="005040A4">
        <w:rPr>
          <w:lang w:val="fr-FR"/>
        </w:rPr>
        <w:t xml:space="preserve">automatiser davantage les processus </w:t>
      </w:r>
      <w:r w:rsidRPr="005040A4">
        <w:rPr>
          <w:lang w:val="fr-FR"/>
        </w:rPr>
        <w:lastRenderedPageBreak/>
        <w:t>d</w:t>
      </w:r>
      <w:r w:rsidR="00743D89" w:rsidRPr="005040A4">
        <w:rPr>
          <w:lang w:val="fr-FR"/>
        </w:rPr>
        <w:t>’</w:t>
      </w:r>
      <w:r w:rsidRPr="005040A4">
        <w:rPr>
          <w:lang w:val="fr-FR"/>
        </w:rPr>
        <w:t>établissement de rapports financiers, d</w:t>
      </w:r>
      <w:r w:rsidR="00743D89" w:rsidRPr="005040A4">
        <w:rPr>
          <w:lang w:val="fr-FR"/>
        </w:rPr>
        <w:t>’</w:t>
      </w:r>
      <w:r w:rsidRPr="005040A4">
        <w:rPr>
          <w:lang w:val="fr-FR"/>
        </w:rPr>
        <w:t>améliorer la documentation relative aux politiques de comptabilisation des recettes, en particulier en ce qui concerne les taxes du système de Madrid, et de mettre en place des mécanismes efficaces pour traiter les paiements en suspens liés à des marques.</w:t>
      </w:r>
    </w:p>
    <w:p w14:paraId="2C32D60E" w14:textId="77777777" w:rsidR="00855109" w:rsidRPr="005040A4" w:rsidRDefault="00855109" w:rsidP="00D75692">
      <w:pPr>
        <w:spacing w:after="220"/>
        <w:jc w:val="both"/>
        <w:rPr>
          <w:szCs w:val="22"/>
          <w:lang w:val="fr-FR"/>
        </w:rPr>
      </w:pPr>
      <w:r w:rsidRPr="005040A4">
        <w:rPr>
          <w:b/>
          <w:lang w:val="fr-FR"/>
        </w:rPr>
        <w:t>Observations relatives aux performances</w:t>
      </w:r>
    </w:p>
    <w:p w14:paraId="354AABD5" w14:textId="2814B253" w:rsidR="00855109" w:rsidRPr="005040A4" w:rsidRDefault="00855109" w:rsidP="00D75692">
      <w:pPr>
        <w:spacing w:after="220"/>
        <w:jc w:val="both"/>
        <w:rPr>
          <w:szCs w:val="22"/>
          <w:lang w:val="fr-FR"/>
        </w:rPr>
      </w:pPr>
      <w:r w:rsidRPr="005040A4">
        <w:rPr>
          <w:color w:val="000000"/>
          <w:lang w:val="fr-FR"/>
        </w:rPr>
        <w:t>La BPK reconnaît que l</w:t>
      </w:r>
      <w:r w:rsidR="00743D89" w:rsidRPr="005040A4">
        <w:rPr>
          <w:color w:val="000000"/>
          <w:lang w:val="fr-FR"/>
        </w:rPr>
        <w:t>’</w:t>
      </w:r>
      <w:r w:rsidRPr="005040A4">
        <w:rPr>
          <w:color w:val="000000"/>
          <w:lang w:val="fr-FR"/>
        </w:rPr>
        <w:t>Organisation a géré avec efficacité la planification, le suivi et l</w:t>
      </w:r>
      <w:r w:rsidR="00743D89" w:rsidRPr="005040A4">
        <w:rPr>
          <w:color w:val="000000"/>
          <w:lang w:val="fr-FR"/>
        </w:rPr>
        <w:t>’</w:t>
      </w:r>
      <w:r w:rsidRPr="005040A4">
        <w:rPr>
          <w:color w:val="000000"/>
          <w:lang w:val="fr-FR"/>
        </w:rPr>
        <w:t>évaluation de ses programmes et activités au cours de la période auditée, en veillant à ce qu</w:t>
      </w:r>
      <w:r w:rsidR="00743D89" w:rsidRPr="005040A4">
        <w:rPr>
          <w:color w:val="000000"/>
          <w:lang w:val="fr-FR"/>
        </w:rPr>
        <w:t>’</w:t>
      </w:r>
      <w:r w:rsidRPr="005040A4">
        <w:rPr>
          <w:color w:val="000000"/>
          <w:lang w:val="fr-FR"/>
        </w:rPr>
        <w:t>ils répondent aux besoins des parties prenantes par l</w:t>
      </w:r>
      <w:r w:rsidR="00743D89" w:rsidRPr="005040A4">
        <w:rPr>
          <w:color w:val="000000"/>
          <w:lang w:val="fr-FR"/>
        </w:rPr>
        <w:t>’</w:t>
      </w:r>
      <w:r w:rsidRPr="005040A4">
        <w:rPr>
          <w:color w:val="000000"/>
          <w:lang w:val="fr-FR"/>
        </w:rPr>
        <w:t>intermédiaire de ses divisions d</w:t>
      </w:r>
      <w:r w:rsidR="00743D89" w:rsidRPr="005040A4">
        <w:rPr>
          <w:color w:val="000000"/>
          <w:lang w:val="fr-FR"/>
        </w:rPr>
        <w:t>’</w:t>
      </w:r>
      <w:r w:rsidRPr="005040A4">
        <w:rPr>
          <w:color w:val="000000"/>
          <w:lang w:val="fr-FR"/>
        </w:rPr>
        <w:t>app</w:t>
      </w:r>
      <w:r w:rsidR="005652C9" w:rsidRPr="005040A4">
        <w:rPr>
          <w:color w:val="000000"/>
          <w:lang w:val="fr-FR"/>
        </w:rPr>
        <w:t>ui.  Il</w:t>
      </w:r>
      <w:r w:rsidRPr="005040A4">
        <w:rPr>
          <w:color w:val="000000"/>
          <w:lang w:val="fr-FR"/>
        </w:rPr>
        <w:t xml:space="preserve"> convient de noter que l</w:t>
      </w:r>
      <w:r w:rsidR="00743D89" w:rsidRPr="005040A4">
        <w:rPr>
          <w:color w:val="000000"/>
          <w:lang w:val="fr-FR"/>
        </w:rPr>
        <w:t>’</w:t>
      </w:r>
      <w:r w:rsidRPr="005040A4">
        <w:rPr>
          <w:color w:val="000000"/>
          <w:lang w:val="fr-FR"/>
        </w:rPr>
        <w:t>Organisation a mis en place une stratégie de gestion axée sur les résultats dans l</w:t>
      </w:r>
      <w:r w:rsidR="00743D89" w:rsidRPr="005040A4">
        <w:rPr>
          <w:color w:val="000000"/>
          <w:lang w:val="fr-FR"/>
        </w:rPr>
        <w:t>’</w:t>
      </w:r>
      <w:r w:rsidRPr="005040A4">
        <w:rPr>
          <w:color w:val="000000"/>
          <w:lang w:val="fr-FR"/>
        </w:rPr>
        <w:t>élaboration de son programme de travail et de son budget, ainsi qu</w:t>
      </w:r>
      <w:r w:rsidR="00743D89" w:rsidRPr="005040A4">
        <w:rPr>
          <w:color w:val="000000"/>
          <w:lang w:val="fr-FR"/>
        </w:rPr>
        <w:t>’</w:t>
      </w:r>
      <w:r w:rsidRPr="005040A4">
        <w:rPr>
          <w:color w:val="000000"/>
          <w:lang w:val="fr-FR"/>
        </w:rPr>
        <w:t>un système d</w:t>
      </w:r>
      <w:r w:rsidR="00743D89" w:rsidRPr="005040A4">
        <w:rPr>
          <w:color w:val="000000"/>
          <w:lang w:val="fr-FR"/>
        </w:rPr>
        <w:t>’</w:t>
      </w:r>
      <w:r w:rsidRPr="005040A4">
        <w:rPr>
          <w:color w:val="000000"/>
          <w:lang w:val="fr-FR"/>
        </w:rPr>
        <w:t>information à l</w:t>
      </w:r>
      <w:r w:rsidR="00743D89" w:rsidRPr="005040A4">
        <w:rPr>
          <w:color w:val="000000"/>
          <w:lang w:val="fr-FR"/>
        </w:rPr>
        <w:t>’</w:t>
      </w:r>
      <w:r w:rsidRPr="005040A4">
        <w:rPr>
          <w:color w:val="000000"/>
          <w:lang w:val="fr-FR"/>
        </w:rPr>
        <w:t>appui de l</w:t>
      </w:r>
      <w:r w:rsidR="00743D89" w:rsidRPr="005040A4">
        <w:rPr>
          <w:color w:val="000000"/>
          <w:lang w:val="fr-FR"/>
        </w:rPr>
        <w:t>’</w:t>
      </w:r>
      <w:r w:rsidRPr="005040A4">
        <w:rPr>
          <w:color w:val="000000"/>
          <w:lang w:val="fr-FR"/>
        </w:rPr>
        <w:t>élaboration de son programme de trava</w:t>
      </w:r>
      <w:r w:rsidR="005652C9" w:rsidRPr="005040A4">
        <w:rPr>
          <w:color w:val="000000"/>
          <w:lang w:val="fr-FR"/>
        </w:rPr>
        <w:t>il.  To</w:t>
      </w:r>
      <w:r w:rsidRPr="005040A4">
        <w:rPr>
          <w:color w:val="000000"/>
          <w:lang w:val="fr-FR"/>
        </w:rPr>
        <w:t>utefois, certains domaines offrent des possibilités d</w:t>
      </w:r>
      <w:r w:rsidR="00743D89" w:rsidRPr="005040A4">
        <w:rPr>
          <w:color w:val="000000"/>
          <w:lang w:val="fr-FR"/>
        </w:rPr>
        <w:t>’</w:t>
      </w:r>
      <w:r w:rsidRPr="005040A4">
        <w:rPr>
          <w:color w:val="000000"/>
          <w:lang w:val="fr-FR"/>
        </w:rPr>
        <w:t>amélioration qui permettront de renforcer les performanc</w:t>
      </w:r>
      <w:r w:rsidR="005652C9" w:rsidRPr="005040A4">
        <w:rPr>
          <w:color w:val="000000"/>
          <w:lang w:val="fr-FR"/>
        </w:rPr>
        <w:t xml:space="preserve">es.  </w:t>
      </w:r>
      <w:r w:rsidR="005652C9" w:rsidRPr="005040A4">
        <w:rPr>
          <w:lang w:val="fr-FR"/>
        </w:rPr>
        <w:t>Il</w:t>
      </w:r>
      <w:r w:rsidRPr="005040A4">
        <w:rPr>
          <w:lang w:val="fr-FR"/>
        </w:rPr>
        <w:t xml:space="preserve"> s</w:t>
      </w:r>
      <w:r w:rsidR="00743D89" w:rsidRPr="005040A4">
        <w:rPr>
          <w:lang w:val="fr-FR"/>
        </w:rPr>
        <w:t>’</w:t>
      </w:r>
      <w:r w:rsidRPr="005040A4">
        <w:rPr>
          <w:lang w:val="fr-FR"/>
        </w:rPr>
        <w:t>agit notamment d</w:t>
      </w:r>
      <w:r w:rsidR="00743D89" w:rsidRPr="005040A4">
        <w:rPr>
          <w:lang w:val="fr-FR"/>
        </w:rPr>
        <w:t>’</w:t>
      </w:r>
      <w:r w:rsidRPr="005040A4">
        <w:rPr>
          <w:lang w:val="fr-FR"/>
        </w:rPr>
        <w:t>affiner la formulation des principaux indicateurs d</w:t>
      </w:r>
      <w:r w:rsidR="00743D89" w:rsidRPr="005040A4">
        <w:rPr>
          <w:lang w:val="fr-FR"/>
        </w:rPr>
        <w:t>’</w:t>
      </w:r>
      <w:r w:rsidRPr="005040A4">
        <w:rPr>
          <w:lang w:val="fr-FR"/>
        </w:rPr>
        <w:t>exécution de l</w:t>
      </w:r>
      <w:r w:rsidR="00743D89" w:rsidRPr="005040A4">
        <w:rPr>
          <w:lang w:val="fr-FR"/>
        </w:rPr>
        <w:t>’</w:t>
      </w:r>
      <w:r w:rsidRPr="005040A4">
        <w:rPr>
          <w:lang w:val="fr-FR"/>
        </w:rPr>
        <w:t>Organisation en établissant des indicateurs d</w:t>
      </w:r>
      <w:r w:rsidR="00743D89" w:rsidRPr="005040A4">
        <w:rPr>
          <w:lang w:val="fr-FR"/>
        </w:rPr>
        <w:t>’</w:t>
      </w:r>
      <w:r w:rsidRPr="005040A4">
        <w:rPr>
          <w:lang w:val="fr-FR"/>
        </w:rPr>
        <w:t>exécution bien définis et cohérents, en garantissant des moyens de vérification clairs et en répertoriant de manière exhaustive tous les secteurs qui contribuent à la réalisation de ces indicateu</w:t>
      </w:r>
      <w:r w:rsidR="005652C9" w:rsidRPr="005040A4">
        <w:rPr>
          <w:lang w:val="fr-FR"/>
        </w:rPr>
        <w:t>rs.  En</w:t>
      </w:r>
      <w:r w:rsidRPr="005040A4">
        <w:rPr>
          <w:lang w:val="fr-FR"/>
        </w:rPr>
        <w:t xml:space="preserve"> outre, il convient d</w:t>
      </w:r>
      <w:r w:rsidR="00743D89" w:rsidRPr="005040A4">
        <w:rPr>
          <w:lang w:val="fr-FR"/>
        </w:rPr>
        <w:t>’</w:t>
      </w:r>
      <w:r w:rsidRPr="005040A4">
        <w:rPr>
          <w:lang w:val="fr-FR"/>
        </w:rPr>
        <w:t>étendre l</w:t>
      </w:r>
      <w:r w:rsidR="00743D89" w:rsidRPr="005040A4">
        <w:rPr>
          <w:lang w:val="fr-FR"/>
        </w:rPr>
        <w:t>’</w:t>
      </w:r>
      <w:r w:rsidRPr="005040A4">
        <w:rPr>
          <w:lang w:val="fr-FR"/>
        </w:rPr>
        <w:t>utilisation de la traduction automatique à toutes les publications qui répondent aux critères définis dans la politique de traduction de l</w:t>
      </w:r>
      <w:r w:rsidR="00743D89" w:rsidRPr="005040A4">
        <w:rPr>
          <w:lang w:val="fr-FR"/>
        </w:rPr>
        <w:t>’</w:t>
      </w:r>
      <w:r w:rsidRPr="005040A4">
        <w:rPr>
          <w:lang w:val="fr-FR"/>
        </w:rPr>
        <w:t>Organisation, afin de permettre à celle</w:t>
      </w:r>
      <w:r w:rsidR="00C249FA" w:rsidRPr="005040A4">
        <w:rPr>
          <w:lang w:val="fr-FR"/>
        </w:rPr>
        <w:noBreakHyphen/>
      </w:r>
      <w:r w:rsidRPr="005040A4">
        <w:rPr>
          <w:lang w:val="fr-FR"/>
        </w:rPr>
        <w:t>ci d</w:t>
      </w:r>
      <w:r w:rsidR="00743D89" w:rsidRPr="005040A4">
        <w:rPr>
          <w:lang w:val="fr-FR"/>
        </w:rPr>
        <w:t>’</w:t>
      </w:r>
      <w:r w:rsidRPr="005040A4">
        <w:rPr>
          <w:lang w:val="fr-FR"/>
        </w:rPr>
        <w:t>atteindre et de servir efficacement un public plus large.</w:t>
      </w:r>
    </w:p>
    <w:p w14:paraId="0CAECE91" w14:textId="426601C9" w:rsidR="00855109" w:rsidRPr="005040A4" w:rsidRDefault="00855109" w:rsidP="00D75692">
      <w:pPr>
        <w:spacing w:after="220"/>
        <w:jc w:val="both"/>
        <w:rPr>
          <w:szCs w:val="22"/>
          <w:lang w:val="fr-FR"/>
        </w:rPr>
      </w:pPr>
      <w:r w:rsidRPr="005040A4">
        <w:rPr>
          <w:lang w:val="fr-FR"/>
        </w:rPr>
        <w:t>Les observations issues de l</w:t>
      </w:r>
      <w:r w:rsidR="00743D89" w:rsidRPr="005040A4">
        <w:rPr>
          <w:lang w:val="fr-FR"/>
        </w:rPr>
        <w:t>’</w:t>
      </w:r>
      <w:r w:rsidRPr="005040A4">
        <w:rPr>
          <w:lang w:val="fr-FR"/>
        </w:rPr>
        <w:t>audit sont présentées en détail dans le présent rapport.</w:t>
      </w:r>
    </w:p>
    <w:p w14:paraId="29374F64" w14:textId="77777777" w:rsidR="00855109" w:rsidRPr="005040A4" w:rsidRDefault="00855109" w:rsidP="00D75692">
      <w:pPr>
        <w:spacing w:after="220"/>
        <w:jc w:val="both"/>
        <w:rPr>
          <w:b/>
          <w:szCs w:val="22"/>
          <w:lang w:val="fr-FR"/>
        </w:rPr>
      </w:pPr>
      <w:r w:rsidRPr="005040A4">
        <w:rPr>
          <w:b/>
          <w:lang w:val="fr-FR"/>
        </w:rPr>
        <w:t>Recommandations des audits précédents</w:t>
      </w:r>
    </w:p>
    <w:p w14:paraId="7F77CE6D" w14:textId="08F23BAB" w:rsidR="00206809" w:rsidRPr="005040A4" w:rsidRDefault="00855109" w:rsidP="00D75692">
      <w:pPr>
        <w:spacing w:after="220"/>
        <w:jc w:val="both"/>
        <w:rPr>
          <w:lang w:val="fr-FR"/>
        </w:rPr>
      </w:pPr>
      <w:r w:rsidRPr="005040A4">
        <w:rPr>
          <w:lang w:val="fr-FR"/>
        </w:rPr>
        <w:t>En ce qui concerne la gestion des questions soulevées par les audits, la BPK a noté que, depuis 2018, l</w:t>
      </w:r>
      <w:r w:rsidR="00743D89" w:rsidRPr="005040A4">
        <w:rPr>
          <w:lang w:val="fr-FR"/>
        </w:rPr>
        <w:t>’</w:t>
      </w:r>
      <w:r w:rsidRPr="005040A4">
        <w:rPr>
          <w:lang w:val="fr-FR"/>
        </w:rPr>
        <w:t>Organisation a donné suite à 91,2% des recommandations formulées lors des audits précédents.</w:t>
      </w:r>
      <w:bookmarkStart w:id="60" w:name="_Toc197205644"/>
      <w:bookmarkStart w:id="61" w:name="_Toc197206628"/>
      <w:bookmarkStart w:id="62" w:name="_Toc197206848"/>
      <w:bookmarkStart w:id="63" w:name="_Toc197377478"/>
    </w:p>
    <w:p w14:paraId="083C58F2" w14:textId="77777777" w:rsidR="00206809" w:rsidRPr="005040A4" w:rsidRDefault="00206809" w:rsidP="00E862E4">
      <w:pPr>
        <w:rPr>
          <w:lang w:val="fr-FR"/>
        </w:rPr>
      </w:pPr>
      <w:r w:rsidRPr="005040A4">
        <w:rPr>
          <w:lang w:val="fr-FR"/>
        </w:rPr>
        <w:br w:type="page"/>
      </w:r>
    </w:p>
    <w:p w14:paraId="405C06C7" w14:textId="1E33CF19" w:rsidR="00855109" w:rsidRPr="00D75692" w:rsidRDefault="00D75692" w:rsidP="00D75692">
      <w:pPr>
        <w:pStyle w:val="Heading2"/>
        <w:rPr>
          <w:rFonts w:eastAsia="Times New Roman"/>
          <w:bCs/>
          <w:caps/>
          <w:szCs w:val="24"/>
        </w:rPr>
      </w:pPr>
      <w:bookmarkStart w:id="64" w:name="_Toc199153476"/>
      <w:r w:rsidRPr="00D75692">
        <w:rPr>
          <w:caps/>
        </w:rPr>
        <w:lastRenderedPageBreak/>
        <w:t>Rapport détaillé du vérificateur externe des comptes</w:t>
      </w:r>
      <w:bookmarkEnd w:id="60"/>
      <w:bookmarkEnd w:id="61"/>
      <w:bookmarkEnd w:id="62"/>
      <w:bookmarkEnd w:id="63"/>
      <w:bookmarkEnd w:id="64"/>
    </w:p>
    <w:p w14:paraId="65096C78" w14:textId="77777777" w:rsidR="00743D89" w:rsidRPr="000057BC" w:rsidRDefault="00855109" w:rsidP="00E862E4">
      <w:pPr>
        <w:jc w:val="center"/>
        <w:rPr>
          <w:b/>
          <w:sz w:val="24"/>
          <w:szCs w:val="24"/>
          <w:lang w:val="fr-FR"/>
        </w:rPr>
      </w:pPr>
      <w:r w:rsidRPr="000057BC">
        <w:rPr>
          <w:b/>
          <w:sz w:val="24"/>
          <w:szCs w:val="24"/>
          <w:lang w:val="fr-FR"/>
        </w:rPr>
        <w:t>Rapport du vérificateur externe des comptes sur les états financiers</w:t>
      </w:r>
    </w:p>
    <w:p w14:paraId="66A33A66" w14:textId="0A186E23" w:rsidR="00743D89" w:rsidRPr="000057BC" w:rsidRDefault="00855109" w:rsidP="00E862E4">
      <w:pPr>
        <w:jc w:val="center"/>
        <w:rPr>
          <w:b/>
          <w:sz w:val="24"/>
          <w:szCs w:val="24"/>
          <w:lang w:val="fr-FR"/>
        </w:rPr>
      </w:pPr>
      <w:r w:rsidRPr="000057BC">
        <w:rPr>
          <w:b/>
          <w:sz w:val="24"/>
          <w:szCs w:val="24"/>
          <w:lang w:val="fr-FR"/>
        </w:rPr>
        <w:t>de l</w:t>
      </w:r>
      <w:r w:rsidR="00743D89" w:rsidRPr="000057BC">
        <w:rPr>
          <w:b/>
          <w:sz w:val="24"/>
          <w:szCs w:val="24"/>
          <w:lang w:val="fr-FR"/>
        </w:rPr>
        <w:t>’</w:t>
      </w:r>
      <w:r w:rsidRPr="000057BC">
        <w:rPr>
          <w:b/>
          <w:sz w:val="24"/>
          <w:szCs w:val="24"/>
          <w:lang w:val="fr-FR"/>
        </w:rPr>
        <w:t>Organisation Mondiale de la Propriété Intellectuelle</w:t>
      </w:r>
    </w:p>
    <w:p w14:paraId="17302013" w14:textId="792BF29A" w:rsidR="00855109" w:rsidRPr="000057BC" w:rsidRDefault="00855109" w:rsidP="00D75692">
      <w:pPr>
        <w:spacing w:after="360"/>
        <w:jc w:val="center"/>
        <w:rPr>
          <w:sz w:val="24"/>
          <w:szCs w:val="24"/>
          <w:lang w:val="fr-FR"/>
        </w:rPr>
      </w:pPr>
      <w:r w:rsidRPr="000057BC">
        <w:rPr>
          <w:b/>
          <w:sz w:val="24"/>
          <w:szCs w:val="24"/>
          <w:lang w:val="fr-FR"/>
        </w:rPr>
        <w:t>tels qu</w:t>
      </w:r>
      <w:r w:rsidR="00743D89" w:rsidRPr="000057BC">
        <w:rPr>
          <w:b/>
          <w:sz w:val="24"/>
          <w:szCs w:val="24"/>
          <w:lang w:val="fr-FR"/>
        </w:rPr>
        <w:t>’</w:t>
      </w:r>
      <w:r w:rsidRPr="000057BC">
        <w:rPr>
          <w:b/>
          <w:sz w:val="24"/>
          <w:szCs w:val="24"/>
          <w:lang w:val="fr-FR"/>
        </w:rPr>
        <w:t>établis pour l</w:t>
      </w:r>
      <w:r w:rsidR="00743D89" w:rsidRPr="000057BC">
        <w:rPr>
          <w:b/>
          <w:sz w:val="24"/>
          <w:szCs w:val="24"/>
          <w:lang w:val="fr-FR"/>
        </w:rPr>
        <w:t>’</w:t>
      </w:r>
      <w:r w:rsidRPr="000057BC">
        <w:rPr>
          <w:b/>
          <w:sz w:val="24"/>
          <w:szCs w:val="24"/>
          <w:lang w:val="fr-FR"/>
        </w:rPr>
        <w:t>exercice financier clos le 31 décembre 2024</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none" w:sz="4" w:space="0" w:color="000000" w:themeColor="text1"/>
          <w:insideV w:val="none" w:sz="4" w:space="0" w:color="000000" w:themeColor="text1"/>
        </w:tblBorders>
        <w:tblLook w:val="0400" w:firstRow="0" w:lastRow="0" w:firstColumn="0" w:lastColumn="0" w:noHBand="0" w:noVBand="1"/>
      </w:tblPr>
      <w:tblGrid>
        <w:gridCol w:w="3544"/>
        <w:gridCol w:w="4956"/>
      </w:tblGrid>
      <w:tr w:rsidR="00855109" w:rsidRPr="005040A4" w14:paraId="0A3D6AC2" w14:textId="77777777" w:rsidTr="00327509">
        <w:trPr>
          <w:trHeight w:val="430"/>
          <w:jc w:val="center"/>
        </w:trPr>
        <w:tc>
          <w:tcPr>
            <w:tcW w:w="8500" w:type="dxa"/>
            <w:gridSpan w:val="2"/>
            <w:tcBorders>
              <w:top w:val="single" w:sz="4" w:space="0" w:color="000000" w:themeColor="text1"/>
              <w:bottom w:val="single" w:sz="4" w:space="0" w:color="auto"/>
            </w:tcBorders>
            <w:shd w:val="clear" w:color="auto" w:fill="A5C9EB"/>
            <w:vAlign w:val="center"/>
          </w:tcPr>
          <w:p w14:paraId="5B489307" w14:textId="77777777" w:rsidR="00855109" w:rsidRPr="005040A4" w:rsidRDefault="00855109" w:rsidP="00E862E4">
            <w:pPr>
              <w:spacing w:line="320" w:lineRule="exact"/>
              <w:jc w:val="center"/>
              <w:rPr>
                <w:rFonts w:eastAsia="Times New Roman"/>
                <w:b/>
                <w:bCs/>
                <w:lang w:val="fr-FR"/>
              </w:rPr>
            </w:pPr>
            <w:r w:rsidRPr="005040A4">
              <w:rPr>
                <w:b/>
                <w:lang w:val="fr-FR"/>
              </w:rPr>
              <w:t>Données essentielles</w:t>
            </w:r>
          </w:p>
        </w:tc>
      </w:tr>
      <w:tr w:rsidR="00855109" w:rsidRPr="005040A4" w14:paraId="5A751E13" w14:textId="77777777" w:rsidTr="00D75692">
        <w:trPr>
          <w:trHeight w:val="300"/>
          <w:jc w:val="center"/>
        </w:trPr>
        <w:tc>
          <w:tcPr>
            <w:tcW w:w="3544" w:type="dxa"/>
            <w:tcBorders>
              <w:top w:val="single" w:sz="4" w:space="0" w:color="auto"/>
              <w:bottom w:val="nil"/>
              <w:right w:val="nil"/>
            </w:tcBorders>
          </w:tcPr>
          <w:p w14:paraId="71354793" w14:textId="77777777" w:rsidR="00855109" w:rsidRPr="005040A4" w:rsidRDefault="00855109" w:rsidP="00E862E4">
            <w:pPr>
              <w:spacing w:line="320" w:lineRule="exact"/>
              <w:rPr>
                <w:rFonts w:eastAsia="Times New Roman"/>
                <w:lang w:val="fr-FR"/>
              </w:rPr>
            </w:pPr>
            <w:r w:rsidRPr="005040A4">
              <w:rPr>
                <w:lang w:val="fr-FR"/>
              </w:rPr>
              <w:t>486,44 millions de francs suisses</w:t>
            </w:r>
          </w:p>
        </w:tc>
        <w:tc>
          <w:tcPr>
            <w:tcW w:w="4956" w:type="dxa"/>
            <w:tcBorders>
              <w:top w:val="single" w:sz="4" w:space="0" w:color="auto"/>
              <w:left w:val="nil"/>
              <w:bottom w:val="nil"/>
            </w:tcBorders>
          </w:tcPr>
          <w:p w14:paraId="2407CDF6" w14:textId="49F8CFAD" w:rsidR="00855109" w:rsidRPr="005040A4" w:rsidRDefault="00855109" w:rsidP="00E862E4">
            <w:pPr>
              <w:spacing w:line="320" w:lineRule="exact"/>
              <w:rPr>
                <w:rFonts w:eastAsia="Times New Roman"/>
                <w:lang w:val="fr-FR"/>
              </w:rPr>
            </w:pPr>
            <w:r w:rsidRPr="000057BC">
              <w:rPr>
                <w:lang w:val="fr-FR"/>
              </w:rPr>
              <w:t>Budget</w:t>
            </w:r>
            <w:r w:rsidR="000057BC" w:rsidRPr="000057BC">
              <w:rPr>
                <w:lang w:val="fr-FR"/>
              </w:rPr>
              <w:t xml:space="preserve"> actualisé</w:t>
            </w:r>
            <w:r w:rsidR="00D75692" w:rsidRPr="000057BC">
              <w:rPr>
                <w:lang w:val="fr-FR"/>
              </w:rPr>
              <w:t xml:space="preserve"> – R</w:t>
            </w:r>
            <w:r w:rsidRPr="000057BC">
              <w:rPr>
                <w:lang w:val="fr-FR"/>
              </w:rPr>
              <w:t>ecettes pour</w:t>
            </w:r>
            <w:r w:rsidRPr="005040A4">
              <w:rPr>
                <w:lang w:val="fr-FR"/>
              </w:rPr>
              <w:t> 2024</w:t>
            </w:r>
          </w:p>
        </w:tc>
      </w:tr>
      <w:tr w:rsidR="00855109" w:rsidRPr="005040A4" w14:paraId="41ABC391" w14:textId="77777777" w:rsidTr="00D75692">
        <w:trPr>
          <w:trHeight w:val="300"/>
          <w:jc w:val="center"/>
        </w:trPr>
        <w:tc>
          <w:tcPr>
            <w:tcW w:w="3544" w:type="dxa"/>
            <w:tcBorders>
              <w:top w:val="nil"/>
            </w:tcBorders>
          </w:tcPr>
          <w:p w14:paraId="5A0F9239" w14:textId="77777777" w:rsidR="00855109" w:rsidRPr="005040A4" w:rsidRDefault="00855109" w:rsidP="00E862E4">
            <w:pPr>
              <w:spacing w:line="320" w:lineRule="exact"/>
              <w:rPr>
                <w:rFonts w:eastAsia="Times New Roman"/>
                <w:lang w:val="fr-FR"/>
              </w:rPr>
            </w:pPr>
            <w:r w:rsidRPr="005040A4">
              <w:rPr>
                <w:lang w:val="fr-FR"/>
              </w:rPr>
              <w:t>425,40 millions de francs suisses</w:t>
            </w:r>
          </w:p>
        </w:tc>
        <w:tc>
          <w:tcPr>
            <w:tcW w:w="4956" w:type="dxa"/>
            <w:tcBorders>
              <w:top w:val="nil"/>
            </w:tcBorders>
          </w:tcPr>
          <w:p w14:paraId="22696DF3" w14:textId="30F7EC1F" w:rsidR="00855109" w:rsidRPr="005040A4" w:rsidRDefault="00855109" w:rsidP="00E862E4">
            <w:pPr>
              <w:spacing w:line="320" w:lineRule="exact"/>
              <w:rPr>
                <w:rFonts w:eastAsia="Times New Roman"/>
                <w:lang w:val="fr-FR"/>
              </w:rPr>
            </w:pPr>
            <w:r w:rsidRPr="005040A4">
              <w:rPr>
                <w:lang w:val="fr-FR"/>
              </w:rPr>
              <w:t>Budget après virements</w:t>
            </w:r>
            <w:r w:rsidR="00743D89" w:rsidRPr="005040A4">
              <w:rPr>
                <w:lang w:val="fr-FR"/>
              </w:rPr>
              <w:t xml:space="preserve"> – </w:t>
            </w:r>
            <w:r w:rsidRPr="005040A4">
              <w:rPr>
                <w:lang w:val="fr-FR"/>
              </w:rPr>
              <w:t xml:space="preserve">Dépenses </w:t>
            </w:r>
            <w:r w:rsidR="00743D89" w:rsidRPr="005040A4">
              <w:rPr>
                <w:lang w:val="fr-FR"/>
              </w:rPr>
              <w:t>pour 2024</w:t>
            </w:r>
          </w:p>
        </w:tc>
      </w:tr>
      <w:tr w:rsidR="00855109" w:rsidRPr="005040A4" w14:paraId="265B280B" w14:textId="77777777" w:rsidTr="00D75692">
        <w:trPr>
          <w:trHeight w:val="300"/>
          <w:jc w:val="center"/>
        </w:trPr>
        <w:tc>
          <w:tcPr>
            <w:tcW w:w="3544" w:type="dxa"/>
          </w:tcPr>
          <w:p w14:paraId="757A65AB" w14:textId="77777777" w:rsidR="00855109" w:rsidRPr="005040A4" w:rsidRDefault="00855109" w:rsidP="00E862E4">
            <w:pPr>
              <w:spacing w:line="320" w:lineRule="exact"/>
              <w:rPr>
                <w:rFonts w:eastAsia="Times New Roman"/>
                <w:highlight w:val="yellow"/>
                <w:lang w:val="fr-FR"/>
              </w:rPr>
            </w:pPr>
            <w:r w:rsidRPr="005040A4">
              <w:rPr>
                <w:lang w:val="fr-FR"/>
              </w:rPr>
              <w:t>496,67 millions de francs suisses</w:t>
            </w:r>
          </w:p>
        </w:tc>
        <w:tc>
          <w:tcPr>
            <w:tcW w:w="4956" w:type="dxa"/>
          </w:tcPr>
          <w:p w14:paraId="739B42B6" w14:textId="204914CF" w:rsidR="00855109" w:rsidRPr="005040A4" w:rsidRDefault="00855109" w:rsidP="00E862E4">
            <w:pPr>
              <w:spacing w:line="320" w:lineRule="exact"/>
              <w:rPr>
                <w:rFonts w:eastAsia="Times New Roman"/>
                <w:lang w:val="fr-FR"/>
              </w:rPr>
            </w:pPr>
            <w:r w:rsidRPr="005040A4">
              <w:rPr>
                <w:lang w:val="fr-FR"/>
              </w:rPr>
              <w:t>Total des recettes</w:t>
            </w:r>
          </w:p>
        </w:tc>
      </w:tr>
      <w:tr w:rsidR="00855109" w:rsidRPr="005040A4" w14:paraId="7D7C7565" w14:textId="77777777" w:rsidTr="00D75692">
        <w:trPr>
          <w:trHeight w:val="300"/>
          <w:jc w:val="center"/>
        </w:trPr>
        <w:tc>
          <w:tcPr>
            <w:tcW w:w="3544" w:type="dxa"/>
          </w:tcPr>
          <w:p w14:paraId="121C0571" w14:textId="77777777" w:rsidR="00855109" w:rsidRPr="005040A4" w:rsidRDefault="00855109" w:rsidP="00E862E4">
            <w:pPr>
              <w:spacing w:line="320" w:lineRule="exact"/>
              <w:rPr>
                <w:rFonts w:eastAsia="Times New Roman"/>
                <w:lang w:val="fr-FR"/>
              </w:rPr>
            </w:pPr>
            <w:r w:rsidRPr="005040A4">
              <w:rPr>
                <w:lang w:val="fr-FR"/>
              </w:rPr>
              <w:t>430,34 millions de francs suisses</w:t>
            </w:r>
          </w:p>
        </w:tc>
        <w:tc>
          <w:tcPr>
            <w:tcW w:w="4956" w:type="dxa"/>
          </w:tcPr>
          <w:p w14:paraId="5809728D" w14:textId="77777777" w:rsidR="00855109" w:rsidRPr="005040A4" w:rsidRDefault="00855109" w:rsidP="00E862E4">
            <w:pPr>
              <w:spacing w:line="320" w:lineRule="exact"/>
              <w:rPr>
                <w:rFonts w:eastAsia="Times New Roman"/>
                <w:lang w:val="fr-FR"/>
              </w:rPr>
            </w:pPr>
            <w:r w:rsidRPr="005040A4">
              <w:rPr>
                <w:lang w:val="fr-FR"/>
              </w:rPr>
              <w:t>Total des dépenses</w:t>
            </w:r>
          </w:p>
        </w:tc>
      </w:tr>
      <w:tr w:rsidR="00855109" w:rsidRPr="005040A4" w14:paraId="53BC011D" w14:textId="77777777" w:rsidTr="00D75692">
        <w:trPr>
          <w:trHeight w:val="300"/>
          <w:jc w:val="center"/>
        </w:trPr>
        <w:tc>
          <w:tcPr>
            <w:tcW w:w="3544" w:type="dxa"/>
          </w:tcPr>
          <w:p w14:paraId="2AB08C4B" w14:textId="77777777" w:rsidR="00855109" w:rsidRPr="005040A4" w:rsidRDefault="00855109" w:rsidP="00E862E4">
            <w:pPr>
              <w:spacing w:line="320" w:lineRule="exact"/>
              <w:rPr>
                <w:rFonts w:eastAsia="Times New Roman"/>
                <w:lang w:val="fr-FR"/>
              </w:rPr>
            </w:pPr>
            <w:r w:rsidRPr="005040A4">
              <w:rPr>
                <w:lang w:val="fr-FR"/>
              </w:rPr>
              <w:t>66,34 millions de francs suisses</w:t>
            </w:r>
          </w:p>
        </w:tc>
        <w:tc>
          <w:tcPr>
            <w:tcW w:w="4956" w:type="dxa"/>
          </w:tcPr>
          <w:p w14:paraId="5202E29A" w14:textId="2EB00285" w:rsidR="00855109" w:rsidRPr="005040A4" w:rsidRDefault="00855109" w:rsidP="00E862E4">
            <w:pPr>
              <w:spacing w:line="320" w:lineRule="exact"/>
              <w:rPr>
                <w:rFonts w:eastAsia="Times New Roman"/>
                <w:lang w:val="fr-FR"/>
              </w:rPr>
            </w:pPr>
            <w:r w:rsidRPr="005040A4">
              <w:rPr>
                <w:lang w:val="fr-FR"/>
              </w:rPr>
              <w:t>Excédent d</w:t>
            </w:r>
            <w:r w:rsidR="00743D89" w:rsidRPr="005040A4">
              <w:rPr>
                <w:lang w:val="fr-FR"/>
              </w:rPr>
              <w:t>’</w:t>
            </w:r>
            <w:r w:rsidRPr="005040A4">
              <w:rPr>
                <w:lang w:val="fr-FR"/>
              </w:rPr>
              <w:t>exploitation</w:t>
            </w:r>
          </w:p>
        </w:tc>
      </w:tr>
      <w:tr w:rsidR="00855109" w:rsidRPr="005040A4" w14:paraId="1011887C" w14:textId="77777777" w:rsidTr="00D75692">
        <w:trPr>
          <w:trHeight w:val="300"/>
          <w:jc w:val="center"/>
        </w:trPr>
        <w:tc>
          <w:tcPr>
            <w:tcW w:w="3544" w:type="dxa"/>
          </w:tcPr>
          <w:p w14:paraId="6E83A733" w14:textId="77777777" w:rsidR="00855109" w:rsidRPr="005040A4" w:rsidRDefault="00855109" w:rsidP="00E862E4">
            <w:pPr>
              <w:spacing w:line="320" w:lineRule="exact"/>
              <w:rPr>
                <w:rFonts w:eastAsia="Times New Roman"/>
                <w:lang w:val="fr-FR"/>
              </w:rPr>
            </w:pPr>
            <w:r w:rsidRPr="005040A4">
              <w:rPr>
                <w:lang w:val="fr-FR"/>
              </w:rPr>
              <w:t>710,66 millions de francs suisses</w:t>
            </w:r>
          </w:p>
        </w:tc>
        <w:tc>
          <w:tcPr>
            <w:tcW w:w="4956" w:type="dxa"/>
          </w:tcPr>
          <w:p w14:paraId="4BB23E6C" w14:textId="315D806F" w:rsidR="00855109" w:rsidRPr="005040A4" w:rsidRDefault="00855109" w:rsidP="00E862E4">
            <w:pPr>
              <w:spacing w:line="320" w:lineRule="exact"/>
              <w:rPr>
                <w:rFonts w:eastAsia="Times New Roman"/>
                <w:lang w:val="fr-FR"/>
              </w:rPr>
            </w:pPr>
            <w:r w:rsidRPr="005040A4">
              <w:rPr>
                <w:lang w:val="fr-FR"/>
              </w:rPr>
              <w:t>Actifs nets</w:t>
            </w:r>
          </w:p>
        </w:tc>
      </w:tr>
      <w:tr w:rsidR="00855109" w:rsidRPr="005040A4" w14:paraId="0CB94D22" w14:textId="77777777" w:rsidTr="00D75692">
        <w:trPr>
          <w:trHeight w:val="300"/>
          <w:jc w:val="center"/>
        </w:trPr>
        <w:tc>
          <w:tcPr>
            <w:tcW w:w="3544" w:type="dxa"/>
          </w:tcPr>
          <w:p w14:paraId="0BADA8F5" w14:textId="77777777" w:rsidR="00855109" w:rsidRPr="005040A4" w:rsidRDefault="00855109" w:rsidP="00E862E4">
            <w:pPr>
              <w:spacing w:line="320" w:lineRule="exact"/>
              <w:rPr>
                <w:highlight w:val="yellow"/>
                <w:lang w:val="fr-FR"/>
              </w:rPr>
            </w:pPr>
            <w:r w:rsidRPr="005040A4">
              <w:rPr>
                <w:lang w:val="fr-FR"/>
              </w:rPr>
              <w:t>1 735</w:t>
            </w:r>
          </w:p>
        </w:tc>
        <w:tc>
          <w:tcPr>
            <w:tcW w:w="4956" w:type="dxa"/>
          </w:tcPr>
          <w:p w14:paraId="2037836A" w14:textId="77777777" w:rsidR="00855109" w:rsidRPr="005040A4" w:rsidRDefault="00855109" w:rsidP="00E862E4">
            <w:pPr>
              <w:spacing w:line="320" w:lineRule="exact"/>
              <w:rPr>
                <w:rFonts w:eastAsia="Times New Roman"/>
                <w:lang w:val="fr-FR"/>
              </w:rPr>
            </w:pPr>
            <w:r w:rsidRPr="005040A4">
              <w:rPr>
                <w:lang w:val="fr-FR"/>
              </w:rPr>
              <w:t>Fonctionnaires et autres membres du personnel (au 31 décembre 2024)</w:t>
            </w:r>
          </w:p>
        </w:tc>
      </w:tr>
    </w:tbl>
    <w:p w14:paraId="3BD0B9BD" w14:textId="5F8C3915" w:rsidR="00855109" w:rsidRPr="00D75692" w:rsidRDefault="00855109" w:rsidP="00AB7D15">
      <w:pPr>
        <w:pStyle w:val="Heading3"/>
      </w:pPr>
      <w:bookmarkStart w:id="65" w:name="_Toc197206849"/>
      <w:bookmarkStart w:id="66" w:name="_Toc197206850"/>
      <w:bookmarkStart w:id="67" w:name="_Toc199153477"/>
      <w:bookmarkEnd w:id="65"/>
      <w:bookmarkEnd w:id="66"/>
      <w:r w:rsidRPr="00D75692">
        <w:t>Introduction</w:t>
      </w:r>
      <w:bookmarkEnd w:id="67"/>
    </w:p>
    <w:p w14:paraId="51725DD4" w14:textId="77777777" w:rsidR="00855109" w:rsidRPr="00D75692" w:rsidRDefault="00855109" w:rsidP="000057BC">
      <w:pPr>
        <w:pStyle w:val="Heading4"/>
      </w:pPr>
      <w:bookmarkStart w:id="68" w:name="_Toc199153478"/>
      <w:r w:rsidRPr="00D75692">
        <w:t>Mandat</w:t>
      </w:r>
      <w:bookmarkEnd w:id="68"/>
    </w:p>
    <w:p w14:paraId="2B866383" w14:textId="549A8B39" w:rsidR="00855109" w:rsidRPr="000057BC" w:rsidRDefault="00855109" w:rsidP="000057BC">
      <w:pPr>
        <w:pStyle w:val="ListParagraph"/>
      </w:pPr>
      <w:r w:rsidRPr="000057BC">
        <w:t>Conformément à l</w:t>
      </w:r>
      <w:r w:rsidR="00743D89" w:rsidRPr="000057BC">
        <w:t>’</w:t>
      </w:r>
      <w:r w:rsidRPr="000057BC">
        <w:t>article 6.5 du Règlement financier de l</w:t>
      </w:r>
      <w:r w:rsidR="00743D89" w:rsidRPr="000057BC">
        <w:t>’</w:t>
      </w:r>
      <w:r w:rsidRPr="000057BC">
        <w:t>Organisation Mondiale de la Propriété Intellectuelle (l</w:t>
      </w:r>
      <w:r w:rsidR="00743D89" w:rsidRPr="000057BC">
        <w:t>’</w:t>
      </w:r>
      <w:r w:rsidRPr="000057BC">
        <w:t>Organisation) et au mandat décrit à l</w:t>
      </w:r>
      <w:r w:rsidR="00743D89" w:rsidRPr="000057BC">
        <w:t>’</w:t>
      </w:r>
      <w:r w:rsidRPr="000057BC">
        <w:t>annexe II dudit règlement, la Commission d</w:t>
      </w:r>
      <w:r w:rsidR="00743D89" w:rsidRPr="000057BC">
        <w:t>’</w:t>
      </w:r>
      <w:r w:rsidRPr="000057BC">
        <w:t>audit de la République d</w:t>
      </w:r>
      <w:r w:rsidR="00743D89" w:rsidRPr="000057BC">
        <w:t>’</w:t>
      </w:r>
      <w:r w:rsidRPr="000057BC">
        <w:t>Indonésie (Bandan Pemeriksa Keuangan (BPK)) a mené un audit de l</w:t>
      </w:r>
      <w:r w:rsidR="00743D89" w:rsidRPr="000057BC">
        <w:t>’</w:t>
      </w:r>
      <w:r w:rsidRPr="000057BC">
        <w:t>Organisation pour la période allant du</w:t>
      </w:r>
      <w:r w:rsidR="00327509">
        <w:t> </w:t>
      </w:r>
      <w:r w:rsidR="00743D89" w:rsidRPr="000057BC">
        <w:t>1</w:t>
      </w:r>
      <w:r w:rsidR="00743D89" w:rsidRPr="000057BC">
        <w:rPr>
          <w:vertAlign w:val="superscript"/>
        </w:rPr>
        <w:t>er</w:t>
      </w:r>
      <w:r w:rsidR="00743D89" w:rsidRPr="000057BC">
        <w:t> </w:t>
      </w:r>
      <w:r w:rsidRPr="000057BC">
        <w:t>janvier à décembre 2024.</w:t>
      </w:r>
    </w:p>
    <w:p w14:paraId="5DA455BB" w14:textId="4356BC43" w:rsidR="00855109" w:rsidRPr="005040A4" w:rsidRDefault="00855109" w:rsidP="000057BC">
      <w:pPr>
        <w:pStyle w:val="Heading4"/>
      </w:pPr>
      <w:bookmarkStart w:id="69" w:name="_Toc199153479"/>
      <w:r w:rsidRPr="005040A4">
        <w:t>Objectifs de l</w:t>
      </w:r>
      <w:r w:rsidR="00743D89" w:rsidRPr="005040A4">
        <w:t>’</w:t>
      </w:r>
      <w:r w:rsidRPr="005040A4">
        <w:t>audit</w:t>
      </w:r>
      <w:bookmarkEnd w:id="69"/>
    </w:p>
    <w:p w14:paraId="0479C92B" w14:textId="6EA7A96B" w:rsidR="00855109" w:rsidRPr="000057BC" w:rsidRDefault="00855109" w:rsidP="000057BC">
      <w:pPr>
        <w:pStyle w:val="ListParagraph"/>
      </w:pPr>
      <w:r w:rsidRPr="000057BC">
        <w:t>L</w:t>
      </w:r>
      <w:r w:rsidR="00743D89" w:rsidRPr="000057BC">
        <w:t>’</w:t>
      </w:r>
      <w:r w:rsidRPr="000057BC">
        <w:t>audit financier a été mené principalement afin de permettre à la BPK de se forger une opinion sur la question de savoir si les états financiers de l</w:t>
      </w:r>
      <w:r w:rsidR="00743D89" w:rsidRPr="000057BC">
        <w:t>’</w:t>
      </w:r>
      <w:r w:rsidRPr="000057BC">
        <w:t>Organisation pour l</w:t>
      </w:r>
      <w:r w:rsidR="00743D89" w:rsidRPr="000057BC">
        <w:t>’</w:t>
      </w:r>
      <w:r w:rsidRPr="000057BC">
        <w:t>exercice clos le 31 décembre 2024 donnent une image fidèle, dans tous leurs aspects significatifs, de la situation financière de l</w:t>
      </w:r>
      <w:r w:rsidR="00743D89" w:rsidRPr="000057BC">
        <w:t>’</w:t>
      </w:r>
      <w:r w:rsidRPr="000057BC">
        <w:t xml:space="preserve">Organisation conformément aux normes comptables internationales pour le secteur public (IPSAS). </w:t>
      </w:r>
      <w:r w:rsidR="001B7F27" w:rsidRPr="000057BC">
        <w:t xml:space="preserve"> </w:t>
      </w:r>
      <w:r w:rsidRPr="000057BC">
        <w:t>Cet audit comprenait une évaluation visant à vérifier si les transactions étaient, dans tous leurs aspects significatifs, conformes au Règlement financier et règlement d</w:t>
      </w:r>
      <w:r w:rsidR="00743D89" w:rsidRPr="000057BC">
        <w:t>’</w:t>
      </w:r>
      <w:r w:rsidRPr="000057BC">
        <w:t>exécution du règlement financier de l</w:t>
      </w:r>
      <w:r w:rsidR="00743D89" w:rsidRPr="000057BC">
        <w:t>’</w:t>
      </w:r>
      <w:r w:rsidRPr="000057BC">
        <w:t>Organisation.</w:t>
      </w:r>
    </w:p>
    <w:p w14:paraId="4F272F1E" w14:textId="549D016F" w:rsidR="00855109" w:rsidRPr="000057BC" w:rsidRDefault="00855109" w:rsidP="000057BC">
      <w:pPr>
        <w:pStyle w:val="ListParagraph"/>
      </w:pPr>
      <w:r w:rsidRPr="000057BC">
        <w:t>L</w:t>
      </w:r>
      <w:r w:rsidR="00743D89" w:rsidRPr="000057BC">
        <w:t>’</w:t>
      </w:r>
      <w:r w:rsidRPr="000057BC">
        <w:t>audit de performance avait pour principal objet d</w:t>
      </w:r>
      <w:r w:rsidR="00743D89" w:rsidRPr="000057BC">
        <w:t>’</w:t>
      </w:r>
      <w:r w:rsidRPr="000057BC">
        <w:t>évaluer l</w:t>
      </w:r>
      <w:r w:rsidR="00743D89" w:rsidRPr="000057BC">
        <w:t>’</w:t>
      </w:r>
      <w:r w:rsidRPr="000057BC">
        <w:t>efficacité de la direction de l</w:t>
      </w:r>
      <w:r w:rsidR="00743D89" w:rsidRPr="000057BC">
        <w:t>’</w:t>
      </w:r>
      <w:r w:rsidRPr="000057BC">
        <w:t>Organisation dans l</w:t>
      </w:r>
      <w:r w:rsidR="00743D89" w:rsidRPr="000057BC">
        <w:t>’</w:t>
      </w:r>
      <w:r w:rsidRPr="000057BC">
        <w:t>amélioration des services fournis par l</w:t>
      </w:r>
      <w:r w:rsidR="00743D89" w:rsidRPr="000057BC">
        <w:t>’</w:t>
      </w:r>
      <w:r w:rsidRPr="000057BC">
        <w:t>Organisation à ses parties prenantes.</w:t>
      </w:r>
    </w:p>
    <w:p w14:paraId="2D476A17" w14:textId="6E78C350" w:rsidR="00855109" w:rsidRPr="005040A4" w:rsidRDefault="00855109" w:rsidP="000057BC">
      <w:pPr>
        <w:pStyle w:val="Heading4"/>
      </w:pPr>
      <w:bookmarkStart w:id="70" w:name="_Toc199153480"/>
      <w:r w:rsidRPr="005040A4">
        <w:t>Portée de l</w:t>
      </w:r>
      <w:r w:rsidR="00743D89" w:rsidRPr="005040A4">
        <w:t>’</w:t>
      </w:r>
      <w:r w:rsidRPr="005040A4">
        <w:t>audit</w:t>
      </w:r>
      <w:bookmarkEnd w:id="70"/>
    </w:p>
    <w:p w14:paraId="025C451D" w14:textId="22E1D2F8" w:rsidR="00743D89" w:rsidRPr="005040A4" w:rsidRDefault="00855109" w:rsidP="000057BC">
      <w:pPr>
        <w:pStyle w:val="ListParagraph"/>
      </w:pPr>
      <w:r w:rsidRPr="005040A4">
        <w:t>La vérification des états financiers de l</w:t>
      </w:r>
      <w:r w:rsidR="00743D89" w:rsidRPr="005040A4">
        <w:t>’</w:t>
      </w:r>
      <w:r w:rsidRPr="005040A4">
        <w:t>Organisation pour l</w:t>
      </w:r>
      <w:r w:rsidR="00743D89" w:rsidRPr="005040A4">
        <w:t>’</w:t>
      </w:r>
      <w:r w:rsidRPr="005040A4">
        <w:t>exercice clos le 31 décembre 2024 comprenait les éléments suivants</w:t>
      </w:r>
      <w:r w:rsidR="00743D89" w:rsidRPr="005040A4">
        <w:t> :</w:t>
      </w:r>
      <w:r w:rsidRPr="005040A4">
        <w:t xml:space="preserve"> une vérification de l</w:t>
      </w:r>
      <w:r w:rsidR="00743D89" w:rsidRPr="005040A4">
        <w:t>’</w:t>
      </w:r>
      <w:r w:rsidRPr="005040A4">
        <w:t>état de la situation financière au 31 décembre 2024;  l</w:t>
      </w:r>
      <w:r w:rsidR="00743D89" w:rsidRPr="005040A4">
        <w:t>’</w:t>
      </w:r>
      <w:r w:rsidRPr="005040A4">
        <w:t>état de la performance financière;  l</w:t>
      </w:r>
      <w:r w:rsidR="00743D89" w:rsidRPr="005040A4">
        <w:t>’</w:t>
      </w:r>
      <w:r w:rsidRPr="005040A4">
        <w:t>état des variations concernant les actifs nets;  l</w:t>
      </w:r>
      <w:r w:rsidR="00743D89" w:rsidRPr="005040A4">
        <w:t>’</w:t>
      </w:r>
      <w:r w:rsidRPr="005040A4">
        <w:t>état des flux de trésorerie;  l</w:t>
      </w:r>
      <w:r w:rsidR="00743D89" w:rsidRPr="005040A4">
        <w:t>’</w:t>
      </w:r>
      <w:r w:rsidRPr="005040A4">
        <w:t>état de comparaison des montants budgétaires et des montants réels pour l</w:t>
      </w:r>
      <w:r w:rsidR="00743D89" w:rsidRPr="005040A4">
        <w:t>’</w:t>
      </w:r>
      <w:r w:rsidRPr="005040A4">
        <w:t>exercice clos à cette date, ainsi que les notes relatives aux états financiers.</w:t>
      </w:r>
    </w:p>
    <w:p w14:paraId="366893AD" w14:textId="0A2ADCD1" w:rsidR="00855109" w:rsidRPr="005040A4" w:rsidRDefault="00855109" w:rsidP="000057BC">
      <w:pPr>
        <w:pStyle w:val="ListParagraph"/>
      </w:pPr>
      <w:r w:rsidRPr="005040A4">
        <w:lastRenderedPageBreak/>
        <w:t>Le processus de sélection de la portée et de l</w:t>
      </w:r>
      <w:r w:rsidR="00743D89" w:rsidRPr="005040A4">
        <w:t>’</w:t>
      </w:r>
      <w:r w:rsidRPr="005040A4">
        <w:t>échantillon en ce qui concerne les domaines clés potentiels à examiner s</w:t>
      </w:r>
      <w:r w:rsidR="00743D89" w:rsidRPr="005040A4">
        <w:t>’</w:t>
      </w:r>
      <w:r w:rsidRPr="005040A4">
        <w:t>est appuyé sur plusieurs critères de sélection (qui sont détaillés ci</w:t>
      </w:r>
      <w:r w:rsidR="00C249FA" w:rsidRPr="005040A4">
        <w:noBreakHyphen/>
      </w:r>
      <w:r w:rsidRPr="005040A4">
        <w:t>apr</w:t>
      </w:r>
      <w:r w:rsidR="005652C9" w:rsidRPr="005040A4">
        <w:t>ès).  Qu</w:t>
      </w:r>
      <w:r w:rsidRPr="005040A4">
        <w:t>atre</w:t>
      </w:r>
      <w:r w:rsidR="001B7F27" w:rsidRPr="005040A4">
        <w:t> </w:t>
      </w:r>
      <w:r w:rsidRPr="005040A4">
        <w:t>divisions ont ainsi été sélectionnées pour servir d</w:t>
      </w:r>
      <w:r w:rsidR="00743D89" w:rsidRPr="005040A4">
        <w:t>’</w:t>
      </w:r>
      <w:r w:rsidRPr="005040A4">
        <w:t>échantillons pour l</w:t>
      </w:r>
      <w:r w:rsidR="00743D89" w:rsidRPr="005040A4">
        <w:t>’</w:t>
      </w:r>
      <w:r w:rsidRPr="005040A4">
        <w:t xml:space="preserve">audit de performance de 2024. </w:t>
      </w:r>
      <w:r w:rsidR="001B7F27" w:rsidRPr="005040A4">
        <w:t xml:space="preserve"> </w:t>
      </w:r>
      <w:r w:rsidRPr="005040A4">
        <w:t>Ces divisions sont les suivantes</w:t>
      </w:r>
      <w:r w:rsidR="00743D89" w:rsidRPr="005040A4">
        <w:t> :</w:t>
      </w:r>
    </w:p>
    <w:p w14:paraId="64F619D4" w14:textId="447902FB" w:rsidR="00855109" w:rsidRPr="005040A4" w:rsidRDefault="00855109" w:rsidP="00606A8C">
      <w:pPr>
        <w:pStyle w:val="ListParagraph"/>
        <w:numPr>
          <w:ilvl w:val="0"/>
          <w:numId w:val="26"/>
        </w:numPr>
        <w:tabs>
          <w:tab w:val="clear" w:pos="1134"/>
        </w:tabs>
        <w:spacing w:after="0"/>
        <w:ind w:left="1701" w:hanging="567"/>
      </w:pPr>
      <w:r w:rsidRPr="005040A4">
        <w:t>Division de l</w:t>
      </w:r>
      <w:r w:rsidR="00743D89" w:rsidRPr="005040A4">
        <w:t>’</w:t>
      </w:r>
      <w:r w:rsidRPr="005040A4">
        <w:t>information et de la communication numérique;</w:t>
      </w:r>
    </w:p>
    <w:p w14:paraId="5049CCE1" w14:textId="77777777" w:rsidR="00855109" w:rsidRPr="005040A4" w:rsidRDefault="00855109" w:rsidP="00606A8C">
      <w:pPr>
        <w:pStyle w:val="ListParagraph"/>
        <w:numPr>
          <w:ilvl w:val="0"/>
          <w:numId w:val="26"/>
        </w:numPr>
        <w:tabs>
          <w:tab w:val="clear" w:pos="1134"/>
        </w:tabs>
        <w:spacing w:after="0"/>
        <w:ind w:left="1701" w:hanging="567"/>
      </w:pPr>
      <w:r w:rsidRPr="005040A4">
        <w:t>Division des classifications internationales et des normes;</w:t>
      </w:r>
    </w:p>
    <w:p w14:paraId="3A45BF09" w14:textId="12C89680" w:rsidR="00855109" w:rsidRPr="005040A4" w:rsidRDefault="00855109" w:rsidP="00606A8C">
      <w:pPr>
        <w:pStyle w:val="ListParagraph"/>
        <w:numPr>
          <w:ilvl w:val="0"/>
          <w:numId w:val="26"/>
        </w:numPr>
        <w:tabs>
          <w:tab w:val="clear" w:pos="1134"/>
        </w:tabs>
        <w:spacing w:after="0"/>
        <w:ind w:left="1701" w:hanging="567"/>
      </w:pPr>
      <w:r w:rsidRPr="005040A4">
        <w:t>Division du droit d</w:t>
      </w:r>
      <w:r w:rsidR="00743D89" w:rsidRPr="005040A4">
        <w:t>’</w:t>
      </w:r>
      <w:r w:rsidRPr="005040A4">
        <w:t>auteur;</w:t>
      </w:r>
    </w:p>
    <w:p w14:paraId="20BE9A4F" w14:textId="77777777" w:rsidR="00855109" w:rsidRPr="005040A4" w:rsidRDefault="00855109" w:rsidP="000057BC">
      <w:pPr>
        <w:pStyle w:val="ListParagraph"/>
        <w:numPr>
          <w:ilvl w:val="0"/>
          <w:numId w:val="26"/>
        </w:numPr>
        <w:tabs>
          <w:tab w:val="clear" w:pos="1134"/>
        </w:tabs>
        <w:ind w:left="1701" w:hanging="567"/>
      </w:pPr>
      <w:r w:rsidRPr="005040A4">
        <w:t>Division de la promotion du respect de la propriété intellectuelle.</w:t>
      </w:r>
    </w:p>
    <w:p w14:paraId="4B327A9A" w14:textId="71CA8718" w:rsidR="00855109" w:rsidRPr="000057BC" w:rsidRDefault="00855109" w:rsidP="000057BC">
      <w:pPr>
        <w:pStyle w:val="Heading4"/>
      </w:pPr>
      <w:bookmarkStart w:id="71" w:name="_Toc199153481"/>
      <w:r w:rsidRPr="000057BC">
        <w:t>Normes d</w:t>
      </w:r>
      <w:r w:rsidR="00743D89" w:rsidRPr="000057BC">
        <w:t>’</w:t>
      </w:r>
      <w:r w:rsidRPr="000057BC">
        <w:t>audit</w:t>
      </w:r>
      <w:bookmarkEnd w:id="71"/>
    </w:p>
    <w:p w14:paraId="6C21F0FF" w14:textId="1272A6BC" w:rsidR="00743D89" w:rsidRPr="005040A4" w:rsidRDefault="00855109" w:rsidP="000057BC">
      <w:pPr>
        <w:pStyle w:val="ListParagraph"/>
      </w:pPr>
      <w:r w:rsidRPr="005040A4">
        <w:t>L</w:t>
      </w:r>
      <w:r w:rsidR="00743D89" w:rsidRPr="005040A4">
        <w:t>’</w:t>
      </w:r>
      <w:r w:rsidRPr="005040A4">
        <w:t>audit a été réalisé conformément aux normes internationales d</w:t>
      </w:r>
      <w:r w:rsidR="00743D89" w:rsidRPr="005040A4">
        <w:t>’</w:t>
      </w:r>
      <w:r w:rsidRPr="005040A4">
        <w:t>aud</w:t>
      </w:r>
      <w:r w:rsidR="005652C9" w:rsidRPr="005040A4">
        <w:t>it.  Ce</w:t>
      </w:r>
      <w:r w:rsidRPr="005040A4">
        <w:t>s normes exigent que la BPK se conforme aux règles d</w:t>
      </w:r>
      <w:r w:rsidR="00743D89" w:rsidRPr="005040A4">
        <w:t>’</w:t>
      </w:r>
      <w:r w:rsidRPr="005040A4">
        <w:t>éthique et qu</w:t>
      </w:r>
      <w:r w:rsidR="00743D89" w:rsidRPr="005040A4">
        <w:t>’</w:t>
      </w:r>
      <w:r w:rsidRPr="005040A4">
        <w:t>elle planifie et mène l</w:t>
      </w:r>
      <w:r w:rsidR="00743D89" w:rsidRPr="005040A4">
        <w:t>’</w:t>
      </w:r>
      <w:r w:rsidRPr="005040A4">
        <w:t>audit en vue d</w:t>
      </w:r>
      <w:r w:rsidR="00743D89" w:rsidRPr="005040A4">
        <w:t>’</w:t>
      </w:r>
      <w:r w:rsidRPr="005040A4">
        <w:t>obtenir une assurance raisonnable que les états financiers de l</w:t>
      </w:r>
      <w:r w:rsidR="00743D89" w:rsidRPr="005040A4">
        <w:t>’</w:t>
      </w:r>
      <w:r w:rsidRPr="005040A4">
        <w:t>Organisation ne comportent pas d</w:t>
      </w:r>
      <w:r w:rsidR="00743D89" w:rsidRPr="005040A4">
        <w:t>’</w:t>
      </w:r>
      <w:r w:rsidRPr="005040A4">
        <w:t>anomalies significativ</w:t>
      </w:r>
      <w:r w:rsidR="005652C9" w:rsidRPr="005040A4">
        <w:t>es.  En</w:t>
      </w:r>
      <w:r w:rsidRPr="005040A4">
        <w:t xml:space="preserve"> outre, les normes internationales pertinentes des institutions supérieures de contrôle des finances publiques (ISSAI) fournissent des principes, des normes et des orientations en matière d</w:t>
      </w:r>
      <w:r w:rsidR="00743D89" w:rsidRPr="005040A4">
        <w:t>’</w:t>
      </w:r>
      <w:r w:rsidRPr="005040A4">
        <w:t>audit pour la réalisation de notre audit de performan</w:t>
      </w:r>
      <w:r w:rsidR="005652C9" w:rsidRPr="005040A4">
        <w:t>ce.  En</w:t>
      </w:r>
      <w:r w:rsidRPr="005040A4">
        <w:t xml:space="preserve"> ce qui concerne la régularité, l</w:t>
      </w:r>
      <w:r w:rsidR="00743D89" w:rsidRPr="005040A4">
        <w:t>’</w:t>
      </w:r>
      <w:r w:rsidRPr="005040A4">
        <w:t>audit est conforme au Règlement financier.</w:t>
      </w:r>
    </w:p>
    <w:p w14:paraId="20F19581" w14:textId="1C2606A1" w:rsidR="00855109" w:rsidRPr="005040A4" w:rsidRDefault="00855109" w:rsidP="000057BC">
      <w:pPr>
        <w:pStyle w:val="Heading4"/>
      </w:pPr>
      <w:bookmarkStart w:id="72" w:name="_Toc199153482"/>
      <w:r w:rsidRPr="005040A4">
        <w:t>Méthodologie de l</w:t>
      </w:r>
      <w:r w:rsidR="00743D89" w:rsidRPr="005040A4">
        <w:t>’</w:t>
      </w:r>
      <w:r w:rsidRPr="005040A4">
        <w:t>audit</w:t>
      </w:r>
      <w:bookmarkEnd w:id="72"/>
    </w:p>
    <w:p w14:paraId="6F013C38" w14:textId="0519CFB1" w:rsidR="00855109" w:rsidRPr="005040A4" w:rsidRDefault="00855109" w:rsidP="000057BC">
      <w:pPr>
        <w:pStyle w:val="ListParagraph"/>
      </w:pPr>
      <w:r w:rsidRPr="005040A4">
        <w:t>Conformément à la norme</w:t>
      </w:r>
      <w:r w:rsidR="001B7F27" w:rsidRPr="005040A4">
        <w:t> </w:t>
      </w:r>
      <w:r w:rsidRPr="005040A4">
        <w:t>ISA 315 – “Identification et évaluation des risques d</w:t>
      </w:r>
      <w:r w:rsidR="00743D89" w:rsidRPr="005040A4">
        <w:t>’</w:t>
      </w:r>
      <w:r w:rsidRPr="005040A4">
        <w:t>anomalies significatives” (révisée en 2019), la BPK applique, dans le cadre de l</w:t>
      </w:r>
      <w:r w:rsidR="00743D89" w:rsidRPr="005040A4">
        <w:t>’</w:t>
      </w:r>
      <w:r w:rsidRPr="005040A4">
        <w:t>audit financier, une approche fondée sur les risques afin de se concentrer sur les domaines présentant le risque le plus élevé d</w:t>
      </w:r>
      <w:r w:rsidR="00743D89" w:rsidRPr="005040A4">
        <w:t>’</w:t>
      </w:r>
      <w:r w:rsidRPr="005040A4">
        <w:t>anomalies significativ</w:t>
      </w:r>
      <w:r w:rsidR="005652C9" w:rsidRPr="005040A4">
        <w:t>es.  Ce</w:t>
      </w:r>
      <w:r w:rsidRPr="005040A4">
        <w:t>tte norme définit la responsabilité de la BPK en matière d</w:t>
      </w:r>
      <w:r w:rsidR="00743D89" w:rsidRPr="005040A4">
        <w:t>’</w:t>
      </w:r>
      <w:r w:rsidRPr="005040A4">
        <w:t>identification et d</w:t>
      </w:r>
      <w:r w:rsidR="00743D89" w:rsidRPr="005040A4">
        <w:t>’</w:t>
      </w:r>
      <w:r w:rsidRPr="005040A4">
        <w:t>évaluation des risques à travers la compréhension de l</w:t>
      </w:r>
      <w:r w:rsidR="00743D89" w:rsidRPr="005040A4">
        <w:t>’</w:t>
      </w:r>
      <w:r w:rsidRPr="005040A4">
        <w:t>Organisation et de son environnement, notamment les processus opérationnels et les contrôles intern</w:t>
      </w:r>
      <w:r w:rsidR="005652C9" w:rsidRPr="005040A4">
        <w:t>es.  La</w:t>
      </w:r>
      <w:r w:rsidRPr="005040A4">
        <w:t> BPK a procédé à l</w:t>
      </w:r>
      <w:r w:rsidR="00743D89" w:rsidRPr="005040A4">
        <w:t>’</w:t>
      </w:r>
      <w:r w:rsidRPr="005040A4">
        <w:t>identification et l</w:t>
      </w:r>
      <w:r w:rsidR="00743D89" w:rsidRPr="005040A4">
        <w:t>’</w:t>
      </w:r>
      <w:r w:rsidRPr="005040A4">
        <w:t>évaluation des risques d</w:t>
      </w:r>
      <w:r w:rsidR="00743D89" w:rsidRPr="005040A4">
        <w:t>’</w:t>
      </w:r>
      <w:r w:rsidRPr="005040A4">
        <w:t>anomalies significatives, tant au niveau des états financiers qu</w:t>
      </w:r>
      <w:r w:rsidR="00743D89" w:rsidRPr="005040A4">
        <w:t>’</w:t>
      </w:r>
      <w:r w:rsidRPr="005040A4">
        <w:t>au niveau des affirmations, qui ont ensuite servi de base aux procédures d</w:t>
      </w:r>
      <w:r w:rsidR="00743D89" w:rsidRPr="005040A4">
        <w:t>’</w:t>
      </w:r>
      <w:r w:rsidRPr="005040A4">
        <w:t>audit.</w:t>
      </w:r>
    </w:p>
    <w:p w14:paraId="56198A0D" w14:textId="1892E2CF" w:rsidR="00743D89" w:rsidRPr="005040A4" w:rsidRDefault="00855109" w:rsidP="000057BC">
      <w:pPr>
        <w:pStyle w:val="ListParagraph"/>
      </w:pPr>
      <w:r w:rsidRPr="005040A4">
        <w:t>La BPK a conçu et mis en œuvre des procédures d</w:t>
      </w:r>
      <w:r w:rsidR="00743D89" w:rsidRPr="005040A4">
        <w:t>’</w:t>
      </w:r>
      <w:r w:rsidRPr="005040A4">
        <w:t>audit afin d</w:t>
      </w:r>
      <w:r w:rsidR="00743D89" w:rsidRPr="005040A4">
        <w:t>’</w:t>
      </w:r>
      <w:r w:rsidRPr="005040A4">
        <w:t>obtenir des éléments probants de vérification suffisants et appropriés concernant les risques d</w:t>
      </w:r>
      <w:r w:rsidR="00743D89" w:rsidRPr="005040A4">
        <w:t>’</w:t>
      </w:r>
      <w:r w:rsidRPr="005040A4">
        <w:t>anomalies significatives évalu</w:t>
      </w:r>
      <w:r w:rsidR="005652C9" w:rsidRPr="005040A4">
        <w:t>és.  Ce</w:t>
      </w:r>
      <w:r w:rsidRPr="005040A4">
        <w:t>s procédures comprennent des tests de contrôle et des procédures de corroboration, et mettent l</w:t>
      </w:r>
      <w:r w:rsidR="00743D89" w:rsidRPr="005040A4">
        <w:t>’</w:t>
      </w:r>
      <w:r w:rsidRPr="005040A4">
        <w:t>accent sur les domaines présentant des risques plus élev</w:t>
      </w:r>
      <w:r w:rsidR="005652C9" w:rsidRPr="005040A4">
        <w:t>és.  La</w:t>
      </w:r>
      <w:r w:rsidRPr="005040A4">
        <w:t> BPK veille à la pertinence des procédures d</w:t>
      </w:r>
      <w:r w:rsidR="00743D89" w:rsidRPr="005040A4">
        <w:t>’</w:t>
      </w:r>
      <w:r w:rsidRPr="005040A4">
        <w:t>audit grâce à la mise à jour permanente de l</w:t>
      </w:r>
      <w:r w:rsidR="00743D89" w:rsidRPr="005040A4">
        <w:t>’</w:t>
      </w:r>
      <w:r w:rsidRPr="005040A4">
        <w:t>évaluation des risques à mesure qu</w:t>
      </w:r>
      <w:r w:rsidR="00743D89" w:rsidRPr="005040A4">
        <w:t>’</w:t>
      </w:r>
      <w:r w:rsidRPr="005040A4">
        <w:t>elle obtient de nouvelles informations.</w:t>
      </w:r>
    </w:p>
    <w:p w14:paraId="0ECDA410" w14:textId="4C85ED2E" w:rsidR="00743D89" w:rsidRPr="005040A4" w:rsidRDefault="00855109" w:rsidP="000057BC">
      <w:pPr>
        <w:pStyle w:val="ListParagraph"/>
      </w:pPr>
      <w:r w:rsidRPr="005040A4">
        <w:t>En ce qui concerne l</w:t>
      </w:r>
      <w:r w:rsidR="00743D89" w:rsidRPr="005040A4">
        <w:t>’</w:t>
      </w:r>
      <w:r w:rsidRPr="005040A4">
        <w:t>audit de performance, la BPK a utilisé une approche axée sur les systèmes dans le contexte de la gestion axée sur les résultats afin de déterminer la nature de l</w:t>
      </w:r>
      <w:r w:rsidR="00743D89" w:rsidRPr="005040A4">
        <w:t>’</w:t>
      </w:r>
      <w:r w:rsidRPr="005040A4">
        <w:t>examen à effectuer et de définir les connaissances, les informations et les données nécessair</w:t>
      </w:r>
      <w:r w:rsidR="005652C9" w:rsidRPr="005040A4">
        <w:t>es.  Un</w:t>
      </w:r>
      <w:r w:rsidRPr="005040A4">
        <w:t>e approche axée sur les systèmes examine le bon fonctionnement des systèmes de gestion en tant que condition préalable à l</w:t>
      </w:r>
      <w:r w:rsidR="00743D89" w:rsidRPr="005040A4">
        <w:t>’</w:t>
      </w:r>
      <w:r w:rsidRPr="005040A4">
        <w:t>efficacité et à la rationalité des politiques générales et ne porte pas essentiellement sur la stratégie ou les objecti</w:t>
      </w:r>
      <w:r w:rsidR="005652C9" w:rsidRPr="005040A4">
        <w:t>fs.  La</w:t>
      </w:r>
      <w:r w:rsidRPr="005040A4">
        <w:t xml:space="preserve"> méthodologie d</w:t>
      </w:r>
      <w:r w:rsidR="00743D89" w:rsidRPr="005040A4">
        <w:t>’</w:t>
      </w:r>
      <w:r w:rsidRPr="005040A4">
        <w:t>audit comprend un cadre complet qui commence par la préparation de questions d</w:t>
      </w:r>
      <w:r w:rsidR="00743D89" w:rsidRPr="005040A4">
        <w:t>’</w:t>
      </w:r>
      <w:r w:rsidRPr="005040A4">
        <w:t>audit documentées à des fins d</w:t>
      </w:r>
      <w:r w:rsidR="00743D89" w:rsidRPr="005040A4">
        <w:t>’</w:t>
      </w:r>
      <w:r w:rsidRPr="005040A4">
        <w:t>évaluations préliminaires, suivie de l</w:t>
      </w:r>
      <w:r w:rsidR="00743D89" w:rsidRPr="005040A4">
        <w:t>’</w:t>
      </w:r>
      <w:r w:rsidRPr="005040A4">
        <w:t>élaboration de critères d</w:t>
      </w:r>
      <w:r w:rsidR="00743D89" w:rsidRPr="005040A4">
        <w:t>’</w:t>
      </w:r>
      <w:r w:rsidRPr="005040A4">
        <w:t>audit détaill</w:t>
      </w:r>
      <w:r w:rsidR="005652C9" w:rsidRPr="005040A4">
        <w:t>és.  Le</w:t>
      </w:r>
      <w:r w:rsidRPr="005040A4">
        <w:t>s éléments probants ont été recueillis en s</w:t>
      </w:r>
      <w:r w:rsidR="00743D89" w:rsidRPr="005040A4">
        <w:t>’</w:t>
      </w:r>
      <w:r w:rsidRPr="005040A4">
        <w:t xml:space="preserve">appuyant sur les politiques, les orientations </w:t>
      </w:r>
      <w:r w:rsidRPr="005040A4">
        <w:lastRenderedPageBreak/>
        <w:t>et les pratiques recommandées internationales de l</w:t>
      </w:r>
      <w:r w:rsidR="00743D89" w:rsidRPr="005040A4">
        <w:t>’</w:t>
      </w:r>
      <w:r w:rsidRPr="005040A4">
        <w:t>Organisati</w:t>
      </w:r>
      <w:r w:rsidR="005652C9" w:rsidRPr="005040A4">
        <w:t>on.  Le</w:t>
      </w:r>
      <w:r w:rsidRPr="005040A4">
        <w:t>s conclusions finales de l</w:t>
      </w:r>
      <w:r w:rsidR="00743D89" w:rsidRPr="005040A4">
        <w:t>’</w:t>
      </w:r>
      <w:r w:rsidRPr="005040A4">
        <w:t>audit ont été formulées à partir d</w:t>
      </w:r>
      <w:r w:rsidR="00743D89" w:rsidRPr="005040A4">
        <w:t>’</w:t>
      </w:r>
      <w:r w:rsidRPr="005040A4">
        <w:t>évaluations quantitatives et qualitatives, en tenant compte de l</w:t>
      </w:r>
      <w:r w:rsidR="00743D89" w:rsidRPr="005040A4">
        <w:t>’</w:t>
      </w:r>
      <w:r w:rsidRPr="005040A4">
        <w:t>importance et de la matérialité des constats afin d</w:t>
      </w:r>
      <w:r w:rsidR="00743D89" w:rsidRPr="005040A4">
        <w:t>’</w:t>
      </w:r>
      <w:r w:rsidRPr="005040A4">
        <w:t>évaluer l</w:t>
      </w:r>
      <w:r w:rsidR="00743D89" w:rsidRPr="005040A4">
        <w:t>’</w:t>
      </w:r>
      <w:r w:rsidRPr="005040A4">
        <w:t>efficacité de la gesti</w:t>
      </w:r>
      <w:r w:rsidR="005652C9" w:rsidRPr="005040A4">
        <w:t>on.  Le</w:t>
      </w:r>
      <w:r w:rsidRPr="005040A4">
        <w:t>s principaux domaines et les questions ont été communiqués à la direction dans une lettre de mission complémentaire.</w:t>
      </w:r>
    </w:p>
    <w:p w14:paraId="4F58B523" w14:textId="36214C2D" w:rsidR="00855109" w:rsidRPr="005040A4" w:rsidRDefault="00855109" w:rsidP="000057BC">
      <w:pPr>
        <w:pStyle w:val="ListParagraph"/>
      </w:pPr>
      <w:r w:rsidRPr="005040A4">
        <w:t>L</w:t>
      </w:r>
      <w:r w:rsidR="00743D89" w:rsidRPr="005040A4">
        <w:t>’</w:t>
      </w:r>
      <w:r w:rsidRPr="005040A4">
        <w:t>audit de performance pour l</w:t>
      </w:r>
      <w:r w:rsidR="00743D89" w:rsidRPr="005040A4">
        <w:t>’</w:t>
      </w:r>
      <w:r w:rsidRPr="005040A4">
        <w:t>exercice 2024 (première année de la nomination de la BPK en tant que vérificateur externe des comptes de l</w:t>
      </w:r>
      <w:r w:rsidR="00743D89" w:rsidRPr="005040A4">
        <w:t>’</w:t>
      </w:r>
      <w:r w:rsidRPr="005040A4">
        <w:t>Organisation) porte sur le pilier n° 1 (S</w:t>
      </w:r>
      <w:r w:rsidR="00743D89" w:rsidRPr="005040A4">
        <w:t>’</w:t>
      </w:r>
      <w:r w:rsidRPr="005040A4">
        <w:t>adresser au public du monde entier pour expliquer comment la propriété intellectuelle peut améliorer la qualité de la vie de tous et partout) et le pilier n° 2 (Rassembler et nouer des partenariats avec les parties prenantes pour façonner l</w:t>
      </w:r>
      <w:r w:rsidR="00743D89" w:rsidRPr="005040A4">
        <w:t>’</w:t>
      </w:r>
      <w:r w:rsidRPr="005040A4">
        <w:t>avenir de l</w:t>
      </w:r>
      <w:r w:rsidR="00743D89" w:rsidRPr="005040A4">
        <w:t>’</w:t>
      </w:r>
      <w:r w:rsidRPr="005040A4">
        <w:t xml:space="preserve">écosystème mondial de la propriété intellectuelle) du Plan stratégique à moyen terme (PSMT) </w:t>
      </w:r>
      <w:r w:rsidR="00743D89" w:rsidRPr="005040A4">
        <w:t>pour 2022</w:t>
      </w:r>
      <w:r w:rsidR="00C249FA" w:rsidRPr="005040A4">
        <w:noBreakHyphen/>
      </w:r>
      <w:r w:rsidRPr="005040A4">
        <w:t>2026 de l</w:t>
      </w:r>
      <w:r w:rsidR="00743D89" w:rsidRPr="005040A4">
        <w:t>’</w:t>
      </w:r>
      <w:r w:rsidRPr="005040A4">
        <w:t>Organisati</w:t>
      </w:r>
      <w:r w:rsidR="005652C9" w:rsidRPr="005040A4">
        <w:t>on.  Le</w:t>
      </w:r>
      <w:r w:rsidRPr="005040A4">
        <w:t xml:space="preserve"> processus de sélection de la portée et de l</w:t>
      </w:r>
      <w:r w:rsidR="00743D89" w:rsidRPr="005040A4">
        <w:t>’</w:t>
      </w:r>
      <w:r w:rsidRPr="005040A4">
        <w:t>échantillon en ce qui concerne les domaines clés potentiels de la vérification s</w:t>
      </w:r>
      <w:r w:rsidR="00743D89" w:rsidRPr="005040A4">
        <w:t>’</w:t>
      </w:r>
      <w:r w:rsidRPr="005040A4">
        <w:t>est appuyé sur plusieurs critères de sélection, notamment</w:t>
      </w:r>
      <w:r w:rsidR="00743D89" w:rsidRPr="005040A4">
        <w:t> :</w:t>
      </w:r>
      <w:r w:rsidRPr="005040A4">
        <w:t xml:space="preserve"> les priorités correspondantes des programmes de travail et budgets pour les exercices biennaux</w:t>
      </w:r>
      <w:r w:rsidR="00596148" w:rsidRPr="005040A4">
        <w:t> </w:t>
      </w:r>
      <w:r w:rsidRPr="005040A4">
        <w:t>2022</w:t>
      </w:r>
      <w:r w:rsidR="00C249FA" w:rsidRPr="005040A4">
        <w:noBreakHyphen/>
      </w:r>
      <w:r w:rsidRPr="005040A4">
        <w:t>2023 et 2024</w:t>
      </w:r>
      <w:r w:rsidR="00C249FA" w:rsidRPr="005040A4">
        <w:noBreakHyphen/>
      </w:r>
      <w:r w:rsidRPr="005040A4">
        <w:t>2025;  les synergies de l</w:t>
      </w:r>
      <w:r w:rsidR="00743D89" w:rsidRPr="005040A4">
        <w:t>’</w:t>
      </w:r>
      <w:r w:rsidRPr="005040A4">
        <w:t>organisation, les préoccupations liées à l</w:t>
      </w:r>
      <w:r w:rsidR="00743D89" w:rsidRPr="005040A4">
        <w:t>’</w:t>
      </w:r>
      <w:r w:rsidRPr="005040A4">
        <w:t>efficacité, l</w:t>
      </w:r>
      <w:r w:rsidR="00743D89" w:rsidRPr="005040A4">
        <w:t>’</w:t>
      </w:r>
      <w:r w:rsidRPr="005040A4">
        <w:t>importance budgétaire, les risques pour la gestion, les vérifications précédentes, l</w:t>
      </w:r>
      <w:r w:rsidR="00743D89" w:rsidRPr="005040A4">
        <w:t>’</w:t>
      </w:r>
      <w:r w:rsidRPr="005040A4">
        <w:t>impact potentiel et les préoccupations actuelles de la direction.</w:t>
      </w:r>
    </w:p>
    <w:p w14:paraId="1929E4A5" w14:textId="62E089ED" w:rsidR="00855109" w:rsidRPr="005040A4" w:rsidRDefault="00855109" w:rsidP="000057BC">
      <w:pPr>
        <w:pStyle w:val="ListParagraph"/>
      </w:pPr>
      <w:r w:rsidRPr="005040A4">
        <w:t>La BPK a constaté le rôle important que joue l</w:t>
      </w:r>
      <w:r w:rsidR="00743D89" w:rsidRPr="005040A4">
        <w:t>’</w:t>
      </w:r>
      <w:r w:rsidRPr="005040A4">
        <w:t xml:space="preserve">audit interne dans les pratiques de bonne gouvernance du système des </w:t>
      </w:r>
      <w:r w:rsidR="00743D89" w:rsidRPr="005040A4">
        <w:t>Nations Unies</w:t>
      </w:r>
      <w:r w:rsidRPr="005040A4">
        <w:t>, ainsi que sa contribution inestimable à la supervision et à l</w:t>
      </w:r>
      <w:r w:rsidR="00743D89" w:rsidRPr="005040A4">
        <w:t>’</w:t>
      </w:r>
      <w:r w:rsidRPr="005040A4">
        <w:t>amélioration de l</w:t>
      </w:r>
      <w:r w:rsidR="00743D89" w:rsidRPr="005040A4">
        <w:t>’</w:t>
      </w:r>
      <w:r w:rsidRPr="005040A4">
        <w:t>efficacité de la gestion des risques et de la gestion axée sur les résultats de l</w:t>
      </w:r>
      <w:r w:rsidR="00743D89" w:rsidRPr="005040A4">
        <w:t>’</w:t>
      </w:r>
      <w:r w:rsidRPr="005040A4">
        <w:t>Organisati</w:t>
      </w:r>
      <w:r w:rsidR="005652C9" w:rsidRPr="005040A4">
        <w:t>on.  Pa</w:t>
      </w:r>
      <w:r w:rsidRPr="005040A4">
        <w:t>r conséquent, la BPK a communiqué avec la Division de la supervision interne (DSI) et a examiné les travaux de cette dernière afin de déterminer s</w:t>
      </w:r>
      <w:r w:rsidR="00743D89" w:rsidRPr="005040A4">
        <w:t>’</w:t>
      </w:r>
      <w:r w:rsidRPr="005040A4">
        <w:t>ils étaient adéquats aux fins de l</w:t>
      </w:r>
      <w:r w:rsidR="00743D89" w:rsidRPr="005040A4">
        <w:t>’</w:t>
      </w:r>
      <w:r w:rsidRPr="005040A4">
        <w:t>audit.</w:t>
      </w:r>
    </w:p>
    <w:p w14:paraId="77355B1D" w14:textId="3783218A" w:rsidR="00855109" w:rsidRPr="005040A4" w:rsidRDefault="00855109" w:rsidP="000057BC">
      <w:pPr>
        <w:pStyle w:val="ListParagraph"/>
      </w:pPr>
      <w:r w:rsidRPr="005040A4">
        <w:t>La BPK a examiné, mis à jour et rendu compte de l</w:t>
      </w:r>
      <w:r w:rsidR="00743D89" w:rsidRPr="005040A4">
        <w:t>’</w:t>
      </w:r>
      <w:r w:rsidRPr="005040A4">
        <w:t>état d</w:t>
      </w:r>
      <w:r w:rsidR="00743D89" w:rsidRPr="005040A4">
        <w:t>’</w:t>
      </w:r>
      <w:r w:rsidRPr="005040A4">
        <w:t>avancement des recommandations formulées par les vérificateurs externes des comptes lors des précédents audits.</w:t>
      </w:r>
    </w:p>
    <w:p w14:paraId="54F56B2F" w14:textId="77777777" w:rsidR="00855109" w:rsidRPr="005040A4" w:rsidRDefault="00855109" w:rsidP="000057BC">
      <w:pPr>
        <w:pStyle w:val="Heading4"/>
      </w:pPr>
      <w:bookmarkStart w:id="73" w:name="_Toc199153483"/>
      <w:r w:rsidRPr="005040A4">
        <w:t>Reddition de compte</w:t>
      </w:r>
      <w:bookmarkEnd w:id="73"/>
    </w:p>
    <w:p w14:paraId="661DC975" w14:textId="606F3173" w:rsidR="00855109" w:rsidRPr="005040A4" w:rsidRDefault="00855109" w:rsidP="000057BC">
      <w:pPr>
        <w:pStyle w:val="ListParagraph"/>
      </w:pPr>
      <w:r w:rsidRPr="005040A4">
        <w:t>Le présent rapport d</w:t>
      </w:r>
      <w:r w:rsidR="00743D89" w:rsidRPr="005040A4">
        <w:t>’</w:t>
      </w:r>
      <w:r w:rsidRPr="005040A4">
        <w:t>audit a pour objet de communiquer les résultats de l</w:t>
      </w:r>
      <w:r w:rsidR="00743D89" w:rsidRPr="005040A4">
        <w:t>’</w:t>
      </w:r>
      <w:r w:rsidRPr="005040A4">
        <w:t>audit à l</w:t>
      </w:r>
      <w:r w:rsidR="00743D89" w:rsidRPr="005040A4">
        <w:t>’</w:t>
      </w:r>
      <w:r w:rsidRPr="005040A4">
        <w:t>Organisation et aux responsables de la gouvernance, ainsi qu</w:t>
      </w:r>
      <w:r w:rsidR="00743D89" w:rsidRPr="005040A4">
        <w:t>’</w:t>
      </w:r>
      <w:r w:rsidRPr="005040A4">
        <w:t>aux autres parties prenant</w:t>
      </w:r>
      <w:r w:rsidR="005652C9" w:rsidRPr="005040A4">
        <w:t>es.  Le</w:t>
      </w:r>
      <w:r w:rsidRPr="005040A4">
        <w:t>s constats ou observations importants issus des procédures d</w:t>
      </w:r>
      <w:r w:rsidR="00743D89" w:rsidRPr="005040A4">
        <w:t>’</w:t>
      </w:r>
      <w:r w:rsidRPr="005040A4">
        <w:t>audit mises en œuvre ont été communiqués, après discussion approfondie avec les responsables, dans des courriers adressés à la directi</w:t>
      </w:r>
      <w:r w:rsidR="005652C9" w:rsidRPr="005040A4">
        <w:t>on.  Le</w:t>
      </w:r>
      <w:r w:rsidRPr="005040A4">
        <w:t>s constats les plus significatifs, regroupés de manière appropriée, ont été intégrés au présent rapport, après un examen approfondi des réponses finales de la direction et de ses plans d</w:t>
      </w:r>
      <w:r w:rsidR="00743D89" w:rsidRPr="005040A4">
        <w:t>’</w:t>
      </w:r>
      <w:r w:rsidRPr="005040A4">
        <w:t>action pour la mise en œuvre des recommandations d</w:t>
      </w:r>
      <w:r w:rsidR="00743D89" w:rsidRPr="005040A4">
        <w:t>’</w:t>
      </w:r>
      <w:r w:rsidRPr="005040A4">
        <w:t>audit.</w:t>
      </w:r>
    </w:p>
    <w:p w14:paraId="1FC6701D" w14:textId="59C01136" w:rsidR="00855109" w:rsidRPr="005040A4" w:rsidRDefault="00855109" w:rsidP="000057BC">
      <w:pPr>
        <w:pStyle w:val="Heading4"/>
      </w:pPr>
      <w:bookmarkStart w:id="74" w:name="_Toc199153484"/>
      <w:r w:rsidRPr="005040A4">
        <w:t>Mission d</w:t>
      </w:r>
      <w:r w:rsidR="00743D89" w:rsidRPr="005040A4">
        <w:t>’</w:t>
      </w:r>
      <w:r w:rsidRPr="005040A4">
        <w:t>audit initiale</w:t>
      </w:r>
      <w:bookmarkEnd w:id="74"/>
    </w:p>
    <w:p w14:paraId="1AC7BD83" w14:textId="2BE89711" w:rsidR="00855109" w:rsidRPr="005040A4" w:rsidRDefault="00855109" w:rsidP="000057BC">
      <w:pPr>
        <w:pStyle w:val="ListParagraph"/>
      </w:pPr>
      <w:r w:rsidRPr="005040A4">
        <w:t>Conformément aux exigences des normes internationales d</w:t>
      </w:r>
      <w:r w:rsidR="00743D89" w:rsidRPr="005040A4">
        <w:t>’</w:t>
      </w:r>
      <w:r w:rsidRPr="005040A4">
        <w:t>audit, la BPK a mis en œuvre des procédures préliminaires avant de commencer la mission d</w:t>
      </w:r>
      <w:r w:rsidR="00743D89" w:rsidRPr="005040A4">
        <w:t>’</w:t>
      </w:r>
      <w:r w:rsidRPr="005040A4">
        <w:t>audit initiale, notamment</w:t>
      </w:r>
      <w:r w:rsidR="00743D89" w:rsidRPr="005040A4">
        <w:t> :</w:t>
      </w:r>
    </w:p>
    <w:p w14:paraId="7BBE0E2C" w14:textId="3C1FC51F" w:rsidR="00855109" w:rsidRPr="005040A4" w:rsidRDefault="00855109" w:rsidP="00327509">
      <w:pPr>
        <w:numPr>
          <w:ilvl w:val="0"/>
          <w:numId w:val="17"/>
        </w:numPr>
        <w:tabs>
          <w:tab w:val="clear" w:pos="786"/>
        </w:tabs>
        <w:spacing w:after="120" w:line="280" w:lineRule="exact"/>
        <w:ind w:left="1701" w:hanging="567"/>
        <w:jc w:val="both"/>
        <w:rPr>
          <w:szCs w:val="22"/>
          <w:lang w:val="fr-FR"/>
        </w:rPr>
      </w:pPr>
      <w:r w:rsidRPr="005040A4">
        <w:rPr>
          <w:lang w:val="fr-FR"/>
        </w:rPr>
        <w:t>Acquisition d</w:t>
      </w:r>
      <w:r w:rsidR="00743D89" w:rsidRPr="005040A4">
        <w:rPr>
          <w:lang w:val="fr-FR"/>
        </w:rPr>
        <w:t>’</w:t>
      </w:r>
      <w:r w:rsidRPr="005040A4">
        <w:rPr>
          <w:lang w:val="fr-FR"/>
        </w:rPr>
        <w:t>une compréhension préliminaire de l</w:t>
      </w:r>
      <w:r w:rsidR="00743D89" w:rsidRPr="005040A4">
        <w:rPr>
          <w:lang w:val="fr-FR"/>
        </w:rPr>
        <w:t>’</w:t>
      </w:r>
      <w:r w:rsidRPr="005040A4">
        <w:rPr>
          <w:lang w:val="fr-FR"/>
        </w:rPr>
        <w:t>Organisation et de son environnement</w:t>
      </w:r>
    </w:p>
    <w:p w14:paraId="4532A80B" w14:textId="59D527D5" w:rsidR="00855109" w:rsidRPr="005040A4" w:rsidRDefault="00855109" w:rsidP="00327509">
      <w:pPr>
        <w:spacing w:after="220"/>
        <w:ind w:left="1701"/>
        <w:jc w:val="both"/>
        <w:rPr>
          <w:szCs w:val="22"/>
          <w:lang w:val="fr-FR"/>
        </w:rPr>
      </w:pPr>
      <w:r w:rsidRPr="005040A4">
        <w:rPr>
          <w:lang w:val="fr-FR"/>
        </w:rPr>
        <w:t>La BPK a entrepris l</w:t>
      </w:r>
      <w:r w:rsidR="00743D89" w:rsidRPr="005040A4">
        <w:rPr>
          <w:lang w:val="fr-FR"/>
        </w:rPr>
        <w:t>’</w:t>
      </w:r>
      <w:r w:rsidRPr="005040A4">
        <w:rPr>
          <w:lang w:val="fr-FR"/>
        </w:rPr>
        <w:t>acquisition d</w:t>
      </w:r>
      <w:r w:rsidR="00743D89" w:rsidRPr="005040A4">
        <w:rPr>
          <w:lang w:val="fr-FR"/>
        </w:rPr>
        <w:t>’</w:t>
      </w:r>
      <w:r w:rsidRPr="005040A4">
        <w:rPr>
          <w:lang w:val="fr-FR"/>
        </w:rPr>
        <w:t>une compréhension initiale des activités, du secteur, de l</w:t>
      </w:r>
      <w:r w:rsidR="00743D89" w:rsidRPr="005040A4">
        <w:rPr>
          <w:lang w:val="fr-FR"/>
        </w:rPr>
        <w:t>’</w:t>
      </w:r>
      <w:r w:rsidRPr="005040A4">
        <w:rPr>
          <w:lang w:val="fr-FR"/>
        </w:rPr>
        <w:t xml:space="preserve">environnement réglementaire et des systèmes de contrôle interne </w:t>
      </w:r>
      <w:r w:rsidRPr="005040A4">
        <w:rPr>
          <w:lang w:val="fr-FR"/>
        </w:rPr>
        <w:lastRenderedPageBreak/>
        <w:t>de l</w:t>
      </w:r>
      <w:r w:rsidR="00743D89" w:rsidRPr="005040A4">
        <w:rPr>
          <w:lang w:val="fr-FR"/>
        </w:rPr>
        <w:t>’</w:t>
      </w:r>
      <w:r w:rsidRPr="005040A4">
        <w:rPr>
          <w:lang w:val="fr-FR"/>
        </w:rPr>
        <w:t>Organisation afin de faciliter l</w:t>
      </w:r>
      <w:r w:rsidR="00743D89" w:rsidRPr="005040A4">
        <w:rPr>
          <w:lang w:val="fr-FR"/>
        </w:rPr>
        <w:t>’</w:t>
      </w:r>
      <w:r w:rsidRPr="005040A4">
        <w:rPr>
          <w:lang w:val="fr-FR"/>
        </w:rPr>
        <w:t>identification et l</w:t>
      </w:r>
      <w:r w:rsidR="00743D89" w:rsidRPr="005040A4">
        <w:rPr>
          <w:lang w:val="fr-FR"/>
        </w:rPr>
        <w:t>’</w:t>
      </w:r>
      <w:r w:rsidRPr="005040A4">
        <w:rPr>
          <w:lang w:val="fr-FR"/>
        </w:rPr>
        <w:t>évaluation des risques d</w:t>
      </w:r>
      <w:r w:rsidR="00743D89" w:rsidRPr="005040A4">
        <w:rPr>
          <w:lang w:val="fr-FR"/>
        </w:rPr>
        <w:t>’</w:t>
      </w:r>
      <w:r w:rsidRPr="005040A4">
        <w:rPr>
          <w:lang w:val="fr-FR"/>
        </w:rPr>
        <w:t>anomalies significatives.</w:t>
      </w:r>
    </w:p>
    <w:p w14:paraId="436583CA" w14:textId="77777777" w:rsidR="00855109" w:rsidRPr="005040A4" w:rsidRDefault="00855109" w:rsidP="00327509">
      <w:pPr>
        <w:keepNext/>
        <w:numPr>
          <w:ilvl w:val="0"/>
          <w:numId w:val="17"/>
        </w:numPr>
        <w:tabs>
          <w:tab w:val="clear" w:pos="786"/>
        </w:tabs>
        <w:spacing w:after="120" w:line="280" w:lineRule="exact"/>
        <w:ind w:left="1701" w:hanging="567"/>
        <w:jc w:val="both"/>
        <w:rPr>
          <w:szCs w:val="22"/>
          <w:lang w:val="fr-FR"/>
        </w:rPr>
      </w:pPr>
      <w:r w:rsidRPr="005040A4">
        <w:rPr>
          <w:lang w:val="fr-FR"/>
        </w:rPr>
        <w:t>Accord sur les modalités de la mission</w:t>
      </w:r>
    </w:p>
    <w:p w14:paraId="287DB566" w14:textId="22E2164C" w:rsidR="00855109" w:rsidRPr="005040A4" w:rsidRDefault="00855109" w:rsidP="00327509">
      <w:pPr>
        <w:spacing w:after="220"/>
        <w:ind w:left="1701"/>
        <w:jc w:val="both"/>
        <w:rPr>
          <w:szCs w:val="22"/>
          <w:lang w:val="fr-FR"/>
        </w:rPr>
      </w:pPr>
      <w:r w:rsidRPr="005040A4">
        <w:rPr>
          <w:lang w:val="fr-FR"/>
        </w:rPr>
        <w:t>Une lettre de mission officielle décrivant la portée, les objectifs et les responsabilités de la BPK et de la direction a été préparée et signée, établissant ainsi une compréhension mutuelle des modalités de la mission d</w:t>
      </w:r>
      <w:r w:rsidR="00743D89" w:rsidRPr="005040A4">
        <w:rPr>
          <w:lang w:val="fr-FR"/>
        </w:rPr>
        <w:t>’</w:t>
      </w:r>
      <w:r w:rsidRPr="005040A4">
        <w:rPr>
          <w:lang w:val="fr-FR"/>
        </w:rPr>
        <w:t>audit.</w:t>
      </w:r>
    </w:p>
    <w:p w14:paraId="0FB1E0A3" w14:textId="3E9AE953" w:rsidR="00855109" w:rsidRPr="005040A4" w:rsidRDefault="00855109" w:rsidP="00327509">
      <w:pPr>
        <w:numPr>
          <w:ilvl w:val="0"/>
          <w:numId w:val="17"/>
        </w:numPr>
        <w:tabs>
          <w:tab w:val="clear" w:pos="786"/>
        </w:tabs>
        <w:spacing w:after="120" w:line="280" w:lineRule="exact"/>
        <w:ind w:left="1701" w:hanging="567"/>
        <w:jc w:val="both"/>
        <w:rPr>
          <w:szCs w:val="22"/>
          <w:lang w:val="fr-FR"/>
        </w:rPr>
      </w:pPr>
      <w:r w:rsidRPr="005040A4">
        <w:rPr>
          <w:lang w:val="fr-FR"/>
        </w:rPr>
        <w:t>Évaluation de l</w:t>
      </w:r>
      <w:r w:rsidR="00743D89" w:rsidRPr="005040A4">
        <w:rPr>
          <w:lang w:val="fr-FR"/>
        </w:rPr>
        <w:t>’</w:t>
      </w:r>
      <w:r w:rsidRPr="005040A4">
        <w:rPr>
          <w:lang w:val="fr-FR"/>
        </w:rPr>
        <w:t>indépendance et du respect de l</w:t>
      </w:r>
      <w:r w:rsidR="00743D89" w:rsidRPr="005040A4">
        <w:rPr>
          <w:lang w:val="fr-FR"/>
        </w:rPr>
        <w:t>’</w:t>
      </w:r>
      <w:r w:rsidRPr="005040A4">
        <w:rPr>
          <w:lang w:val="fr-FR"/>
        </w:rPr>
        <w:t>éthique</w:t>
      </w:r>
    </w:p>
    <w:p w14:paraId="360380EB" w14:textId="12066AA1" w:rsidR="00855109" w:rsidRPr="005040A4" w:rsidRDefault="00855109" w:rsidP="00327509">
      <w:pPr>
        <w:spacing w:after="220"/>
        <w:ind w:left="1701"/>
        <w:jc w:val="both"/>
        <w:rPr>
          <w:szCs w:val="22"/>
          <w:lang w:val="fr-FR"/>
        </w:rPr>
      </w:pPr>
      <w:r w:rsidRPr="005040A4">
        <w:rPr>
          <w:lang w:val="fr-FR"/>
        </w:rPr>
        <w:t>Un examen a été effectué afin de confirmer l</w:t>
      </w:r>
      <w:r w:rsidR="00743D89" w:rsidRPr="005040A4">
        <w:rPr>
          <w:lang w:val="fr-FR"/>
        </w:rPr>
        <w:t>’</w:t>
      </w:r>
      <w:r w:rsidRPr="005040A4">
        <w:rPr>
          <w:lang w:val="fr-FR"/>
        </w:rPr>
        <w:t>indépendance du vérificateur externe des comptes et son respect des exigences éthiques applicables.</w:t>
      </w:r>
    </w:p>
    <w:p w14:paraId="3F757796" w14:textId="77777777" w:rsidR="00855109" w:rsidRPr="005040A4" w:rsidRDefault="00855109" w:rsidP="00327509">
      <w:pPr>
        <w:numPr>
          <w:ilvl w:val="0"/>
          <w:numId w:val="17"/>
        </w:numPr>
        <w:tabs>
          <w:tab w:val="clear" w:pos="786"/>
        </w:tabs>
        <w:spacing w:after="120" w:line="280" w:lineRule="exact"/>
        <w:ind w:left="1701" w:hanging="567"/>
        <w:jc w:val="both"/>
        <w:rPr>
          <w:szCs w:val="22"/>
          <w:lang w:val="fr-FR"/>
        </w:rPr>
      </w:pPr>
      <w:r w:rsidRPr="005040A4">
        <w:rPr>
          <w:lang w:val="fr-FR"/>
        </w:rPr>
        <w:t>Procédures analytiques préliminaires</w:t>
      </w:r>
    </w:p>
    <w:p w14:paraId="18798285" w14:textId="67BF9B72" w:rsidR="00855109" w:rsidRPr="00606A8C" w:rsidRDefault="00855109" w:rsidP="00327509">
      <w:pPr>
        <w:spacing w:after="220"/>
        <w:ind w:left="1701"/>
        <w:jc w:val="both"/>
        <w:rPr>
          <w:lang w:val="fr-FR"/>
        </w:rPr>
      </w:pPr>
      <w:r w:rsidRPr="005040A4">
        <w:rPr>
          <w:lang w:val="fr-FR"/>
        </w:rPr>
        <w:t>Des procédures analytiques initiales ont été mises en place afin de mieux comprendre la situation financière de l</w:t>
      </w:r>
      <w:r w:rsidR="00743D89" w:rsidRPr="005040A4">
        <w:rPr>
          <w:lang w:val="fr-FR"/>
        </w:rPr>
        <w:t>’</w:t>
      </w:r>
      <w:r w:rsidRPr="005040A4">
        <w:rPr>
          <w:lang w:val="fr-FR"/>
        </w:rPr>
        <w:t>entité et de déterminer les domaines susceptibles de présenter des risques spécifiques, conformément aux directives figurant dans les normes.</w:t>
      </w:r>
      <w:r w:rsidRPr="005040A4">
        <w:rPr>
          <w:lang w:val="fr-FR"/>
        </w:rPr>
        <w:br w:type="page"/>
      </w:r>
    </w:p>
    <w:p w14:paraId="0890F7AB" w14:textId="77777777" w:rsidR="00855109" w:rsidRPr="005040A4" w:rsidRDefault="00855109" w:rsidP="00AB7D15">
      <w:pPr>
        <w:pStyle w:val="Heading3"/>
      </w:pPr>
      <w:bookmarkStart w:id="75" w:name="_Toc199153485"/>
      <w:r w:rsidRPr="005040A4">
        <w:lastRenderedPageBreak/>
        <w:t>Synthèse financière</w:t>
      </w:r>
      <w:bookmarkEnd w:id="75"/>
    </w:p>
    <w:p w14:paraId="3C7A1C4F" w14:textId="77777777" w:rsidR="00855109" w:rsidRPr="000057BC" w:rsidRDefault="00855109" w:rsidP="000057BC">
      <w:pPr>
        <w:pStyle w:val="Heading4"/>
      </w:pPr>
      <w:bookmarkStart w:id="76" w:name="_Toc199153486"/>
      <w:r w:rsidRPr="000057BC">
        <w:t>Situation financière</w:t>
      </w:r>
      <w:bookmarkEnd w:id="76"/>
    </w:p>
    <w:p w14:paraId="7B7D59EC" w14:textId="5BEC0020" w:rsidR="00743D89" w:rsidRPr="005040A4" w:rsidRDefault="00855109" w:rsidP="000057BC">
      <w:pPr>
        <w:pStyle w:val="ListParagraph"/>
      </w:pPr>
      <w:r w:rsidRPr="005040A4">
        <w:t>La situation financière au 31 décembre 2024 révèle une augmentation de 10,4% du montant total des actifs, qui s</w:t>
      </w:r>
      <w:r w:rsidR="00743D89" w:rsidRPr="005040A4">
        <w:t>’</w:t>
      </w:r>
      <w:r w:rsidRPr="005040A4">
        <w:t>élève à 1 912,96 millions de francs suisses (contre 1 732,47 millions de francs suisses en 2023).</w:t>
      </w:r>
      <w:r w:rsidR="001B7F27" w:rsidRPr="005040A4">
        <w:t xml:space="preserve"> </w:t>
      </w:r>
      <w:r w:rsidRPr="005040A4">
        <w:t xml:space="preserve"> Cette croissance tient principalement à l</w:t>
      </w:r>
      <w:r w:rsidR="00743D89" w:rsidRPr="005040A4">
        <w:t>’</w:t>
      </w:r>
      <w:r w:rsidRPr="005040A4">
        <w:t>augmentation de la trésorerie et des équivalents de trésorerie ainsi que des investissements non courants, qui ont progressé respectivement de 13,1% et 18,3% par rapport aux montants de l</w:t>
      </w:r>
      <w:r w:rsidR="00743D89" w:rsidRPr="005040A4">
        <w:t>’</w:t>
      </w:r>
      <w:r w:rsidRPr="005040A4">
        <w:t>exercice précédent.</w:t>
      </w:r>
    </w:p>
    <w:p w14:paraId="23EDA9FF" w14:textId="0AA7C8E2" w:rsidR="00855109" w:rsidRPr="005040A4" w:rsidRDefault="00855109" w:rsidP="000057BC">
      <w:pPr>
        <w:pStyle w:val="ListParagraph"/>
      </w:pPr>
      <w:r w:rsidRPr="005040A4">
        <w:t>Une augmentation notable de 65,93 millions de francs suisses (11,4%) des prestations au personnel à long terme a contribué de manière significative à la hausse du total du passif, qui s</w:t>
      </w:r>
      <w:r w:rsidR="00743D89" w:rsidRPr="005040A4">
        <w:t>’</w:t>
      </w:r>
      <w:r w:rsidRPr="005040A4">
        <w:t>élève à 1 202,30 millions de francs suisses (contre 1 127,31 millions de francs suisses en 2023).</w:t>
      </w:r>
      <w:r w:rsidR="001B7F27" w:rsidRPr="005040A4">
        <w:t xml:space="preserve"> </w:t>
      </w:r>
      <w:r w:rsidRPr="005040A4">
        <w:t xml:space="preserve"> Les variations du taux d</w:t>
      </w:r>
      <w:r w:rsidR="00743D89" w:rsidRPr="005040A4">
        <w:t>’</w:t>
      </w:r>
      <w:r w:rsidRPr="005040A4">
        <w:t>actualisation et du coût des remboursements des frais médicaux dans le calcul de l</w:t>
      </w:r>
      <w:r w:rsidR="00743D89" w:rsidRPr="005040A4">
        <w:t>’</w:t>
      </w:r>
      <w:r w:rsidRPr="005040A4">
        <w:t>assurance maladie après cessation de service (AMCS) sont les principaux facteurs à l</w:t>
      </w:r>
      <w:r w:rsidR="00743D89" w:rsidRPr="005040A4">
        <w:t>’</w:t>
      </w:r>
      <w:r w:rsidRPr="005040A4">
        <w:t>origine de cette augmentation.</w:t>
      </w:r>
    </w:p>
    <w:p w14:paraId="6F9F61B1" w14:textId="16F96B58" w:rsidR="00855109" w:rsidRPr="005040A4" w:rsidRDefault="00855109" w:rsidP="000057BC">
      <w:pPr>
        <w:pStyle w:val="ListParagraph"/>
      </w:pPr>
      <w:r w:rsidRPr="005040A4">
        <w:t>La situation nette à la clôture, présentée dans l</w:t>
      </w:r>
      <w:r w:rsidR="00743D89" w:rsidRPr="005040A4">
        <w:t>’</w:t>
      </w:r>
      <w:r w:rsidRPr="005040A4">
        <w:t>état de la situation financière, s</w:t>
      </w:r>
      <w:r w:rsidR="00743D89" w:rsidRPr="005040A4">
        <w:t>’</w:t>
      </w:r>
      <w:r w:rsidRPr="005040A4">
        <w:t>élève à 710,66 millions de francs suisses (contre 605,17 millions de francs suisses en 2023), ce qui témoigne de la bonne santé financière de l</w:t>
      </w:r>
      <w:r w:rsidR="00743D89" w:rsidRPr="005040A4">
        <w:t>’</w:t>
      </w:r>
      <w:r w:rsidRPr="005040A4">
        <w:t>Organisati</w:t>
      </w:r>
      <w:r w:rsidR="005652C9" w:rsidRPr="005040A4">
        <w:t>on.  Ce</w:t>
      </w:r>
      <w:r w:rsidRPr="005040A4">
        <w:t xml:space="preserve">la représente une augmentation de 105,49 millions de francs suisses (contre 45,20 millions de francs suisses en 2023). </w:t>
      </w:r>
      <w:r w:rsidR="001B7F27" w:rsidRPr="005040A4">
        <w:t xml:space="preserve"> </w:t>
      </w:r>
      <w:r w:rsidRPr="005040A4">
        <w:t>Cette augmentation était essentiellement due à l</w:t>
      </w:r>
      <w:r w:rsidR="00743D89" w:rsidRPr="005040A4">
        <w:t>’</w:t>
      </w:r>
      <w:r w:rsidRPr="005040A4">
        <w:t>excédent de 140,07 millions de francs suisses enregistré lors de l</w:t>
      </w:r>
      <w:r w:rsidR="00743D89" w:rsidRPr="005040A4">
        <w:t>’</w:t>
      </w:r>
      <w:r w:rsidRPr="005040A4">
        <w:t>exercice 2024.</w:t>
      </w:r>
    </w:p>
    <w:p w14:paraId="5073BD22" w14:textId="77777777" w:rsidR="00855109" w:rsidRPr="005040A4" w:rsidRDefault="00855109" w:rsidP="000057BC">
      <w:pPr>
        <w:pStyle w:val="Heading4"/>
      </w:pPr>
      <w:bookmarkStart w:id="77" w:name="_Toc199153487"/>
      <w:r w:rsidRPr="005040A4">
        <w:t>Performance financière</w:t>
      </w:r>
      <w:bookmarkEnd w:id="77"/>
    </w:p>
    <w:p w14:paraId="0EAE0117" w14:textId="0B77DA32" w:rsidR="00743D89" w:rsidRPr="005040A4" w:rsidRDefault="00855109" w:rsidP="000057BC">
      <w:pPr>
        <w:pStyle w:val="ListParagraph"/>
      </w:pPr>
      <w:r w:rsidRPr="005040A4">
        <w:t>L</w:t>
      </w:r>
      <w:r w:rsidR="00743D89" w:rsidRPr="005040A4">
        <w:t>’</w:t>
      </w:r>
      <w:r w:rsidRPr="005040A4">
        <w:t xml:space="preserve">Organisation a enregistré une croissance financière en 2024, avec un total des recettes en hausse de 1,5% qui atteint 496,67 millions de francs suisses (contre 489,29 millions de francs suisses en 2023). </w:t>
      </w:r>
      <w:r w:rsidR="001B7F27" w:rsidRPr="005040A4">
        <w:t xml:space="preserve"> </w:t>
      </w:r>
      <w:r w:rsidRPr="005040A4">
        <w:t>Les recettes de l</w:t>
      </w:r>
      <w:r w:rsidR="00743D89" w:rsidRPr="005040A4">
        <w:t>’</w:t>
      </w:r>
      <w:r w:rsidRPr="005040A4">
        <w:t>Organisation ont été principalement alimentées par les taxes perçues au titre du Traité de coopération en matière de brevets (PCT), qui sont restées la principale source de recettes de l</w:t>
      </w:r>
      <w:r w:rsidR="00743D89" w:rsidRPr="005040A4">
        <w:t>’</w:t>
      </w:r>
      <w:r w:rsidRPr="005040A4">
        <w:t>Organisation avec 371,09 millions de francs suisses (74,7% du total des recettes), suivies des taxes perçues au titre du système de Madrid avec 83,32 millions de francs suisses (16,8% du total des recettes).</w:t>
      </w:r>
    </w:p>
    <w:p w14:paraId="12D28C52" w14:textId="217EFF1B" w:rsidR="00743D89" w:rsidRPr="005040A4" w:rsidRDefault="00855109" w:rsidP="000057BC">
      <w:pPr>
        <w:pStyle w:val="ListParagraph"/>
      </w:pPr>
      <w:r w:rsidRPr="005040A4">
        <w:t>Les dépenses totales sont en hausse de 0,6% et s</w:t>
      </w:r>
      <w:r w:rsidR="00743D89" w:rsidRPr="005040A4">
        <w:t>’</w:t>
      </w:r>
      <w:r w:rsidRPr="005040A4">
        <w:t xml:space="preserve">élèvent à 430,33 millions de francs suisses (contre 427,64 millions de francs suisses en 2023). </w:t>
      </w:r>
      <w:r w:rsidR="001B7F27" w:rsidRPr="005040A4">
        <w:t xml:space="preserve"> </w:t>
      </w:r>
      <w:r w:rsidRPr="005040A4">
        <w:t>Les dépenses de personnel demeurent la principale catégorie de dépenses avec 252,84 millions de francs suisses (58,8% des dépenses totales), suivies par les services contractuels avec 113,41 millions de francs suisses (26,4% des dépenses total</w:t>
      </w:r>
      <w:r w:rsidR="005652C9" w:rsidRPr="005040A4">
        <w:t>es).  Pl</w:t>
      </w:r>
      <w:r w:rsidRPr="005040A4">
        <w:t>usieurs catégories de dépenses ont augmenté, notamment la catégorie Voyages, formations et indemnités, qui a progressé de 14,8% pour atteindre 16,91 millions de francs suisses, tandis que les dépenses liées à la catégorie Matériel et fournitures ont diminué de 42,1% pour s</w:t>
      </w:r>
      <w:r w:rsidR="00743D89" w:rsidRPr="005040A4">
        <w:t>’</w:t>
      </w:r>
      <w:r w:rsidRPr="005040A4">
        <w:t>établir à 2,29 millions de francs suisses et que les dépenses de fonctionnement ont reculé de 4,1% pour atteindre 24,53 millions de francs suisses.</w:t>
      </w:r>
    </w:p>
    <w:p w14:paraId="4CB607AB" w14:textId="01536719" w:rsidR="00855109" w:rsidRPr="005040A4" w:rsidRDefault="00855109" w:rsidP="000057BC">
      <w:pPr>
        <w:pStyle w:val="ListParagraph"/>
      </w:pPr>
      <w:r w:rsidRPr="005040A4">
        <w:t>La performance financière de l</w:t>
      </w:r>
      <w:r w:rsidR="00743D89" w:rsidRPr="005040A4">
        <w:t>’</w:t>
      </w:r>
      <w:r w:rsidRPr="005040A4">
        <w:t>Organisation s</w:t>
      </w:r>
      <w:r w:rsidR="00743D89" w:rsidRPr="005040A4">
        <w:t>’</w:t>
      </w:r>
      <w:r w:rsidRPr="005040A4">
        <w:t>est considérablement améliorée en 2024, l</w:t>
      </w:r>
      <w:r w:rsidR="00743D89" w:rsidRPr="005040A4">
        <w:t>’</w:t>
      </w:r>
      <w:r w:rsidRPr="005040A4">
        <w:t xml:space="preserve">excédent total progressant de 26,24 millions de francs suisses (23,0%) pour atteindre 140,07 millions de francs suisses (contre 113,83 millions de francs suisses en 2023). </w:t>
      </w:r>
      <w:r w:rsidR="001B7F27" w:rsidRPr="005040A4">
        <w:t xml:space="preserve"> </w:t>
      </w:r>
      <w:r w:rsidRPr="005040A4">
        <w:t>Cette augmentation substantielle est attribuable à l</w:t>
      </w:r>
      <w:r w:rsidR="00743D89" w:rsidRPr="005040A4">
        <w:t>’</w:t>
      </w:r>
      <w:r w:rsidRPr="005040A4">
        <w:t xml:space="preserve">excédent </w:t>
      </w:r>
      <w:r w:rsidRPr="005040A4">
        <w:lastRenderedPageBreak/>
        <w:t>d</w:t>
      </w:r>
      <w:r w:rsidR="00743D89" w:rsidRPr="005040A4">
        <w:t>’</w:t>
      </w:r>
      <w:r w:rsidRPr="005040A4">
        <w:t>exploitation et à la juste valeur des placements (gains non réalisés), qui s</w:t>
      </w:r>
      <w:r w:rsidR="00743D89" w:rsidRPr="005040A4">
        <w:t>’</w:t>
      </w:r>
      <w:r w:rsidRPr="005040A4">
        <w:t>élèvent respectivement à 66,34 millions de francs suisses et 73,73 millions de francs suisses pour l</w:t>
      </w:r>
      <w:r w:rsidR="00743D89" w:rsidRPr="005040A4">
        <w:t>’</w:t>
      </w:r>
      <w:r w:rsidRPr="005040A4">
        <w:t>exercice 2024.</w:t>
      </w:r>
    </w:p>
    <w:p w14:paraId="7E51070E" w14:textId="77777777" w:rsidR="00855109" w:rsidRPr="005040A4" w:rsidRDefault="00855109" w:rsidP="000057BC">
      <w:pPr>
        <w:pStyle w:val="Heading4"/>
      </w:pPr>
      <w:bookmarkStart w:id="78" w:name="_Toc199153488"/>
      <w:r w:rsidRPr="005040A4">
        <w:t>Santé financière</w:t>
      </w:r>
      <w:bookmarkEnd w:id="78"/>
    </w:p>
    <w:p w14:paraId="05889F6C" w14:textId="20E67F6D" w:rsidR="00855109" w:rsidRPr="005040A4" w:rsidRDefault="00855109" w:rsidP="000057BC">
      <w:pPr>
        <w:pStyle w:val="ListParagraph"/>
      </w:pPr>
      <w:r w:rsidRPr="005040A4">
        <w:t>La BPK utilise l</w:t>
      </w:r>
      <w:r w:rsidR="00743D89" w:rsidRPr="005040A4">
        <w:t>’</w:t>
      </w:r>
      <w:r w:rsidRPr="005040A4">
        <w:t>analyse des ratios sur la santé financière de l</w:t>
      </w:r>
      <w:r w:rsidR="00743D89" w:rsidRPr="005040A4">
        <w:t>’</w:t>
      </w:r>
      <w:r w:rsidRPr="005040A4">
        <w:t>Organisation dans son audit afin de montrer de quelle façon la situation financière évolue au fil du tem</w:t>
      </w:r>
      <w:r w:rsidR="005652C9" w:rsidRPr="005040A4">
        <w:t>ps.  Le</w:t>
      </w:r>
      <w:r w:rsidRPr="005040A4">
        <w:t>s ratios expriment des rapports entre deux</w:t>
      </w:r>
      <w:r w:rsidR="001B7F27" w:rsidRPr="005040A4">
        <w:t> </w:t>
      </w:r>
      <w:r w:rsidRPr="005040A4">
        <w:t>éléments de bil</w:t>
      </w:r>
      <w:r w:rsidR="005652C9" w:rsidRPr="005040A4">
        <w:t>an.  Ai</w:t>
      </w:r>
      <w:r w:rsidRPr="005040A4">
        <w:t>nsi, il y a 0,65 franc suisse d</w:t>
      </w:r>
      <w:r w:rsidR="00743D89" w:rsidRPr="005040A4">
        <w:t>’</w:t>
      </w:r>
      <w:r w:rsidRPr="005040A4">
        <w:t>actifs courants par franc suisse de passifs couran</w:t>
      </w:r>
      <w:r w:rsidR="005652C9" w:rsidRPr="005040A4">
        <w:t>ts.  D’o</w:t>
      </w:r>
      <w:r w:rsidRPr="005040A4">
        <w:t>rdinaire, une telle situation pourrait être préoccupante, mais ce faible niveau est considéré comme gérable, comme l</w:t>
      </w:r>
      <w:r w:rsidR="00743D89" w:rsidRPr="005040A4">
        <w:t>’</w:t>
      </w:r>
      <w:r w:rsidRPr="005040A4">
        <w:t>indiquent d</w:t>
      </w:r>
      <w:r w:rsidR="00743D89" w:rsidRPr="005040A4">
        <w:t>’</w:t>
      </w:r>
      <w:r w:rsidRPr="005040A4">
        <w:t>autres ratios, tels que le ratio total des actifs/total des passifs, où un ratio élevé est un bon indicateur de solvabilité, et le ratio d</w:t>
      </w:r>
      <w:r w:rsidR="00743D89" w:rsidRPr="005040A4">
        <w:t>’</w:t>
      </w:r>
      <w:r w:rsidRPr="005040A4">
        <w:t>exploitation, où l</w:t>
      </w:r>
      <w:r w:rsidR="00743D89" w:rsidRPr="005040A4">
        <w:t>’</w:t>
      </w:r>
      <w:r w:rsidRPr="005040A4">
        <w:t>Organisation conserve un pourcentage plus élevé de recettes par rapport à ses dépens</w:t>
      </w:r>
      <w:r w:rsidR="005652C9" w:rsidRPr="005040A4">
        <w:t>es.  Le</w:t>
      </w:r>
      <w:r w:rsidRPr="005040A4">
        <w:t>s ratios financiers de l</w:t>
      </w:r>
      <w:r w:rsidR="00743D89" w:rsidRPr="005040A4">
        <w:t>’</w:t>
      </w:r>
      <w:r w:rsidRPr="005040A4">
        <w:t>Organisation pour les cinq derniers exercices sont présentés dans le tableau 1 ci</w:t>
      </w:r>
      <w:r w:rsidR="00C249FA" w:rsidRPr="005040A4">
        <w:noBreakHyphen/>
      </w:r>
      <w:r w:rsidRPr="005040A4">
        <w:t>dessous.</w:t>
      </w:r>
    </w:p>
    <w:p w14:paraId="6558A51C" w14:textId="439CBDEF" w:rsidR="00855109" w:rsidRPr="005040A4" w:rsidRDefault="00855109" w:rsidP="00606A8C">
      <w:pPr>
        <w:pStyle w:val="Caption"/>
        <w:keepNext/>
        <w:spacing w:after="120"/>
        <w:ind w:left="1134"/>
        <w:jc w:val="center"/>
        <w:rPr>
          <w:b w:val="0"/>
          <w:bCs w:val="0"/>
          <w:i/>
          <w:iCs/>
          <w:color w:val="000000" w:themeColor="text1"/>
          <w:lang w:val="fr-FR"/>
        </w:rPr>
      </w:pPr>
      <w:bookmarkStart w:id="79" w:name="_Toc197089139"/>
      <w:bookmarkStart w:id="80" w:name="_Toc199138715"/>
      <w:r w:rsidRPr="005040A4">
        <w:rPr>
          <w:color w:val="000000" w:themeColor="text1"/>
          <w:lang w:val="fr-FR"/>
        </w:rPr>
        <w:t>Tableau</w:t>
      </w:r>
      <w:r w:rsidR="00596148" w:rsidRPr="005040A4">
        <w:rPr>
          <w:color w:val="000000" w:themeColor="text1"/>
          <w:lang w:val="fr-FR"/>
        </w:rPr>
        <w:t> </w:t>
      </w:r>
      <w:r w:rsidRPr="005040A4">
        <w:rPr>
          <w:b w:val="0"/>
          <w:i/>
          <w:color w:val="000000" w:themeColor="text1"/>
          <w:lang w:val="fr-FR"/>
        </w:rPr>
        <w:fldChar w:fldCharType="begin"/>
      </w:r>
      <w:r w:rsidRPr="005040A4">
        <w:rPr>
          <w:color w:val="000000" w:themeColor="text1"/>
          <w:lang w:val="fr-FR"/>
        </w:rPr>
        <w:instrText xml:space="preserve"> SEQ Table \* ARABIC </w:instrText>
      </w:r>
      <w:r w:rsidRPr="005040A4">
        <w:rPr>
          <w:b w:val="0"/>
          <w:i/>
          <w:color w:val="000000" w:themeColor="text1"/>
          <w:lang w:val="fr-FR"/>
        </w:rPr>
        <w:fldChar w:fldCharType="separate"/>
      </w:r>
      <w:r w:rsidR="00C90090">
        <w:rPr>
          <w:noProof/>
          <w:color w:val="000000" w:themeColor="text1"/>
          <w:lang w:val="fr-FR"/>
        </w:rPr>
        <w:t>1</w:t>
      </w:r>
      <w:r w:rsidRPr="005040A4">
        <w:rPr>
          <w:b w:val="0"/>
          <w:i/>
          <w:color w:val="000000" w:themeColor="text1"/>
          <w:lang w:val="fr-FR"/>
        </w:rPr>
        <w:fldChar w:fldCharType="end"/>
      </w:r>
      <w:r w:rsidRPr="005040A4">
        <w:rPr>
          <w:color w:val="000000" w:themeColor="text1"/>
          <w:lang w:val="fr-FR"/>
        </w:rPr>
        <w:t xml:space="preserve">. </w:t>
      </w:r>
      <w:r w:rsidR="001B7F27" w:rsidRPr="005040A4">
        <w:rPr>
          <w:color w:val="000000" w:themeColor="text1"/>
          <w:lang w:val="fr-FR"/>
        </w:rPr>
        <w:t xml:space="preserve"> </w:t>
      </w:r>
      <w:r w:rsidRPr="005040A4">
        <w:rPr>
          <w:color w:val="000000" w:themeColor="text1"/>
          <w:lang w:val="fr-FR"/>
        </w:rPr>
        <w:t>Ratios financiers de l</w:t>
      </w:r>
      <w:r w:rsidR="00743D89" w:rsidRPr="005040A4">
        <w:rPr>
          <w:color w:val="000000" w:themeColor="text1"/>
          <w:lang w:val="fr-FR"/>
        </w:rPr>
        <w:t>’</w:t>
      </w:r>
      <w:r w:rsidRPr="005040A4">
        <w:rPr>
          <w:color w:val="000000" w:themeColor="text1"/>
          <w:lang w:val="fr-FR"/>
        </w:rPr>
        <w:t>Organisation</w:t>
      </w:r>
      <w:bookmarkEnd w:id="79"/>
      <w:bookmarkEnd w:id="80"/>
    </w:p>
    <w:tbl>
      <w:tblPr>
        <w:tblStyle w:val="ListTable6Colorful"/>
        <w:tblW w:w="8223" w:type="dxa"/>
        <w:tblInd w:w="1134" w:type="dxa"/>
        <w:tblLayout w:type="fixed"/>
        <w:tblLook w:val="04A0" w:firstRow="1" w:lastRow="0" w:firstColumn="1" w:lastColumn="0" w:noHBand="0" w:noVBand="1"/>
      </w:tblPr>
      <w:tblGrid>
        <w:gridCol w:w="4395"/>
        <w:gridCol w:w="851"/>
        <w:gridCol w:w="709"/>
        <w:gridCol w:w="850"/>
        <w:gridCol w:w="709"/>
        <w:gridCol w:w="709"/>
      </w:tblGrid>
      <w:tr w:rsidR="00855109" w:rsidRPr="005040A4" w14:paraId="2DE147B2" w14:textId="77777777" w:rsidTr="003275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shd w:val="clear" w:color="auto" w:fill="A5C9EB"/>
          </w:tcPr>
          <w:p w14:paraId="14C309D4" w14:textId="77777777" w:rsidR="00855109" w:rsidRPr="005040A4" w:rsidRDefault="00855109" w:rsidP="00E862E4">
            <w:pPr>
              <w:spacing w:before="60" w:after="60"/>
              <w:jc w:val="center"/>
              <w:rPr>
                <w:sz w:val="16"/>
                <w:szCs w:val="16"/>
              </w:rPr>
            </w:pPr>
            <w:r w:rsidRPr="005040A4">
              <w:rPr>
                <w:sz w:val="16"/>
              </w:rPr>
              <w:t>Ratio</w:t>
            </w:r>
          </w:p>
        </w:tc>
        <w:tc>
          <w:tcPr>
            <w:tcW w:w="851" w:type="dxa"/>
            <w:shd w:val="clear" w:color="auto" w:fill="A5C9EB"/>
          </w:tcPr>
          <w:p w14:paraId="195CB7A6" w14:textId="77777777" w:rsidR="00855109" w:rsidRPr="005040A4" w:rsidRDefault="00855109" w:rsidP="00E862E4">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5040A4">
              <w:rPr>
                <w:sz w:val="16"/>
              </w:rPr>
              <w:t>2024</w:t>
            </w:r>
          </w:p>
        </w:tc>
        <w:tc>
          <w:tcPr>
            <w:tcW w:w="709" w:type="dxa"/>
            <w:shd w:val="clear" w:color="auto" w:fill="A5C9EB"/>
          </w:tcPr>
          <w:p w14:paraId="14FE2689" w14:textId="77777777" w:rsidR="00855109" w:rsidRPr="005040A4" w:rsidRDefault="00855109" w:rsidP="00E862E4">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5040A4">
              <w:rPr>
                <w:sz w:val="16"/>
              </w:rPr>
              <w:t>2023</w:t>
            </w:r>
          </w:p>
        </w:tc>
        <w:tc>
          <w:tcPr>
            <w:tcW w:w="850" w:type="dxa"/>
            <w:shd w:val="clear" w:color="auto" w:fill="A5C9EB"/>
          </w:tcPr>
          <w:p w14:paraId="75191754" w14:textId="77777777" w:rsidR="00855109" w:rsidRPr="005040A4" w:rsidRDefault="00855109" w:rsidP="00E862E4">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5040A4">
              <w:rPr>
                <w:sz w:val="16"/>
              </w:rPr>
              <w:t>2022</w:t>
            </w:r>
          </w:p>
        </w:tc>
        <w:tc>
          <w:tcPr>
            <w:tcW w:w="709" w:type="dxa"/>
            <w:shd w:val="clear" w:color="auto" w:fill="A5C9EB"/>
          </w:tcPr>
          <w:p w14:paraId="5EA0EF3E" w14:textId="77777777" w:rsidR="00855109" w:rsidRPr="005040A4" w:rsidRDefault="00855109" w:rsidP="00E862E4">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5040A4">
              <w:rPr>
                <w:sz w:val="16"/>
              </w:rPr>
              <w:t>2021</w:t>
            </w:r>
          </w:p>
        </w:tc>
        <w:tc>
          <w:tcPr>
            <w:tcW w:w="709" w:type="dxa"/>
            <w:shd w:val="clear" w:color="auto" w:fill="A5C9EB"/>
          </w:tcPr>
          <w:p w14:paraId="5F0715EE" w14:textId="77777777" w:rsidR="00855109" w:rsidRPr="005040A4" w:rsidRDefault="00855109" w:rsidP="00E862E4">
            <w:pPr>
              <w:spacing w:before="60" w:after="60"/>
              <w:jc w:val="center"/>
              <w:cnfStyle w:val="100000000000" w:firstRow="1" w:lastRow="0" w:firstColumn="0" w:lastColumn="0" w:oddVBand="0" w:evenVBand="0" w:oddHBand="0" w:evenHBand="0" w:firstRowFirstColumn="0" w:firstRowLastColumn="0" w:lastRowFirstColumn="0" w:lastRowLastColumn="0"/>
              <w:rPr>
                <w:sz w:val="16"/>
                <w:szCs w:val="16"/>
              </w:rPr>
            </w:pPr>
            <w:r w:rsidRPr="005040A4">
              <w:rPr>
                <w:sz w:val="16"/>
              </w:rPr>
              <w:t>2020</w:t>
            </w:r>
          </w:p>
        </w:tc>
      </w:tr>
      <w:tr w:rsidR="00855109" w:rsidRPr="005040A4" w14:paraId="3971370E" w14:textId="77777777" w:rsidTr="00606A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36883149" w14:textId="4979A75F" w:rsidR="00855109" w:rsidRPr="005040A4" w:rsidRDefault="00855109" w:rsidP="00E862E4">
            <w:pPr>
              <w:spacing w:before="60" w:after="60"/>
              <w:jc w:val="both"/>
              <w:rPr>
                <w:rFonts w:eastAsia="Arial"/>
                <w:sz w:val="16"/>
                <w:szCs w:val="16"/>
              </w:rPr>
            </w:pPr>
            <w:r w:rsidRPr="005040A4">
              <w:rPr>
                <w:sz w:val="16"/>
              </w:rPr>
              <w:t>Ratio</w:t>
            </w:r>
            <w:r w:rsidR="00596148" w:rsidRPr="005040A4">
              <w:rPr>
                <w:sz w:val="16"/>
              </w:rPr>
              <w:t> </w:t>
            </w:r>
            <w:r w:rsidRPr="005040A4">
              <w:rPr>
                <w:sz w:val="16"/>
              </w:rPr>
              <w:t>courant</w:t>
            </w:r>
            <w:r w:rsidRPr="005040A4">
              <w:rPr>
                <w:sz w:val="16"/>
                <w:vertAlign w:val="superscript"/>
              </w:rPr>
              <w:t>1</w:t>
            </w:r>
          </w:p>
          <w:p w14:paraId="21D78B26" w14:textId="3D52D9D7" w:rsidR="00855109" w:rsidRPr="005040A4" w:rsidRDefault="00855109" w:rsidP="00E862E4">
            <w:pPr>
              <w:spacing w:before="60" w:after="60"/>
              <w:jc w:val="both"/>
              <w:rPr>
                <w:rFonts w:eastAsia="Arial"/>
                <w:b w:val="0"/>
                <w:bCs w:val="0"/>
                <w:sz w:val="16"/>
                <w:szCs w:val="16"/>
              </w:rPr>
            </w:pPr>
            <w:r w:rsidRPr="005040A4">
              <w:rPr>
                <w:sz w:val="16"/>
              </w:rPr>
              <w:t>Actifs courants</w:t>
            </w:r>
            <w:r w:rsidR="00743D89" w:rsidRPr="005040A4">
              <w:rPr>
                <w:sz w:val="16"/>
              </w:rPr>
              <w:t> :</w:t>
            </w:r>
            <w:r w:rsidRPr="005040A4">
              <w:rPr>
                <w:sz w:val="16"/>
              </w:rPr>
              <w:t xml:space="preserve"> Passifs courants</w:t>
            </w:r>
          </w:p>
        </w:tc>
        <w:tc>
          <w:tcPr>
            <w:tcW w:w="851" w:type="dxa"/>
          </w:tcPr>
          <w:p w14:paraId="6501EB2C" w14:textId="77777777" w:rsidR="00855109" w:rsidRPr="005040A4" w:rsidRDefault="00855109" w:rsidP="00E862E4">
            <w:pPr>
              <w:spacing w:before="60" w:after="60"/>
              <w:jc w:val="center"/>
              <w:cnfStyle w:val="000000100000" w:firstRow="0" w:lastRow="0" w:firstColumn="0" w:lastColumn="0" w:oddVBand="0" w:evenVBand="0" w:oddHBand="1" w:evenHBand="0" w:firstRowFirstColumn="0" w:firstRowLastColumn="0" w:lastRowFirstColumn="0" w:lastRowLastColumn="0"/>
              <w:rPr>
                <w:rFonts w:eastAsia="Arial"/>
                <w:sz w:val="16"/>
                <w:szCs w:val="16"/>
              </w:rPr>
            </w:pPr>
            <w:r w:rsidRPr="005040A4">
              <w:rPr>
                <w:sz w:val="16"/>
              </w:rPr>
              <w:t>0,65</w:t>
            </w:r>
          </w:p>
        </w:tc>
        <w:tc>
          <w:tcPr>
            <w:tcW w:w="709" w:type="dxa"/>
          </w:tcPr>
          <w:p w14:paraId="15A7E3EF" w14:textId="77777777" w:rsidR="00855109" w:rsidRPr="005040A4" w:rsidRDefault="00855109" w:rsidP="00E862E4">
            <w:pPr>
              <w:spacing w:before="60" w:after="60"/>
              <w:jc w:val="center"/>
              <w:cnfStyle w:val="000000100000" w:firstRow="0" w:lastRow="0" w:firstColumn="0" w:lastColumn="0" w:oddVBand="0" w:evenVBand="0" w:oddHBand="1" w:evenHBand="0" w:firstRowFirstColumn="0" w:firstRowLastColumn="0" w:lastRowFirstColumn="0" w:lastRowLastColumn="0"/>
              <w:rPr>
                <w:rFonts w:eastAsia="Arial"/>
                <w:sz w:val="16"/>
                <w:szCs w:val="16"/>
              </w:rPr>
            </w:pPr>
            <w:r w:rsidRPr="005040A4">
              <w:rPr>
                <w:sz w:val="16"/>
              </w:rPr>
              <w:t>0,66</w:t>
            </w:r>
          </w:p>
        </w:tc>
        <w:tc>
          <w:tcPr>
            <w:tcW w:w="850" w:type="dxa"/>
          </w:tcPr>
          <w:p w14:paraId="64DFFF58" w14:textId="77777777" w:rsidR="00855109" w:rsidRPr="005040A4" w:rsidRDefault="00855109" w:rsidP="00E862E4">
            <w:pPr>
              <w:spacing w:before="60" w:after="60"/>
              <w:jc w:val="center"/>
              <w:cnfStyle w:val="000000100000" w:firstRow="0" w:lastRow="0" w:firstColumn="0" w:lastColumn="0" w:oddVBand="0" w:evenVBand="0" w:oddHBand="1" w:evenHBand="0" w:firstRowFirstColumn="0" w:firstRowLastColumn="0" w:lastRowFirstColumn="0" w:lastRowLastColumn="0"/>
              <w:rPr>
                <w:rFonts w:eastAsia="Arial"/>
                <w:sz w:val="16"/>
                <w:szCs w:val="16"/>
              </w:rPr>
            </w:pPr>
            <w:r w:rsidRPr="005040A4">
              <w:rPr>
                <w:sz w:val="16"/>
              </w:rPr>
              <w:t>0,66</w:t>
            </w:r>
          </w:p>
        </w:tc>
        <w:tc>
          <w:tcPr>
            <w:tcW w:w="709" w:type="dxa"/>
          </w:tcPr>
          <w:p w14:paraId="0053C3AA" w14:textId="77777777" w:rsidR="00855109" w:rsidRPr="005040A4" w:rsidRDefault="00855109" w:rsidP="00E862E4">
            <w:pPr>
              <w:spacing w:before="60" w:after="60"/>
              <w:jc w:val="center"/>
              <w:cnfStyle w:val="000000100000" w:firstRow="0" w:lastRow="0" w:firstColumn="0" w:lastColumn="0" w:oddVBand="0" w:evenVBand="0" w:oddHBand="1" w:evenHBand="0" w:firstRowFirstColumn="0" w:firstRowLastColumn="0" w:lastRowFirstColumn="0" w:lastRowLastColumn="0"/>
              <w:rPr>
                <w:rFonts w:eastAsia="Arial"/>
                <w:sz w:val="16"/>
                <w:szCs w:val="16"/>
              </w:rPr>
            </w:pPr>
            <w:r w:rsidRPr="005040A4">
              <w:rPr>
                <w:sz w:val="16"/>
              </w:rPr>
              <w:t>0,54</w:t>
            </w:r>
          </w:p>
        </w:tc>
        <w:tc>
          <w:tcPr>
            <w:tcW w:w="709" w:type="dxa"/>
          </w:tcPr>
          <w:p w14:paraId="28860B6E" w14:textId="77777777" w:rsidR="00855109" w:rsidRPr="005040A4" w:rsidRDefault="00855109" w:rsidP="00E862E4">
            <w:pPr>
              <w:spacing w:before="60" w:after="60"/>
              <w:jc w:val="center"/>
              <w:cnfStyle w:val="000000100000" w:firstRow="0" w:lastRow="0" w:firstColumn="0" w:lastColumn="0" w:oddVBand="0" w:evenVBand="0" w:oddHBand="1" w:evenHBand="0" w:firstRowFirstColumn="0" w:firstRowLastColumn="0" w:lastRowFirstColumn="0" w:lastRowLastColumn="0"/>
              <w:rPr>
                <w:rFonts w:eastAsia="Arial"/>
                <w:sz w:val="16"/>
                <w:szCs w:val="16"/>
              </w:rPr>
            </w:pPr>
            <w:r w:rsidRPr="005040A4">
              <w:rPr>
                <w:sz w:val="16"/>
              </w:rPr>
              <w:t>0,63</w:t>
            </w:r>
          </w:p>
        </w:tc>
      </w:tr>
      <w:tr w:rsidR="00855109" w:rsidRPr="005040A4" w14:paraId="7FD464D8" w14:textId="77777777" w:rsidTr="00606A8C">
        <w:trPr>
          <w:trHeight w:val="300"/>
        </w:trPr>
        <w:tc>
          <w:tcPr>
            <w:cnfStyle w:val="001000000000" w:firstRow="0" w:lastRow="0" w:firstColumn="1" w:lastColumn="0" w:oddVBand="0" w:evenVBand="0" w:oddHBand="0" w:evenHBand="0" w:firstRowFirstColumn="0" w:firstRowLastColumn="0" w:lastRowFirstColumn="0" w:lastRowLastColumn="0"/>
            <w:tcW w:w="4395" w:type="dxa"/>
          </w:tcPr>
          <w:p w14:paraId="4759EFDF" w14:textId="064CDE70" w:rsidR="00855109" w:rsidRPr="005040A4" w:rsidRDefault="00855109" w:rsidP="00E862E4">
            <w:pPr>
              <w:spacing w:before="60" w:after="60"/>
              <w:jc w:val="both"/>
              <w:rPr>
                <w:sz w:val="16"/>
                <w:szCs w:val="16"/>
              </w:rPr>
            </w:pPr>
            <w:r w:rsidRPr="005040A4">
              <w:rPr>
                <w:sz w:val="16"/>
              </w:rPr>
              <w:t>Actif total</w:t>
            </w:r>
            <w:r w:rsidR="00743D89" w:rsidRPr="005040A4">
              <w:rPr>
                <w:sz w:val="16"/>
              </w:rPr>
              <w:t> :</w:t>
            </w:r>
            <w:r w:rsidRPr="005040A4">
              <w:rPr>
                <w:sz w:val="16"/>
              </w:rPr>
              <w:t xml:space="preserve"> Passif total</w:t>
            </w:r>
          </w:p>
          <w:p w14:paraId="60542B68" w14:textId="2C4B9615" w:rsidR="00855109" w:rsidRPr="005040A4" w:rsidRDefault="00855109" w:rsidP="00E862E4">
            <w:pPr>
              <w:spacing w:before="60" w:after="60"/>
              <w:jc w:val="both"/>
              <w:rPr>
                <w:b w:val="0"/>
                <w:bCs w:val="0"/>
                <w:sz w:val="16"/>
                <w:szCs w:val="16"/>
              </w:rPr>
            </w:pPr>
            <w:r w:rsidRPr="005040A4">
              <w:rPr>
                <w:sz w:val="16"/>
              </w:rPr>
              <w:t>Actifs</w:t>
            </w:r>
            <w:r w:rsidR="00743D89" w:rsidRPr="005040A4">
              <w:rPr>
                <w:sz w:val="16"/>
              </w:rPr>
              <w:t> :</w:t>
            </w:r>
            <w:r w:rsidRPr="005040A4">
              <w:rPr>
                <w:sz w:val="16"/>
              </w:rPr>
              <w:t xml:space="preserve"> Passifs</w:t>
            </w:r>
          </w:p>
        </w:tc>
        <w:tc>
          <w:tcPr>
            <w:tcW w:w="851" w:type="dxa"/>
          </w:tcPr>
          <w:p w14:paraId="1812161E" w14:textId="77777777" w:rsidR="00855109" w:rsidRPr="005040A4" w:rsidRDefault="00855109" w:rsidP="00E862E4">
            <w:pPr>
              <w:spacing w:before="60" w:after="60"/>
              <w:jc w:val="center"/>
              <w:cnfStyle w:val="000000000000" w:firstRow="0" w:lastRow="0" w:firstColumn="0" w:lastColumn="0" w:oddVBand="0" w:evenVBand="0" w:oddHBand="0" w:evenHBand="0" w:firstRowFirstColumn="0" w:firstRowLastColumn="0" w:lastRowFirstColumn="0" w:lastRowLastColumn="0"/>
              <w:rPr>
                <w:sz w:val="16"/>
                <w:szCs w:val="16"/>
              </w:rPr>
            </w:pPr>
            <w:r w:rsidRPr="005040A4">
              <w:rPr>
                <w:sz w:val="16"/>
              </w:rPr>
              <w:t>1,59</w:t>
            </w:r>
          </w:p>
        </w:tc>
        <w:tc>
          <w:tcPr>
            <w:tcW w:w="709" w:type="dxa"/>
          </w:tcPr>
          <w:p w14:paraId="08E72E81" w14:textId="77777777" w:rsidR="00855109" w:rsidRPr="005040A4" w:rsidRDefault="00855109" w:rsidP="00E862E4">
            <w:pPr>
              <w:spacing w:before="60" w:after="60"/>
              <w:jc w:val="center"/>
              <w:cnfStyle w:val="000000000000" w:firstRow="0" w:lastRow="0" w:firstColumn="0" w:lastColumn="0" w:oddVBand="0" w:evenVBand="0" w:oddHBand="0" w:evenHBand="0" w:firstRowFirstColumn="0" w:firstRowLastColumn="0" w:lastRowFirstColumn="0" w:lastRowLastColumn="0"/>
              <w:rPr>
                <w:sz w:val="16"/>
                <w:szCs w:val="16"/>
              </w:rPr>
            </w:pPr>
            <w:r w:rsidRPr="005040A4">
              <w:rPr>
                <w:sz w:val="16"/>
              </w:rPr>
              <w:t>1,54</w:t>
            </w:r>
          </w:p>
        </w:tc>
        <w:tc>
          <w:tcPr>
            <w:tcW w:w="850" w:type="dxa"/>
          </w:tcPr>
          <w:p w14:paraId="27EFC7C8" w14:textId="77777777" w:rsidR="00855109" w:rsidRPr="005040A4" w:rsidRDefault="00855109" w:rsidP="00E862E4">
            <w:pPr>
              <w:spacing w:before="60" w:after="60"/>
              <w:jc w:val="center"/>
              <w:cnfStyle w:val="000000000000" w:firstRow="0" w:lastRow="0" w:firstColumn="0" w:lastColumn="0" w:oddVBand="0" w:evenVBand="0" w:oddHBand="0" w:evenHBand="0" w:firstRowFirstColumn="0" w:firstRowLastColumn="0" w:lastRowFirstColumn="0" w:lastRowLastColumn="0"/>
              <w:rPr>
                <w:sz w:val="16"/>
                <w:szCs w:val="16"/>
              </w:rPr>
            </w:pPr>
            <w:r w:rsidRPr="005040A4">
              <w:rPr>
                <w:sz w:val="16"/>
              </w:rPr>
              <w:t>1,53</w:t>
            </w:r>
          </w:p>
        </w:tc>
        <w:tc>
          <w:tcPr>
            <w:tcW w:w="709" w:type="dxa"/>
          </w:tcPr>
          <w:p w14:paraId="34D010FC" w14:textId="77777777" w:rsidR="00855109" w:rsidRPr="005040A4" w:rsidRDefault="00855109" w:rsidP="00E862E4">
            <w:pPr>
              <w:spacing w:before="60" w:after="60"/>
              <w:jc w:val="center"/>
              <w:cnfStyle w:val="000000000000" w:firstRow="0" w:lastRow="0" w:firstColumn="0" w:lastColumn="0" w:oddVBand="0" w:evenVBand="0" w:oddHBand="0" w:evenHBand="0" w:firstRowFirstColumn="0" w:firstRowLastColumn="0" w:lastRowFirstColumn="0" w:lastRowLastColumn="0"/>
              <w:rPr>
                <w:sz w:val="16"/>
                <w:szCs w:val="16"/>
              </w:rPr>
            </w:pPr>
            <w:r w:rsidRPr="005040A4">
              <w:rPr>
                <w:sz w:val="16"/>
              </w:rPr>
              <w:t>1,35</w:t>
            </w:r>
          </w:p>
        </w:tc>
        <w:tc>
          <w:tcPr>
            <w:tcW w:w="709" w:type="dxa"/>
          </w:tcPr>
          <w:p w14:paraId="2D285868" w14:textId="77777777" w:rsidR="00855109" w:rsidRPr="005040A4" w:rsidRDefault="00855109" w:rsidP="00E862E4">
            <w:pPr>
              <w:spacing w:before="60" w:after="60"/>
              <w:jc w:val="center"/>
              <w:cnfStyle w:val="000000000000" w:firstRow="0" w:lastRow="0" w:firstColumn="0" w:lastColumn="0" w:oddVBand="0" w:evenVBand="0" w:oddHBand="0" w:evenHBand="0" w:firstRowFirstColumn="0" w:firstRowLastColumn="0" w:lastRowFirstColumn="0" w:lastRowLastColumn="0"/>
              <w:rPr>
                <w:sz w:val="16"/>
                <w:szCs w:val="16"/>
              </w:rPr>
            </w:pPr>
            <w:r w:rsidRPr="005040A4">
              <w:rPr>
                <w:sz w:val="16"/>
              </w:rPr>
              <w:t>1,39</w:t>
            </w:r>
          </w:p>
        </w:tc>
      </w:tr>
      <w:tr w:rsidR="00855109" w:rsidRPr="005040A4" w14:paraId="46FCA10F" w14:textId="77777777" w:rsidTr="00606A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122DB539" w14:textId="77777777" w:rsidR="00855109" w:rsidRPr="005040A4" w:rsidRDefault="00855109" w:rsidP="00E862E4">
            <w:pPr>
              <w:spacing w:before="60" w:after="60"/>
              <w:jc w:val="both"/>
              <w:rPr>
                <w:rFonts w:eastAsia="Arial"/>
                <w:sz w:val="16"/>
                <w:szCs w:val="16"/>
              </w:rPr>
            </w:pPr>
            <w:r w:rsidRPr="005040A4">
              <w:rPr>
                <w:sz w:val="16"/>
              </w:rPr>
              <w:t>Ratio de trésorerie</w:t>
            </w:r>
            <w:r w:rsidRPr="005040A4">
              <w:rPr>
                <w:sz w:val="16"/>
                <w:vertAlign w:val="superscript"/>
              </w:rPr>
              <w:t>3</w:t>
            </w:r>
          </w:p>
          <w:p w14:paraId="7E8DFDD5" w14:textId="1CE70C19" w:rsidR="00855109" w:rsidRPr="005040A4" w:rsidRDefault="00855109" w:rsidP="00E862E4">
            <w:pPr>
              <w:spacing w:before="60" w:after="60"/>
              <w:jc w:val="both"/>
              <w:rPr>
                <w:rFonts w:eastAsia="Arial"/>
                <w:b w:val="0"/>
                <w:bCs w:val="0"/>
                <w:sz w:val="16"/>
                <w:szCs w:val="16"/>
              </w:rPr>
            </w:pPr>
            <w:r w:rsidRPr="005040A4">
              <w:rPr>
                <w:sz w:val="16"/>
              </w:rPr>
              <w:t>Trésorerie et placements à court terme</w:t>
            </w:r>
            <w:r w:rsidR="00743D89" w:rsidRPr="005040A4">
              <w:rPr>
                <w:sz w:val="16"/>
              </w:rPr>
              <w:t> :</w:t>
            </w:r>
            <w:r w:rsidRPr="005040A4">
              <w:rPr>
                <w:sz w:val="16"/>
              </w:rPr>
              <w:t xml:space="preserve"> Passifs courants</w:t>
            </w:r>
          </w:p>
        </w:tc>
        <w:tc>
          <w:tcPr>
            <w:tcW w:w="851" w:type="dxa"/>
          </w:tcPr>
          <w:p w14:paraId="284FC213" w14:textId="77777777" w:rsidR="00855109" w:rsidRPr="005040A4" w:rsidRDefault="00855109" w:rsidP="00E862E4">
            <w:pPr>
              <w:spacing w:before="60" w:after="60"/>
              <w:jc w:val="center"/>
              <w:cnfStyle w:val="000000100000" w:firstRow="0" w:lastRow="0" w:firstColumn="0" w:lastColumn="0" w:oddVBand="0" w:evenVBand="0" w:oddHBand="1" w:evenHBand="0" w:firstRowFirstColumn="0" w:firstRowLastColumn="0" w:lastRowFirstColumn="0" w:lastRowLastColumn="0"/>
              <w:rPr>
                <w:rFonts w:eastAsia="Arial"/>
                <w:sz w:val="16"/>
                <w:szCs w:val="16"/>
              </w:rPr>
            </w:pPr>
            <w:r w:rsidRPr="005040A4">
              <w:rPr>
                <w:sz w:val="16"/>
              </w:rPr>
              <w:t>0,50</w:t>
            </w:r>
          </w:p>
        </w:tc>
        <w:tc>
          <w:tcPr>
            <w:tcW w:w="709" w:type="dxa"/>
          </w:tcPr>
          <w:p w14:paraId="16D529BF" w14:textId="77777777" w:rsidR="00855109" w:rsidRPr="005040A4" w:rsidRDefault="00855109" w:rsidP="00E862E4">
            <w:pPr>
              <w:spacing w:before="60" w:after="60"/>
              <w:jc w:val="center"/>
              <w:cnfStyle w:val="000000100000" w:firstRow="0" w:lastRow="0" w:firstColumn="0" w:lastColumn="0" w:oddVBand="0" w:evenVBand="0" w:oddHBand="1" w:evenHBand="0" w:firstRowFirstColumn="0" w:firstRowLastColumn="0" w:lastRowFirstColumn="0" w:lastRowLastColumn="0"/>
              <w:rPr>
                <w:rFonts w:eastAsia="Arial"/>
                <w:sz w:val="16"/>
                <w:szCs w:val="16"/>
              </w:rPr>
            </w:pPr>
            <w:r w:rsidRPr="005040A4">
              <w:rPr>
                <w:sz w:val="16"/>
              </w:rPr>
              <w:t>0,52</w:t>
            </w:r>
          </w:p>
        </w:tc>
        <w:tc>
          <w:tcPr>
            <w:tcW w:w="850" w:type="dxa"/>
          </w:tcPr>
          <w:p w14:paraId="0AAF4BDF" w14:textId="77777777" w:rsidR="00855109" w:rsidRPr="005040A4" w:rsidRDefault="00855109" w:rsidP="00E862E4">
            <w:pPr>
              <w:spacing w:before="60" w:after="60"/>
              <w:jc w:val="center"/>
              <w:cnfStyle w:val="000000100000" w:firstRow="0" w:lastRow="0" w:firstColumn="0" w:lastColumn="0" w:oddVBand="0" w:evenVBand="0" w:oddHBand="1" w:evenHBand="0" w:firstRowFirstColumn="0" w:firstRowLastColumn="0" w:lastRowFirstColumn="0" w:lastRowLastColumn="0"/>
              <w:rPr>
                <w:rFonts w:eastAsia="Arial"/>
                <w:sz w:val="16"/>
                <w:szCs w:val="16"/>
              </w:rPr>
            </w:pPr>
            <w:r w:rsidRPr="005040A4">
              <w:rPr>
                <w:sz w:val="16"/>
              </w:rPr>
              <w:t>0,52</w:t>
            </w:r>
          </w:p>
        </w:tc>
        <w:tc>
          <w:tcPr>
            <w:tcW w:w="709" w:type="dxa"/>
          </w:tcPr>
          <w:p w14:paraId="01FE686E" w14:textId="77777777" w:rsidR="00855109" w:rsidRPr="005040A4" w:rsidRDefault="00855109" w:rsidP="00E862E4">
            <w:pPr>
              <w:spacing w:before="60" w:after="60"/>
              <w:jc w:val="center"/>
              <w:cnfStyle w:val="000000100000" w:firstRow="0" w:lastRow="0" w:firstColumn="0" w:lastColumn="0" w:oddVBand="0" w:evenVBand="0" w:oddHBand="1" w:evenHBand="0" w:firstRowFirstColumn="0" w:firstRowLastColumn="0" w:lastRowFirstColumn="0" w:lastRowLastColumn="0"/>
              <w:rPr>
                <w:rFonts w:eastAsia="Arial"/>
                <w:sz w:val="16"/>
                <w:szCs w:val="16"/>
              </w:rPr>
            </w:pPr>
            <w:r w:rsidRPr="005040A4">
              <w:rPr>
                <w:sz w:val="16"/>
              </w:rPr>
              <w:t>0,38</w:t>
            </w:r>
          </w:p>
        </w:tc>
        <w:tc>
          <w:tcPr>
            <w:tcW w:w="709" w:type="dxa"/>
          </w:tcPr>
          <w:p w14:paraId="17F90334" w14:textId="77777777" w:rsidR="00855109" w:rsidRPr="005040A4" w:rsidRDefault="00855109" w:rsidP="00E862E4">
            <w:pPr>
              <w:spacing w:before="60" w:after="60"/>
              <w:jc w:val="center"/>
              <w:cnfStyle w:val="000000100000" w:firstRow="0" w:lastRow="0" w:firstColumn="0" w:lastColumn="0" w:oddVBand="0" w:evenVBand="0" w:oddHBand="1" w:evenHBand="0" w:firstRowFirstColumn="0" w:firstRowLastColumn="0" w:lastRowFirstColumn="0" w:lastRowLastColumn="0"/>
              <w:rPr>
                <w:rFonts w:eastAsia="Arial"/>
                <w:sz w:val="16"/>
                <w:szCs w:val="16"/>
              </w:rPr>
            </w:pPr>
            <w:r w:rsidRPr="005040A4">
              <w:rPr>
                <w:sz w:val="16"/>
              </w:rPr>
              <w:t>0,50</w:t>
            </w:r>
          </w:p>
        </w:tc>
      </w:tr>
      <w:tr w:rsidR="00855109" w:rsidRPr="005040A4" w14:paraId="5D026C65" w14:textId="77777777" w:rsidTr="00606A8C">
        <w:trPr>
          <w:trHeight w:val="703"/>
        </w:trPr>
        <w:tc>
          <w:tcPr>
            <w:cnfStyle w:val="001000000000" w:firstRow="0" w:lastRow="0" w:firstColumn="1" w:lastColumn="0" w:oddVBand="0" w:evenVBand="0" w:oddHBand="0" w:evenHBand="0" w:firstRowFirstColumn="0" w:firstRowLastColumn="0" w:lastRowFirstColumn="0" w:lastRowLastColumn="0"/>
            <w:tcW w:w="4395" w:type="dxa"/>
          </w:tcPr>
          <w:p w14:paraId="64BB8BA6" w14:textId="6BF4D19F" w:rsidR="00855109" w:rsidRPr="005040A4" w:rsidRDefault="00855109" w:rsidP="00E862E4">
            <w:pPr>
              <w:spacing w:before="60" w:after="60"/>
              <w:jc w:val="both"/>
              <w:rPr>
                <w:sz w:val="16"/>
                <w:szCs w:val="16"/>
              </w:rPr>
            </w:pPr>
            <w:r w:rsidRPr="005040A4">
              <w:rPr>
                <w:sz w:val="16"/>
              </w:rPr>
              <w:t>Jours de trésorerie</w:t>
            </w:r>
            <w:r w:rsidR="00596148" w:rsidRPr="005040A4">
              <w:rPr>
                <w:sz w:val="16"/>
              </w:rPr>
              <w:t> </w:t>
            </w:r>
            <w:r w:rsidRPr="005040A4">
              <w:rPr>
                <w:sz w:val="16"/>
              </w:rPr>
              <w:t>disponible</w:t>
            </w:r>
            <w:r w:rsidRPr="005040A4">
              <w:rPr>
                <w:sz w:val="16"/>
                <w:vertAlign w:val="superscript"/>
              </w:rPr>
              <w:t>4</w:t>
            </w:r>
          </w:p>
          <w:p w14:paraId="09E938EC" w14:textId="6E1EED72" w:rsidR="00855109" w:rsidRPr="005040A4" w:rsidRDefault="00855109" w:rsidP="00E862E4">
            <w:pPr>
              <w:spacing w:before="60" w:after="60"/>
              <w:jc w:val="both"/>
              <w:rPr>
                <w:b w:val="0"/>
                <w:bCs w:val="0"/>
                <w:sz w:val="16"/>
                <w:szCs w:val="16"/>
              </w:rPr>
            </w:pPr>
            <w:r w:rsidRPr="005040A4">
              <w:rPr>
                <w:sz w:val="16"/>
              </w:rPr>
              <w:t>Trésorerie et équivalents de trésorerie</w:t>
            </w:r>
            <w:r w:rsidR="00743D89" w:rsidRPr="005040A4">
              <w:rPr>
                <w:sz w:val="16"/>
              </w:rPr>
              <w:t> :</w:t>
            </w:r>
            <w:r w:rsidRPr="005040A4">
              <w:rPr>
                <w:sz w:val="16"/>
              </w:rPr>
              <w:t xml:space="preserve"> [(Total des dépenses</w:t>
            </w:r>
            <w:r w:rsidR="00743D89" w:rsidRPr="005040A4">
              <w:rPr>
                <w:sz w:val="16"/>
              </w:rPr>
              <w:t xml:space="preserve"> – </w:t>
            </w:r>
            <w:r w:rsidRPr="005040A4">
              <w:rPr>
                <w:sz w:val="16"/>
              </w:rPr>
              <w:t>charges d</w:t>
            </w:r>
            <w:r w:rsidR="00743D89" w:rsidRPr="005040A4">
              <w:rPr>
                <w:sz w:val="16"/>
              </w:rPr>
              <w:t>’</w:t>
            </w:r>
            <w:r w:rsidRPr="005040A4">
              <w:rPr>
                <w:sz w:val="16"/>
              </w:rPr>
              <w:t>amortissement) / 365]</w:t>
            </w:r>
          </w:p>
        </w:tc>
        <w:tc>
          <w:tcPr>
            <w:tcW w:w="851" w:type="dxa"/>
          </w:tcPr>
          <w:p w14:paraId="53397280" w14:textId="77777777" w:rsidR="00855109" w:rsidRPr="005040A4" w:rsidRDefault="00855109" w:rsidP="00E862E4">
            <w:pPr>
              <w:spacing w:before="60" w:after="60"/>
              <w:jc w:val="center"/>
              <w:cnfStyle w:val="000000000000" w:firstRow="0" w:lastRow="0" w:firstColumn="0" w:lastColumn="0" w:oddVBand="0" w:evenVBand="0" w:oddHBand="0" w:evenHBand="0" w:firstRowFirstColumn="0" w:firstRowLastColumn="0" w:lastRowFirstColumn="0" w:lastRowLastColumn="0"/>
              <w:rPr>
                <w:sz w:val="16"/>
                <w:szCs w:val="16"/>
              </w:rPr>
            </w:pPr>
            <w:r w:rsidRPr="005040A4">
              <w:rPr>
                <w:sz w:val="16"/>
              </w:rPr>
              <w:t>87</w:t>
            </w:r>
          </w:p>
        </w:tc>
        <w:tc>
          <w:tcPr>
            <w:tcW w:w="709" w:type="dxa"/>
          </w:tcPr>
          <w:p w14:paraId="5DEA7E40" w14:textId="77777777" w:rsidR="00855109" w:rsidRPr="005040A4" w:rsidRDefault="00855109" w:rsidP="00E862E4">
            <w:pPr>
              <w:spacing w:before="60" w:after="60"/>
              <w:jc w:val="center"/>
              <w:cnfStyle w:val="000000000000" w:firstRow="0" w:lastRow="0" w:firstColumn="0" w:lastColumn="0" w:oddVBand="0" w:evenVBand="0" w:oddHBand="0" w:evenHBand="0" w:firstRowFirstColumn="0" w:firstRowLastColumn="0" w:lastRowFirstColumn="0" w:lastRowLastColumn="0"/>
              <w:rPr>
                <w:sz w:val="16"/>
                <w:szCs w:val="16"/>
              </w:rPr>
            </w:pPr>
            <w:r w:rsidRPr="005040A4">
              <w:rPr>
                <w:sz w:val="16"/>
              </w:rPr>
              <w:t>78</w:t>
            </w:r>
          </w:p>
        </w:tc>
        <w:tc>
          <w:tcPr>
            <w:tcW w:w="850" w:type="dxa"/>
          </w:tcPr>
          <w:p w14:paraId="07FA50B8" w14:textId="77777777" w:rsidR="00855109" w:rsidRPr="005040A4" w:rsidRDefault="00855109" w:rsidP="00E862E4">
            <w:pPr>
              <w:spacing w:before="60" w:after="60"/>
              <w:jc w:val="center"/>
              <w:cnfStyle w:val="000000000000" w:firstRow="0" w:lastRow="0" w:firstColumn="0" w:lastColumn="0" w:oddVBand="0" w:evenVBand="0" w:oddHBand="0" w:evenHBand="0" w:firstRowFirstColumn="0" w:firstRowLastColumn="0" w:lastRowFirstColumn="0" w:lastRowLastColumn="0"/>
              <w:rPr>
                <w:sz w:val="16"/>
                <w:szCs w:val="16"/>
              </w:rPr>
            </w:pPr>
            <w:r w:rsidRPr="005040A4">
              <w:rPr>
                <w:sz w:val="16"/>
              </w:rPr>
              <w:t>225</w:t>
            </w:r>
          </w:p>
        </w:tc>
        <w:tc>
          <w:tcPr>
            <w:tcW w:w="709" w:type="dxa"/>
          </w:tcPr>
          <w:p w14:paraId="28F752CD" w14:textId="77777777" w:rsidR="00855109" w:rsidRPr="005040A4" w:rsidRDefault="00855109" w:rsidP="00E862E4">
            <w:pPr>
              <w:spacing w:before="60" w:after="60"/>
              <w:jc w:val="center"/>
              <w:cnfStyle w:val="000000000000" w:firstRow="0" w:lastRow="0" w:firstColumn="0" w:lastColumn="0" w:oddVBand="0" w:evenVBand="0" w:oddHBand="0" w:evenHBand="0" w:firstRowFirstColumn="0" w:firstRowLastColumn="0" w:lastRowFirstColumn="0" w:lastRowLastColumn="0"/>
              <w:rPr>
                <w:rFonts w:eastAsia="Arial"/>
                <w:sz w:val="16"/>
                <w:szCs w:val="16"/>
              </w:rPr>
            </w:pPr>
            <w:r w:rsidRPr="005040A4">
              <w:rPr>
                <w:sz w:val="16"/>
              </w:rPr>
              <w:t>142</w:t>
            </w:r>
          </w:p>
        </w:tc>
        <w:tc>
          <w:tcPr>
            <w:tcW w:w="709" w:type="dxa"/>
          </w:tcPr>
          <w:p w14:paraId="33303F8A" w14:textId="77777777" w:rsidR="00855109" w:rsidRPr="005040A4" w:rsidRDefault="00855109" w:rsidP="00E862E4">
            <w:pPr>
              <w:spacing w:before="60" w:after="60"/>
              <w:jc w:val="center"/>
              <w:cnfStyle w:val="000000000000" w:firstRow="0" w:lastRow="0" w:firstColumn="0" w:lastColumn="0" w:oddVBand="0" w:evenVBand="0" w:oddHBand="0" w:evenHBand="0" w:firstRowFirstColumn="0" w:firstRowLastColumn="0" w:lastRowFirstColumn="0" w:lastRowLastColumn="0"/>
              <w:rPr>
                <w:rFonts w:eastAsia="Arial"/>
                <w:sz w:val="16"/>
                <w:szCs w:val="16"/>
              </w:rPr>
            </w:pPr>
            <w:r w:rsidRPr="005040A4">
              <w:rPr>
                <w:sz w:val="16"/>
              </w:rPr>
              <w:t>147</w:t>
            </w:r>
          </w:p>
        </w:tc>
      </w:tr>
      <w:tr w:rsidR="00855109" w:rsidRPr="005040A4" w14:paraId="11CC5F6F" w14:textId="77777777" w:rsidTr="00606A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5" w:type="dxa"/>
          </w:tcPr>
          <w:p w14:paraId="410541AC" w14:textId="06918D3B" w:rsidR="00855109" w:rsidRPr="005040A4" w:rsidRDefault="00855109" w:rsidP="00E862E4">
            <w:pPr>
              <w:spacing w:before="60" w:after="60"/>
              <w:jc w:val="both"/>
              <w:rPr>
                <w:sz w:val="16"/>
                <w:szCs w:val="16"/>
              </w:rPr>
            </w:pPr>
            <w:r w:rsidRPr="005040A4">
              <w:rPr>
                <w:sz w:val="16"/>
              </w:rPr>
              <w:t>Ratio d</w:t>
            </w:r>
            <w:r w:rsidR="00743D89" w:rsidRPr="005040A4">
              <w:rPr>
                <w:sz w:val="16"/>
              </w:rPr>
              <w:t>’</w:t>
            </w:r>
            <w:r w:rsidRPr="005040A4">
              <w:rPr>
                <w:sz w:val="16"/>
              </w:rPr>
              <w:t>exploitation</w:t>
            </w:r>
            <w:r w:rsidRPr="005040A4">
              <w:rPr>
                <w:sz w:val="16"/>
                <w:vertAlign w:val="superscript"/>
              </w:rPr>
              <w:t>5</w:t>
            </w:r>
          </w:p>
          <w:p w14:paraId="01B53B4E" w14:textId="7B7A23B9" w:rsidR="00855109" w:rsidRPr="005040A4" w:rsidRDefault="00855109" w:rsidP="00E862E4">
            <w:pPr>
              <w:spacing w:before="60" w:after="60"/>
              <w:jc w:val="both"/>
              <w:rPr>
                <w:b w:val="0"/>
                <w:bCs w:val="0"/>
                <w:sz w:val="16"/>
                <w:szCs w:val="16"/>
              </w:rPr>
            </w:pPr>
            <w:r w:rsidRPr="005040A4">
              <w:rPr>
                <w:sz w:val="16"/>
              </w:rPr>
              <w:t>(Recettes – dépenses)</w:t>
            </w:r>
            <w:r w:rsidR="00743D89" w:rsidRPr="005040A4">
              <w:rPr>
                <w:sz w:val="16"/>
              </w:rPr>
              <w:t> :</w:t>
            </w:r>
            <w:r w:rsidRPr="005040A4">
              <w:rPr>
                <w:sz w:val="16"/>
              </w:rPr>
              <w:t xml:space="preserve"> Total des dépenses</w:t>
            </w:r>
          </w:p>
        </w:tc>
        <w:tc>
          <w:tcPr>
            <w:tcW w:w="851" w:type="dxa"/>
          </w:tcPr>
          <w:p w14:paraId="20B0CE51" w14:textId="77777777" w:rsidR="00855109" w:rsidRPr="005040A4" w:rsidRDefault="00855109" w:rsidP="00E862E4">
            <w:pPr>
              <w:spacing w:before="60" w:after="60"/>
              <w:jc w:val="center"/>
              <w:cnfStyle w:val="000000100000" w:firstRow="0" w:lastRow="0" w:firstColumn="0" w:lastColumn="0" w:oddVBand="0" w:evenVBand="0" w:oddHBand="1" w:evenHBand="0" w:firstRowFirstColumn="0" w:firstRowLastColumn="0" w:lastRowFirstColumn="0" w:lastRowLastColumn="0"/>
              <w:rPr>
                <w:sz w:val="16"/>
                <w:szCs w:val="16"/>
              </w:rPr>
            </w:pPr>
            <w:r w:rsidRPr="005040A4">
              <w:rPr>
                <w:color w:val="0D0D0D" w:themeColor="text1" w:themeTint="F2"/>
                <w:sz w:val="16"/>
              </w:rPr>
              <w:t>0,15</w:t>
            </w:r>
          </w:p>
        </w:tc>
        <w:tc>
          <w:tcPr>
            <w:tcW w:w="709" w:type="dxa"/>
          </w:tcPr>
          <w:p w14:paraId="39E7CEFF" w14:textId="77777777" w:rsidR="00855109" w:rsidRPr="005040A4" w:rsidRDefault="00855109" w:rsidP="00E862E4">
            <w:pPr>
              <w:spacing w:before="60" w:after="60"/>
              <w:jc w:val="center"/>
              <w:cnfStyle w:val="000000100000" w:firstRow="0" w:lastRow="0" w:firstColumn="0" w:lastColumn="0" w:oddVBand="0" w:evenVBand="0" w:oddHBand="1" w:evenHBand="0" w:firstRowFirstColumn="0" w:firstRowLastColumn="0" w:lastRowFirstColumn="0" w:lastRowLastColumn="0"/>
              <w:rPr>
                <w:sz w:val="16"/>
                <w:szCs w:val="16"/>
              </w:rPr>
            </w:pPr>
            <w:r w:rsidRPr="005040A4">
              <w:rPr>
                <w:color w:val="0D0D0D" w:themeColor="text1" w:themeTint="F2"/>
                <w:sz w:val="16"/>
              </w:rPr>
              <w:t>0,14</w:t>
            </w:r>
          </w:p>
        </w:tc>
        <w:tc>
          <w:tcPr>
            <w:tcW w:w="850" w:type="dxa"/>
          </w:tcPr>
          <w:p w14:paraId="0CFCE7C1" w14:textId="77777777" w:rsidR="00855109" w:rsidRPr="005040A4" w:rsidRDefault="00855109" w:rsidP="00E862E4">
            <w:pPr>
              <w:spacing w:before="60" w:after="60"/>
              <w:jc w:val="center"/>
              <w:cnfStyle w:val="000000100000" w:firstRow="0" w:lastRow="0" w:firstColumn="0" w:lastColumn="0" w:oddVBand="0" w:evenVBand="0" w:oddHBand="1" w:evenHBand="0" w:firstRowFirstColumn="0" w:firstRowLastColumn="0" w:lastRowFirstColumn="0" w:lastRowLastColumn="0"/>
              <w:rPr>
                <w:sz w:val="16"/>
                <w:szCs w:val="16"/>
              </w:rPr>
            </w:pPr>
            <w:r w:rsidRPr="005040A4">
              <w:rPr>
                <w:color w:val="0D0D0D" w:themeColor="text1" w:themeTint="F2"/>
                <w:sz w:val="16"/>
              </w:rPr>
              <w:t>0,24</w:t>
            </w:r>
          </w:p>
        </w:tc>
        <w:tc>
          <w:tcPr>
            <w:tcW w:w="709" w:type="dxa"/>
          </w:tcPr>
          <w:p w14:paraId="5D5385CB" w14:textId="77777777" w:rsidR="00855109" w:rsidRPr="005040A4" w:rsidRDefault="00855109" w:rsidP="00E862E4">
            <w:pPr>
              <w:spacing w:before="60" w:after="60"/>
              <w:jc w:val="center"/>
              <w:cnfStyle w:val="000000100000" w:firstRow="0" w:lastRow="0" w:firstColumn="0" w:lastColumn="0" w:oddVBand="0" w:evenVBand="0" w:oddHBand="1" w:evenHBand="0" w:firstRowFirstColumn="0" w:firstRowLastColumn="0" w:lastRowFirstColumn="0" w:lastRowLastColumn="0"/>
              <w:rPr>
                <w:sz w:val="16"/>
                <w:szCs w:val="16"/>
              </w:rPr>
            </w:pPr>
            <w:r w:rsidRPr="005040A4">
              <w:rPr>
                <w:color w:val="0D0D0D" w:themeColor="text1" w:themeTint="F2"/>
                <w:sz w:val="16"/>
              </w:rPr>
              <w:t>0,22</w:t>
            </w:r>
          </w:p>
        </w:tc>
        <w:tc>
          <w:tcPr>
            <w:tcW w:w="709" w:type="dxa"/>
          </w:tcPr>
          <w:p w14:paraId="68409CCD" w14:textId="77777777" w:rsidR="00855109" w:rsidRPr="005040A4" w:rsidRDefault="00855109" w:rsidP="00E862E4">
            <w:pPr>
              <w:spacing w:before="60" w:after="60"/>
              <w:jc w:val="center"/>
              <w:cnfStyle w:val="000000100000" w:firstRow="0" w:lastRow="0" w:firstColumn="0" w:lastColumn="0" w:oddVBand="0" w:evenVBand="0" w:oddHBand="1" w:evenHBand="0" w:firstRowFirstColumn="0" w:firstRowLastColumn="0" w:lastRowFirstColumn="0" w:lastRowLastColumn="0"/>
              <w:rPr>
                <w:sz w:val="16"/>
                <w:szCs w:val="16"/>
              </w:rPr>
            </w:pPr>
            <w:r w:rsidRPr="005040A4">
              <w:rPr>
                <w:color w:val="0D0D0D" w:themeColor="text1" w:themeTint="F2"/>
                <w:sz w:val="16"/>
              </w:rPr>
              <w:t>0,28</w:t>
            </w:r>
          </w:p>
        </w:tc>
      </w:tr>
    </w:tbl>
    <w:p w14:paraId="6875DB92" w14:textId="74FF31E4" w:rsidR="00855109" w:rsidRPr="005040A4" w:rsidRDefault="00855109" w:rsidP="00606A8C">
      <w:pPr>
        <w:ind w:left="1134"/>
        <w:jc w:val="both"/>
        <w:rPr>
          <w:b/>
          <w:bCs/>
          <w:sz w:val="16"/>
          <w:szCs w:val="16"/>
          <w:lang w:val="fr-FR"/>
        </w:rPr>
      </w:pPr>
      <w:r w:rsidRPr="005040A4">
        <w:rPr>
          <w:b/>
          <w:sz w:val="16"/>
          <w:lang w:val="fr-FR"/>
        </w:rPr>
        <w:t>Source</w:t>
      </w:r>
      <w:r w:rsidR="00743D89" w:rsidRPr="005040A4">
        <w:rPr>
          <w:b/>
          <w:sz w:val="16"/>
          <w:lang w:val="fr-FR"/>
        </w:rPr>
        <w:t> :</w:t>
      </w:r>
      <w:r w:rsidRPr="005040A4">
        <w:rPr>
          <w:b/>
          <w:sz w:val="16"/>
          <w:lang w:val="fr-FR"/>
        </w:rPr>
        <w:t xml:space="preserve"> États financiers de l</w:t>
      </w:r>
      <w:r w:rsidR="00743D89" w:rsidRPr="005040A4">
        <w:rPr>
          <w:b/>
          <w:sz w:val="16"/>
          <w:lang w:val="fr-FR"/>
        </w:rPr>
        <w:t>’</w:t>
      </w:r>
      <w:r w:rsidRPr="005040A4">
        <w:rPr>
          <w:b/>
          <w:sz w:val="16"/>
          <w:lang w:val="fr-FR"/>
        </w:rPr>
        <w:t>Organisation</w:t>
      </w:r>
    </w:p>
    <w:p w14:paraId="0C755D5D" w14:textId="4D008962" w:rsidR="00855109" w:rsidRPr="00606A8C" w:rsidRDefault="00855109" w:rsidP="00606A8C">
      <w:pPr>
        <w:pStyle w:val="ListParagraph"/>
        <w:numPr>
          <w:ilvl w:val="0"/>
          <w:numId w:val="10"/>
        </w:numPr>
        <w:tabs>
          <w:tab w:val="clear" w:pos="1134"/>
        </w:tabs>
        <w:spacing w:after="0" w:line="240" w:lineRule="auto"/>
        <w:ind w:left="1701" w:hanging="567"/>
        <w:rPr>
          <w:sz w:val="16"/>
          <w:szCs w:val="16"/>
        </w:rPr>
      </w:pPr>
      <w:r w:rsidRPr="00606A8C">
        <w:rPr>
          <w:sz w:val="16"/>
          <w:szCs w:val="16"/>
        </w:rPr>
        <w:t>Un ratio élevé indique la capacité de l</w:t>
      </w:r>
      <w:r w:rsidR="00743D89" w:rsidRPr="00606A8C">
        <w:rPr>
          <w:sz w:val="16"/>
          <w:szCs w:val="16"/>
        </w:rPr>
        <w:t>’</w:t>
      </w:r>
      <w:r w:rsidRPr="00606A8C">
        <w:rPr>
          <w:sz w:val="16"/>
          <w:szCs w:val="16"/>
        </w:rPr>
        <w:t>Organisation à rembourser ses passifs à court terme.</w:t>
      </w:r>
    </w:p>
    <w:p w14:paraId="0D8B6CCA" w14:textId="77777777" w:rsidR="00855109" w:rsidRPr="00606A8C" w:rsidRDefault="00855109" w:rsidP="00606A8C">
      <w:pPr>
        <w:pStyle w:val="ListParagraph"/>
        <w:numPr>
          <w:ilvl w:val="0"/>
          <w:numId w:val="10"/>
        </w:numPr>
        <w:tabs>
          <w:tab w:val="clear" w:pos="1134"/>
        </w:tabs>
        <w:spacing w:after="0" w:line="240" w:lineRule="auto"/>
        <w:ind w:left="1701" w:hanging="567"/>
        <w:rPr>
          <w:sz w:val="16"/>
          <w:szCs w:val="16"/>
        </w:rPr>
      </w:pPr>
      <w:r w:rsidRPr="00606A8C">
        <w:rPr>
          <w:sz w:val="16"/>
          <w:szCs w:val="16"/>
        </w:rPr>
        <w:t>Un ratio élevé est un bon indicateur de solvabilité.</w:t>
      </w:r>
    </w:p>
    <w:p w14:paraId="38D9371B" w14:textId="3B9A6B37" w:rsidR="00855109" w:rsidRPr="00606A8C" w:rsidRDefault="00855109" w:rsidP="00606A8C">
      <w:pPr>
        <w:pStyle w:val="ListParagraph"/>
        <w:numPr>
          <w:ilvl w:val="0"/>
          <w:numId w:val="10"/>
        </w:numPr>
        <w:tabs>
          <w:tab w:val="clear" w:pos="1134"/>
        </w:tabs>
        <w:spacing w:after="0" w:line="240" w:lineRule="auto"/>
        <w:ind w:left="1701" w:hanging="567"/>
        <w:rPr>
          <w:sz w:val="16"/>
          <w:szCs w:val="16"/>
        </w:rPr>
      </w:pPr>
      <w:r w:rsidRPr="00606A8C">
        <w:rPr>
          <w:sz w:val="16"/>
          <w:szCs w:val="16"/>
        </w:rPr>
        <w:t>Le ratio de trésorerie est un indicateur du niveau de liquidité de l</w:t>
      </w:r>
      <w:r w:rsidR="00743D89" w:rsidRPr="00606A8C">
        <w:rPr>
          <w:sz w:val="16"/>
          <w:szCs w:val="16"/>
        </w:rPr>
        <w:t>’</w:t>
      </w:r>
      <w:r w:rsidRPr="00606A8C">
        <w:rPr>
          <w:sz w:val="16"/>
          <w:szCs w:val="16"/>
        </w:rPr>
        <w:t>Organisati</w:t>
      </w:r>
      <w:r w:rsidR="005652C9" w:rsidRPr="00606A8C">
        <w:rPr>
          <w:sz w:val="16"/>
          <w:szCs w:val="16"/>
        </w:rPr>
        <w:t>on.  Il</w:t>
      </w:r>
      <w:r w:rsidRPr="00606A8C">
        <w:rPr>
          <w:sz w:val="16"/>
          <w:szCs w:val="16"/>
        </w:rPr>
        <w:t xml:space="preserve"> mesure le montant de la trésorerie et des équivalents de trésorerie ainsi que des placements à court terme permettant de couvrir le total du passif à court terme.</w:t>
      </w:r>
    </w:p>
    <w:p w14:paraId="0023E9B8" w14:textId="17CEEDB0" w:rsidR="00855109" w:rsidRPr="00606A8C" w:rsidRDefault="00855109" w:rsidP="00606A8C">
      <w:pPr>
        <w:pStyle w:val="ListParagraph"/>
        <w:numPr>
          <w:ilvl w:val="0"/>
          <w:numId w:val="10"/>
        </w:numPr>
        <w:tabs>
          <w:tab w:val="clear" w:pos="1134"/>
        </w:tabs>
        <w:spacing w:after="0" w:line="240" w:lineRule="auto"/>
        <w:ind w:left="1701" w:hanging="567"/>
        <w:rPr>
          <w:sz w:val="16"/>
          <w:szCs w:val="16"/>
        </w:rPr>
      </w:pPr>
      <w:r w:rsidRPr="00606A8C">
        <w:rPr>
          <w:sz w:val="16"/>
          <w:szCs w:val="16"/>
        </w:rPr>
        <w:t>Les jours de trésorerie disponible mesurent le nombre de jours de dépenses pouvant être couvertes par la trésorerie et les équivalents de trésorerie et les placements à court terme existan</w:t>
      </w:r>
      <w:r w:rsidR="005652C9" w:rsidRPr="00606A8C">
        <w:rPr>
          <w:sz w:val="16"/>
          <w:szCs w:val="16"/>
        </w:rPr>
        <w:t>ts.  En</w:t>
      </w:r>
      <w:r w:rsidRPr="00606A8C">
        <w:rPr>
          <w:sz w:val="16"/>
          <w:szCs w:val="16"/>
        </w:rPr>
        <w:t xml:space="preserve"> règle générale, des valeurs élevées indiquent une situation de liquidité plutôt solide, bien que la détention de réserves de trésorerie présente à la fois un avantage et un coût d</w:t>
      </w:r>
      <w:r w:rsidR="00743D89" w:rsidRPr="00606A8C">
        <w:rPr>
          <w:sz w:val="16"/>
          <w:szCs w:val="16"/>
        </w:rPr>
        <w:t>’</w:t>
      </w:r>
      <w:r w:rsidRPr="00606A8C">
        <w:rPr>
          <w:sz w:val="16"/>
          <w:szCs w:val="16"/>
        </w:rPr>
        <w:t>opportunité.</w:t>
      </w:r>
    </w:p>
    <w:p w14:paraId="7CC9E253" w14:textId="0B82CC8F" w:rsidR="00855109" w:rsidRPr="00606A8C" w:rsidRDefault="00855109" w:rsidP="005908BF">
      <w:pPr>
        <w:pStyle w:val="ListParagraph"/>
        <w:numPr>
          <w:ilvl w:val="0"/>
          <w:numId w:val="10"/>
        </w:numPr>
        <w:tabs>
          <w:tab w:val="clear" w:pos="1134"/>
        </w:tabs>
        <w:spacing w:after="240" w:line="240" w:lineRule="auto"/>
        <w:ind w:left="1701" w:hanging="567"/>
        <w:rPr>
          <w:rFonts w:eastAsia="Arial"/>
          <w:sz w:val="16"/>
          <w:szCs w:val="16"/>
        </w:rPr>
      </w:pPr>
      <w:r w:rsidRPr="00606A8C">
        <w:rPr>
          <w:sz w:val="16"/>
          <w:szCs w:val="16"/>
        </w:rPr>
        <w:t>Le ratio d</w:t>
      </w:r>
      <w:r w:rsidR="00743D89" w:rsidRPr="00606A8C">
        <w:rPr>
          <w:sz w:val="16"/>
          <w:szCs w:val="16"/>
        </w:rPr>
        <w:t>’</w:t>
      </w:r>
      <w:r w:rsidRPr="00606A8C">
        <w:rPr>
          <w:sz w:val="16"/>
          <w:szCs w:val="16"/>
        </w:rPr>
        <w:t>exploitation mesure les revenus nets conservés par l</w:t>
      </w:r>
      <w:r w:rsidR="00743D89" w:rsidRPr="00606A8C">
        <w:rPr>
          <w:sz w:val="16"/>
          <w:szCs w:val="16"/>
        </w:rPr>
        <w:t>’</w:t>
      </w:r>
      <w:r w:rsidRPr="00606A8C">
        <w:rPr>
          <w:sz w:val="16"/>
          <w:szCs w:val="16"/>
        </w:rPr>
        <w:t>Organisation en pourcentage des dépens</w:t>
      </w:r>
      <w:r w:rsidR="005652C9" w:rsidRPr="00606A8C">
        <w:rPr>
          <w:sz w:val="16"/>
          <w:szCs w:val="16"/>
        </w:rPr>
        <w:t>es.  En</w:t>
      </w:r>
      <w:r w:rsidRPr="00606A8C">
        <w:rPr>
          <w:sz w:val="16"/>
          <w:szCs w:val="16"/>
        </w:rPr>
        <w:t xml:space="preserve"> général, les organisations à but non lucratif doivent conserver un certain excédent pour remplacer les installations existantes et rembourser leurs dett</w:t>
      </w:r>
      <w:r w:rsidR="005652C9" w:rsidRPr="00606A8C">
        <w:rPr>
          <w:sz w:val="16"/>
          <w:szCs w:val="16"/>
        </w:rPr>
        <w:t>es.  Ce</w:t>
      </w:r>
      <w:r w:rsidRPr="00606A8C">
        <w:rPr>
          <w:sz w:val="16"/>
          <w:szCs w:val="16"/>
        </w:rPr>
        <w:t xml:space="preserve"> ratio doit être évalué au vu des besoins prévus de l</w:t>
      </w:r>
      <w:r w:rsidR="00743D89" w:rsidRPr="00606A8C">
        <w:rPr>
          <w:sz w:val="16"/>
          <w:szCs w:val="16"/>
        </w:rPr>
        <w:t>’</w:t>
      </w:r>
      <w:r w:rsidRPr="00606A8C">
        <w:rPr>
          <w:sz w:val="16"/>
          <w:szCs w:val="16"/>
        </w:rPr>
        <w:t>Organisation.</w:t>
      </w:r>
    </w:p>
    <w:p w14:paraId="55CF3297" w14:textId="3F7B3374" w:rsidR="00743D89" w:rsidRPr="005040A4" w:rsidRDefault="00855109" w:rsidP="000057BC">
      <w:pPr>
        <w:pStyle w:val="ListParagraph"/>
      </w:pPr>
      <w:r w:rsidRPr="005040A4">
        <w:t>La BPK a pris note que les ratios financiers globaux de l</w:t>
      </w:r>
      <w:r w:rsidR="00743D89" w:rsidRPr="005040A4">
        <w:t>’</w:t>
      </w:r>
      <w:r w:rsidRPr="005040A4">
        <w:t>organisation, tels qu</w:t>
      </w:r>
      <w:r w:rsidR="00743D89" w:rsidRPr="005040A4">
        <w:t>’</w:t>
      </w:r>
      <w:r w:rsidRPr="005040A4">
        <w:t>ils figurent dans les états financiers, étaient sains.</w:t>
      </w:r>
    </w:p>
    <w:p w14:paraId="1B85E160" w14:textId="77777777" w:rsidR="00855109" w:rsidRPr="005040A4" w:rsidRDefault="00855109" w:rsidP="000057BC">
      <w:pPr>
        <w:pStyle w:val="Heading4"/>
      </w:pPr>
      <w:bookmarkStart w:id="81" w:name="_Toc199153489"/>
      <w:r w:rsidRPr="005040A4">
        <w:t>Budgétisation</w:t>
      </w:r>
      <w:bookmarkEnd w:id="81"/>
    </w:p>
    <w:p w14:paraId="110DC5EF" w14:textId="66C7D97F" w:rsidR="00743D89" w:rsidRPr="005040A4" w:rsidRDefault="00855109" w:rsidP="000057BC">
      <w:pPr>
        <w:pStyle w:val="ListParagraph"/>
      </w:pPr>
      <w:r w:rsidRPr="005040A4">
        <w:t>Le programme de travail et budget de l</w:t>
      </w:r>
      <w:r w:rsidR="00743D89" w:rsidRPr="005040A4">
        <w:t>’</w:t>
      </w:r>
      <w:r w:rsidRPr="005040A4">
        <w:t>Organisation est établi sur la base d</w:t>
      </w:r>
      <w:r w:rsidR="00743D89" w:rsidRPr="005040A4">
        <w:t>’</w:t>
      </w:r>
      <w:r w:rsidRPr="005040A4">
        <w:t>une comptabilité d</w:t>
      </w:r>
      <w:r w:rsidR="00743D89" w:rsidRPr="005040A4">
        <w:t>’</w:t>
      </w:r>
      <w:r w:rsidRPr="005040A4">
        <w:t>exercice modifiée et est approuvé par les assemblées des États membres sur une base bienna</w:t>
      </w:r>
      <w:r w:rsidR="005652C9" w:rsidRPr="005040A4">
        <w:t>le.  Ce</w:t>
      </w:r>
      <w:r w:rsidRPr="005040A4">
        <w:t>pendant, des estimations distinctes sont préparées pour chacune des deux</w:t>
      </w:r>
      <w:r w:rsidR="001B7F27" w:rsidRPr="005040A4">
        <w:t> </w:t>
      </w:r>
      <w:r w:rsidRPr="005040A4">
        <w:t>périodes annuell</w:t>
      </w:r>
      <w:r w:rsidR="005652C9" w:rsidRPr="005040A4">
        <w:t>es.  L’é</w:t>
      </w:r>
      <w:r w:rsidRPr="005040A4">
        <w:t>tat V présente une comparaison entre le budget approuvé et les dépenses réelles pour l</w:t>
      </w:r>
      <w:r w:rsidR="00743D89" w:rsidRPr="005040A4">
        <w:t>’</w:t>
      </w:r>
      <w:r w:rsidRPr="005040A4">
        <w:t xml:space="preserve">année 2024. </w:t>
      </w:r>
      <w:r w:rsidR="001B7F27" w:rsidRPr="005040A4">
        <w:t xml:space="preserve"> </w:t>
      </w:r>
      <w:r w:rsidRPr="005040A4">
        <w:t>Un rapprochement entre l</w:t>
      </w:r>
      <w:r w:rsidR="00743D89" w:rsidRPr="005040A4">
        <w:t>’</w:t>
      </w:r>
      <w:r w:rsidRPr="005040A4">
        <w:t xml:space="preserve">état de comparaison budgétaire et les chiffres des recettes et </w:t>
      </w:r>
      <w:r w:rsidRPr="005040A4">
        <w:lastRenderedPageBreak/>
        <w:t>des dépenses mentionnés dans l</w:t>
      </w:r>
      <w:r w:rsidR="00743D89" w:rsidRPr="005040A4">
        <w:t>’</w:t>
      </w:r>
      <w:r w:rsidRPr="005040A4">
        <w:t>état de la performance financière est présenté dans la note 15 relative aux états financiers.</w:t>
      </w:r>
    </w:p>
    <w:p w14:paraId="4B3F1791" w14:textId="06BCDA6C" w:rsidR="00855109" w:rsidRPr="005040A4" w:rsidRDefault="00855109" w:rsidP="005908BF">
      <w:pPr>
        <w:pStyle w:val="ListParagraph"/>
      </w:pPr>
      <w:r w:rsidRPr="005040A4">
        <w:t>Le budget initial pour l</w:t>
      </w:r>
      <w:r w:rsidR="00743D89" w:rsidRPr="005040A4">
        <w:t>’</w:t>
      </w:r>
      <w:r w:rsidRPr="005040A4">
        <w:t xml:space="preserve">exercice </w:t>
      </w:r>
      <w:r w:rsidR="00743D89" w:rsidRPr="005040A4">
        <w:t>biennal 2024</w:t>
      </w:r>
      <w:r w:rsidR="00C249FA" w:rsidRPr="005040A4">
        <w:noBreakHyphen/>
      </w:r>
      <w:r w:rsidRPr="005040A4">
        <w:t>2025, tel qu</w:t>
      </w:r>
      <w:r w:rsidR="00743D89" w:rsidRPr="005040A4">
        <w:t>’</w:t>
      </w:r>
      <w:r w:rsidRPr="005040A4">
        <w:t>approuvé par l</w:t>
      </w:r>
      <w:r w:rsidR="00743D89" w:rsidRPr="005040A4">
        <w:t>’</w:t>
      </w:r>
      <w:r w:rsidRPr="005040A4">
        <w:t xml:space="preserve">Assemblée générale, comprenait des allocations de recettes et de dépenses de 972,6 millions de francs suisses et 857,3 millions de francs suisses respectivement. </w:t>
      </w:r>
      <w:r w:rsidR="001B7F27" w:rsidRPr="005040A4">
        <w:t xml:space="preserve"> </w:t>
      </w:r>
      <w:r w:rsidRPr="005040A4">
        <w:t>L</w:t>
      </w:r>
      <w:r w:rsidR="00743D89" w:rsidRPr="005040A4">
        <w:t>’</w:t>
      </w:r>
      <w:r w:rsidRPr="005040A4">
        <w:t>Organisation présente son analyse budgétaire dans l</w:t>
      </w:r>
      <w:r w:rsidR="00743D89" w:rsidRPr="005040A4">
        <w:t>’</w:t>
      </w:r>
      <w:r w:rsidRPr="005040A4">
        <w:t>état V sur une base comptable modifiée, en la rapprochant du résultat IP</w:t>
      </w:r>
      <w:r w:rsidR="005652C9" w:rsidRPr="005040A4">
        <w:t>SAS.  Le</w:t>
      </w:r>
      <w:r w:rsidRPr="005040A4">
        <w:t xml:space="preserve"> tableau 2 présente les tendances relatives à l</w:t>
      </w:r>
      <w:r w:rsidR="00743D89" w:rsidRPr="005040A4">
        <w:t>’</w:t>
      </w:r>
      <w:r w:rsidRPr="005040A4">
        <w:t>exécution du budget sur la base des chiffres inscrits au budget avant les ajustements IPSAS, comparant ainsi le résultat aux prévisions approuvées.</w:t>
      </w:r>
    </w:p>
    <w:p w14:paraId="4E77E879" w14:textId="57D843B3" w:rsidR="00855109" w:rsidRPr="005040A4" w:rsidRDefault="00855109" w:rsidP="00606A8C">
      <w:pPr>
        <w:pStyle w:val="Caption"/>
        <w:keepNext/>
        <w:spacing w:after="120"/>
        <w:ind w:left="1134"/>
        <w:jc w:val="center"/>
        <w:rPr>
          <w:b w:val="0"/>
          <w:bCs w:val="0"/>
          <w:color w:val="000000" w:themeColor="text1"/>
          <w:lang w:val="fr-FR"/>
        </w:rPr>
      </w:pPr>
      <w:bookmarkStart w:id="82" w:name="_Toc199138716"/>
      <w:r w:rsidRPr="005040A4">
        <w:rPr>
          <w:color w:val="000000" w:themeColor="text1"/>
          <w:lang w:val="fr-FR"/>
        </w:rPr>
        <w:t>Tableau </w:t>
      </w:r>
      <w:r w:rsidRPr="005040A4">
        <w:rPr>
          <w:b w:val="0"/>
          <w:i/>
          <w:color w:val="000000" w:themeColor="text1"/>
          <w:lang w:val="fr-FR"/>
        </w:rPr>
        <w:fldChar w:fldCharType="begin"/>
      </w:r>
      <w:r w:rsidRPr="005040A4">
        <w:rPr>
          <w:color w:val="000000" w:themeColor="text1"/>
          <w:lang w:val="fr-FR"/>
        </w:rPr>
        <w:instrText xml:space="preserve"> SEQ Table \* ARABIC </w:instrText>
      </w:r>
      <w:r w:rsidRPr="005040A4">
        <w:rPr>
          <w:b w:val="0"/>
          <w:i/>
          <w:color w:val="000000" w:themeColor="text1"/>
          <w:lang w:val="fr-FR"/>
        </w:rPr>
        <w:fldChar w:fldCharType="separate"/>
      </w:r>
      <w:r w:rsidR="00C90090">
        <w:rPr>
          <w:noProof/>
          <w:color w:val="000000" w:themeColor="text1"/>
          <w:lang w:val="fr-FR"/>
        </w:rPr>
        <w:t>2</w:t>
      </w:r>
      <w:r w:rsidRPr="005040A4">
        <w:rPr>
          <w:b w:val="0"/>
          <w:i/>
          <w:color w:val="000000" w:themeColor="text1"/>
          <w:lang w:val="fr-FR"/>
        </w:rPr>
        <w:fldChar w:fldCharType="end"/>
      </w:r>
      <w:r w:rsidRPr="005040A4">
        <w:rPr>
          <w:color w:val="000000" w:themeColor="text1"/>
          <w:lang w:val="fr-FR"/>
        </w:rPr>
        <w:t xml:space="preserve">. </w:t>
      </w:r>
      <w:r w:rsidR="001B7F27" w:rsidRPr="005040A4">
        <w:rPr>
          <w:color w:val="000000" w:themeColor="text1"/>
          <w:lang w:val="fr-FR"/>
        </w:rPr>
        <w:t xml:space="preserve"> </w:t>
      </w:r>
      <w:r w:rsidRPr="005040A4">
        <w:rPr>
          <w:color w:val="000000" w:themeColor="text1"/>
          <w:lang w:val="fr-FR"/>
        </w:rPr>
        <w:t>Résultats au regard des budgets (en millions de francs suisses)</w:t>
      </w:r>
      <w:bookmarkEnd w:id="82"/>
    </w:p>
    <w:tbl>
      <w:tblPr>
        <w:tblW w:w="822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134"/>
        <w:gridCol w:w="993"/>
        <w:gridCol w:w="1050"/>
        <w:gridCol w:w="1050"/>
        <w:gridCol w:w="1018"/>
      </w:tblGrid>
      <w:tr w:rsidR="00855109" w:rsidRPr="005040A4" w14:paraId="11357A5B" w14:textId="77777777" w:rsidTr="00327509">
        <w:trPr>
          <w:trHeight w:val="300"/>
        </w:trPr>
        <w:tc>
          <w:tcPr>
            <w:tcW w:w="2977" w:type="dxa"/>
            <w:shd w:val="clear" w:color="auto" w:fill="A5C9EB"/>
            <w:tcMar>
              <w:top w:w="15" w:type="dxa"/>
              <w:left w:w="15" w:type="dxa"/>
              <w:bottom w:w="15" w:type="dxa"/>
              <w:right w:w="15" w:type="dxa"/>
            </w:tcMar>
            <w:vAlign w:val="center"/>
          </w:tcPr>
          <w:p w14:paraId="691E38C8" w14:textId="77777777" w:rsidR="00855109" w:rsidRPr="005040A4" w:rsidRDefault="00855109" w:rsidP="00E862E4">
            <w:pPr>
              <w:spacing w:line="276" w:lineRule="auto"/>
              <w:ind w:left="90"/>
              <w:rPr>
                <w:rFonts w:eastAsia="Aptos"/>
                <w:b/>
                <w:bCs/>
                <w:sz w:val="16"/>
                <w:szCs w:val="16"/>
                <w:lang w:val="fr-FR"/>
              </w:rPr>
            </w:pPr>
            <w:r w:rsidRPr="005040A4">
              <w:rPr>
                <w:b/>
                <w:sz w:val="16"/>
                <w:lang w:val="fr-FR"/>
              </w:rPr>
              <w:t>Catégories</w:t>
            </w:r>
          </w:p>
        </w:tc>
        <w:tc>
          <w:tcPr>
            <w:tcW w:w="1134" w:type="dxa"/>
            <w:shd w:val="clear" w:color="auto" w:fill="A5C9EB"/>
            <w:tcMar>
              <w:top w:w="15" w:type="dxa"/>
              <w:left w:w="15" w:type="dxa"/>
              <w:bottom w:w="15" w:type="dxa"/>
              <w:right w:w="15" w:type="dxa"/>
            </w:tcMar>
            <w:vAlign w:val="center"/>
          </w:tcPr>
          <w:p w14:paraId="47752DCB" w14:textId="77777777" w:rsidR="00855109" w:rsidRPr="005040A4" w:rsidRDefault="00855109" w:rsidP="00E862E4">
            <w:pPr>
              <w:spacing w:line="276" w:lineRule="auto"/>
              <w:ind w:left="90"/>
              <w:jc w:val="center"/>
              <w:rPr>
                <w:rFonts w:eastAsia="Aptos"/>
                <w:b/>
                <w:bCs/>
                <w:sz w:val="16"/>
                <w:szCs w:val="16"/>
                <w:lang w:val="fr-FR"/>
              </w:rPr>
            </w:pPr>
            <w:r w:rsidRPr="005040A4">
              <w:rPr>
                <w:b/>
                <w:sz w:val="16"/>
                <w:lang w:val="fr-FR"/>
              </w:rPr>
              <w:t>2024</w:t>
            </w:r>
          </w:p>
        </w:tc>
        <w:tc>
          <w:tcPr>
            <w:tcW w:w="993" w:type="dxa"/>
            <w:shd w:val="clear" w:color="auto" w:fill="A5C9EB"/>
            <w:tcMar>
              <w:top w:w="15" w:type="dxa"/>
              <w:left w:w="15" w:type="dxa"/>
              <w:bottom w:w="15" w:type="dxa"/>
              <w:right w:w="15" w:type="dxa"/>
            </w:tcMar>
            <w:vAlign w:val="center"/>
          </w:tcPr>
          <w:p w14:paraId="756A961E" w14:textId="77777777" w:rsidR="00855109" w:rsidRPr="005040A4" w:rsidRDefault="00855109" w:rsidP="00E862E4">
            <w:pPr>
              <w:spacing w:line="276" w:lineRule="auto"/>
              <w:ind w:left="90"/>
              <w:jc w:val="center"/>
              <w:rPr>
                <w:rFonts w:eastAsia="Aptos"/>
                <w:b/>
                <w:bCs/>
                <w:sz w:val="16"/>
                <w:szCs w:val="16"/>
                <w:lang w:val="fr-FR"/>
              </w:rPr>
            </w:pPr>
            <w:r w:rsidRPr="005040A4">
              <w:rPr>
                <w:b/>
                <w:sz w:val="16"/>
                <w:lang w:val="fr-FR"/>
              </w:rPr>
              <w:t>2023</w:t>
            </w:r>
          </w:p>
        </w:tc>
        <w:tc>
          <w:tcPr>
            <w:tcW w:w="1050" w:type="dxa"/>
            <w:shd w:val="clear" w:color="auto" w:fill="A5C9EB"/>
            <w:tcMar>
              <w:top w:w="15" w:type="dxa"/>
              <w:left w:w="15" w:type="dxa"/>
              <w:bottom w:w="15" w:type="dxa"/>
              <w:right w:w="15" w:type="dxa"/>
            </w:tcMar>
            <w:vAlign w:val="center"/>
          </w:tcPr>
          <w:p w14:paraId="150DE0C8" w14:textId="77777777" w:rsidR="00855109" w:rsidRPr="005040A4" w:rsidRDefault="00855109" w:rsidP="00E862E4">
            <w:pPr>
              <w:spacing w:line="276" w:lineRule="auto"/>
              <w:ind w:left="90"/>
              <w:jc w:val="center"/>
              <w:rPr>
                <w:rFonts w:eastAsia="Aptos"/>
                <w:b/>
                <w:bCs/>
                <w:sz w:val="16"/>
                <w:szCs w:val="16"/>
                <w:lang w:val="fr-FR"/>
              </w:rPr>
            </w:pPr>
            <w:r w:rsidRPr="005040A4">
              <w:rPr>
                <w:b/>
                <w:sz w:val="16"/>
                <w:lang w:val="fr-FR"/>
              </w:rPr>
              <w:t>2022</w:t>
            </w:r>
          </w:p>
        </w:tc>
        <w:tc>
          <w:tcPr>
            <w:tcW w:w="1050" w:type="dxa"/>
            <w:shd w:val="clear" w:color="auto" w:fill="A5C9EB"/>
            <w:tcMar>
              <w:top w:w="15" w:type="dxa"/>
              <w:left w:w="15" w:type="dxa"/>
              <w:bottom w:w="15" w:type="dxa"/>
              <w:right w:w="15" w:type="dxa"/>
            </w:tcMar>
            <w:vAlign w:val="center"/>
          </w:tcPr>
          <w:p w14:paraId="50751114" w14:textId="77777777" w:rsidR="00855109" w:rsidRPr="005040A4" w:rsidRDefault="00855109" w:rsidP="00E862E4">
            <w:pPr>
              <w:spacing w:line="276" w:lineRule="auto"/>
              <w:ind w:left="90"/>
              <w:jc w:val="center"/>
              <w:rPr>
                <w:rFonts w:eastAsia="Aptos"/>
                <w:b/>
                <w:bCs/>
                <w:sz w:val="16"/>
                <w:szCs w:val="16"/>
                <w:lang w:val="fr-FR"/>
              </w:rPr>
            </w:pPr>
            <w:r w:rsidRPr="005040A4">
              <w:rPr>
                <w:b/>
                <w:sz w:val="16"/>
                <w:lang w:val="fr-FR"/>
              </w:rPr>
              <w:t>2021</w:t>
            </w:r>
          </w:p>
        </w:tc>
        <w:tc>
          <w:tcPr>
            <w:tcW w:w="1018" w:type="dxa"/>
            <w:shd w:val="clear" w:color="auto" w:fill="A5C9EB"/>
            <w:tcMar>
              <w:top w:w="15" w:type="dxa"/>
              <w:left w:w="15" w:type="dxa"/>
              <w:bottom w:w="15" w:type="dxa"/>
              <w:right w:w="15" w:type="dxa"/>
            </w:tcMar>
            <w:vAlign w:val="center"/>
          </w:tcPr>
          <w:p w14:paraId="361CFD7D" w14:textId="77777777" w:rsidR="00855109" w:rsidRPr="005040A4" w:rsidRDefault="00855109" w:rsidP="00E862E4">
            <w:pPr>
              <w:spacing w:line="276" w:lineRule="auto"/>
              <w:ind w:left="90"/>
              <w:jc w:val="center"/>
              <w:rPr>
                <w:rFonts w:eastAsia="Aptos"/>
                <w:b/>
                <w:bCs/>
                <w:sz w:val="16"/>
                <w:szCs w:val="16"/>
                <w:lang w:val="fr-FR"/>
              </w:rPr>
            </w:pPr>
            <w:r w:rsidRPr="005040A4">
              <w:rPr>
                <w:b/>
                <w:sz w:val="16"/>
                <w:lang w:val="fr-FR"/>
              </w:rPr>
              <w:t>2020</w:t>
            </w:r>
          </w:p>
        </w:tc>
      </w:tr>
      <w:tr w:rsidR="00855109" w:rsidRPr="005040A4" w14:paraId="627C6ACF" w14:textId="77777777" w:rsidTr="00606A8C">
        <w:trPr>
          <w:trHeight w:val="300"/>
        </w:trPr>
        <w:tc>
          <w:tcPr>
            <w:tcW w:w="8222" w:type="dxa"/>
            <w:gridSpan w:val="6"/>
            <w:tcMar>
              <w:top w:w="15" w:type="dxa"/>
              <w:left w:w="15" w:type="dxa"/>
              <w:bottom w:w="15" w:type="dxa"/>
              <w:right w:w="15" w:type="dxa"/>
            </w:tcMar>
            <w:vAlign w:val="center"/>
          </w:tcPr>
          <w:p w14:paraId="4BA3B5A5" w14:textId="77777777" w:rsidR="00855109" w:rsidRPr="005040A4" w:rsidRDefault="00855109" w:rsidP="00E862E4">
            <w:pPr>
              <w:spacing w:line="276" w:lineRule="auto"/>
              <w:ind w:left="90"/>
              <w:rPr>
                <w:rFonts w:eastAsia="Aptos"/>
                <w:b/>
                <w:bCs/>
                <w:sz w:val="16"/>
                <w:szCs w:val="16"/>
                <w:lang w:val="fr-FR"/>
              </w:rPr>
            </w:pPr>
            <w:r w:rsidRPr="005040A4">
              <w:rPr>
                <w:b/>
                <w:sz w:val="16"/>
                <w:lang w:val="fr-FR"/>
              </w:rPr>
              <w:t>Recettes</w:t>
            </w:r>
          </w:p>
        </w:tc>
      </w:tr>
      <w:tr w:rsidR="00855109" w:rsidRPr="005040A4" w14:paraId="5A93DB18" w14:textId="77777777" w:rsidTr="00606A8C">
        <w:trPr>
          <w:trHeight w:val="300"/>
        </w:trPr>
        <w:tc>
          <w:tcPr>
            <w:tcW w:w="2977" w:type="dxa"/>
            <w:tcMar>
              <w:top w:w="15" w:type="dxa"/>
              <w:left w:w="15" w:type="dxa"/>
              <w:bottom w:w="15" w:type="dxa"/>
              <w:right w:w="15" w:type="dxa"/>
            </w:tcMar>
            <w:vAlign w:val="center"/>
          </w:tcPr>
          <w:p w14:paraId="5A1A684E" w14:textId="77777777" w:rsidR="00855109" w:rsidRPr="005040A4" w:rsidRDefault="00855109" w:rsidP="00E862E4">
            <w:pPr>
              <w:spacing w:line="276" w:lineRule="auto"/>
              <w:ind w:left="90"/>
              <w:jc w:val="center"/>
              <w:rPr>
                <w:rFonts w:eastAsia="Aptos"/>
                <w:sz w:val="16"/>
                <w:szCs w:val="16"/>
                <w:lang w:val="fr-FR"/>
              </w:rPr>
            </w:pPr>
            <w:r w:rsidRPr="005040A4">
              <w:rPr>
                <w:sz w:val="16"/>
                <w:lang w:val="fr-FR"/>
              </w:rPr>
              <w:t>Budget initial</w:t>
            </w:r>
          </w:p>
        </w:tc>
        <w:tc>
          <w:tcPr>
            <w:tcW w:w="1134" w:type="dxa"/>
            <w:tcMar>
              <w:top w:w="15" w:type="dxa"/>
              <w:left w:w="15" w:type="dxa"/>
              <w:bottom w:w="15" w:type="dxa"/>
              <w:right w:w="15" w:type="dxa"/>
            </w:tcMar>
            <w:vAlign w:val="center"/>
          </w:tcPr>
          <w:p w14:paraId="422061C3"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479,201</w:t>
            </w:r>
          </w:p>
        </w:tc>
        <w:tc>
          <w:tcPr>
            <w:tcW w:w="993" w:type="dxa"/>
            <w:tcMar>
              <w:top w:w="15" w:type="dxa"/>
              <w:left w:w="15" w:type="dxa"/>
              <w:bottom w:w="15" w:type="dxa"/>
              <w:right w:w="15" w:type="dxa"/>
            </w:tcMar>
            <w:vAlign w:val="center"/>
          </w:tcPr>
          <w:p w14:paraId="6F533F1E"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483,836</w:t>
            </w:r>
          </w:p>
        </w:tc>
        <w:tc>
          <w:tcPr>
            <w:tcW w:w="1050" w:type="dxa"/>
            <w:tcMar>
              <w:top w:w="15" w:type="dxa"/>
              <w:left w:w="15" w:type="dxa"/>
              <w:bottom w:w="15" w:type="dxa"/>
              <w:right w:w="15" w:type="dxa"/>
            </w:tcMar>
            <w:vAlign w:val="center"/>
          </w:tcPr>
          <w:p w14:paraId="67A95476"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467,925</w:t>
            </w:r>
          </w:p>
        </w:tc>
        <w:tc>
          <w:tcPr>
            <w:tcW w:w="1050" w:type="dxa"/>
            <w:tcMar>
              <w:top w:w="15" w:type="dxa"/>
              <w:left w:w="15" w:type="dxa"/>
              <w:bottom w:w="15" w:type="dxa"/>
              <w:right w:w="15" w:type="dxa"/>
            </w:tcMar>
            <w:vAlign w:val="center"/>
          </w:tcPr>
          <w:p w14:paraId="661A28BA"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448,839</w:t>
            </w:r>
          </w:p>
        </w:tc>
        <w:tc>
          <w:tcPr>
            <w:tcW w:w="1018" w:type="dxa"/>
            <w:tcMar>
              <w:top w:w="15" w:type="dxa"/>
              <w:left w:w="15" w:type="dxa"/>
              <w:bottom w:w="15" w:type="dxa"/>
              <w:right w:w="15" w:type="dxa"/>
            </w:tcMar>
            <w:vAlign w:val="center"/>
          </w:tcPr>
          <w:p w14:paraId="14995D10"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433,930</w:t>
            </w:r>
          </w:p>
        </w:tc>
      </w:tr>
      <w:tr w:rsidR="00855109" w:rsidRPr="005040A4" w14:paraId="4AA97219" w14:textId="77777777" w:rsidTr="00606A8C">
        <w:trPr>
          <w:trHeight w:val="300"/>
        </w:trPr>
        <w:tc>
          <w:tcPr>
            <w:tcW w:w="2977" w:type="dxa"/>
            <w:tcMar>
              <w:top w:w="15" w:type="dxa"/>
              <w:left w:w="15" w:type="dxa"/>
              <w:bottom w:w="15" w:type="dxa"/>
              <w:right w:w="15" w:type="dxa"/>
            </w:tcMar>
            <w:vAlign w:val="center"/>
          </w:tcPr>
          <w:p w14:paraId="75490EF8" w14:textId="77777777" w:rsidR="00855109" w:rsidRPr="005040A4" w:rsidRDefault="00855109" w:rsidP="00E862E4">
            <w:pPr>
              <w:spacing w:line="276" w:lineRule="auto"/>
              <w:ind w:left="90"/>
              <w:jc w:val="center"/>
              <w:rPr>
                <w:rFonts w:eastAsia="Aptos"/>
                <w:sz w:val="16"/>
                <w:szCs w:val="16"/>
                <w:lang w:val="fr-FR"/>
              </w:rPr>
            </w:pPr>
            <w:r w:rsidRPr="005040A4">
              <w:rPr>
                <w:sz w:val="16"/>
                <w:lang w:val="fr-FR"/>
              </w:rPr>
              <w:t>Résultat</w:t>
            </w:r>
          </w:p>
        </w:tc>
        <w:tc>
          <w:tcPr>
            <w:tcW w:w="1134" w:type="dxa"/>
            <w:tcMar>
              <w:top w:w="15" w:type="dxa"/>
              <w:left w:w="15" w:type="dxa"/>
              <w:bottom w:w="15" w:type="dxa"/>
              <w:right w:w="15" w:type="dxa"/>
            </w:tcMar>
            <w:vAlign w:val="center"/>
          </w:tcPr>
          <w:p w14:paraId="0ED0257A"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486,671</w:t>
            </w:r>
          </w:p>
        </w:tc>
        <w:tc>
          <w:tcPr>
            <w:tcW w:w="993" w:type="dxa"/>
            <w:tcMar>
              <w:top w:w="15" w:type="dxa"/>
              <w:left w:w="15" w:type="dxa"/>
              <w:bottom w:w="15" w:type="dxa"/>
              <w:right w:w="15" w:type="dxa"/>
            </w:tcMar>
            <w:vAlign w:val="center"/>
          </w:tcPr>
          <w:p w14:paraId="623A63A7"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480,208</w:t>
            </w:r>
          </w:p>
        </w:tc>
        <w:tc>
          <w:tcPr>
            <w:tcW w:w="1050" w:type="dxa"/>
            <w:tcMar>
              <w:top w:w="15" w:type="dxa"/>
              <w:left w:w="15" w:type="dxa"/>
              <w:bottom w:w="15" w:type="dxa"/>
              <w:right w:w="15" w:type="dxa"/>
            </w:tcMar>
            <w:vAlign w:val="center"/>
          </w:tcPr>
          <w:p w14:paraId="750DEF8E"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491,946</w:t>
            </w:r>
          </w:p>
        </w:tc>
        <w:tc>
          <w:tcPr>
            <w:tcW w:w="1050" w:type="dxa"/>
            <w:tcMar>
              <w:top w:w="15" w:type="dxa"/>
              <w:left w:w="15" w:type="dxa"/>
              <w:bottom w:w="15" w:type="dxa"/>
              <w:right w:w="15" w:type="dxa"/>
            </w:tcMar>
            <w:vAlign w:val="center"/>
          </w:tcPr>
          <w:p w14:paraId="32AC1E63" w14:textId="77777777" w:rsidR="00855109" w:rsidRPr="005040A4" w:rsidRDefault="00855109" w:rsidP="00E862E4">
            <w:pPr>
              <w:spacing w:line="276" w:lineRule="auto"/>
              <w:ind w:left="90" w:right="57"/>
              <w:jc w:val="right"/>
              <w:rPr>
                <w:rFonts w:eastAsia="Aptos"/>
                <w:color w:val="FF0000"/>
                <w:sz w:val="16"/>
                <w:szCs w:val="16"/>
                <w:lang w:val="fr-FR"/>
              </w:rPr>
            </w:pPr>
            <w:r w:rsidRPr="005040A4">
              <w:rPr>
                <w:color w:val="0D0D0D" w:themeColor="text1" w:themeTint="F2"/>
                <w:sz w:val="16"/>
                <w:lang w:val="fr-FR"/>
              </w:rPr>
              <w:t>469,121</w:t>
            </w:r>
          </w:p>
        </w:tc>
        <w:tc>
          <w:tcPr>
            <w:tcW w:w="1018" w:type="dxa"/>
            <w:tcMar>
              <w:top w:w="15" w:type="dxa"/>
              <w:left w:w="15" w:type="dxa"/>
              <w:bottom w:w="15" w:type="dxa"/>
              <w:right w:w="15" w:type="dxa"/>
            </w:tcMar>
            <w:vAlign w:val="center"/>
          </w:tcPr>
          <w:p w14:paraId="101682ED"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462,937</w:t>
            </w:r>
          </w:p>
        </w:tc>
      </w:tr>
      <w:tr w:rsidR="00855109" w:rsidRPr="005040A4" w14:paraId="25D095EE" w14:textId="77777777" w:rsidTr="00606A8C">
        <w:trPr>
          <w:trHeight w:val="300"/>
        </w:trPr>
        <w:tc>
          <w:tcPr>
            <w:tcW w:w="2977" w:type="dxa"/>
            <w:tcMar>
              <w:top w:w="15" w:type="dxa"/>
              <w:left w:w="15" w:type="dxa"/>
              <w:bottom w:w="15" w:type="dxa"/>
              <w:right w:w="15" w:type="dxa"/>
            </w:tcMar>
            <w:vAlign w:val="center"/>
          </w:tcPr>
          <w:p w14:paraId="618B052B" w14:textId="77777777" w:rsidR="00855109" w:rsidRPr="005040A4" w:rsidRDefault="00855109" w:rsidP="00E862E4">
            <w:pPr>
              <w:spacing w:line="276" w:lineRule="auto"/>
              <w:ind w:left="90"/>
              <w:jc w:val="center"/>
              <w:rPr>
                <w:rFonts w:eastAsia="Aptos"/>
                <w:sz w:val="16"/>
                <w:szCs w:val="16"/>
                <w:lang w:val="fr-FR"/>
              </w:rPr>
            </w:pPr>
            <w:r w:rsidRPr="005040A4">
              <w:rPr>
                <w:sz w:val="16"/>
                <w:lang w:val="fr-FR"/>
              </w:rPr>
              <w:t>Variation</w:t>
            </w:r>
          </w:p>
        </w:tc>
        <w:tc>
          <w:tcPr>
            <w:tcW w:w="1134" w:type="dxa"/>
            <w:tcMar>
              <w:top w:w="15" w:type="dxa"/>
              <w:left w:w="15" w:type="dxa"/>
              <w:bottom w:w="15" w:type="dxa"/>
              <w:right w:w="15" w:type="dxa"/>
            </w:tcMar>
            <w:vAlign w:val="center"/>
          </w:tcPr>
          <w:p w14:paraId="2D522587" w14:textId="77777777" w:rsidR="00855109" w:rsidRPr="005040A4" w:rsidRDefault="00855109" w:rsidP="00E862E4">
            <w:pPr>
              <w:spacing w:line="276" w:lineRule="auto"/>
              <w:ind w:left="90" w:right="57"/>
              <w:jc w:val="right"/>
              <w:rPr>
                <w:rFonts w:eastAsia="Aptos"/>
                <w:sz w:val="16"/>
                <w:szCs w:val="16"/>
                <w:lang w:val="fr-FR"/>
              </w:rPr>
            </w:pPr>
            <w:r w:rsidRPr="005040A4">
              <w:rPr>
                <w:color w:val="0D0D0D" w:themeColor="text1" w:themeTint="F2"/>
                <w:sz w:val="16"/>
                <w:lang w:val="fr-FR"/>
              </w:rPr>
              <w:t>7,470</w:t>
            </w:r>
          </w:p>
        </w:tc>
        <w:tc>
          <w:tcPr>
            <w:tcW w:w="993" w:type="dxa"/>
            <w:tcMar>
              <w:top w:w="15" w:type="dxa"/>
              <w:left w:w="15" w:type="dxa"/>
              <w:bottom w:w="15" w:type="dxa"/>
              <w:right w:w="15" w:type="dxa"/>
            </w:tcMar>
            <w:vAlign w:val="center"/>
          </w:tcPr>
          <w:p w14:paraId="43767CE4" w14:textId="1ACA6309" w:rsidR="00855109" w:rsidRPr="005040A4" w:rsidRDefault="00C249FA" w:rsidP="00E862E4">
            <w:pPr>
              <w:spacing w:line="276" w:lineRule="auto"/>
              <w:ind w:left="90" w:right="57"/>
              <w:jc w:val="right"/>
              <w:rPr>
                <w:rFonts w:eastAsia="Aptos"/>
                <w:sz w:val="16"/>
                <w:szCs w:val="16"/>
                <w:lang w:val="fr-FR"/>
              </w:rPr>
            </w:pPr>
            <w:r w:rsidRPr="005040A4">
              <w:rPr>
                <w:sz w:val="16"/>
                <w:lang w:val="fr-FR"/>
              </w:rPr>
              <w:noBreakHyphen/>
            </w:r>
            <w:r w:rsidR="00855109" w:rsidRPr="005040A4">
              <w:rPr>
                <w:sz w:val="16"/>
                <w:lang w:val="fr-FR"/>
              </w:rPr>
              <w:t>3,628</w:t>
            </w:r>
          </w:p>
        </w:tc>
        <w:tc>
          <w:tcPr>
            <w:tcW w:w="1050" w:type="dxa"/>
            <w:tcMar>
              <w:top w:w="15" w:type="dxa"/>
              <w:left w:w="15" w:type="dxa"/>
              <w:bottom w:w="15" w:type="dxa"/>
              <w:right w:w="15" w:type="dxa"/>
            </w:tcMar>
            <w:vAlign w:val="center"/>
          </w:tcPr>
          <w:p w14:paraId="33A2104B"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24,021</w:t>
            </w:r>
          </w:p>
        </w:tc>
        <w:tc>
          <w:tcPr>
            <w:tcW w:w="1050" w:type="dxa"/>
            <w:tcMar>
              <w:top w:w="15" w:type="dxa"/>
              <w:left w:w="15" w:type="dxa"/>
              <w:bottom w:w="15" w:type="dxa"/>
              <w:right w:w="15" w:type="dxa"/>
            </w:tcMar>
            <w:vAlign w:val="center"/>
          </w:tcPr>
          <w:p w14:paraId="6B57E270" w14:textId="77777777" w:rsidR="00855109" w:rsidRPr="005040A4" w:rsidRDefault="00855109" w:rsidP="00E862E4">
            <w:pPr>
              <w:spacing w:line="276" w:lineRule="auto"/>
              <w:ind w:left="90" w:right="57"/>
              <w:jc w:val="right"/>
              <w:rPr>
                <w:rFonts w:eastAsia="Aptos"/>
                <w:sz w:val="16"/>
                <w:szCs w:val="16"/>
                <w:lang w:val="fr-FR"/>
              </w:rPr>
            </w:pPr>
            <w:r w:rsidRPr="005040A4">
              <w:rPr>
                <w:color w:val="0D0D0D" w:themeColor="text1" w:themeTint="F2"/>
                <w:sz w:val="16"/>
                <w:lang w:val="fr-FR"/>
              </w:rPr>
              <w:t>20,282</w:t>
            </w:r>
          </w:p>
        </w:tc>
        <w:tc>
          <w:tcPr>
            <w:tcW w:w="1018" w:type="dxa"/>
            <w:tcMar>
              <w:top w:w="15" w:type="dxa"/>
              <w:left w:w="15" w:type="dxa"/>
              <w:bottom w:w="15" w:type="dxa"/>
              <w:right w:w="15" w:type="dxa"/>
            </w:tcMar>
            <w:vAlign w:val="center"/>
          </w:tcPr>
          <w:p w14:paraId="2596D0AF"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29,007</w:t>
            </w:r>
          </w:p>
        </w:tc>
      </w:tr>
      <w:tr w:rsidR="00855109" w:rsidRPr="005040A4" w14:paraId="03DDA8C9" w14:textId="77777777" w:rsidTr="00606A8C">
        <w:trPr>
          <w:trHeight w:val="300"/>
        </w:trPr>
        <w:tc>
          <w:tcPr>
            <w:tcW w:w="8222" w:type="dxa"/>
            <w:gridSpan w:val="6"/>
            <w:tcMar>
              <w:top w:w="15" w:type="dxa"/>
              <w:left w:w="15" w:type="dxa"/>
              <w:bottom w:w="15" w:type="dxa"/>
              <w:right w:w="15" w:type="dxa"/>
            </w:tcMar>
            <w:vAlign w:val="center"/>
          </w:tcPr>
          <w:p w14:paraId="4E148275" w14:textId="77777777" w:rsidR="00855109" w:rsidRPr="005040A4" w:rsidRDefault="00855109" w:rsidP="00E862E4">
            <w:pPr>
              <w:spacing w:line="276" w:lineRule="auto"/>
              <w:ind w:left="90"/>
              <w:rPr>
                <w:rFonts w:eastAsia="Aptos"/>
                <w:b/>
                <w:bCs/>
                <w:sz w:val="16"/>
                <w:szCs w:val="16"/>
                <w:lang w:val="fr-FR"/>
              </w:rPr>
            </w:pPr>
            <w:r w:rsidRPr="005040A4">
              <w:rPr>
                <w:b/>
                <w:sz w:val="16"/>
                <w:lang w:val="fr-FR"/>
              </w:rPr>
              <w:t>Dépenses</w:t>
            </w:r>
          </w:p>
        </w:tc>
      </w:tr>
      <w:tr w:rsidR="00855109" w:rsidRPr="005040A4" w14:paraId="7E8749DB" w14:textId="77777777" w:rsidTr="00606A8C">
        <w:trPr>
          <w:trHeight w:val="300"/>
        </w:trPr>
        <w:tc>
          <w:tcPr>
            <w:tcW w:w="2977" w:type="dxa"/>
            <w:tcMar>
              <w:top w:w="15" w:type="dxa"/>
              <w:left w:w="15" w:type="dxa"/>
              <w:bottom w:w="15" w:type="dxa"/>
              <w:right w:w="15" w:type="dxa"/>
            </w:tcMar>
            <w:vAlign w:val="center"/>
          </w:tcPr>
          <w:p w14:paraId="69A0D82C" w14:textId="77777777" w:rsidR="00855109" w:rsidRPr="005040A4" w:rsidRDefault="00855109" w:rsidP="00E862E4">
            <w:pPr>
              <w:spacing w:line="276" w:lineRule="auto"/>
              <w:ind w:left="90"/>
              <w:jc w:val="center"/>
              <w:rPr>
                <w:rFonts w:eastAsia="Aptos"/>
                <w:sz w:val="16"/>
                <w:szCs w:val="16"/>
                <w:lang w:val="fr-FR"/>
              </w:rPr>
            </w:pPr>
            <w:r w:rsidRPr="005040A4">
              <w:rPr>
                <w:sz w:val="16"/>
                <w:lang w:val="fr-FR"/>
              </w:rPr>
              <w:t>Budget initial</w:t>
            </w:r>
          </w:p>
        </w:tc>
        <w:tc>
          <w:tcPr>
            <w:tcW w:w="1134" w:type="dxa"/>
            <w:tcMar>
              <w:top w:w="15" w:type="dxa"/>
              <w:left w:w="15" w:type="dxa"/>
              <w:bottom w:w="15" w:type="dxa"/>
              <w:right w:w="15" w:type="dxa"/>
            </w:tcMar>
            <w:vAlign w:val="center"/>
          </w:tcPr>
          <w:p w14:paraId="5A91EFD1"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426,869</w:t>
            </w:r>
          </w:p>
        </w:tc>
        <w:tc>
          <w:tcPr>
            <w:tcW w:w="993" w:type="dxa"/>
            <w:tcMar>
              <w:top w:w="15" w:type="dxa"/>
              <w:left w:w="15" w:type="dxa"/>
              <w:bottom w:w="15" w:type="dxa"/>
              <w:right w:w="15" w:type="dxa"/>
            </w:tcMar>
            <w:vAlign w:val="center"/>
          </w:tcPr>
          <w:p w14:paraId="2BAA0AFB"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398,131</w:t>
            </w:r>
          </w:p>
        </w:tc>
        <w:tc>
          <w:tcPr>
            <w:tcW w:w="1050" w:type="dxa"/>
            <w:tcMar>
              <w:top w:w="15" w:type="dxa"/>
              <w:left w:w="15" w:type="dxa"/>
              <w:bottom w:w="15" w:type="dxa"/>
              <w:right w:w="15" w:type="dxa"/>
            </w:tcMar>
            <w:vAlign w:val="center"/>
          </w:tcPr>
          <w:p w14:paraId="357401CC"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395,660</w:t>
            </w:r>
          </w:p>
        </w:tc>
        <w:tc>
          <w:tcPr>
            <w:tcW w:w="1050" w:type="dxa"/>
            <w:tcMar>
              <w:top w:w="15" w:type="dxa"/>
              <w:left w:w="15" w:type="dxa"/>
              <w:bottom w:w="15" w:type="dxa"/>
              <w:right w:w="15" w:type="dxa"/>
            </w:tcMar>
            <w:vAlign w:val="center"/>
          </w:tcPr>
          <w:p w14:paraId="3E75B4F1"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387,280</w:t>
            </w:r>
          </w:p>
        </w:tc>
        <w:tc>
          <w:tcPr>
            <w:tcW w:w="1018" w:type="dxa"/>
            <w:tcMar>
              <w:top w:w="15" w:type="dxa"/>
              <w:left w:w="15" w:type="dxa"/>
              <w:bottom w:w="15" w:type="dxa"/>
              <w:right w:w="15" w:type="dxa"/>
            </w:tcMar>
            <w:vAlign w:val="center"/>
          </w:tcPr>
          <w:p w14:paraId="44AB667B"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381,122</w:t>
            </w:r>
          </w:p>
        </w:tc>
      </w:tr>
      <w:tr w:rsidR="00855109" w:rsidRPr="005040A4" w14:paraId="61112557" w14:textId="77777777" w:rsidTr="00606A8C">
        <w:trPr>
          <w:trHeight w:val="300"/>
        </w:trPr>
        <w:tc>
          <w:tcPr>
            <w:tcW w:w="2977" w:type="dxa"/>
            <w:tcMar>
              <w:top w:w="15" w:type="dxa"/>
              <w:left w:w="15" w:type="dxa"/>
              <w:bottom w:w="15" w:type="dxa"/>
              <w:right w:w="15" w:type="dxa"/>
            </w:tcMar>
            <w:vAlign w:val="center"/>
          </w:tcPr>
          <w:p w14:paraId="27295A36" w14:textId="77777777" w:rsidR="00855109" w:rsidRPr="005040A4" w:rsidRDefault="00855109" w:rsidP="00E862E4">
            <w:pPr>
              <w:spacing w:line="276" w:lineRule="auto"/>
              <w:ind w:left="90"/>
              <w:jc w:val="center"/>
              <w:rPr>
                <w:rFonts w:eastAsia="Aptos"/>
                <w:sz w:val="16"/>
                <w:szCs w:val="16"/>
                <w:lang w:val="fr-FR"/>
              </w:rPr>
            </w:pPr>
            <w:r w:rsidRPr="005040A4">
              <w:rPr>
                <w:sz w:val="16"/>
                <w:lang w:val="fr-FR"/>
              </w:rPr>
              <w:t>Résultat</w:t>
            </w:r>
          </w:p>
        </w:tc>
        <w:tc>
          <w:tcPr>
            <w:tcW w:w="1134" w:type="dxa"/>
            <w:tcMar>
              <w:top w:w="15" w:type="dxa"/>
              <w:left w:w="15" w:type="dxa"/>
              <w:bottom w:w="15" w:type="dxa"/>
              <w:right w:w="15" w:type="dxa"/>
            </w:tcMar>
            <w:vAlign w:val="center"/>
          </w:tcPr>
          <w:p w14:paraId="787682A2"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383,366</w:t>
            </w:r>
          </w:p>
        </w:tc>
        <w:tc>
          <w:tcPr>
            <w:tcW w:w="993" w:type="dxa"/>
            <w:tcMar>
              <w:top w:w="15" w:type="dxa"/>
              <w:left w:w="15" w:type="dxa"/>
              <w:bottom w:w="15" w:type="dxa"/>
              <w:right w:w="15" w:type="dxa"/>
            </w:tcMar>
            <w:vAlign w:val="center"/>
          </w:tcPr>
          <w:p w14:paraId="757E89D1"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385,796</w:t>
            </w:r>
          </w:p>
        </w:tc>
        <w:tc>
          <w:tcPr>
            <w:tcW w:w="1050" w:type="dxa"/>
            <w:tcMar>
              <w:top w:w="15" w:type="dxa"/>
              <w:left w:w="15" w:type="dxa"/>
              <w:bottom w:w="15" w:type="dxa"/>
              <w:right w:w="15" w:type="dxa"/>
            </w:tcMar>
            <w:vAlign w:val="center"/>
          </w:tcPr>
          <w:p w14:paraId="127A18A1"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356,971</w:t>
            </w:r>
          </w:p>
        </w:tc>
        <w:tc>
          <w:tcPr>
            <w:tcW w:w="1050" w:type="dxa"/>
            <w:tcMar>
              <w:top w:w="15" w:type="dxa"/>
              <w:left w:w="15" w:type="dxa"/>
              <w:bottom w:w="15" w:type="dxa"/>
              <w:right w:w="15" w:type="dxa"/>
            </w:tcMar>
            <w:vAlign w:val="center"/>
          </w:tcPr>
          <w:p w14:paraId="710F9C25"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348,137</w:t>
            </w:r>
          </w:p>
        </w:tc>
        <w:tc>
          <w:tcPr>
            <w:tcW w:w="1018" w:type="dxa"/>
            <w:tcMar>
              <w:top w:w="15" w:type="dxa"/>
              <w:left w:w="15" w:type="dxa"/>
              <w:bottom w:w="15" w:type="dxa"/>
              <w:right w:w="15" w:type="dxa"/>
            </w:tcMar>
            <w:vAlign w:val="center"/>
          </w:tcPr>
          <w:p w14:paraId="7EE63877"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327,881</w:t>
            </w:r>
          </w:p>
        </w:tc>
      </w:tr>
      <w:tr w:rsidR="00855109" w:rsidRPr="005040A4" w14:paraId="6C55F4F8" w14:textId="77777777" w:rsidTr="00606A8C">
        <w:trPr>
          <w:trHeight w:val="300"/>
        </w:trPr>
        <w:tc>
          <w:tcPr>
            <w:tcW w:w="2977" w:type="dxa"/>
            <w:tcMar>
              <w:top w:w="15" w:type="dxa"/>
              <w:left w:w="15" w:type="dxa"/>
              <w:bottom w:w="15" w:type="dxa"/>
              <w:right w:w="15" w:type="dxa"/>
            </w:tcMar>
            <w:vAlign w:val="center"/>
          </w:tcPr>
          <w:p w14:paraId="69D25B09" w14:textId="77777777" w:rsidR="00855109" w:rsidRPr="005040A4" w:rsidRDefault="00855109" w:rsidP="00E862E4">
            <w:pPr>
              <w:spacing w:line="276" w:lineRule="auto"/>
              <w:ind w:left="90"/>
              <w:jc w:val="center"/>
              <w:rPr>
                <w:rFonts w:eastAsia="Aptos"/>
                <w:sz w:val="16"/>
                <w:szCs w:val="16"/>
                <w:lang w:val="fr-FR"/>
              </w:rPr>
            </w:pPr>
            <w:r w:rsidRPr="005040A4">
              <w:rPr>
                <w:sz w:val="16"/>
                <w:lang w:val="fr-FR"/>
              </w:rPr>
              <w:t>Variation</w:t>
            </w:r>
          </w:p>
        </w:tc>
        <w:tc>
          <w:tcPr>
            <w:tcW w:w="1134" w:type="dxa"/>
            <w:tcMar>
              <w:top w:w="15" w:type="dxa"/>
              <w:left w:w="15" w:type="dxa"/>
              <w:bottom w:w="15" w:type="dxa"/>
              <w:right w:w="15" w:type="dxa"/>
            </w:tcMar>
            <w:vAlign w:val="center"/>
          </w:tcPr>
          <w:p w14:paraId="45FB5FB5"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43,503</w:t>
            </w:r>
          </w:p>
        </w:tc>
        <w:tc>
          <w:tcPr>
            <w:tcW w:w="993" w:type="dxa"/>
            <w:tcMar>
              <w:top w:w="15" w:type="dxa"/>
              <w:left w:w="15" w:type="dxa"/>
              <w:bottom w:w="15" w:type="dxa"/>
              <w:right w:w="15" w:type="dxa"/>
            </w:tcMar>
            <w:vAlign w:val="center"/>
          </w:tcPr>
          <w:p w14:paraId="57936AC2"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12,335</w:t>
            </w:r>
          </w:p>
        </w:tc>
        <w:tc>
          <w:tcPr>
            <w:tcW w:w="1050" w:type="dxa"/>
            <w:tcMar>
              <w:top w:w="15" w:type="dxa"/>
              <w:left w:w="15" w:type="dxa"/>
              <w:bottom w:w="15" w:type="dxa"/>
              <w:right w:w="15" w:type="dxa"/>
            </w:tcMar>
            <w:vAlign w:val="center"/>
          </w:tcPr>
          <w:p w14:paraId="4D7383AB"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38,689</w:t>
            </w:r>
          </w:p>
        </w:tc>
        <w:tc>
          <w:tcPr>
            <w:tcW w:w="1050" w:type="dxa"/>
            <w:tcMar>
              <w:top w:w="15" w:type="dxa"/>
              <w:left w:w="15" w:type="dxa"/>
              <w:bottom w:w="15" w:type="dxa"/>
              <w:right w:w="15" w:type="dxa"/>
            </w:tcMar>
            <w:vAlign w:val="center"/>
          </w:tcPr>
          <w:p w14:paraId="638F263D"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39,143</w:t>
            </w:r>
          </w:p>
        </w:tc>
        <w:tc>
          <w:tcPr>
            <w:tcW w:w="1018" w:type="dxa"/>
            <w:tcMar>
              <w:top w:w="15" w:type="dxa"/>
              <w:left w:w="15" w:type="dxa"/>
              <w:bottom w:w="15" w:type="dxa"/>
              <w:right w:w="15" w:type="dxa"/>
            </w:tcMar>
            <w:vAlign w:val="center"/>
          </w:tcPr>
          <w:p w14:paraId="05BADA50"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53,241</w:t>
            </w:r>
          </w:p>
        </w:tc>
      </w:tr>
      <w:tr w:rsidR="00855109" w:rsidRPr="005040A4" w14:paraId="7C230E53" w14:textId="77777777" w:rsidTr="00606A8C">
        <w:trPr>
          <w:trHeight w:val="300"/>
        </w:trPr>
        <w:tc>
          <w:tcPr>
            <w:tcW w:w="8222" w:type="dxa"/>
            <w:gridSpan w:val="6"/>
            <w:tcMar>
              <w:top w:w="15" w:type="dxa"/>
              <w:left w:w="15" w:type="dxa"/>
              <w:bottom w:w="15" w:type="dxa"/>
              <w:right w:w="15" w:type="dxa"/>
            </w:tcMar>
            <w:vAlign w:val="center"/>
          </w:tcPr>
          <w:p w14:paraId="38A3B9FE" w14:textId="77777777" w:rsidR="00855109" w:rsidRPr="005040A4" w:rsidRDefault="00855109" w:rsidP="00E862E4">
            <w:pPr>
              <w:spacing w:line="276" w:lineRule="auto"/>
              <w:ind w:left="90"/>
              <w:rPr>
                <w:rFonts w:eastAsia="Aptos"/>
                <w:b/>
                <w:bCs/>
                <w:sz w:val="16"/>
                <w:szCs w:val="16"/>
                <w:lang w:val="fr-FR"/>
              </w:rPr>
            </w:pPr>
            <w:r w:rsidRPr="005040A4">
              <w:rPr>
                <w:b/>
                <w:sz w:val="16"/>
                <w:lang w:val="fr-FR"/>
              </w:rPr>
              <w:t>Excédent/(déficit) net</w:t>
            </w:r>
          </w:p>
        </w:tc>
      </w:tr>
      <w:tr w:rsidR="00855109" w:rsidRPr="005040A4" w14:paraId="7600E4D2" w14:textId="77777777" w:rsidTr="00606A8C">
        <w:trPr>
          <w:trHeight w:val="300"/>
        </w:trPr>
        <w:tc>
          <w:tcPr>
            <w:tcW w:w="2977" w:type="dxa"/>
            <w:tcMar>
              <w:top w:w="15" w:type="dxa"/>
              <w:left w:w="15" w:type="dxa"/>
              <w:bottom w:w="15" w:type="dxa"/>
              <w:right w:w="15" w:type="dxa"/>
            </w:tcMar>
            <w:vAlign w:val="center"/>
          </w:tcPr>
          <w:p w14:paraId="67E98A2D" w14:textId="77777777" w:rsidR="00855109" w:rsidRPr="005040A4" w:rsidRDefault="00855109" w:rsidP="00E862E4">
            <w:pPr>
              <w:spacing w:line="276" w:lineRule="auto"/>
              <w:ind w:left="90"/>
              <w:jc w:val="center"/>
              <w:rPr>
                <w:rFonts w:eastAsia="Aptos"/>
                <w:sz w:val="16"/>
                <w:szCs w:val="16"/>
                <w:lang w:val="fr-FR"/>
              </w:rPr>
            </w:pPr>
            <w:r w:rsidRPr="005040A4">
              <w:rPr>
                <w:sz w:val="16"/>
                <w:lang w:val="fr-FR"/>
              </w:rPr>
              <w:t>Excédent prévu</w:t>
            </w:r>
          </w:p>
        </w:tc>
        <w:tc>
          <w:tcPr>
            <w:tcW w:w="1134" w:type="dxa"/>
            <w:tcMar>
              <w:top w:w="15" w:type="dxa"/>
              <w:left w:w="15" w:type="dxa"/>
              <w:bottom w:w="15" w:type="dxa"/>
              <w:right w:w="15" w:type="dxa"/>
            </w:tcMar>
            <w:vAlign w:val="center"/>
          </w:tcPr>
          <w:p w14:paraId="0566BC4A"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52,332</w:t>
            </w:r>
          </w:p>
        </w:tc>
        <w:tc>
          <w:tcPr>
            <w:tcW w:w="993" w:type="dxa"/>
            <w:tcMar>
              <w:top w:w="15" w:type="dxa"/>
              <w:left w:w="15" w:type="dxa"/>
              <w:bottom w:w="15" w:type="dxa"/>
              <w:right w:w="15" w:type="dxa"/>
            </w:tcMar>
            <w:vAlign w:val="center"/>
          </w:tcPr>
          <w:p w14:paraId="5152117D"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85,705</w:t>
            </w:r>
          </w:p>
        </w:tc>
        <w:tc>
          <w:tcPr>
            <w:tcW w:w="1050" w:type="dxa"/>
            <w:tcMar>
              <w:top w:w="15" w:type="dxa"/>
              <w:left w:w="15" w:type="dxa"/>
              <w:bottom w:w="15" w:type="dxa"/>
              <w:right w:w="15" w:type="dxa"/>
            </w:tcMar>
            <w:vAlign w:val="center"/>
          </w:tcPr>
          <w:p w14:paraId="5475C180"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72,265</w:t>
            </w:r>
          </w:p>
        </w:tc>
        <w:tc>
          <w:tcPr>
            <w:tcW w:w="1050" w:type="dxa"/>
            <w:tcMar>
              <w:top w:w="15" w:type="dxa"/>
              <w:left w:w="15" w:type="dxa"/>
              <w:bottom w:w="15" w:type="dxa"/>
              <w:right w:w="15" w:type="dxa"/>
            </w:tcMar>
            <w:vAlign w:val="center"/>
          </w:tcPr>
          <w:p w14:paraId="448D2437"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61,559</w:t>
            </w:r>
          </w:p>
        </w:tc>
        <w:tc>
          <w:tcPr>
            <w:tcW w:w="1018" w:type="dxa"/>
            <w:shd w:val="clear" w:color="auto" w:fill="auto"/>
            <w:tcMar>
              <w:top w:w="15" w:type="dxa"/>
              <w:left w:w="15" w:type="dxa"/>
              <w:bottom w:w="15" w:type="dxa"/>
              <w:right w:w="15" w:type="dxa"/>
            </w:tcMar>
            <w:vAlign w:val="center"/>
          </w:tcPr>
          <w:p w14:paraId="75B32E37"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52,808</w:t>
            </w:r>
          </w:p>
        </w:tc>
      </w:tr>
      <w:tr w:rsidR="00855109" w:rsidRPr="005040A4" w14:paraId="1B79A0A6" w14:textId="77777777" w:rsidTr="00606A8C">
        <w:trPr>
          <w:trHeight w:val="300"/>
        </w:trPr>
        <w:tc>
          <w:tcPr>
            <w:tcW w:w="2977" w:type="dxa"/>
            <w:tcMar>
              <w:top w:w="15" w:type="dxa"/>
              <w:left w:w="15" w:type="dxa"/>
              <w:bottom w:w="15" w:type="dxa"/>
              <w:right w:w="15" w:type="dxa"/>
            </w:tcMar>
            <w:vAlign w:val="center"/>
          </w:tcPr>
          <w:p w14:paraId="1B573B69" w14:textId="77777777" w:rsidR="00855109" w:rsidRPr="005040A4" w:rsidRDefault="00855109" w:rsidP="00E862E4">
            <w:pPr>
              <w:spacing w:line="276" w:lineRule="auto"/>
              <w:ind w:left="90"/>
              <w:jc w:val="center"/>
              <w:rPr>
                <w:rFonts w:eastAsia="Aptos"/>
                <w:sz w:val="16"/>
                <w:szCs w:val="16"/>
                <w:lang w:val="fr-FR"/>
              </w:rPr>
            </w:pPr>
            <w:r w:rsidRPr="005040A4">
              <w:rPr>
                <w:sz w:val="16"/>
                <w:lang w:val="fr-FR"/>
              </w:rPr>
              <w:t>Excédent réel¹</w:t>
            </w:r>
          </w:p>
        </w:tc>
        <w:tc>
          <w:tcPr>
            <w:tcW w:w="1134" w:type="dxa"/>
            <w:tcMar>
              <w:top w:w="15" w:type="dxa"/>
              <w:left w:w="15" w:type="dxa"/>
              <w:bottom w:w="15" w:type="dxa"/>
              <w:right w:w="15" w:type="dxa"/>
            </w:tcMar>
            <w:vAlign w:val="center"/>
          </w:tcPr>
          <w:p w14:paraId="7C8EED01"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103,305</w:t>
            </w:r>
          </w:p>
        </w:tc>
        <w:tc>
          <w:tcPr>
            <w:tcW w:w="993" w:type="dxa"/>
            <w:tcMar>
              <w:top w:w="15" w:type="dxa"/>
              <w:left w:w="15" w:type="dxa"/>
              <w:bottom w:w="15" w:type="dxa"/>
              <w:right w:w="15" w:type="dxa"/>
            </w:tcMar>
            <w:vAlign w:val="center"/>
          </w:tcPr>
          <w:p w14:paraId="1227329B"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94,412</w:t>
            </w:r>
          </w:p>
        </w:tc>
        <w:tc>
          <w:tcPr>
            <w:tcW w:w="1050" w:type="dxa"/>
            <w:tcMar>
              <w:top w:w="15" w:type="dxa"/>
              <w:left w:w="15" w:type="dxa"/>
              <w:bottom w:w="15" w:type="dxa"/>
              <w:right w:w="15" w:type="dxa"/>
            </w:tcMar>
            <w:vAlign w:val="center"/>
          </w:tcPr>
          <w:p w14:paraId="04CD25E0"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134,975</w:t>
            </w:r>
          </w:p>
        </w:tc>
        <w:tc>
          <w:tcPr>
            <w:tcW w:w="1050" w:type="dxa"/>
            <w:tcMar>
              <w:top w:w="15" w:type="dxa"/>
              <w:left w:w="15" w:type="dxa"/>
              <w:bottom w:w="15" w:type="dxa"/>
              <w:right w:w="15" w:type="dxa"/>
            </w:tcMar>
            <w:vAlign w:val="center"/>
          </w:tcPr>
          <w:p w14:paraId="4D32B361"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120,984</w:t>
            </w:r>
          </w:p>
        </w:tc>
        <w:tc>
          <w:tcPr>
            <w:tcW w:w="1018" w:type="dxa"/>
            <w:tcMar>
              <w:top w:w="15" w:type="dxa"/>
              <w:left w:w="15" w:type="dxa"/>
              <w:bottom w:w="15" w:type="dxa"/>
              <w:right w:w="15" w:type="dxa"/>
            </w:tcMar>
            <w:vAlign w:val="center"/>
          </w:tcPr>
          <w:p w14:paraId="2D186223"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135,056</w:t>
            </w:r>
          </w:p>
        </w:tc>
      </w:tr>
      <w:tr w:rsidR="00855109" w:rsidRPr="005040A4" w14:paraId="1A633496" w14:textId="77777777" w:rsidTr="00606A8C">
        <w:trPr>
          <w:trHeight w:val="300"/>
        </w:trPr>
        <w:tc>
          <w:tcPr>
            <w:tcW w:w="2977" w:type="dxa"/>
            <w:tcMar>
              <w:top w:w="15" w:type="dxa"/>
              <w:left w:w="15" w:type="dxa"/>
              <w:bottom w:w="15" w:type="dxa"/>
              <w:right w:w="15" w:type="dxa"/>
            </w:tcMar>
            <w:vAlign w:val="center"/>
          </w:tcPr>
          <w:p w14:paraId="2414C22B" w14:textId="77777777" w:rsidR="00855109" w:rsidRPr="005040A4" w:rsidRDefault="00855109" w:rsidP="00E862E4">
            <w:pPr>
              <w:spacing w:line="276" w:lineRule="auto"/>
              <w:ind w:left="90"/>
              <w:jc w:val="center"/>
              <w:rPr>
                <w:rFonts w:eastAsia="Aptos"/>
                <w:sz w:val="16"/>
                <w:szCs w:val="16"/>
                <w:lang w:val="fr-FR"/>
              </w:rPr>
            </w:pPr>
            <w:r w:rsidRPr="005040A4">
              <w:rPr>
                <w:sz w:val="16"/>
                <w:lang w:val="fr-FR"/>
              </w:rPr>
              <w:t>% des recettes²</w:t>
            </w:r>
          </w:p>
        </w:tc>
        <w:tc>
          <w:tcPr>
            <w:tcW w:w="1134" w:type="dxa"/>
            <w:tcMar>
              <w:top w:w="15" w:type="dxa"/>
              <w:left w:w="15" w:type="dxa"/>
              <w:bottom w:w="15" w:type="dxa"/>
              <w:right w:w="15" w:type="dxa"/>
            </w:tcMar>
            <w:vAlign w:val="center"/>
          </w:tcPr>
          <w:p w14:paraId="4B69B87F"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21%</w:t>
            </w:r>
          </w:p>
        </w:tc>
        <w:tc>
          <w:tcPr>
            <w:tcW w:w="993" w:type="dxa"/>
            <w:tcMar>
              <w:top w:w="15" w:type="dxa"/>
              <w:left w:w="15" w:type="dxa"/>
              <w:bottom w:w="15" w:type="dxa"/>
              <w:right w:w="15" w:type="dxa"/>
            </w:tcMar>
            <w:vAlign w:val="center"/>
          </w:tcPr>
          <w:p w14:paraId="31D7C7EA"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20%</w:t>
            </w:r>
          </w:p>
        </w:tc>
        <w:tc>
          <w:tcPr>
            <w:tcW w:w="1050" w:type="dxa"/>
            <w:tcMar>
              <w:top w:w="15" w:type="dxa"/>
              <w:left w:w="15" w:type="dxa"/>
              <w:bottom w:w="15" w:type="dxa"/>
              <w:right w:w="15" w:type="dxa"/>
            </w:tcMar>
            <w:vAlign w:val="center"/>
          </w:tcPr>
          <w:p w14:paraId="3E1D2570"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27%</w:t>
            </w:r>
          </w:p>
        </w:tc>
        <w:tc>
          <w:tcPr>
            <w:tcW w:w="1050" w:type="dxa"/>
            <w:tcMar>
              <w:top w:w="15" w:type="dxa"/>
              <w:left w:w="15" w:type="dxa"/>
              <w:bottom w:w="15" w:type="dxa"/>
              <w:right w:w="15" w:type="dxa"/>
            </w:tcMar>
            <w:vAlign w:val="center"/>
          </w:tcPr>
          <w:p w14:paraId="7F3213D3" w14:textId="77777777" w:rsidR="00855109" w:rsidRPr="005040A4" w:rsidRDefault="00855109" w:rsidP="00E862E4">
            <w:pPr>
              <w:spacing w:line="276" w:lineRule="auto"/>
              <w:ind w:left="90" w:right="57"/>
              <w:jc w:val="right"/>
              <w:rPr>
                <w:rFonts w:eastAsia="Aptos"/>
                <w:sz w:val="16"/>
                <w:szCs w:val="16"/>
                <w:lang w:val="fr-FR"/>
              </w:rPr>
            </w:pPr>
            <w:r w:rsidRPr="005040A4">
              <w:rPr>
                <w:color w:val="0D0D0D" w:themeColor="text1" w:themeTint="F2"/>
                <w:sz w:val="16"/>
                <w:lang w:val="fr-FR"/>
              </w:rPr>
              <w:t>26%</w:t>
            </w:r>
          </w:p>
        </w:tc>
        <w:tc>
          <w:tcPr>
            <w:tcW w:w="1018" w:type="dxa"/>
            <w:tcMar>
              <w:top w:w="15" w:type="dxa"/>
              <w:left w:w="15" w:type="dxa"/>
              <w:bottom w:w="15" w:type="dxa"/>
              <w:right w:w="15" w:type="dxa"/>
            </w:tcMar>
            <w:vAlign w:val="center"/>
          </w:tcPr>
          <w:p w14:paraId="3F2F7333"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29%</w:t>
            </w:r>
          </w:p>
        </w:tc>
      </w:tr>
      <w:tr w:rsidR="00855109" w:rsidRPr="005040A4" w14:paraId="7181C22B" w14:textId="77777777" w:rsidTr="00606A8C">
        <w:trPr>
          <w:trHeight w:val="300"/>
        </w:trPr>
        <w:tc>
          <w:tcPr>
            <w:tcW w:w="8222" w:type="dxa"/>
            <w:gridSpan w:val="6"/>
            <w:tcMar>
              <w:top w:w="15" w:type="dxa"/>
              <w:left w:w="15" w:type="dxa"/>
              <w:bottom w:w="15" w:type="dxa"/>
              <w:right w:w="15" w:type="dxa"/>
            </w:tcMar>
            <w:vAlign w:val="center"/>
          </w:tcPr>
          <w:p w14:paraId="6AE515C9" w14:textId="77777777" w:rsidR="00855109" w:rsidRPr="005040A4" w:rsidRDefault="00855109" w:rsidP="00E862E4">
            <w:pPr>
              <w:spacing w:line="276" w:lineRule="auto"/>
              <w:ind w:left="90"/>
              <w:rPr>
                <w:rFonts w:eastAsia="Aptos"/>
                <w:b/>
                <w:bCs/>
                <w:sz w:val="16"/>
                <w:szCs w:val="16"/>
                <w:lang w:val="fr-FR"/>
              </w:rPr>
            </w:pPr>
            <w:r w:rsidRPr="005040A4">
              <w:rPr>
                <w:b/>
                <w:sz w:val="16"/>
                <w:lang w:val="fr-FR"/>
              </w:rPr>
              <w:t>“Retour” sur investissement</w:t>
            </w:r>
          </w:p>
        </w:tc>
      </w:tr>
      <w:tr w:rsidR="00855109" w:rsidRPr="005040A4" w14:paraId="54791C24" w14:textId="77777777" w:rsidTr="00606A8C">
        <w:trPr>
          <w:trHeight w:val="300"/>
        </w:trPr>
        <w:tc>
          <w:tcPr>
            <w:tcW w:w="2977" w:type="dxa"/>
            <w:tcMar>
              <w:top w:w="15" w:type="dxa"/>
              <w:left w:w="15" w:type="dxa"/>
              <w:bottom w:w="15" w:type="dxa"/>
              <w:right w:w="15" w:type="dxa"/>
            </w:tcMar>
            <w:vAlign w:val="center"/>
          </w:tcPr>
          <w:p w14:paraId="1A02D918" w14:textId="77777777" w:rsidR="00855109" w:rsidRPr="005040A4" w:rsidRDefault="00855109" w:rsidP="00E862E4">
            <w:pPr>
              <w:spacing w:line="276" w:lineRule="auto"/>
              <w:ind w:left="90"/>
              <w:jc w:val="center"/>
              <w:rPr>
                <w:rFonts w:eastAsia="Aptos"/>
                <w:sz w:val="16"/>
                <w:szCs w:val="16"/>
                <w:lang w:val="fr-FR"/>
              </w:rPr>
            </w:pPr>
            <w:r w:rsidRPr="005040A4">
              <w:rPr>
                <w:sz w:val="16"/>
                <w:lang w:val="fr-FR"/>
              </w:rPr>
              <w:t>Budget</w:t>
            </w:r>
          </w:p>
        </w:tc>
        <w:tc>
          <w:tcPr>
            <w:tcW w:w="1134" w:type="dxa"/>
            <w:tcMar>
              <w:top w:w="15" w:type="dxa"/>
              <w:left w:w="15" w:type="dxa"/>
              <w:bottom w:w="15" w:type="dxa"/>
              <w:right w:w="15" w:type="dxa"/>
            </w:tcMar>
            <w:vAlign w:val="center"/>
          </w:tcPr>
          <w:p w14:paraId="7A4F2FBA" w14:textId="77777777" w:rsidR="00855109" w:rsidRPr="005040A4" w:rsidRDefault="00855109" w:rsidP="00E862E4">
            <w:pPr>
              <w:spacing w:line="276" w:lineRule="auto"/>
              <w:ind w:left="90"/>
              <w:jc w:val="center"/>
              <w:rPr>
                <w:rFonts w:eastAsia="Aptos"/>
                <w:sz w:val="16"/>
                <w:szCs w:val="16"/>
                <w:lang w:val="fr-FR"/>
              </w:rPr>
            </w:pPr>
            <w:r w:rsidRPr="005040A4">
              <w:rPr>
                <w:sz w:val="16"/>
                <w:lang w:val="fr-FR"/>
              </w:rPr>
              <w:t>Néant</w:t>
            </w:r>
          </w:p>
        </w:tc>
        <w:tc>
          <w:tcPr>
            <w:tcW w:w="993" w:type="dxa"/>
            <w:tcMar>
              <w:top w:w="15" w:type="dxa"/>
              <w:left w:w="15" w:type="dxa"/>
              <w:bottom w:w="15" w:type="dxa"/>
              <w:right w:w="15" w:type="dxa"/>
            </w:tcMar>
            <w:vAlign w:val="center"/>
          </w:tcPr>
          <w:p w14:paraId="4AE6F3BF" w14:textId="77777777" w:rsidR="00855109" w:rsidRPr="005040A4" w:rsidRDefault="00855109" w:rsidP="00E862E4">
            <w:pPr>
              <w:spacing w:line="276" w:lineRule="auto"/>
              <w:ind w:left="90"/>
              <w:jc w:val="center"/>
              <w:rPr>
                <w:rFonts w:eastAsia="Aptos"/>
                <w:sz w:val="16"/>
                <w:szCs w:val="16"/>
                <w:lang w:val="fr-FR"/>
              </w:rPr>
            </w:pPr>
            <w:r w:rsidRPr="005040A4">
              <w:rPr>
                <w:sz w:val="16"/>
                <w:lang w:val="fr-FR"/>
              </w:rPr>
              <w:t>Néant</w:t>
            </w:r>
          </w:p>
        </w:tc>
        <w:tc>
          <w:tcPr>
            <w:tcW w:w="1050" w:type="dxa"/>
            <w:tcMar>
              <w:top w:w="15" w:type="dxa"/>
              <w:left w:w="15" w:type="dxa"/>
              <w:bottom w:w="15" w:type="dxa"/>
              <w:right w:w="15" w:type="dxa"/>
            </w:tcMar>
            <w:vAlign w:val="center"/>
          </w:tcPr>
          <w:p w14:paraId="1921C5EC" w14:textId="77777777" w:rsidR="00855109" w:rsidRPr="005040A4" w:rsidRDefault="00855109" w:rsidP="00E862E4">
            <w:pPr>
              <w:spacing w:line="276" w:lineRule="auto"/>
              <w:ind w:left="90"/>
              <w:jc w:val="center"/>
              <w:rPr>
                <w:rFonts w:eastAsia="Aptos"/>
                <w:sz w:val="16"/>
                <w:szCs w:val="16"/>
                <w:lang w:val="fr-FR"/>
              </w:rPr>
            </w:pPr>
            <w:r w:rsidRPr="005040A4">
              <w:rPr>
                <w:sz w:val="16"/>
                <w:lang w:val="fr-FR"/>
              </w:rPr>
              <w:t>Néant</w:t>
            </w:r>
          </w:p>
        </w:tc>
        <w:tc>
          <w:tcPr>
            <w:tcW w:w="1050" w:type="dxa"/>
            <w:tcMar>
              <w:top w:w="15" w:type="dxa"/>
              <w:left w:w="15" w:type="dxa"/>
              <w:bottom w:w="15" w:type="dxa"/>
              <w:right w:w="15" w:type="dxa"/>
            </w:tcMar>
            <w:vAlign w:val="center"/>
          </w:tcPr>
          <w:p w14:paraId="3FB2B8EA" w14:textId="561047CD" w:rsidR="00855109" w:rsidRPr="005040A4" w:rsidRDefault="00C249FA" w:rsidP="00E862E4">
            <w:pPr>
              <w:spacing w:line="276" w:lineRule="auto"/>
              <w:ind w:left="90" w:right="57"/>
              <w:jc w:val="right"/>
              <w:rPr>
                <w:rFonts w:eastAsia="Aptos"/>
                <w:sz w:val="16"/>
                <w:szCs w:val="16"/>
                <w:lang w:val="fr-FR"/>
              </w:rPr>
            </w:pPr>
            <w:r w:rsidRPr="005040A4">
              <w:rPr>
                <w:sz w:val="16"/>
                <w:lang w:val="fr-FR"/>
              </w:rPr>
              <w:noBreakHyphen/>
            </w:r>
            <w:r w:rsidR="00855109" w:rsidRPr="005040A4">
              <w:rPr>
                <w:sz w:val="16"/>
                <w:lang w:val="fr-FR"/>
              </w:rPr>
              <w:t>0,844</w:t>
            </w:r>
          </w:p>
        </w:tc>
        <w:tc>
          <w:tcPr>
            <w:tcW w:w="1018" w:type="dxa"/>
            <w:tcMar>
              <w:top w:w="15" w:type="dxa"/>
              <w:left w:w="15" w:type="dxa"/>
              <w:bottom w:w="15" w:type="dxa"/>
              <w:right w:w="15" w:type="dxa"/>
            </w:tcMar>
            <w:vAlign w:val="center"/>
          </w:tcPr>
          <w:p w14:paraId="466CBC1A" w14:textId="007E26BE" w:rsidR="00855109" w:rsidRPr="005040A4" w:rsidRDefault="00C249FA" w:rsidP="00E862E4">
            <w:pPr>
              <w:spacing w:line="276" w:lineRule="auto"/>
              <w:ind w:left="90" w:right="57"/>
              <w:jc w:val="right"/>
              <w:rPr>
                <w:rFonts w:eastAsia="Aptos"/>
                <w:sz w:val="16"/>
                <w:szCs w:val="16"/>
                <w:lang w:val="fr-FR"/>
              </w:rPr>
            </w:pPr>
            <w:r w:rsidRPr="005040A4">
              <w:rPr>
                <w:sz w:val="16"/>
                <w:lang w:val="fr-FR"/>
              </w:rPr>
              <w:noBreakHyphen/>
            </w:r>
            <w:r w:rsidR="00855109" w:rsidRPr="005040A4">
              <w:rPr>
                <w:sz w:val="16"/>
                <w:lang w:val="fr-FR"/>
              </w:rPr>
              <w:t>0,844</w:t>
            </w:r>
          </w:p>
        </w:tc>
      </w:tr>
      <w:tr w:rsidR="00855109" w:rsidRPr="005040A4" w14:paraId="70A09D17" w14:textId="77777777" w:rsidTr="00606A8C">
        <w:trPr>
          <w:trHeight w:val="300"/>
        </w:trPr>
        <w:tc>
          <w:tcPr>
            <w:tcW w:w="2977" w:type="dxa"/>
            <w:tcMar>
              <w:top w:w="15" w:type="dxa"/>
              <w:left w:w="15" w:type="dxa"/>
              <w:bottom w:w="15" w:type="dxa"/>
              <w:right w:w="15" w:type="dxa"/>
            </w:tcMar>
            <w:vAlign w:val="center"/>
          </w:tcPr>
          <w:p w14:paraId="45398418" w14:textId="77777777" w:rsidR="00855109" w:rsidRPr="005040A4" w:rsidRDefault="00855109" w:rsidP="00E862E4">
            <w:pPr>
              <w:spacing w:line="276" w:lineRule="auto"/>
              <w:ind w:left="90"/>
              <w:jc w:val="center"/>
              <w:rPr>
                <w:rFonts w:eastAsia="Aptos"/>
                <w:sz w:val="16"/>
                <w:szCs w:val="16"/>
                <w:lang w:val="fr-FR"/>
              </w:rPr>
            </w:pPr>
            <w:r w:rsidRPr="005040A4">
              <w:rPr>
                <w:sz w:val="16"/>
                <w:lang w:val="fr-FR"/>
              </w:rPr>
              <w:t>Réel</w:t>
            </w:r>
          </w:p>
        </w:tc>
        <w:tc>
          <w:tcPr>
            <w:tcW w:w="1134" w:type="dxa"/>
            <w:tcMar>
              <w:top w:w="15" w:type="dxa"/>
              <w:left w:w="15" w:type="dxa"/>
              <w:bottom w:w="15" w:type="dxa"/>
              <w:right w:w="15" w:type="dxa"/>
            </w:tcMar>
            <w:vAlign w:val="center"/>
          </w:tcPr>
          <w:p w14:paraId="4A8D5F97"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73,728</w:t>
            </w:r>
          </w:p>
        </w:tc>
        <w:tc>
          <w:tcPr>
            <w:tcW w:w="993" w:type="dxa"/>
            <w:tcMar>
              <w:top w:w="15" w:type="dxa"/>
              <w:left w:w="15" w:type="dxa"/>
              <w:bottom w:w="15" w:type="dxa"/>
              <w:right w:w="15" w:type="dxa"/>
            </w:tcMar>
            <w:vAlign w:val="center"/>
          </w:tcPr>
          <w:p w14:paraId="2C98F9A6" w14:textId="77777777" w:rsidR="00855109" w:rsidRPr="005040A4" w:rsidRDefault="00855109" w:rsidP="00E862E4">
            <w:pPr>
              <w:spacing w:line="276" w:lineRule="auto"/>
              <w:ind w:left="90" w:right="57"/>
              <w:jc w:val="right"/>
              <w:rPr>
                <w:rFonts w:eastAsia="Aptos"/>
                <w:sz w:val="16"/>
                <w:szCs w:val="16"/>
                <w:lang w:val="fr-FR"/>
              </w:rPr>
            </w:pPr>
            <w:r w:rsidRPr="005040A4">
              <w:rPr>
                <w:color w:val="0D0D0D" w:themeColor="text1" w:themeTint="F2"/>
                <w:sz w:val="16"/>
                <w:lang w:val="fr-FR"/>
              </w:rPr>
              <w:t>52,184</w:t>
            </w:r>
          </w:p>
        </w:tc>
        <w:tc>
          <w:tcPr>
            <w:tcW w:w="1050" w:type="dxa"/>
            <w:tcMar>
              <w:top w:w="15" w:type="dxa"/>
              <w:left w:w="15" w:type="dxa"/>
              <w:bottom w:w="15" w:type="dxa"/>
              <w:right w:w="15" w:type="dxa"/>
            </w:tcMar>
            <w:vAlign w:val="center"/>
          </w:tcPr>
          <w:p w14:paraId="03AE2E53" w14:textId="718C36A4" w:rsidR="00855109" w:rsidRPr="005040A4" w:rsidRDefault="00C249FA" w:rsidP="00E862E4">
            <w:pPr>
              <w:spacing w:line="276" w:lineRule="auto"/>
              <w:ind w:left="90" w:right="57"/>
              <w:jc w:val="right"/>
              <w:rPr>
                <w:rFonts w:eastAsia="Aptos"/>
                <w:sz w:val="16"/>
                <w:szCs w:val="16"/>
                <w:lang w:val="fr-FR"/>
              </w:rPr>
            </w:pPr>
            <w:r w:rsidRPr="005040A4">
              <w:rPr>
                <w:sz w:val="16"/>
                <w:lang w:val="fr-FR"/>
              </w:rPr>
              <w:noBreakHyphen/>
            </w:r>
            <w:r w:rsidR="00855109" w:rsidRPr="005040A4">
              <w:rPr>
                <w:sz w:val="16"/>
                <w:lang w:val="fr-FR"/>
              </w:rPr>
              <w:t>88,055</w:t>
            </w:r>
          </w:p>
        </w:tc>
        <w:tc>
          <w:tcPr>
            <w:tcW w:w="1050" w:type="dxa"/>
            <w:tcMar>
              <w:top w:w="15" w:type="dxa"/>
              <w:left w:w="15" w:type="dxa"/>
              <w:bottom w:w="15" w:type="dxa"/>
              <w:right w:w="15" w:type="dxa"/>
            </w:tcMar>
            <w:vAlign w:val="center"/>
          </w:tcPr>
          <w:p w14:paraId="4C33D189"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22,713</w:t>
            </w:r>
          </w:p>
        </w:tc>
        <w:tc>
          <w:tcPr>
            <w:tcW w:w="1018" w:type="dxa"/>
            <w:tcMar>
              <w:top w:w="15" w:type="dxa"/>
              <w:left w:w="15" w:type="dxa"/>
              <w:bottom w:w="15" w:type="dxa"/>
              <w:right w:w="15" w:type="dxa"/>
            </w:tcMar>
            <w:vAlign w:val="center"/>
          </w:tcPr>
          <w:p w14:paraId="7AFA5520" w14:textId="77777777" w:rsidR="00855109" w:rsidRPr="005040A4" w:rsidRDefault="00855109" w:rsidP="00E862E4">
            <w:pPr>
              <w:spacing w:line="276" w:lineRule="auto"/>
              <w:ind w:left="90" w:right="57"/>
              <w:jc w:val="right"/>
              <w:rPr>
                <w:rFonts w:eastAsia="Aptos"/>
                <w:sz w:val="16"/>
                <w:szCs w:val="16"/>
                <w:lang w:val="fr-FR"/>
              </w:rPr>
            </w:pPr>
            <w:r w:rsidRPr="005040A4">
              <w:rPr>
                <w:sz w:val="16"/>
                <w:lang w:val="fr-FR"/>
              </w:rPr>
              <w:t>33,429</w:t>
            </w:r>
          </w:p>
        </w:tc>
      </w:tr>
    </w:tbl>
    <w:p w14:paraId="5CB76DEB" w14:textId="77777777" w:rsidR="00855109" w:rsidRPr="00606A8C" w:rsidRDefault="00855109" w:rsidP="00606A8C">
      <w:pPr>
        <w:pStyle w:val="ListParagraph"/>
        <w:numPr>
          <w:ilvl w:val="0"/>
          <w:numId w:val="0"/>
        </w:numPr>
        <w:spacing w:after="0" w:line="240" w:lineRule="auto"/>
        <w:ind w:left="1134"/>
        <w:rPr>
          <w:sz w:val="16"/>
          <w:szCs w:val="16"/>
        </w:rPr>
      </w:pPr>
      <w:r w:rsidRPr="00606A8C">
        <w:rPr>
          <w:sz w:val="16"/>
          <w:szCs w:val="16"/>
        </w:rPr>
        <w:t>Notes</w:t>
      </w:r>
    </w:p>
    <w:p w14:paraId="0400C63D" w14:textId="098D2B0B" w:rsidR="00855109" w:rsidRPr="00606A8C" w:rsidRDefault="00855109" w:rsidP="00606A8C">
      <w:pPr>
        <w:pStyle w:val="ListParagraph"/>
        <w:numPr>
          <w:ilvl w:val="0"/>
          <w:numId w:val="27"/>
        </w:numPr>
        <w:tabs>
          <w:tab w:val="clear" w:pos="1134"/>
        </w:tabs>
        <w:spacing w:after="0" w:line="240" w:lineRule="auto"/>
        <w:ind w:left="1701" w:hanging="567"/>
        <w:rPr>
          <w:sz w:val="16"/>
          <w:szCs w:val="16"/>
        </w:rPr>
      </w:pPr>
      <w:r w:rsidRPr="00606A8C">
        <w:rPr>
          <w:sz w:val="16"/>
          <w:szCs w:val="16"/>
        </w:rPr>
        <w:t>À l</w:t>
      </w:r>
      <w:r w:rsidR="00743D89" w:rsidRPr="00606A8C">
        <w:rPr>
          <w:sz w:val="16"/>
          <w:szCs w:val="16"/>
        </w:rPr>
        <w:t>’</w:t>
      </w:r>
      <w:r w:rsidRPr="00606A8C">
        <w:rPr>
          <w:sz w:val="16"/>
          <w:szCs w:val="16"/>
        </w:rPr>
        <w:t>exclusion des recettes ou gains et des pertes liés aux investissements.</w:t>
      </w:r>
    </w:p>
    <w:p w14:paraId="2CC1BAEC" w14:textId="288D86D1" w:rsidR="00855109" w:rsidRPr="00606A8C" w:rsidRDefault="00855109" w:rsidP="00606A8C">
      <w:pPr>
        <w:pStyle w:val="ListParagraph"/>
        <w:numPr>
          <w:ilvl w:val="0"/>
          <w:numId w:val="27"/>
        </w:numPr>
        <w:tabs>
          <w:tab w:val="clear" w:pos="1134"/>
        </w:tabs>
        <w:spacing w:after="240" w:line="240" w:lineRule="auto"/>
        <w:ind w:left="1701" w:hanging="567"/>
        <w:rPr>
          <w:sz w:val="16"/>
          <w:szCs w:val="16"/>
        </w:rPr>
      </w:pPr>
      <w:r w:rsidRPr="00606A8C">
        <w:rPr>
          <w:sz w:val="16"/>
          <w:szCs w:val="16"/>
        </w:rPr>
        <w:t>Excédent avant ajustements IP</w:t>
      </w:r>
      <w:r w:rsidR="005652C9" w:rsidRPr="00606A8C">
        <w:rPr>
          <w:sz w:val="16"/>
          <w:szCs w:val="16"/>
        </w:rPr>
        <w:t>SAS.  So</w:t>
      </w:r>
      <w:r w:rsidRPr="00606A8C">
        <w:rPr>
          <w:sz w:val="16"/>
          <w:szCs w:val="16"/>
        </w:rPr>
        <w:t>urce</w:t>
      </w:r>
      <w:r w:rsidR="00743D89" w:rsidRPr="00606A8C">
        <w:rPr>
          <w:sz w:val="16"/>
          <w:szCs w:val="16"/>
        </w:rPr>
        <w:t> :</w:t>
      </w:r>
      <w:r w:rsidRPr="00606A8C">
        <w:rPr>
          <w:sz w:val="16"/>
          <w:szCs w:val="16"/>
        </w:rPr>
        <w:t xml:space="preserve"> états financiers de l</w:t>
      </w:r>
      <w:r w:rsidR="00743D89" w:rsidRPr="00606A8C">
        <w:rPr>
          <w:sz w:val="16"/>
          <w:szCs w:val="16"/>
        </w:rPr>
        <w:t>’</w:t>
      </w:r>
      <w:r w:rsidRPr="00606A8C">
        <w:rPr>
          <w:sz w:val="16"/>
          <w:szCs w:val="16"/>
        </w:rPr>
        <w:t>Organisation.</w:t>
      </w:r>
    </w:p>
    <w:p w14:paraId="1329EA7E" w14:textId="7E2EEC19" w:rsidR="00855109" w:rsidRPr="005040A4" w:rsidRDefault="00855109" w:rsidP="000057BC">
      <w:pPr>
        <w:pStyle w:val="ListParagraph"/>
      </w:pPr>
      <w:r w:rsidRPr="005040A4">
        <w:t xml:space="preserve">À la suite de la révision des prévisions des recettes, le budget actualisé des recettes </w:t>
      </w:r>
      <w:r w:rsidR="00743D89" w:rsidRPr="005040A4">
        <w:t>pour 2024</w:t>
      </w:r>
      <w:r w:rsidRPr="005040A4">
        <w:t xml:space="preserve"> a été fixé à 486,44 millions de francs suiss</w:t>
      </w:r>
      <w:r w:rsidR="005652C9" w:rsidRPr="005040A4">
        <w:t>es.  Le</w:t>
      </w:r>
      <w:r w:rsidRPr="005040A4">
        <w:t>s recettes effectives pour l</w:t>
      </w:r>
      <w:r w:rsidR="00743D89" w:rsidRPr="005040A4">
        <w:t>’</w:t>
      </w:r>
      <w:r w:rsidRPr="005040A4">
        <w:t>exercice se sont élevées à 486,67 millions de francs suisses sur une base comparable et traduisent un résultat global posit</w:t>
      </w:r>
      <w:r w:rsidR="005652C9" w:rsidRPr="005040A4">
        <w:t>if.  La</w:t>
      </w:r>
      <w:r w:rsidRPr="005040A4">
        <w:t xml:space="preserve"> plupart des sources de recettes ont dépassé les prévisions budgétaires, à l</w:t>
      </w:r>
      <w:r w:rsidR="00743D89" w:rsidRPr="005040A4">
        <w:t>’</w:t>
      </w:r>
      <w:r w:rsidRPr="005040A4">
        <w:t>exception des systèmes du PCT et de Madrid, qui constituent les principales sources de recettes de l</w:t>
      </w:r>
      <w:r w:rsidR="00743D89" w:rsidRPr="005040A4">
        <w:t>’</w:t>
      </w:r>
      <w:r w:rsidRPr="005040A4">
        <w:t>Organisation, qui ont enregistré une légère sous</w:t>
      </w:r>
      <w:r w:rsidR="00C249FA" w:rsidRPr="005040A4">
        <w:noBreakHyphen/>
      </w:r>
      <w:r w:rsidRPr="005040A4">
        <w:t>performance, atteignant respectivement 99,4% et 99,6% de leurs objectifs budgétair</w:t>
      </w:r>
      <w:r w:rsidR="005652C9" w:rsidRPr="005040A4">
        <w:t>es.  Le</w:t>
      </w:r>
      <w:r w:rsidRPr="005040A4">
        <w:t>s bons résultats enregistrés au niveau des recettes sont largement dus à la forte augmentation des revenus provenant des services d</w:t>
      </w:r>
      <w:r w:rsidR="00743D89" w:rsidRPr="005040A4">
        <w:t>’</w:t>
      </w:r>
      <w:r w:rsidRPr="005040A4">
        <w:t>arbitrage et de médiation, ainsi que d</w:t>
      </w:r>
      <w:r w:rsidR="00743D89" w:rsidRPr="005040A4">
        <w:t>’</w:t>
      </w:r>
      <w:r w:rsidRPr="005040A4">
        <w:t>autres sources, qui ont atteint respectivement 163,6% et 228,4% des niveaux budgétés.</w:t>
      </w:r>
    </w:p>
    <w:p w14:paraId="4A15A2CA" w14:textId="1006F2BE" w:rsidR="00855109" w:rsidRPr="005040A4" w:rsidRDefault="00855109" w:rsidP="000057BC">
      <w:pPr>
        <w:pStyle w:val="ListParagraph"/>
      </w:pPr>
      <w:r w:rsidRPr="005040A4">
        <w:t>Le montant définitif alloué aux dépenses de l</w:t>
      </w:r>
      <w:r w:rsidR="00743D89" w:rsidRPr="005040A4">
        <w:t>’</w:t>
      </w:r>
      <w:r w:rsidRPr="005040A4">
        <w:t>Organisation pour 2024 s</w:t>
      </w:r>
      <w:r w:rsidR="00743D89" w:rsidRPr="005040A4">
        <w:t>’</w:t>
      </w:r>
      <w:r w:rsidRPr="005040A4">
        <w:t>est élevé à 425,41 millions de francs suisses, après ajustements par rapport au montant initial de 426,87 millions de francs suiss</w:t>
      </w:r>
      <w:r w:rsidR="005652C9" w:rsidRPr="005040A4">
        <w:t>es.  Le</w:t>
      </w:r>
      <w:r w:rsidRPr="005040A4">
        <w:t xml:space="preserve">s dépenses effectives se sont élevées à 383,37 millions de francs suisses, ce qui correspond à une utilisation du budget de </w:t>
      </w:r>
      <w:r w:rsidRPr="005040A4">
        <w:lastRenderedPageBreak/>
        <w:t>90,1% et se traduit par un excédent de 103,31 millions de francs suisses, soit 169,2% de l</w:t>
      </w:r>
      <w:r w:rsidR="00743D89" w:rsidRPr="005040A4">
        <w:t>’</w:t>
      </w:r>
      <w:r w:rsidRPr="005040A4">
        <w:t>excédent budgétai</w:t>
      </w:r>
      <w:r w:rsidR="005652C9" w:rsidRPr="005040A4">
        <w:t>re.  Le</w:t>
      </w:r>
      <w:r w:rsidRPr="005040A4">
        <w:t>s dépenses des différents secteurs sont restées étroitement alignées sur les budgets approuvés, les principales dépenses relevant du Secteur des brevets et de la technologie (101,05 millions de francs suisses), du Secteur administration, finances et gestion (135,14 millions de francs suisses) et d</w:t>
      </w:r>
      <w:r w:rsidR="00743D89" w:rsidRPr="005040A4">
        <w:t>’</w:t>
      </w:r>
      <w:r w:rsidRPr="005040A4">
        <w:t>autres secteurs, proportionnellement à leurs dotations respectives.</w:t>
      </w:r>
    </w:p>
    <w:p w14:paraId="3B12F002" w14:textId="08410897" w:rsidR="00855109" w:rsidRPr="005040A4" w:rsidRDefault="00855109" w:rsidP="000057BC">
      <w:pPr>
        <w:pStyle w:val="ListParagraph"/>
      </w:pPr>
      <w:r w:rsidRPr="005040A4">
        <w:t>La note 20 des états financiers présente les résultats financiers par union, l</w:t>
      </w:r>
      <w:r w:rsidR="00743D89" w:rsidRPr="005040A4">
        <w:t>’</w:t>
      </w:r>
      <w:r w:rsidRPr="005040A4">
        <w:t>union</w:t>
      </w:r>
      <w:r w:rsidR="00743D89" w:rsidRPr="005040A4">
        <w:t xml:space="preserve"> du PCT</w:t>
      </w:r>
      <w:r w:rsidRPr="005040A4">
        <w:t xml:space="preserve"> restant le principal contributeur, avec des excédents de 121,44 millions de francs suisses en 2023 et de 152,32 millions de francs suisses en 2024. </w:t>
      </w:r>
      <w:r w:rsidR="001B7F27" w:rsidRPr="005040A4">
        <w:t xml:space="preserve"> </w:t>
      </w:r>
      <w:r w:rsidRPr="005040A4">
        <w:t xml:space="preserve">En revanche, les unions de Lisbonne et de </w:t>
      </w:r>
      <w:r w:rsidR="00743D89" w:rsidRPr="005040A4">
        <w:t>La Haye</w:t>
      </w:r>
      <w:r w:rsidRPr="005040A4">
        <w:t xml:space="preserve"> ont enregistré des déficits, couverts grâce au soutien interunions approuvé par les assemblé</w:t>
      </w:r>
      <w:r w:rsidR="005652C9" w:rsidRPr="005040A4">
        <w:t>es.  En</w:t>
      </w:r>
      <w:r w:rsidRPr="005040A4">
        <w:t> 2024, l</w:t>
      </w:r>
      <w:r w:rsidR="00743D89" w:rsidRPr="005040A4">
        <w:t>’</w:t>
      </w:r>
      <w:r w:rsidRPr="005040A4">
        <w:t>union du PCT a versé 14,73 millions de francs suisses pour soutenir les unions financées par des contributions et 7,55 millions de francs suisses pour couvrir le déficit de l</w:t>
      </w:r>
      <w:r w:rsidR="00743D89" w:rsidRPr="005040A4">
        <w:t>’</w:t>
      </w:r>
      <w:r w:rsidRPr="005040A4">
        <w:t xml:space="preserve">union de </w:t>
      </w:r>
      <w:r w:rsidR="00743D89" w:rsidRPr="005040A4">
        <w:t>La Ha</w:t>
      </w:r>
      <w:r w:rsidR="005652C9" w:rsidRPr="005040A4">
        <w:t>ye.  L’u</w:t>
      </w:r>
      <w:r w:rsidRPr="005040A4">
        <w:t>nion de Madrid a également contribué à hauteur de 1,40 million de francs suisses pour compenser le déficit de l</w:t>
      </w:r>
      <w:r w:rsidR="00743D89" w:rsidRPr="005040A4">
        <w:t>’</w:t>
      </w:r>
      <w:r w:rsidRPr="005040A4">
        <w:t xml:space="preserve">union de Lisbonne, ce qui témoigne de la dépendance croissante des unions déficitaires </w:t>
      </w:r>
      <w:r w:rsidR="00743D89" w:rsidRPr="005040A4">
        <w:t>à l’égard</w:t>
      </w:r>
      <w:r w:rsidRPr="005040A4">
        <w:t xml:space="preserve"> des unions génératrices d</w:t>
      </w:r>
      <w:r w:rsidR="00743D89" w:rsidRPr="005040A4">
        <w:t>’</w:t>
      </w:r>
      <w:r w:rsidRPr="005040A4">
        <w:t>excédents.</w:t>
      </w:r>
      <w:r w:rsidRPr="005040A4">
        <w:br w:type="page"/>
      </w:r>
    </w:p>
    <w:p w14:paraId="608E4149" w14:textId="77777777" w:rsidR="00855109" w:rsidRPr="005040A4" w:rsidRDefault="00855109" w:rsidP="00AB7D15">
      <w:pPr>
        <w:pStyle w:val="Heading3"/>
      </w:pPr>
      <w:bookmarkStart w:id="83" w:name="_Toc197203300"/>
      <w:bookmarkStart w:id="84" w:name="_Toc197205018"/>
      <w:bookmarkStart w:id="85" w:name="_Toc197205542"/>
      <w:bookmarkStart w:id="86" w:name="_Toc197205659"/>
      <w:bookmarkStart w:id="87" w:name="_Toc197206643"/>
      <w:bookmarkStart w:id="88" w:name="_Toc197206864"/>
      <w:bookmarkStart w:id="89" w:name="_Toc199153490"/>
      <w:bookmarkEnd w:id="83"/>
      <w:bookmarkEnd w:id="84"/>
      <w:bookmarkEnd w:id="85"/>
      <w:bookmarkEnd w:id="86"/>
      <w:bookmarkEnd w:id="87"/>
      <w:bookmarkEnd w:id="88"/>
      <w:r w:rsidRPr="005040A4">
        <w:lastRenderedPageBreak/>
        <w:t>Audit financier</w:t>
      </w:r>
      <w:bookmarkEnd w:id="89"/>
    </w:p>
    <w:p w14:paraId="4C6B6F13" w14:textId="0C972966" w:rsidR="00855109" w:rsidRPr="005040A4" w:rsidRDefault="00855109" w:rsidP="000057BC">
      <w:pPr>
        <w:pStyle w:val="Heading4"/>
      </w:pPr>
      <w:bookmarkStart w:id="90" w:name="_Toc199153491"/>
      <w:r w:rsidRPr="005040A4">
        <w:t>Résultats généraux de l</w:t>
      </w:r>
      <w:r w:rsidR="00743D89" w:rsidRPr="005040A4">
        <w:t>’</w:t>
      </w:r>
      <w:r w:rsidRPr="005040A4">
        <w:t>audit</w:t>
      </w:r>
      <w:bookmarkEnd w:id="90"/>
    </w:p>
    <w:p w14:paraId="509118C6" w14:textId="39A879AD" w:rsidR="00855109" w:rsidRPr="005040A4" w:rsidRDefault="00855109" w:rsidP="000057BC">
      <w:pPr>
        <w:pStyle w:val="ListParagraph"/>
      </w:pPr>
      <w:r w:rsidRPr="005040A4">
        <w:t>La BPK a procédé à l</w:t>
      </w:r>
      <w:r w:rsidR="00743D89" w:rsidRPr="005040A4">
        <w:t>’</w:t>
      </w:r>
      <w:r w:rsidRPr="005040A4">
        <w:t>audit des états financiers de l</w:t>
      </w:r>
      <w:r w:rsidR="00743D89" w:rsidRPr="005040A4">
        <w:t>’</w:t>
      </w:r>
      <w:r w:rsidRPr="005040A4">
        <w:t>Organisation pour l</w:t>
      </w:r>
      <w:r w:rsidR="00743D89" w:rsidRPr="005040A4">
        <w:t>’</w:t>
      </w:r>
      <w:r w:rsidRPr="005040A4">
        <w:t>exercice clos le 31 décembre 2024, qui comprennent l</w:t>
      </w:r>
      <w:r w:rsidR="00743D89" w:rsidRPr="005040A4">
        <w:t>’</w:t>
      </w:r>
      <w:r w:rsidRPr="005040A4">
        <w:t>état de la situation financière, l</w:t>
      </w:r>
      <w:r w:rsidR="00743D89" w:rsidRPr="005040A4">
        <w:t>’</w:t>
      </w:r>
      <w:r w:rsidRPr="005040A4">
        <w:t>état de la performance financière, l</w:t>
      </w:r>
      <w:r w:rsidR="00743D89" w:rsidRPr="005040A4">
        <w:t>’</w:t>
      </w:r>
      <w:r w:rsidRPr="005040A4">
        <w:t>état des flux de trésorerie, l</w:t>
      </w:r>
      <w:r w:rsidR="00743D89" w:rsidRPr="005040A4">
        <w:t>’</w:t>
      </w:r>
      <w:r w:rsidRPr="005040A4">
        <w:t>état des variations des actifs nets, l</w:t>
      </w:r>
      <w:r w:rsidR="00743D89" w:rsidRPr="005040A4">
        <w:t>’</w:t>
      </w:r>
      <w:r w:rsidRPr="005040A4">
        <w:t>état de comparaison des montants budgétaires et des montants réels, ainsi que les notes relatives aux états financie</w:t>
      </w:r>
      <w:r w:rsidR="005652C9" w:rsidRPr="005040A4">
        <w:t>rs.  No</w:t>
      </w:r>
      <w:r w:rsidRPr="005040A4">
        <w:t>tre opinion d</w:t>
      </w:r>
      <w:r w:rsidR="00743D89" w:rsidRPr="005040A4">
        <w:t>’</w:t>
      </w:r>
      <w:r w:rsidRPr="005040A4">
        <w:t>audit confirme que les états financiers donnent une image fidèle, dans tous leurs aspects significatifs, de la situation financière de l</w:t>
      </w:r>
      <w:r w:rsidR="00743D89" w:rsidRPr="005040A4">
        <w:t>’</w:t>
      </w:r>
      <w:r w:rsidRPr="005040A4">
        <w:t>Organisation au 31 </w:t>
      </w:r>
      <w:r w:rsidR="00743D89" w:rsidRPr="005040A4">
        <w:t>décembre 20</w:t>
      </w:r>
      <w:r w:rsidRPr="005040A4">
        <w:t>24, ainsi que de sa performance financière et de ses flux de trésorerie pour l</w:t>
      </w:r>
      <w:r w:rsidR="00743D89" w:rsidRPr="005040A4">
        <w:t>’</w:t>
      </w:r>
      <w:r w:rsidRPr="005040A4">
        <w:t>exercice clos à cette da</w:t>
      </w:r>
      <w:r w:rsidR="005652C9" w:rsidRPr="005040A4">
        <w:t>te.  El</w:t>
      </w:r>
      <w:r w:rsidRPr="005040A4">
        <w:t>le confirme également que les états financiers ont été établis conformément aux Normes comptables IPSAS et que, dans tous leurs aspects significatifs, les transactions sous</w:t>
      </w:r>
      <w:r w:rsidR="00C249FA" w:rsidRPr="005040A4">
        <w:noBreakHyphen/>
      </w:r>
      <w:r w:rsidRPr="005040A4">
        <w:t>jacentes des états financiers ont été effectuées conformément au Règlement financier et ont été appliquées au service des objectifs visés par les États membres.</w:t>
      </w:r>
    </w:p>
    <w:p w14:paraId="69703AD8" w14:textId="77777777" w:rsidR="00855109" w:rsidRPr="005040A4" w:rsidRDefault="00855109" w:rsidP="000057BC">
      <w:pPr>
        <w:pStyle w:val="Heading4"/>
      </w:pPr>
      <w:bookmarkStart w:id="91" w:name="_Toc199153492"/>
      <w:r w:rsidRPr="005040A4">
        <w:t>Contrôle interne</w:t>
      </w:r>
      <w:bookmarkEnd w:id="91"/>
    </w:p>
    <w:p w14:paraId="60D3316E" w14:textId="017D3035" w:rsidR="00743D89" w:rsidRPr="005040A4" w:rsidRDefault="00855109" w:rsidP="000057BC">
      <w:pPr>
        <w:pStyle w:val="ListParagraph"/>
      </w:pPr>
      <w:r w:rsidRPr="005040A4">
        <w:t>Lors de cette première mission, la BPK a cherché à évaluer l</w:t>
      </w:r>
      <w:r w:rsidR="00743D89" w:rsidRPr="005040A4">
        <w:t>’</w:t>
      </w:r>
      <w:r w:rsidRPr="005040A4">
        <w:t>efficacité du contrôle interne de l</w:t>
      </w:r>
      <w:r w:rsidR="00743D89" w:rsidRPr="005040A4">
        <w:t>’</w:t>
      </w:r>
      <w:r w:rsidRPr="005040A4">
        <w:t>Organisation, notamment</w:t>
      </w:r>
      <w:r w:rsidR="00743D89" w:rsidRPr="005040A4">
        <w:t> :</w:t>
      </w:r>
      <w:r w:rsidRPr="005040A4">
        <w:t xml:space="preserve"> le contrôle interne et la déclaration sur le contrôle interne, la gestion des risques, la détection et la prévention des fraudes, la DSI et l</w:t>
      </w:r>
      <w:r w:rsidR="00743D89" w:rsidRPr="005040A4">
        <w:t>’</w:t>
      </w:r>
      <w:r w:rsidRPr="005040A4">
        <w:t xml:space="preserve">Organe consultatif indépendant de surveillance (OCIS). </w:t>
      </w:r>
      <w:r w:rsidR="001B7F27" w:rsidRPr="005040A4">
        <w:t xml:space="preserve"> </w:t>
      </w:r>
      <w:r w:rsidRPr="005040A4">
        <w:t>Il est à noter que le Directeur général, conformément à l</w:t>
      </w:r>
      <w:r w:rsidR="00743D89" w:rsidRPr="005040A4">
        <w:t>’</w:t>
      </w:r>
      <w:r w:rsidRPr="005040A4">
        <w:t>article 5.2 du Règlement financier et de son règlement d</w:t>
      </w:r>
      <w:r w:rsidR="00743D89" w:rsidRPr="005040A4">
        <w:t>’</w:t>
      </w:r>
      <w:r w:rsidRPr="005040A4">
        <w:t>exécution, établit un dispositif et système de contrôle interne conformément aux meilleures pratiques applicables en vigue</w:t>
      </w:r>
      <w:r w:rsidR="005652C9" w:rsidRPr="005040A4">
        <w:t>ur.  En</w:t>
      </w:r>
      <w:r w:rsidRPr="005040A4">
        <w:t xml:space="preserve"> outre, l</w:t>
      </w:r>
      <w:r w:rsidR="00743D89" w:rsidRPr="005040A4">
        <w:t>’</w:t>
      </w:r>
      <w:r w:rsidRPr="005040A4">
        <w:t>article 5.3 stipule que le Directeur général établit et signe une déclaration annuelle sur le contrôle interne, qui donne des garanties aux parties prenant</w:t>
      </w:r>
      <w:r w:rsidR="005652C9" w:rsidRPr="005040A4">
        <w:t>es.  La</w:t>
      </w:r>
      <w:r w:rsidRPr="005040A4">
        <w:t xml:space="preserve"> Déclaration sur le contrôle interne repose sur les garanties données par les fonctionnaires désignés et s</w:t>
      </w:r>
      <w:r w:rsidR="00743D89" w:rsidRPr="005040A4">
        <w:t>’</w:t>
      </w:r>
      <w:r w:rsidRPr="005040A4">
        <w:t>appuie sur les avis concernant la gouvernance, la gestion des risques et l</w:t>
      </w:r>
      <w:r w:rsidR="00743D89" w:rsidRPr="005040A4">
        <w:t>’</w:t>
      </w:r>
      <w:r w:rsidRPr="005040A4">
        <w:t>environnement de contrôle de l</w:t>
      </w:r>
      <w:r w:rsidR="00743D89" w:rsidRPr="005040A4">
        <w:t>’</w:t>
      </w:r>
      <w:r w:rsidRPr="005040A4">
        <w:t>Organisation du point de vue de la supervision inter</w:t>
      </w:r>
      <w:r w:rsidR="005652C9" w:rsidRPr="005040A4">
        <w:t>ne.  D’a</w:t>
      </w:r>
      <w:r w:rsidRPr="005040A4">
        <w:t>près notre examen, l</w:t>
      </w:r>
      <w:r w:rsidR="00743D89" w:rsidRPr="005040A4">
        <w:t>’</w:t>
      </w:r>
      <w:r w:rsidRPr="005040A4">
        <w:t>Organisation a mis en place un système de contrôle interne et un dispositif de gestion des risques à travers son cadre de responsabilisation et son cadre de gestion des risqu</w:t>
      </w:r>
      <w:r w:rsidR="005652C9" w:rsidRPr="005040A4">
        <w:t>es.  Da</w:t>
      </w:r>
      <w:r w:rsidRPr="005040A4">
        <w:t>ns l</w:t>
      </w:r>
      <w:r w:rsidR="00743D89" w:rsidRPr="005040A4">
        <w:t>’</w:t>
      </w:r>
      <w:r w:rsidRPr="005040A4">
        <w:t>ensemble, nous n</w:t>
      </w:r>
      <w:r w:rsidR="00743D89" w:rsidRPr="005040A4">
        <w:t>’</w:t>
      </w:r>
      <w:r w:rsidRPr="005040A4">
        <w:t>avons constaté aucune faiblesse significative du contrôle susceptible d</w:t>
      </w:r>
      <w:r w:rsidR="00743D89" w:rsidRPr="005040A4">
        <w:t>’</w:t>
      </w:r>
      <w:r w:rsidRPr="005040A4">
        <w:t>avoir une incidence sur notre opinion d</w:t>
      </w:r>
      <w:r w:rsidR="00743D89" w:rsidRPr="005040A4">
        <w:t>’</w:t>
      </w:r>
      <w:r w:rsidRPr="005040A4">
        <w:t>audit.</w:t>
      </w:r>
    </w:p>
    <w:p w14:paraId="1ED05BD1" w14:textId="29486816" w:rsidR="00855109" w:rsidRPr="005040A4" w:rsidRDefault="00855109" w:rsidP="000057BC">
      <w:pPr>
        <w:pStyle w:val="ListParagraph"/>
        <w:rPr>
          <w:rFonts w:eastAsia="Times New Roman"/>
          <w:color w:val="000000" w:themeColor="text1"/>
        </w:rPr>
      </w:pPr>
      <w:r w:rsidRPr="005040A4">
        <w:t>La Division de la supervision interne (DSI) fournit à la direction de l</w:t>
      </w:r>
      <w:r w:rsidR="00743D89" w:rsidRPr="005040A4">
        <w:t>’</w:t>
      </w:r>
      <w:r w:rsidRPr="005040A4">
        <w:t>Organisation des garanties, des analyses, des évaluations, des recommandations, des enseignements, des conseils et des informations de manière objective grâce à la réalisation d</w:t>
      </w:r>
      <w:r w:rsidR="00743D89" w:rsidRPr="005040A4">
        <w:t>’</w:t>
      </w:r>
      <w:r w:rsidRPr="005040A4">
        <w:t>audits internes, d</w:t>
      </w:r>
      <w:r w:rsidR="00743D89" w:rsidRPr="005040A4">
        <w:t>’</w:t>
      </w:r>
      <w:r w:rsidRPr="005040A4">
        <w:t>évaluations et d</w:t>
      </w:r>
      <w:r w:rsidR="00743D89" w:rsidRPr="005040A4">
        <w:t>’</w:t>
      </w:r>
      <w:r w:rsidRPr="005040A4">
        <w:t>investigatio</w:t>
      </w:r>
      <w:r w:rsidR="005652C9" w:rsidRPr="005040A4">
        <w:t>ns.  Au</w:t>
      </w:r>
      <w:r w:rsidRPr="005040A4">
        <w:t xml:space="preserve"> cours de son audit, la BPK a collaboré avec la DSI et a examiné les rapports de cette derniè</w:t>
      </w:r>
      <w:r w:rsidR="005652C9" w:rsidRPr="005040A4">
        <w:t>re.  Ce</w:t>
      </w:r>
      <w:r w:rsidRPr="005040A4">
        <w:t>la lui a permis de réduire au minimum les doublons dans les travaux d</w:t>
      </w:r>
      <w:r w:rsidR="00743D89" w:rsidRPr="005040A4">
        <w:t>’</w:t>
      </w:r>
      <w:r w:rsidRPr="005040A4">
        <w:t>aud</w:t>
      </w:r>
      <w:r w:rsidR="005652C9" w:rsidRPr="005040A4">
        <w:t xml:space="preserve">it.  </w:t>
      </w:r>
      <w:r w:rsidR="005652C9" w:rsidRPr="005040A4">
        <w:rPr>
          <w:color w:val="000000" w:themeColor="text1"/>
        </w:rPr>
        <w:t>Ce</w:t>
      </w:r>
      <w:r w:rsidRPr="005040A4">
        <w:rPr>
          <w:color w:val="000000" w:themeColor="text1"/>
        </w:rPr>
        <w:t xml:space="preserve"> sont également ces rapports qui ont informé la BPK des fraudes commises au sein de l</w:t>
      </w:r>
      <w:r w:rsidR="00743D89" w:rsidRPr="005040A4">
        <w:rPr>
          <w:color w:val="000000" w:themeColor="text1"/>
        </w:rPr>
        <w:t>’</w:t>
      </w:r>
      <w:r w:rsidRPr="005040A4">
        <w:rPr>
          <w:color w:val="000000" w:themeColor="text1"/>
        </w:rPr>
        <w:t xml:space="preserve">Organisation en 2024. </w:t>
      </w:r>
      <w:r w:rsidR="001B7F27" w:rsidRPr="005040A4">
        <w:rPr>
          <w:color w:val="000000" w:themeColor="text1"/>
        </w:rPr>
        <w:t xml:space="preserve"> </w:t>
      </w:r>
      <w:r w:rsidRPr="005040A4">
        <w:rPr>
          <w:color w:val="000000" w:themeColor="text1"/>
        </w:rPr>
        <w:t>La BPK a également obtenu le programme de travail annuel de la DSI pour 2025, qui sera utile pour la planification de l</w:t>
      </w:r>
      <w:r w:rsidR="00743D89" w:rsidRPr="005040A4">
        <w:rPr>
          <w:color w:val="000000" w:themeColor="text1"/>
        </w:rPr>
        <w:t>’</w:t>
      </w:r>
      <w:r w:rsidRPr="005040A4">
        <w:rPr>
          <w:color w:val="000000" w:themeColor="text1"/>
        </w:rPr>
        <w:t>audit de l</w:t>
      </w:r>
      <w:r w:rsidR="00743D89" w:rsidRPr="005040A4">
        <w:rPr>
          <w:color w:val="000000" w:themeColor="text1"/>
        </w:rPr>
        <w:t>’</w:t>
      </w:r>
      <w:r w:rsidRPr="005040A4">
        <w:rPr>
          <w:color w:val="000000" w:themeColor="text1"/>
        </w:rPr>
        <w:t>année prochaine.</w:t>
      </w:r>
    </w:p>
    <w:p w14:paraId="3A5F208A" w14:textId="26718188" w:rsidR="00855109" w:rsidRPr="005040A4" w:rsidRDefault="00855109" w:rsidP="000057BC">
      <w:pPr>
        <w:pStyle w:val="ListParagraph"/>
        <w:rPr>
          <w:rFonts w:eastAsia="Times New Roman"/>
        </w:rPr>
      </w:pPr>
      <w:r w:rsidRPr="005040A4">
        <w:t>L</w:t>
      </w:r>
      <w:r w:rsidR="00743D89" w:rsidRPr="005040A4">
        <w:t>’</w:t>
      </w:r>
      <w:r w:rsidRPr="005040A4">
        <w:t>OCIS est un organe subsidiaire de l</w:t>
      </w:r>
      <w:r w:rsidR="00743D89" w:rsidRPr="005040A4">
        <w:t>’</w:t>
      </w:r>
      <w:r w:rsidRPr="005040A4">
        <w:t>Assemblée générale et du Comité du programme et budget de l</w:t>
      </w:r>
      <w:r w:rsidR="00743D89" w:rsidRPr="005040A4">
        <w:t>’</w:t>
      </w:r>
      <w:r w:rsidRPr="005040A4">
        <w:t>Organisation, exerçant des fonctions consultatives spécialisées et qui aide l</w:t>
      </w:r>
      <w:r w:rsidR="00743D89" w:rsidRPr="005040A4">
        <w:t>’</w:t>
      </w:r>
      <w:r w:rsidRPr="005040A4">
        <w:t>Assemblée et le Comité du programme et budget à s</w:t>
      </w:r>
      <w:r w:rsidR="00743D89" w:rsidRPr="005040A4">
        <w:t>’</w:t>
      </w:r>
      <w:r w:rsidRPr="005040A4">
        <w:t>acquitter de leurs responsabilités en matière de supervisi</w:t>
      </w:r>
      <w:r w:rsidR="005652C9" w:rsidRPr="005040A4">
        <w:t>on.  Co</w:t>
      </w:r>
      <w:r w:rsidRPr="005040A4">
        <w:t xml:space="preserve">nformément aux </w:t>
      </w:r>
      <w:r w:rsidRPr="005040A4">
        <w:lastRenderedPageBreak/>
        <w:t>bonnes pratiques, la BPK a communiqué les résultats de l</w:t>
      </w:r>
      <w:r w:rsidR="00743D89" w:rsidRPr="005040A4">
        <w:t>’</w:t>
      </w:r>
      <w:r w:rsidRPr="005040A4">
        <w:t>audit à l</w:t>
      </w:r>
      <w:r w:rsidR="00743D89" w:rsidRPr="005040A4">
        <w:t>’</w:t>
      </w:r>
      <w:r w:rsidRPr="005040A4">
        <w:t>Organe consultatif indépendant de surveillance avant la finalisation de son travail.</w:t>
      </w:r>
    </w:p>
    <w:p w14:paraId="50CBB47F" w14:textId="75DB69F6" w:rsidR="00743D89" w:rsidRPr="005040A4" w:rsidRDefault="00855109" w:rsidP="000057BC">
      <w:pPr>
        <w:pStyle w:val="ListParagraph"/>
      </w:pPr>
      <w:r w:rsidRPr="005040A4">
        <w:t>Tout en reconnaissant l</w:t>
      </w:r>
      <w:r w:rsidR="00743D89" w:rsidRPr="005040A4">
        <w:t>’</w:t>
      </w:r>
      <w:r w:rsidRPr="005040A4">
        <w:t>efficacité des contrôles internes de l</w:t>
      </w:r>
      <w:r w:rsidR="00743D89" w:rsidRPr="005040A4">
        <w:t>’</w:t>
      </w:r>
      <w:r w:rsidRPr="005040A4">
        <w:t xml:space="preserve">Organisation, nous avons formulé plusieurs conclusions et recommandations relatives aux audits financiers et de performance, détaillées dans les paragraphes suivants. </w:t>
      </w:r>
      <w:r w:rsidR="001B7F27" w:rsidRPr="005040A4">
        <w:t xml:space="preserve"> </w:t>
      </w:r>
    </w:p>
    <w:p w14:paraId="60F39F08" w14:textId="211C2BDE" w:rsidR="00855109" w:rsidRPr="005040A4" w:rsidRDefault="00855109" w:rsidP="000057BC">
      <w:pPr>
        <w:pStyle w:val="Heading4"/>
      </w:pPr>
      <w:bookmarkStart w:id="92" w:name="_Toc199153493"/>
      <w:r w:rsidRPr="005040A4">
        <w:t>Conclusions et recommandations</w:t>
      </w:r>
      <w:bookmarkEnd w:id="92"/>
    </w:p>
    <w:p w14:paraId="7D28DA88" w14:textId="0411B103" w:rsidR="00855109" w:rsidRPr="00AB7D15" w:rsidRDefault="00855109" w:rsidP="00606A8C">
      <w:pPr>
        <w:pStyle w:val="Heading5"/>
      </w:pPr>
      <w:bookmarkStart w:id="93" w:name="_Toc199153494"/>
      <w:r w:rsidRPr="00606A8C">
        <w:t>Optimisation</w:t>
      </w:r>
      <w:r w:rsidRPr="00AB7D15">
        <w:t xml:space="preserve"> de l</w:t>
      </w:r>
      <w:r w:rsidR="00743D89" w:rsidRPr="00AB7D15">
        <w:t>’</w:t>
      </w:r>
      <w:r w:rsidRPr="00AB7D15">
        <w:t>utilisation et de l</w:t>
      </w:r>
      <w:r w:rsidR="00743D89" w:rsidRPr="00AB7D15">
        <w:t>’</w:t>
      </w:r>
      <w:r w:rsidRPr="00AB7D15">
        <w:t>automatisation des systèmes pour l</w:t>
      </w:r>
      <w:r w:rsidR="00743D89" w:rsidRPr="00AB7D15">
        <w:t>’</w:t>
      </w:r>
      <w:r w:rsidRPr="00AB7D15">
        <w:t>établissement des rapports financiers</w:t>
      </w:r>
      <w:bookmarkEnd w:id="93"/>
    </w:p>
    <w:p w14:paraId="23549170" w14:textId="0F3969F1" w:rsidR="00855109" w:rsidRPr="004F2284" w:rsidRDefault="00855109" w:rsidP="000057BC">
      <w:pPr>
        <w:pStyle w:val="ListParagraph"/>
        <w:rPr>
          <w:rFonts w:eastAsia="Times New Roman"/>
        </w:rPr>
      </w:pPr>
      <w:r w:rsidRPr="005040A4">
        <w:t>Dans le cadre de l</w:t>
      </w:r>
      <w:r w:rsidR="00743D89" w:rsidRPr="005040A4">
        <w:t>’</w:t>
      </w:r>
      <w:r w:rsidRPr="005040A4">
        <w:t>audit financier de l</w:t>
      </w:r>
      <w:r w:rsidR="00743D89" w:rsidRPr="005040A4">
        <w:t>’</w:t>
      </w:r>
      <w:r w:rsidRPr="005040A4">
        <w:t>Organisation pour l</w:t>
      </w:r>
      <w:r w:rsidR="00743D89" w:rsidRPr="005040A4">
        <w:t>’</w:t>
      </w:r>
      <w:r w:rsidRPr="005040A4">
        <w:t>exercice clos en 2024, la BPK a examiné le processus d</w:t>
      </w:r>
      <w:r w:rsidR="00743D89" w:rsidRPr="005040A4">
        <w:t>’</w:t>
      </w:r>
      <w:r w:rsidRPr="005040A4">
        <w:t>établissement de rapports financiers et l</w:t>
      </w:r>
      <w:r w:rsidR="00743D89" w:rsidRPr="005040A4">
        <w:t>’</w:t>
      </w:r>
      <w:r w:rsidRPr="005040A4">
        <w:t>utilisation du système intégré de gestion administrative (AIMS), le système de planification des ressources (ERP) personnalisé de l</w:t>
      </w:r>
      <w:r w:rsidR="00743D89" w:rsidRPr="005040A4">
        <w:t>’</w:t>
      </w:r>
      <w:r w:rsidRPr="005040A4">
        <w:t xml:space="preserve">Organisation, fondé sur la plateforme PeopleSoft </w:t>
      </w:r>
      <w:r w:rsidRPr="004F2284">
        <w:t>d</w:t>
      </w:r>
      <w:r w:rsidR="00743D89" w:rsidRPr="004F2284">
        <w:t>’</w:t>
      </w:r>
      <w:r w:rsidRPr="004F2284">
        <w:t>Orac</w:t>
      </w:r>
      <w:r w:rsidR="005652C9" w:rsidRPr="004F2284">
        <w:t>le.  La</w:t>
      </w:r>
      <w:r w:rsidRPr="004F2284">
        <w:t> BPK a recensé des possibilités d</w:t>
      </w:r>
      <w:r w:rsidR="00743D89" w:rsidRPr="004F2284">
        <w:t>’</w:t>
      </w:r>
      <w:r w:rsidRPr="004F2284">
        <w:t xml:space="preserve">amélioration </w:t>
      </w:r>
      <w:r w:rsidR="00C728D1" w:rsidRPr="004F2284">
        <w:t xml:space="preserve">du système </w:t>
      </w:r>
      <w:r w:rsidRPr="004F2284">
        <w:t>AIMS dans les domaines suivants</w:t>
      </w:r>
      <w:r w:rsidR="00743D89" w:rsidRPr="004F2284">
        <w:t> :</w:t>
      </w:r>
      <w:r w:rsidRPr="004F2284">
        <w:t xml:space="preserve"> utilisation de la structure arborescente de AIMS pour la synthèse des états financiers;  fonction de génération de balances de vérification consolidées dans AIMS</w:t>
      </w:r>
      <w:r w:rsidR="00596148" w:rsidRPr="004F2284">
        <w:t> </w:t>
      </w:r>
      <w:r w:rsidRPr="004F2284">
        <w:t>Finance;  et rapprochement dans le grand livre général.</w:t>
      </w:r>
    </w:p>
    <w:p w14:paraId="7E5C3D3E" w14:textId="36862B22" w:rsidR="00855109" w:rsidRPr="005040A4" w:rsidRDefault="00855109" w:rsidP="000057BC">
      <w:pPr>
        <w:pStyle w:val="ListParagraph"/>
        <w:rPr>
          <w:rFonts w:eastAsia="Times New Roman"/>
        </w:rPr>
      </w:pPr>
      <w:r w:rsidRPr="004F2284">
        <w:t>La BPK a noté qu</w:t>
      </w:r>
      <w:r w:rsidR="00743D89" w:rsidRPr="004F2284">
        <w:t>’</w:t>
      </w:r>
      <w:r w:rsidRPr="004F2284">
        <w:t>au lieu d</w:t>
      </w:r>
      <w:r w:rsidR="00743D89" w:rsidRPr="004F2284">
        <w:t>’</w:t>
      </w:r>
      <w:r w:rsidRPr="004F2284">
        <w:t>utiliser la fonction arborescente de AIMS, l</w:t>
      </w:r>
      <w:r w:rsidR="00743D89" w:rsidRPr="004F2284">
        <w:t>’</w:t>
      </w:r>
      <w:r w:rsidRPr="004F2284">
        <w:t>Organisation a établi les états financiers à l</w:t>
      </w:r>
      <w:r w:rsidR="00743D89" w:rsidRPr="004F2284">
        <w:t>’</w:t>
      </w:r>
      <w:r w:rsidRPr="004F2284">
        <w:t>aide d</w:t>
      </w:r>
      <w:r w:rsidR="00743D89" w:rsidRPr="004F2284">
        <w:t>’</w:t>
      </w:r>
      <w:r w:rsidRPr="004F2284">
        <w:t>un tableur et d</w:t>
      </w:r>
      <w:r w:rsidR="00743D89" w:rsidRPr="004F2284">
        <w:t>’</w:t>
      </w:r>
      <w:r w:rsidRPr="004F2284">
        <w:t>un regroupement de balances de</w:t>
      </w:r>
      <w:r w:rsidRPr="005040A4">
        <w:t xml:space="preserve"> vérificati</w:t>
      </w:r>
      <w:r w:rsidR="005652C9" w:rsidRPr="005040A4">
        <w:t>on.  L’e</w:t>
      </w:r>
      <w:r w:rsidRPr="005040A4">
        <w:t>xamen de l</w:t>
      </w:r>
      <w:r w:rsidR="00743D89" w:rsidRPr="005040A4">
        <w:t>’</w:t>
      </w:r>
      <w:r w:rsidRPr="005040A4">
        <w:t>arborescence AIMS existante a révélé qu</w:t>
      </w:r>
      <w:r w:rsidR="00743D89" w:rsidRPr="005040A4">
        <w:t>’</w:t>
      </w:r>
      <w:r w:rsidRPr="005040A4">
        <w:t>elle n</w:t>
      </w:r>
      <w:r w:rsidR="00743D89" w:rsidRPr="005040A4">
        <w:t>’</w:t>
      </w:r>
      <w:r w:rsidRPr="005040A4">
        <w:t>était pas entièrement alignée sur la synthèse des états financiers de l</w:t>
      </w:r>
      <w:r w:rsidR="00743D89" w:rsidRPr="005040A4">
        <w:t>’</w:t>
      </w:r>
      <w:r w:rsidRPr="005040A4">
        <w:t>Organisation, notamment en ce qui concerne la synthèse des actifs courants, des passifs courants, des recettes et des dépens</w:t>
      </w:r>
      <w:r w:rsidR="005652C9" w:rsidRPr="005040A4">
        <w:t>es.  L’a</w:t>
      </w:r>
      <w:r w:rsidRPr="005040A4">
        <w:t>lignement de l</w:t>
      </w:r>
      <w:r w:rsidR="00743D89" w:rsidRPr="005040A4">
        <w:t>’</w:t>
      </w:r>
      <w:r w:rsidRPr="005040A4">
        <w:t>arborescence AIMS et de la structure des états financiers de l</w:t>
      </w:r>
      <w:r w:rsidR="00743D89" w:rsidRPr="005040A4">
        <w:t>’</w:t>
      </w:r>
      <w:r w:rsidRPr="005040A4">
        <w:t>Organisation permettrait de réduire la charge de travail manuel, d</w:t>
      </w:r>
      <w:r w:rsidR="00743D89" w:rsidRPr="005040A4">
        <w:t>’</w:t>
      </w:r>
      <w:r w:rsidRPr="005040A4">
        <w:t>améliorer la cohérence et de renforcer l</w:t>
      </w:r>
      <w:r w:rsidR="00743D89" w:rsidRPr="005040A4">
        <w:t>’</w:t>
      </w:r>
      <w:r w:rsidRPr="005040A4">
        <w:t>efficacité en matière d</w:t>
      </w:r>
      <w:r w:rsidR="00743D89" w:rsidRPr="005040A4">
        <w:t>’</w:t>
      </w:r>
      <w:r w:rsidRPr="005040A4">
        <w:t>établissement des rapports financiers.</w:t>
      </w:r>
    </w:p>
    <w:p w14:paraId="33A65F45" w14:textId="01DEC11D" w:rsidR="00855109" w:rsidRPr="005040A4" w:rsidRDefault="00855109" w:rsidP="000057BC">
      <w:pPr>
        <w:pStyle w:val="ListParagraph"/>
      </w:pPr>
      <w:r w:rsidRPr="005040A4">
        <w:t>L</w:t>
      </w:r>
      <w:r w:rsidR="00743D89" w:rsidRPr="005040A4">
        <w:t>’</w:t>
      </w:r>
      <w:r w:rsidRPr="005040A4">
        <w:t>Organisation s</w:t>
      </w:r>
      <w:r w:rsidR="00743D89" w:rsidRPr="005040A4">
        <w:t>’</w:t>
      </w:r>
      <w:r w:rsidRPr="005040A4">
        <w:t xml:space="preserve">appuie actuellement sur plusieurs balances de vérification générées par AIMS pour chaque unité fonctionnelle définie, </w:t>
      </w:r>
      <w:r w:rsidR="00743D89" w:rsidRPr="005040A4">
        <w:t>à savoir</w:t>
      </w:r>
      <w:r w:rsidRPr="005040A4">
        <w:t xml:space="preserve"> WIPO1, FITSW et WISP1, afin d</w:t>
      </w:r>
      <w:r w:rsidR="00743D89" w:rsidRPr="005040A4">
        <w:t>’</w:t>
      </w:r>
      <w:r w:rsidRPr="005040A4">
        <w:t>établir ses états financie</w:t>
      </w:r>
      <w:r w:rsidR="005652C9" w:rsidRPr="005040A4">
        <w:t>rs.  Mê</w:t>
      </w:r>
      <w:r w:rsidRPr="005040A4">
        <w:t>me s</w:t>
      </w:r>
      <w:r w:rsidR="00743D89" w:rsidRPr="005040A4">
        <w:t>’</w:t>
      </w:r>
      <w:r w:rsidRPr="005040A4">
        <w:t>il est possible de générer des balances de vérification au niveau des unités fonctionnelles, AIMS n</w:t>
      </w:r>
      <w:r w:rsidR="00743D89" w:rsidRPr="005040A4">
        <w:t>’</w:t>
      </w:r>
      <w:r w:rsidRPr="005040A4">
        <w:t>était pas équipé d</w:t>
      </w:r>
      <w:r w:rsidR="00743D89" w:rsidRPr="005040A4">
        <w:t>’</w:t>
      </w:r>
      <w:r w:rsidRPr="005040A4">
        <w:t>une fonctionnalité permettant de produire une balance de vérification consolidée qui agrège les soldes des comptes de toutes les balances de vérification des unités fonctionnell</w:t>
      </w:r>
      <w:r w:rsidR="005652C9" w:rsidRPr="005040A4">
        <w:t>es.  Un</w:t>
      </w:r>
      <w:r w:rsidRPr="005040A4">
        <w:t xml:space="preserve"> processus de consolidation a donc été effectué manuellement en dehors du système, ce qui impose une charge de travail supplémentaire et augmente le risque d</w:t>
      </w:r>
      <w:r w:rsidR="00743D89" w:rsidRPr="005040A4">
        <w:t>’</w:t>
      </w:r>
      <w:r w:rsidRPr="005040A4">
        <w:t>erreurs ou d</w:t>
      </w:r>
      <w:r w:rsidR="00743D89" w:rsidRPr="005040A4">
        <w:t>’</w:t>
      </w:r>
      <w:r w:rsidRPr="005040A4">
        <w:t>incohérences dans les rapports financie</w:t>
      </w:r>
      <w:r w:rsidR="005652C9" w:rsidRPr="005040A4">
        <w:t>rs.  L’a</w:t>
      </w:r>
      <w:r w:rsidRPr="005040A4">
        <w:t>mélioration du système AIMS grâce à une fonctionnalité automatisée de balances de vérification consolidées contribuerait à améliorer l</w:t>
      </w:r>
      <w:r w:rsidR="00743D89" w:rsidRPr="005040A4">
        <w:t>’</w:t>
      </w:r>
      <w:r w:rsidRPr="005040A4">
        <w:t>efficacité, à réduire la charge de travail manuel et à renforcer l</w:t>
      </w:r>
      <w:r w:rsidR="00743D89" w:rsidRPr="005040A4">
        <w:t>’</w:t>
      </w:r>
      <w:r w:rsidRPr="005040A4">
        <w:t>exactitude et la fiabilité des données financières.</w:t>
      </w:r>
    </w:p>
    <w:p w14:paraId="10A1BBB4" w14:textId="21C3A5EB" w:rsidR="00855109" w:rsidRPr="005040A4" w:rsidRDefault="00855109" w:rsidP="005908BF">
      <w:pPr>
        <w:pStyle w:val="ListParagraph"/>
      </w:pPr>
      <w:r w:rsidRPr="005040A4">
        <w:t>Une divergence a également été constatée entre les états financiers et le grand livre général extrait du système AIMS, due à une annulation directe dans le grand livre général d</w:t>
      </w:r>
      <w:r w:rsidR="00743D89" w:rsidRPr="005040A4">
        <w:t>’</w:t>
      </w:r>
      <w:r w:rsidRPr="005040A4">
        <w:t>une transaction qui avait été initialement enregistrée dans un livre auxiliai</w:t>
      </w:r>
      <w:r w:rsidR="005652C9" w:rsidRPr="005040A4">
        <w:t>re.  En</w:t>
      </w:r>
      <w:r w:rsidRPr="005040A4">
        <w:t xml:space="preserve"> outre, la BPK a noté qu</w:t>
      </w:r>
      <w:r w:rsidR="00743D89" w:rsidRPr="005040A4">
        <w:t>’</w:t>
      </w:r>
      <w:r w:rsidRPr="005040A4">
        <w:t>un certain nombre d</w:t>
      </w:r>
      <w:r w:rsidR="00743D89" w:rsidRPr="005040A4">
        <w:t>’</w:t>
      </w:r>
      <w:r w:rsidRPr="005040A4">
        <w:t>utilisateurs étaient autorisés à enregistrer des écritures manuelles tout au long de l</w:t>
      </w:r>
      <w:r w:rsidR="00743D89" w:rsidRPr="005040A4">
        <w:t>’</w:t>
      </w:r>
      <w:r w:rsidRPr="005040A4">
        <w:t>exercice 2024, ce qui indique qu</w:t>
      </w:r>
      <w:r w:rsidR="00743D89" w:rsidRPr="005040A4">
        <w:t>’</w:t>
      </w:r>
      <w:r w:rsidRPr="005040A4">
        <w:t>il serait opportun de renforcer les contrôles intern</w:t>
      </w:r>
      <w:r w:rsidR="005652C9" w:rsidRPr="005040A4">
        <w:t>es.  Co</w:t>
      </w:r>
      <w:r w:rsidRPr="005040A4">
        <w:t>nformément aux normes de sécurité de l</w:t>
      </w:r>
      <w:r w:rsidR="00743D89" w:rsidRPr="005040A4">
        <w:t>’</w:t>
      </w:r>
      <w:r w:rsidRPr="005040A4">
        <w:t>information de l</w:t>
      </w:r>
      <w:r w:rsidR="00743D89" w:rsidRPr="005040A4">
        <w:t>’</w:t>
      </w:r>
      <w:r w:rsidRPr="005040A4">
        <w:t>Organisation, il conviendrait de mettre davantage l</w:t>
      </w:r>
      <w:r w:rsidR="00743D89" w:rsidRPr="005040A4">
        <w:t>’</w:t>
      </w:r>
      <w:r w:rsidRPr="005040A4">
        <w:t>accent sur la séparation des tâches et des responsabilités afin d</w:t>
      </w:r>
      <w:r w:rsidR="00743D89" w:rsidRPr="005040A4">
        <w:t>’</w:t>
      </w:r>
      <w:r w:rsidRPr="005040A4">
        <w:t xml:space="preserve">atténuer les risques </w:t>
      </w:r>
      <w:r w:rsidRPr="005040A4">
        <w:lastRenderedPageBreak/>
        <w:t>de modifications non autorisées ou involontaires et de réduire les difficultés de rapprochement.</w:t>
      </w:r>
    </w:p>
    <w:tbl>
      <w:tblPr>
        <w:tblW w:w="8222"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222"/>
      </w:tblGrid>
      <w:tr w:rsidR="00855109" w:rsidRPr="005040A4" w14:paraId="05C309D7" w14:textId="77777777" w:rsidTr="00327509">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cPr>
          <w:p w14:paraId="2612057B" w14:textId="77777777" w:rsidR="00855109" w:rsidRPr="005040A4" w:rsidRDefault="00855109" w:rsidP="00E862E4">
            <w:pPr>
              <w:spacing w:before="81" w:after="81" w:line="280" w:lineRule="auto"/>
              <w:jc w:val="both"/>
              <w:rPr>
                <w:rFonts w:eastAsia="Times New Roman"/>
                <w:b/>
                <w:lang w:val="fr-FR"/>
              </w:rPr>
            </w:pPr>
            <w:r w:rsidRPr="005040A4">
              <w:rPr>
                <w:b/>
                <w:lang w:val="fr-FR"/>
              </w:rPr>
              <w:t>Recommandation n° 1</w:t>
            </w:r>
          </w:p>
          <w:p w14:paraId="1C691122" w14:textId="4BE7B497" w:rsidR="00855109" w:rsidRPr="005040A4" w:rsidRDefault="00855109" w:rsidP="00E862E4">
            <w:pPr>
              <w:pBdr>
                <w:top w:val="none" w:sz="4" w:space="0" w:color="000000"/>
                <w:left w:val="none" w:sz="4" w:space="0" w:color="000000"/>
                <w:bottom w:val="none" w:sz="4" w:space="0" w:color="000000"/>
                <w:right w:val="none" w:sz="4" w:space="0" w:color="000000"/>
                <w:between w:val="none" w:sz="4" w:space="0" w:color="000000"/>
              </w:pBdr>
              <w:spacing w:before="81" w:after="81" w:line="280" w:lineRule="auto"/>
              <w:jc w:val="both"/>
              <w:rPr>
                <w:rFonts w:eastAsia="Times New Roman"/>
                <w:lang w:val="fr-FR"/>
              </w:rPr>
            </w:pPr>
            <w:r w:rsidRPr="005040A4">
              <w:rPr>
                <w:lang w:val="fr-FR"/>
              </w:rPr>
              <w:t>La BPK recommande à l</w:t>
            </w:r>
            <w:r w:rsidR="00743D89" w:rsidRPr="005040A4">
              <w:rPr>
                <w:lang w:val="fr-FR"/>
              </w:rPr>
              <w:t>’</w:t>
            </w:r>
            <w:r w:rsidRPr="005040A4">
              <w:rPr>
                <w:lang w:val="fr-FR"/>
              </w:rPr>
              <w:t>Organisation d</w:t>
            </w:r>
            <w:r w:rsidR="00743D89" w:rsidRPr="005040A4">
              <w:rPr>
                <w:lang w:val="fr-FR"/>
              </w:rPr>
              <w:t>’</w:t>
            </w:r>
            <w:r w:rsidRPr="005040A4">
              <w:rPr>
                <w:lang w:val="fr-FR"/>
              </w:rPr>
              <w:t>améliorer l</w:t>
            </w:r>
            <w:r w:rsidR="00743D89" w:rsidRPr="005040A4">
              <w:rPr>
                <w:lang w:val="fr-FR"/>
              </w:rPr>
              <w:t>’</w:t>
            </w:r>
            <w:r w:rsidRPr="005040A4">
              <w:rPr>
                <w:lang w:val="fr-FR"/>
              </w:rPr>
              <w:t>optimisation du système et l</w:t>
            </w:r>
            <w:r w:rsidR="00743D89" w:rsidRPr="005040A4">
              <w:rPr>
                <w:lang w:val="fr-FR"/>
              </w:rPr>
              <w:t>’</w:t>
            </w:r>
            <w:r w:rsidRPr="005040A4">
              <w:rPr>
                <w:lang w:val="fr-FR"/>
              </w:rPr>
              <w:t>automatisation des rapports financiers afin de permettre la synthèse automatisée des états financiers, la consolidation de la balance de vérification, de réduire au minimum les erreurs, de rationaliser les rapports financiers et la mise en œuvre des contrôles visant à garantir l</w:t>
            </w:r>
            <w:r w:rsidR="00743D89" w:rsidRPr="005040A4">
              <w:rPr>
                <w:lang w:val="fr-FR"/>
              </w:rPr>
              <w:t>’</w:t>
            </w:r>
            <w:r w:rsidRPr="005040A4">
              <w:rPr>
                <w:lang w:val="fr-FR"/>
              </w:rPr>
              <w:t>intégrité des données et l</w:t>
            </w:r>
            <w:r w:rsidR="00743D89" w:rsidRPr="005040A4">
              <w:rPr>
                <w:lang w:val="fr-FR"/>
              </w:rPr>
              <w:t>’</w:t>
            </w:r>
            <w:r w:rsidRPr="005040A4">
              <w:rPr>
                <w:lang w:val="fr-FR"/>
              </w:rPr>
              <w:t>efficacité et l</w:t>
            </w:r>
            <w:r w:rsidR="00743D89" w:rsidRPr="005040A4">
              <w:rPr>
                <w:lang w:val="fr-FR"/>
              </w:rPr>
              <w:t>’</w:t>
            </w:r>
            <w:r w:rsidRPr="005040A4">
              <w:rPr>
                <w:lang w:val="fr-FR"/>
              </w:rPr>
              <w:t>exactitude des rapports financiers.</w:t>
            </w:r>
          </w:p>
        </w:tc>
      </w:tr>
      <w:tr w:rsidR="00855109" w:rsidRPr="005040A4" w14:paraId="0BBDB88B" w14:textId="77777777" w:rsidTr="00327509">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cPr>
          <w:p w14:paraId="265D3155" w14:textId="3D06675A" w:rsidR="00855109" w:rsidRPr="005040A4" w:rsidRDefault="00855109" w:rsidP="00E862E4">
            <w:pPr>
              <w:spacing w:before="81" w:after="81" w:line="280" w:lineRule="auto"/>
              <w:jc w:val="both"/>
              <w:rPr>
                <w:rFonts w:eastAsia="Times New Roman"/>
                <w:b/>
                <w:lang w:val="fr-FR"/>
              </w:rPr>
            </w:pPr>
            <w:r w:rsidRPr="005040A4">
              <w:rPr>
                <w:b/>
                <w:lang w:val="fr-FR"/>
              </w:rPr>
              <w:t>Réponse de la direction</w:t>
            </w:r>
            <w:r w:rsidR="00743D89" w:rsidRPr="005040A4">
              <w:rPr>
                <w:b/>
                <w:lang w:val="fr-FR"/>
              </w:rPr>
              <w:t> :</w:t>
            </w:r>
          </w:p>
          <w:p w14:paraId="603A5481" w14:textId="78E7E489" w:rsidR="00855109" w:rsidRPr="005040A4" w:rsidRDefault="00855109" w:rsidP="00E862E4">
            <w:pPr>
              <w:spacing w:before="81" w:after="81" w:line="280" w:lineRule="auto"/>
              <w:jc w:val="both"/>
              <w:rPr>
                <w:rFonts w:eastAsia="Times New Roman"/>
                <w:lang w:val="fr-FR"/>
              </w:rPr>
            </w:pPr>
            <w:r w:rsidRPr="005040A4">
              <w:rPr>
                <w:lang w:val="fr-FR"/>
              </w:rPr>
              <w:t>La direction souscrit à la recommandati</w:t>
            </w:r>
            <w:r w:rsidR="005652C9" w:rsidRPr="005040A4">
              <w:rPr>
                <w:lang w:val="fr-FR"/>
              </w:rPr>
              <w:t>on.  Co</w:t>
            </w:r>
            <w:r w:rsidRPr="005040A4">
              <w:rPr>
                <w:lang w:val="fr-FR"/>
              </w:rPr>
              <w:t>mpte tenu du fait que l</w:t>
            </w:r>
            <w:r w:rsidR="00743D89" w:rsidRPr="005040A4">
              <w:rPr>
                <w:lang w:val="fr-FR"/>
              </w:rPr>
              <w:t>’</w:t>
            </w:r>
            <w:r w:rsidRPr="005040A4">
              <w:rPr>
                <w:lang w:val="fr-FR"/>
              </w:rPr>
              <w:t xml:space="preserve">Organisation va bientôt passer à un nouveau système ERP, les configurations recommandées seront prises en considération lors de la conception du plan comptable dans le nouveau </w:t>
            </w:r>
            <w:r w:rsidRPr="004F2284">
              <w:rPr>
                <w:lang w:val="fr-FR"/>
              </w:rPr>
              <w:t>système ERP de A</w:t>
            </w:r>
            <w:r w:rsidR="005652C9" w:rsidRPr="004F2284">
              <w:rPr>
                <w:lang w:val="fr-FR"/>
              </w:rPr>
              <w:t>IMS.  Le</w:t>
            </w:r>
            <w:r w:rsidRPr="004F2284">
              <w:rPr>
                <w:lang w:val="fr-FR"/>
              </w:rPr>
              <w:t>s</w:t>
            </w:r>
            <w:r w:rsidRPr="005040A4">
              <w:rPr>
                <w:lang w:val="fr-FR"/>
              </w:rPr>
              <w:t xml:space="preserve"> critères de clôture résulteront des tests de configuration du nouveau dispositif pour le contrôle du système et de la structure arborescente recommandée.</w:t>
            </w:r>
          </w:p>
          <w:p w14:paraId="38C8D5C5" w14:textId="7161EDFF" w:rsidR="00855109" w:rsidRPr="005040A4" w:rsidRDefault="00855109" w:rsidP="00E862E4">
            <w:pPr>
              <w:spacing w:before="81" w:after="81" w:line="280" w:lineRule="auto"/>
              <w:jc w:val="both"/>
              <w:rPr>
                <w:rFonts w:eastAsia="Times New Roman"/>
                <w:lang w:val="fr-FR"/>
              </w:rPr>
            </w:pPr>
            <w:r w:rsidRPr="005040A4">
              <w:rPr>
                <w:lang w:val="fr-FR"/>
              </w:rPr>
              <w:t>La mise en œuvre de cette mesure devrait être achevée d</w:t>
            </w:r>
            <w:r w:rsidR="00743D89" w:rsidRPr="005040A4">
              <w:rPr>
                <w:lang w:val="fr-FR"/>
              </w:rPr>
              <w:t>’</w:t>
            </w:r>
            <w:r w:rsidRPr="005040A4">
              <w:rPr>
                <w:lang w:val="fr-FR"/>
              </w:rPr>
              <w:t>ici le 31 décembre 2026, conformément au calendrier prévu pour la conception et les tests d</w:t>
            </w:r>
            <w:r w:rsidR="00743D89" w:rsidRPr="005040A4">
              <w:rPr>
                <w:lang w:val="fr-FR"/>
              </w:rPr>
              <w:t>’</w:t>
            </w:r>
            <w:r w:rsidRPr="005040A4">
              <w:rPr>
                <w:lang w:val="fr-FR"/>
              </w:rPr>
              <w:t>acceptation par les utilisateurs du nouveau système ERP.</w:t>
            </w:r>
          </w:p>
        </w:tc>
      </w:tr>
    </w:tbl>
    <w:p w14:paraId="7F93F802" w14:textId="77777777" w:rsidR="00855109" w:rsidRPr="005040A4" w:rsidRDefault="00855109" w:rsidP="00606A8C">
      <w:pPr>
        <w:pStyle w:val="Heading5"/>
        <w:spacing w:before="360"/>
      </w:pPr>
      <w:bookmarkStart w:id="94" w:name="_Toc199153495"/>
      <w:r w:rsidRPr="005040A4">
        <w:t>Amélioration de la politique comptable régissant les taxes du système de Madrid</w:t>
      </w:r>
      <w:bookmarkEnd w:id="94"/>
    </w:p>
    <w:p w14:paraId="6128D0F4" w14:textId="7248AF94" w:rsidR="00743D89" w:rsidRPr="005040A4" w:rsidRDefault="00855109" w:rsidP="000057BC">
      <w:pPr>
        <w:pStyle w:val="ListParagraph"/>
        <w:rPr>
          <w:rStyle w:val="normaltextrun"/>
        </w:rPr>
      </w:pPr>
      <w:r w:rsidRPr="005040A4">
        <w:rPr>
          <w:rStyle w:val="normaltextrun"/>
        </w:rPr>
        <w:t>L</w:t>
      </w:r>
      <w:r w:rsidR="00743D89" w:rsidRPr="005040A4">
        <w:rPr>
          <w:rStyle w:val="normaltextrun"/>
        </w:rPr>
        <w:t>’</w:t>
      </w:r>
      <w:r w:rsidRPr="005040A4">
        <w:rPr>
          <w:rStyle w:val="normaltextrun"/>
        </w:rPr>
        <w:t>Organisation a élaboré des directives détaillées qui servent de lignes directrices pratiques pour l</w:t>
      </w:r>
      <w:r w:rsidR="00743D89" w:rsidRPr="005040A4">
        <w:rPr>
          <w:rStyle w:val="normaltextrun"/>
        </w:rPr>
        <w:t>’</w:t>
      </w:r>
      <w:r w:rsidRPr="005040A4">
        <w:rPr>
          <w:rStyle w:val="normaltextrun"/>
        </w:rPr>
        <w:t>application du cadre et des principes IPSAS lors de l</w:t>
      </w:r>
      <w:r w:rsidR="00743D89" w:rsidRPr="005040A4">
        <w:rPr>
          <w:rStyle w:val="normaltextrun"/>
        </w:rPr>
        <w:t>’</w:t>
      </w:r>
      <w:r w:rsidRPr="005040A4">
        <w:rPr>
          <w:rStyle w:val="normaltextrun"/>
        </w:rPr>
        <w:t>établissement des rapports financie</w:t>
      </w:r>
      <w:r w:rsidR="005652C9" w:rsidRPr="005040A4">
        <w:rPr>
          <w:rStyle w:val="normaltextrun"/>
        </w:rPr>
        <w:t>rs.  Ce</w:t>
      </w:r>
      <w:r w:rsidRPr="005040A4">
        <w:rPr>
          <w:rStyle w:val="normaltextrun"/>
        </w:rPr>
        <w:t>s documents d</w:t>
      </w:r>
      <w:r w:rsidR="00743D89" w:rsidRPr="005040A4">
        <w:rPr>
          <w:rStyle w:val="normaltextrun"/>
        </w:rPr>
        <w:t>’</w:t>
      </w:r>
      <w:r w:rsidRPr="005040A4">
        <w:rPr>
          <w:rStyle w:val="normaltextrun"/>
        </w:rPr>
        <w:t>orientation présentent des scénarios spécifiques à l</w:t>
      </w:r>
      <w:r w:rsidR="00743D89" w:rsidRPr="005040A4">
        <w:rPr>
          <w:rStyle w:val="normaltextrun"/>
        </w:rPr>
        <w:t>’</w:t>
      </w:r>
      <w:r w:rsidRPr="005040A4">
        <w:rPr>
          <w:rStyle w:val="normaltextrun"/>
        </w:rPr>
        <w:t>Organisation, tels que le traitement des opérations comptables liées aux taxes du système de Madr</w:t>
      </w:r>
      <w:r w:rsidR="005652C9" w:rsidRPr="005040A4">
        <w:rPr>
          <w:rStyle w:val="normaltextrun"/>
        </w:rPr>
        <w:t>id.  Il</w:t>
      </w:r>
      <w:r w:rsidRPr="005040A4">
        <w:rPr>
          <w:rStyle w:val="normaltextrun"/>
        </w:rPr>
        <w:t>s fournissent également des références opérationnelles au personnel financier afin de garantir la cohérence des pratiques au sein de l</w:t>
      </w:r>
      <w:r w:rsidR="00743D89" w:rsidRPr="005040A4">
        <w:rPr>
          <w:rStyle w:val="normaltextrun"/>
        </w:rPr>
        <w:t>’</w:t>
      </w:r>
      <w:r w:rsidRPr="005040A4">
        <w:rPr>
          <w:rStyle w:val="normaltextrun"/>
        </w:rPr>
        <w:t>Organisation.</w:t>
      </w:r>
    </w:p>
    <w:p w14:paraId="57AFE5EF" w14:textId="68442AA2" w:rsidR="00855109" w:rsidRPr="005040A4" w:rsidRDefault="00855109" w:rsidP="000057BC">
      <w:pPr>
        <w:pStyle w:val="ListParagraph"/>
        <w:rPr>
          <w:rStyle w:val="normaltextrun"/>
        </w:rPr>
      </w:pPr>
      <w:r w:rsidRPr="005040A4">
        <w:rPr>
          <w:rStyle w:val="normaltextrun"/>
        </w:rPr>
        <w:t>La BPK a examiné les directives relatives aux taxes du système de Madrid et a noté que, bien qu</w:t>
      </w:r>
      <w:r w:rsidR="00743D89" w:rsidRPr="005040A4">
        <w:rPr>
          <w:rStyle w:val="normaltextrun"/>
        </w:rPr>
        <w:t>’</w:t>
      </w:r>
      <w:r w:rsidRPr="005040A4">
        <w:rPr>
          <w:rStyle w:val="normaltextrun"/>
        </w:rPr>
        <w:t>elles incluent le traitement comptable des recettes anticipées, elles ne donnent pas de directives concernant les montants à payer et les comptes courants, qui sont étroitement liés au processus de comptabilisation des recett</w:t>
      </w:r>
      <w:r w:rsidR="005652C9" w:rsidRPr="005040A4">
        <w:rPr>
          <w:rStyle w:val="normaltextrun"/>
        </w:rPr>
        <w:t>es.  Ap</w:t>
      </w:r>
      <w:r w:rsidRPr="005040A4">
        <w:rPr>
          <w:rStyle w:val="normaltextrun"/>
        </w:rPr>
        <w:t>rès discussion avec la direction, la BPK a recensé plusieurs pratiques comptables établies relatives aux montants à payer et aux comptes courants qui n</w:t>
      </w:r>
      <w:r w:rsidR="00743D89" w:rsidRPr="005040A4">
        <w:rPr>
          <w:rStyle w:val="normaltextrun"/>
        </w:rPr>
        <w:t>’</w:t>
      </w:r>
      <w:r w:rsidRPr="005040A4">
        <w:rPr>
          <w:rStyle w:val="normaltextrun"/>
        </w:rPr>
        <w:t>étaient pas formellement documentées dans les directives existant</w:t>
      </w:r>
      <w:r w:rsidR="005652C9" w:rsidRPr="005040A4">
        <w:rPr>
          <w:rStyle w:val="normaltextrun"/>
        </w:rPr>
        <w:t>es.  Il</w:t>
      </w:r>
      <w:r w:rsidRPr="005040A4">
        <w:rPr>
          <w:rStyle w:val="normaltextrun"/>
        </w:rPr>
        <w:t xml:space="preserve"> s</w:t>
      </w:r>
      <w:r w:rsidR="00743D89" w:rsidRPr="005040A4">
        <w:rPr>
          <w:rStyle w:val="normaltextrun"/>
        </w:rPr>
        <w:t>’</w:t>
      </w:r>
      <w:r w:rsidRPr="005040A4">
        <w:rPr>
          <w:rStyle w:val="normaltextrun"/>
        </w:rPr>
        <w:t>agit notamment du traitement des paiements anticipés acheminés par l</w:t>
      </w:r>
      <w:r w:rsidR="00743D89" w:rsidRPr="005040A4">
        <w:rPr>
          <w:rStyle w:val="normaltextrun"/>
        </w:rPr>
        <w:t>’</w:t>
      </w:r>
      <w:r w:rsidRPr="005040A4">
        <w:rPr>
          <w:rStyle w:val="normaltextrun"/>
        </w:rPr>
        <w:t>intermédiaire de comptes courants, du traitement des comptes courants dédiés, des méthodes d</w:t>
      </w:r>
      <w:r w:rsidR="00743D89" w:rsidRPr="005040A4">
        <w:rPr>
          <w:rStyle w:val="normaltextrun"/>
        </w:rPr>
        <w:t>’</w:t>
      </w:r>
      <w:r w:rsidRPr="005040A4">
        <w:rPr>
          <w:rStyle w:val="normaltextrun"/>
        </w:rPr>
        <w:t>estimation des recettes anticipées et des montants à payer, de la classification des postes présentés dans les états financiers et des ajustements de fin d</w:t>
      </w:r>
      <w:r w:rsidR="00743D89" w:rsidRPr="005040A4">
        <w:rPr>
          <w:rStyle w:val="normaltextrun"/>
        </w:rPr>
        <w:t>’</w:t>
      </w:r>
      <w:r w:rsidRPr="005040A4">
        <w:rPr>
          <w:rStyle w:val="normaltextrun"/>
        </w:rPr>
        <w:t>exercice.</w:t>
      </w:r>
    </w:p>
    <w:p w14:paraId="1214E3FC" w14:textId="1624F350" w:rsidR="00855109" w:rsidRPr="005040A4" w:rsidRDefault="00855109" w:rsidP="000057BC">
      <w:pPr>
        <w:pStyle w:val="ListParagraph"/>
        <w:rPr>
          <w:rStyle w:val="normaltextrun"/>
        </w:rPr>
      </w:pPr>
      <w:r w:rsidRPr="005040A4">
        <w:rPr>
          <w:rStyle w:val="normaltextrun"/>
        </w:rPr>
        <w:t>La BPK estime que l</w:t>
      </w:r>
      <w:r w:rsidR="00743D89" w:rsidRPr="005040A4">
        <w:rPr>
          <w:rStyle w:val="normaltextrun"/>
        </w:rPr>
        <w:t>’</w:t>
      </w:r>
      <w:r w:rsidRPr="005040A4">
        <w:rPr>
          <w:rStyle w:val="normaltextrun"/>
        </w:rPr>
        <w:t>intégration de ces pratiques établies dans des directives officielles améliorerait considérablement la clarté et la transparence de la politique en matière de procédures d</w:t>
      </w:r>
      <w:r w:rsidR="00743D89" w:rsidRPr="005040A4">
        <w:rPr>
          <w:rStyle w:val="normaltextrun"/>
        </w:rPr>
        <w:t>’</w:t>
      </w:r>
      <w:r w:rsidRPr="005040A4">
        <w:rPr>
          <w:rStyle w:val="normaltextrun"/>
        </w:rPr>
        <w:t>établissement de rapports financie</w:t>
      </w:r>
      <w:r w:rsidR="005652C9" w:rsidRPr="005040A4">
        <w:rPr>
          <w:rStyle w:val="normaltextrun"/>
        </w:rPr>
        <w:t>rs.  Un</w:t>
      </w:r>
      <w:r w:rsidRPr="005040A4">
        <w:rPr>
          <w:rStyle w:val="normaltextrun"/>
        </w:rPr>
        <w:t xml:space="preserve">e politique plus </w:t>
      </w:r>
      <w:r w:rsidRPr="005040A4">
        <w:rPr>
          <w:rStyle w:val="normaltextrun"/>
        </w:rPr>
        <w:lastRenderedPageBreak/>
        <w:t>complète fournirait des orientations plus claires tout au long du processus d</w:t>
      </w:r>
      <w:r w:rsidR="00743D89" w:rsidRPr="005040A4">
        <w:rPr>
          <w:rStyle w:val="normaltextrun"/>
        </w:rPr>
        <w:t>’</w:t>
      </w:r>
      <w:r w:rsidRPr="005040A4">
        <w:rPr>
          <w:rStyle w:val="normaltextrun"/>
        </w:rPr>
        <w:t>établissement des rapports.</w:t>
      </w:r>
    </w:p>
    <w:p w14:paraId="467AEC13" w14:textId="6E82DEE8" w:rsidR="00855109" w:rsidRPr="005040A4" w:rsidRDefault="00855109" w:rsidP="005908BF">
      <w:pPr>
        <w:pStyle w:val="ListParagraph"/>
        <w:rPr>
          <w:rStyle w:val="normaltextrun"/>
        </w:rPr>
      </w:pPr>
      <w:r w:rsidRPr="005040A4">
        <w:rPr>
          <w:rStyle w:val="normaltextrun"/>
        </w:rPr>
        <w:t>La direction a pris acte de ce point et a indiqué que l</w:t>
      </w:r>
      <w:r w:rsidR="00743D89" w:rsidRPr="005040A4">
        <w:rPr>
          <w:rStyle w:val="normaltextrun"/>
        </w:rPr>
        <w:t>’</w:t>
      </w:r>
      <w:r w:rsidRPr="005040A4">
        <w:rPr>
          <w:rStyle w:val="normaltextrun"/>
        </w:rPr>
        <w:t>Organisation travaillait actuellement à l</w:t>
      </w:r>
      <w:r w:rsidR="00743D89" w:rsidRPr="005040A4">
        <w:rPr>
          <w:rStyle w:val="normaltextrun"/>
        </w:rPr>
        <w:t>’</w:t>
      </w:r>
      <w:r w:rsidRPr="005040A4">
        <w:rPr>
          <w:rStyle w:val="normaltextrun"/>
        </w:rPr>
        <w:t>élaboration de directives détaillées actualisées sur la comptabilisation des taxes du système de Madrid dans le cadre de la mise en œuvre de la norme</w:t>
      </w:r>
      <w:r w:rsidR="001B7F27" w:rsidRPr="005040A4">
        <w:rPr>
          <w:rStyle w:val="normaltextrun"/>
        </w:rPr>
        <w:t> </w:t>
      </w:r>
      <w:r w:rsidRPr="005040A4">
        <w:rPr>
          <w:rStyle w:val="normaltextrun"/>
        </w:rPr>
        <w:t>IPSAS 47, qui intégreront les pratiques établies à la politique.</w:t>
      </w:r>
    </w:p>
    <w:tbl>
      <w:tblPr>
        <w:tblW w:w="8364"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364"/>
      </w:tblGrid>
      <w:tr w:rsidR="00855109" w:rsidRPr="005040A4" w14:paraId="61BA6C85" w14:textId="77777777" w:rsidTr="00327509">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cPr>
          <w:p w14:paraId="74BF7136" w14:textId="2DAE62D8" w:rsidR="00855109" w:rsidRPr="005040A4" w:rsidRDefault="00855109" w:rsidP="00E862E4">
            <w:pPr>
              <w:spacing w:before="81" w:after="81" w:line="280" w:lineRule="auto"/>
              <w:jc w:val="both"/>
              <w:rPr>
                <w:rFonts w:eastAsia="Times New Roman"/>
                <w:b/>
                <w:lang w:val="fr-FR"/>
              </w:rPr>
            </w:pPr>
            <w:r w:rsidRPr="005040A4">
              <w:rPr>
                <w:b/>
                <w:lang w:val="fr-FR"/>
              </w:rPr>
              <w:t>Recommandation n°</w:t>
            </w:r>
            <w:r w:rsidR="001B7F27" w:rsidRPr="005040A4">
              <w:rPr>
                <w:b/>
                <w:lang w:val="fr-FR"/>
              </w:rPr>
              <w:t> </w:t>
            </w:r>
            <w:r w:rsidRPr="005040A4">
              <w:rPr>
                <w:b/>
                <w:lang w:val="fr-FR"/>
              </w:rPr>
              <w:t>2</w:t>
            </w:r>
          </w:p>
          <w:p w14:paraId="6F671C6D" w14:textId="1907F509" w:rsidR="00855109" w:rsidRPr="005040A4" w:rsidRDefault="00855109" w:rsidP="00E862E4">
            <w:pPr>
              <w:pBdr>
                <w:top w:val="none" w:sz="4" w:space="0" w:color="000000"/>
                <w:left w:val="none" w:sz="4" w:space="0" w:color="000000"/>
                <w:bottom w:val="none" w:sz="4" w:space="0" w:color="000000"/>
                <w:right w:val="none" w:sz="4" w:space="0" w:color="000000"/>
                <w:between w:val="none" w:sz="4" w:space="0" w:color="000000"/>
              </w:pBdr>
              <w:spacing w:before="81" w:after="81" w:line="280" w:lineRule="auto"/>
              <w:jc w:val="both"/>
              <w:rPr>
                <w:rFonts w:eastAsia="Times New Roman"/>
                <w:lang w:val="fr-FR"/>
              </w:rPr>
            </w:pPr>
            <w:r w:rsidRPr="005040A4">
              <w:rPr>
                <w:rStyle w:val="normaltextrun"/>
                <w:lang w:val="fr-FR"/>
              </w:rPr>
              <w:t>La BPK recommande à l</w:t>
            </w:r>
            <w:r w:rsidR="00743D89" w:rsidRPr="005040A4">
              <w:rPr>
                <w:rStyle w:val="normaltextrun"/>
                <w:lang w:val="fr-FR"/>
              </w:rPr>
              <w:t>’</w:t>
            </w:r>
            <w:r w:rsidRPr="005040A4">
              <w:rPr>
                <w:rStyle w:val="normaltextrun"/>
                <w:lang w:val="fr-FR"/>
              </w:rPr>
              <w:t>Organisation d</w:t>
            </w:r>
            <w:r w:rsidR="00743D89" w:rsidRPr="005040A4">
              <w:rPr>
                <w:rStyle w:val="normaltextrun"/>
                <w:lang w:val="fr-FR"/>
              </w:rPr>
              <w:t>’</w:t>
            </w:r>
            <w:r w:rsidRPr="005040A4">
              <w:rPr>
                <w:rStyle w:val="normaltextrun"/>
                <w:lang w:val="fr-FR"/>
              </w:rPr>
              <w:t xml:space="preserve">améliorer sa politique comptable afin de clarifier le classement des soldes liés aux taxes du système de Madrid. </w:t>
            </w:r>
            <w:r w:rsidR="001B7F27" w:rsidRPr="005040A4">
              <w:rPr>
                <w:rStyle w:val="normaltextrun"/>
                <w:lang w:val="fr-FR"/>
              </w:rPr>
              <w:t xml:space="preserve"> </w:t>
            </w:r>
          </w:p>
        </w:tc>
      </w:tr>
      <w:tr w:rsidR="00855109" w:rsidRPr="005040A4" w14:paraId="74CF2577" w14:textId="77777777" w:rsidTr="00327509">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cPr>
          <w:p w14:paraId="47E20BF3" w14:textId="59603840" w:rsidR="00855109" w:rsidRPr="005040A4" w:rsidRDefault="00855109" w:rsidP="00E862E4">
            <w:pPr>
              <w:spacing w:before="81" w:after="81" w:line="280" w:lineRule="auto"/>
              <w:jc w:val="both"/>
              <w:rPr>
                <w:rFonts w:eastAsia="Times New Roman"/>
                <w:b/>
                <w:lang w:val="fr-FR"/>
              </w:rPr>
            </w:pPr>
            <w:r w:rsidRPr="005040A4">
              <w:rPr>
                <w:b/>
                <w:lang w:val="fr-FR"/>
              </w:rPr>
              <w:t>Réponse de la direction</w:t>
            </w:r>
            <w:r w:rsidR="00743D89" w:rsidRPr="005040A4">
              <w:rPr>
                <w:b/>
                <w:lang w:val="fr-FR"/>
              </w:rPr>
              <w:t> :</w:t>
            </w:r>
          </w:p>
          <w:p w14:paraId="45F136C1" w14:textId="1612CCEA" w:rsidR="00855109" w:rsidRPr="00606A8C" w:rsidRDefault="00855109" w:rsidP="00E862E4">
            <w:pPr>
              <w:spacing w:before="81" w:after="81" w:line="280" w:lineRule="auto"/>
              <w:jc w:val="both"/>
              <w:rPr>
                <w:rStyle w:val="normaltextrun"/>
                <w:bCs/>
                <w:spacing w:val="-2"/>
                <w:szCs w:val="22"/>
                <w:lang w:val="fr-FR"/>
              </w:rPr>
            </w:pPr>
            <w:r w:rsidRPr="00606A8C">
              <w:rPr>
                <w:rStyle w:val="normaltextrun"/>
                <w:spacing w:val="-2"/>
                <w:lang w:val="fr-FR"/>
              </w:rPr>
              <w:t>La direction souscrit à la recommandation et, dans le cadre des travaux visant à mettre en œuvre la norme</w:t>
            </w:r>
            <w:r w:rsidR="001B7F27" w:rsidRPr="00606A8C">
              <w:rPr>
                <w:rStyle w:val="normaltextrun"/>
                <w:spacing w:val="-2"/>
                <w:lang w:val="fr-FR"/>
              </w:rPr>
              <w:t> </w:t>
            </w:r>
            <w:r w:rsidRPr="00606A8C">
              <w:rPr>
                <w:rStyle w:val="normaltextrun"/>
                <w:spacing w:val="-2"/>
                <w:lang w:val="fr-FR"/>
              </w:rPr>
              <w:t>IPSAS 47, l</w:t>
            </w:r>
            <w:r w:rsidR="00743D89" w:rsidRPr="00606A8C">
              <w:rPr>
                <w:rStyle w:val="normaltextrun"/>
                <w:spacing w:val="-2"/>
                <w:lang w:val="fr-FR"/>
              </w:rPr>
              <w:t>’</w:t>
            </w:r>
            <w:r w:rsidRPr="00606A8C">
              <w:rPr>
                <w:rStyle w:val="normaltextrun"/>
                <w:spacing w:val="-2"/>
                <w:lang w:val="fr-FR"/>
              </w:rPr>
              <w:t>Organisation travaille à l</w:t>
            </w:r>
            <w:r w:rsidR="00743D89" w:rsidRPr="00606A8C">
              <w:rPr>
                <w:rStyle w:val="normaltextrun"/>
                <w:spacing w:val="-2"/>
                <w:lang w:val="fr-FR"/>
              </w:rPr>
              <w:t>’</w:t>
            </w:r>
            <w:r w:rsidRPr="00606A8C">
              <w:rPr>
                <w:rStyle w:val="normaltextrun"/>
                <w:spacing w:val="-2"/>
                <w:lang w:val="fr-FR"/>
              </w:rPr>
              <w:t>élaboration de directives détaillées actualisées concernant la comptabilisation des taxes du système de Madr</w:t>
            </w:r>
            <w:r w:rsidR="005652C9" w:rsidRPr="00606A8C">
              <w:rPr>
                <w:rStyle w:val="normaltextrun"/>
                <w:spacing w:val="-2"/>
                <w:lang w:val="fr-FR"/>
              </w:rPr>
              <w:t>id.  Da</w:t>
            </w:r>
            <w:r w:rsidRPr="00606A8C">
              <w:rPr>
                <w:rStyle w:val="normaltextrun"/>
                <w:spacing w:val="-2"/>
                <w:lang w:val="fr-FR"/>
              </w:rPr>
              <w:t>ns ce contexte, la direction veillera à ce que des directives actualisées, qui traitent également du classement des soldes connexes, soient élaborées.</w:t>
            </w:r>
          </w:p>
          <w:p w14:paraId="51CE5CE9" w14:textId="5440A91C" w:rsidR="00855109" w:rsidRPr="005040A4" w:rsidRDefault="00855109" w:rsidP="00E862E4">
            <w:pPr>
              <w:spacing w:before="81" w:after="81" w:line="280" w:lineRule="auto"/>
              <w:jc w:val="both"/>
              <w:rPr>
                <w:rFonts w:eastAsia="Times New Roman"/>
                <w:lang w:val="fr-FR"/>
              </w:rPr>
            </w:pPr>
            <w:r w:rsidRPr="005040A4">
              <w:rPr>
                <w:rStyle w:val="normaltextrun"/>
                <w:lang w:val="fr-FR"/>
              </w:rPr>
              <w:t>La mise en œuvre de cette mesure devrait être achevée d</w:t>
            </w:r>
            <w:r w:rsidR="00743D89" w:rsidRPr="005040A4">
              <w:rPr>
                <w:rStyle w:val="normaltextrun"/>
                <w:lang w:val="fr-FR"/>
              </w:rPr>
              <w:t>’</w:t>
            </w:r>
            <w:r w:rsidRPr="005040A4">
              <w:rPr>
                <w:rStyle w:val="normaltextrun"/>
                <w:lang w:val="fr-FR"/>
              </w:rPr>
              <w:t>ici au 30 </w:t>
            </w:r>
            <w:r w:rsidR="00743D89" w:rsidRPr="005040A4">
              <w:rPr>
                <w:rStyle w:val="normaltextrun"/>
                <w:lang w:val="fr-FR"/>
              </w:rPr>
              <w:t>septembre 20</w:t>
            </w:r>
            <w:r w:rsidRPr="005040A4">
              <w:rPr>
                <w:rStyle w:val="normaltextrun"/>
                <w:lang w:val="fr-FR"/>
              </w:rPr>
              <w:t>25.</w:t>
            </w:r>
          </w:p>
        </w:tc>
      </w:tr>
    </w:tbl>
    <w:p w14:paraId="49DD49BB" w14:textId="77777777" w:rsidR="00855109" w:rsidRPr="00AB7D15" w:rsidRDefault="00855109" w:rsidP="00606A8C">
      <w:pPr>
        <w:pStyle w:val="Heading5"/>
      </w:pPr>
      <w:bookmarkStart w:id="95" w:name="_Toc199153496"/>
      <w:r w:rsidRPr="00AB7D15">
        <w:t>Gestion des paiements en suspens liés à des marques</w:t>
      </w:r>
      <w:bookmarkEnd w:id="95"/>
    </w:p>
    <w:p w14:paraId="49625C61" w14:textId="2579D4EA" w:rsidR="00855109" w:rsidRPr="005040A4" w:rsidRDefault="00855109" w:rsidP="000057BC">
      <w:pPr>
        <w:pStyle w:val="ListParagraph"/>
      </w:pPr>
      <w:r w:rsidRPr="005040A4">
        <w:t>Le système de Madrid est le cadre international d</w:t>
      </w:r>
      <w:r w:rsidR="00743D89" w:rsidRPr="005040A4">
        <w:t>’</w:t>
      </w:r>
      <w:r w:rsidRPr="005040A4">
        <w:t>enregistrement des marques de l</w:t>
      </w:r>
      <w:r w:rsidR="00743D89" w:rsidRPr="005040A4">
        <w:t>’</w:t>
      </w:r>
      <w:r w:rsidRPr="005040A4">
        <w:t>Organisation qui offre aux déposants la possibilité d</w:t>
      </w:r>
      <w:r w:rsidR="00743D89" w:rsidRPr="005040A4">
        <w:t>’</w:t>
      </w:r>
      <w:r w:rsidRPr="005040A4">
        <w:t>enregistrer leur marque dans plus de 130 pa</w:t>
      </w:r>
      <w:r w:rsidR="005652C9" w:rsidRPr="005040A4">
        <w:t>ys.  Il</w:t>
      </w:r>
      <w:r w:rsidRPr="005040A4">
        <w:t xml:space="preserve"> génère des recettes importantes pour l</w:t>
      </w:r>
      <w:r w:rsidR="00743D89" w:rsidRPr="005040A4">
        <w:t>’</w:t>
      </w:r>
      <w:r w:rsidRPr="005040A4">
        <w:t>Organisation et constitue un système essentiel à ses opérations financièr</w:t>
      </w:r>
      <w:r w:rsidR="005652C9" w:rsidRPr="005040A4">
        <w:t>es.  Da</w:t>
      </w:r>
      <w:r w:rsidRPr="005040A4">
        <w:t>ns la pratique, le déposant soumet la demande d</w:t>
      </w:r>
      <w:r w:rsidR="00743D89" w:rsidRPr="005040A4">
        <w:t>’</w:t>
      </w:r>
      <w:r w:rsidRPr="005040A4">
        <w:t>enregistrement de la marque par l</w:t>
      </w:r>
      <w:r w:rsidR="00743D89" w:rsidRPr="005040A4">
        <w:t>’</w:t>
      </w:r>
      <w:r w:rsidRPr="005040A4">
        <w:t>intermédiaire de son office national de propriété intellectuelle, qui enregistre ensuite la demande auprès de l</w:t>
      </w:r>
      <w:r w:rsidR="00743D89" w:rsidRPr="005040A4">
        <w:t>’</w:t>
      </w:r>
      <w:r w:rsidRPr="005040A4">
        <w:t>Organisation et verse les taxes d</w:t>
      </w:r>
      <w:r w:rsidR="00743D89" w:rsidRPr="005040A4">
        <w:t>’</w:t>
      </w:r>
      <w:r w:rsidRPr="005040A4">
        <w:t>enregistrement directement à celle</w:t>
      </w:r>
      <w:r w:rsidR="00C249FA" w:rsidRPr="005040A4">
        <w:noBreakHyphen/>
      </w:r>
      <w:r w:rsidR="005652C9" w:rsidRPr="005040A4">
        <w:t>ci.  Ce</w:t>
      </w:r>
      <w:r w:rsidRPr="005040A4">
        <w:t>tte procédure nécessite un rapprochement afin d</w:t>
      </w:r>
      <w:r w:rsidR="00743D89" w:rsidRPr="005040A4">
        <w:t>’</w:t>
      </w:r>
      <w:r w:rsidRPr="005040A4">
        <w:t>aligner les demandes d</w:t>
      </w:r>
      <w:r w:rsidR="00743D89" w:rsidRPr="005040A4">
        <w:t>’</w:t>
      </w:r>
      <w:r w:rsidRPr="005040A4">
        <w:t>enregistrement de marque sur les paiements correspondants, ce qui permet de s</w:t>
      </w:r>
      <w:r w:rsidR="00743D89" w:rsidRPr="005040A4">
        <w:t>’</w:t>
      </w:r>
      <w:r w:rsidRPr="005040A4">
        <w:t>assurer que les demandes dont le paiement est acquitté sont enregistrées dans le système des marques.</w:t>
      </w:r>
    </w:p>
    <w:p w14:paraId="5D7EE016" w14:textId="22706D82" w:rsidR="00855109" w:rsidRPr="005040A4" w:rsidRDefault="00855109" w:rsidP="000057BC">
      <w:pPr>
        <w:pStyle w:val="ListParagraph"/>
      </w:pPr>
      <w:r w:rsidRPr="005040A4">
        <w:t>La BPK a observé que le rapprochement n</w:t>
      </w:r>
      <w:r w:rsidR="00743D89" w:rsidRPr="005040A4">
        <w:t>’</w:t>
      </w:r>
      <w:r w:rsidRPr="005040A4">
        <w:t>avait pas permis de résoudre plusieurs problèmes, ce qui a entraîné l</w:t>
      </w:r>
      <w:r w:rsidR="00743D89" w:rsidRPr="005040A4">
        <w:t>’</w:t>
      </w:r>
      <w:r w:rsidRPr="005040A4">
        <w:t>accumulation de paiements non comptabilis</w:t>
      </w:r>
      <w:r w:rsidR="005652C9" w:rsidRPr="005040A4">
        <w:t>és.  El</w:t>
      </w:r>
      <w:r w:rsidRPr="005040A4">
        <w:t>le a noté que certains paiements non comptabilisés étaient restés inutilisés pendant plus d</w:t>
      </w:r>
      <w:r w:rsidR="00743D89" w:rsidRPr="005040A4">
        <w:t>’</w:t>
      </w:r>
      <w:r w:rsidRPr="005040A4">
        <w:t xml:space="preserve">un </w:t>
      </w:r>
      <w:r w:rsidR="005652C9" w:rsidRPr="005040A4">
        <w:t>an.  Au</w:t>
      </w:r>
      <w:r w:rsidRPr="005040A4">
        <w:t xml:space="preserve"> 31 décembre 2024, le montant total des dépôts en espèces non comptabilisés s</w:t>
      </w:r>
      <w:r w:rsidR="00743D89" w:rsidRPr="005040A4">
        <w:t>’</w:t>
      </w:r>
      <w:r w:rsidRPr="005040A4">
        <w:t>élevait à 5,9 millions de francs suisses, et comprenait des paiements perçus entre 2012 et 2023.</w:t>
      </w:r>
    </w:p>
    <w:p w14:paraId="67678694" w14:textId="54D6E4FA" w:rsidR="00855109" w:rsidRPr="005040A4" w:rsidRDefault="00855109" w:rsidP="000057BC">
      <w:pPr>
        <w:pStyle w:val="ListParagraph"/>
        <w:rPr>
          <w:rStyle w:val="normaltextrun"/>
        </w:rPr>
      </w:pPr>
      <w:r w:rsidRPr="005040A4">
        <w:t>La direction a expliqué que l</w:t>
      </w:r>
      <w:r w:rsidR="00743D89" w:rsidRPr="005040A4">
        <w:t>’</w:t>
      </w:r>
      <w:r w:rsidRPr="005040A4">
        <w:t>Organisation applique une politique établie pour l</w:t>
      </w:r>
      <w:r w:rsidR="00743D89" w:rsidRPr="005040A4">
        <w:t>’</w:t>
      </w:r>
      <w:r w:rsidRPr="005040A4">
        <w:t>écriture différée des dépôts non comptabilisés de plus de trois a</w:t>
      </w:r>
      <w:r w:rsidR="005652C9" w:rsidRPr="005040A4">
        <w:t>ns.  Po</w:t>
      </w:r>
      <w:r w:rsidRPr="005040A4">
        <w:t>ur les fonds inutilisés d</w:t>
      </w:r>
      <w:r w:rsidR="00743D89" w:rsidRPr="005040A4">
        <w:t>’</w:t>
      </w:r>
      <w:r w:rsidRPr="005040A4">
        <w:t>un montant inférieur ou égal à 350 francs suisses, l</w:t>
      </w:r>
      <w:r w:rsidR="00743D89" w:rsidRPr="005040A4">
        <w:t>’</w:t>
      </w:r>
      <w:r w:rsidRPr="005040A4">
        <w:t>Organisation comptabilise automatiquement un gain de contre</w:t>
      </w:r>
      <w:r w:rsidR="00C249FA" w:rsidRPr="005040A4">
        <w:noBreakHyphen/>
      </w:r>
      <w:r w:rsidRPr="005040A4">
        <w:t>passati</w:t>
      </w:r>
      <w:r w:rsidR="005652C9" w:rsidRPr="005040A4">
        <w:t>on.  Po</w:t>
      </w:r>
      <w:r w:rsidRPr="005040A4">
        <w:t>ur les fonds non utilisés supérieurs à 350 francs suisses, l</w:t>
      </w:r>
      <w:r w:rsidR="00743D89" w:rsidRPr="005040A4">
        <w:t>’</w:t>
      </w:r>
      <w:r w:rsidRPr="005040A4">
        <w:t>Organisation s</w:t>
      </w:r>
      <w:r w:rsidR="00743D89" w:rsidRPr="005040A4">
        <w:t>’</w:t>
      </w:r>
      <w:r w:rsidRPr="005040A4">
        <w:t>efforce d</w:t>
      </w:r>
      <w:r w:rsidR="00743D89" w:rsidRPr="005040A4">
        <w:t>’</w:t>
      </w:r>
      <w:r w:rsidRPr="005040A4">
        <w:t>identifier et de rembourser le payeur;  si celui</w:t>
      </w:r>
      <w:r w:rsidR="00C249FA" w:rsidRPr="005040A4">
        <w:noBreakHyphen/>
      </w:r>
      <w:r w:rsidRPr="005040A4">
        <w:t>ci reste introuvable, l</w:t>
      </w:r>
      <w:r w:rsidR="00743D89" w:rsidRPr="005040A4">
        <w:t>’</w:t>
      </w:r>
      <w:r w:rsidRPr="005040A4">
        <w:t>Organisation comptabilise alors un gain de contre</w:t>
      </w:r>
      <w:r w:rsidR="00C249FA" w:rsidRPr="005040A4">
        <w:noBreakHyphen/>
      </w:r>
      <w:r w:rsidRPr="005040A4">
        <w:t>passati</w:t>
      </w:r>
      <w:r w:rsidR="005652C9" w:rsidRPr="005040A4">
        <w:t>on.  Il</w:t>
      </w:r>
      <w:r w:rsidRPr="005040A4">
        <w:t xml:space="preserve"> a été précisé que la contre</w:t>
      </w:r>
      <w:r w:rsidR="00C249FA" w:rsidRPr="005040A4">
        <w:noBreakHyphen/>
      </w:r>
      <w:r w:rsidRPr="005040A4">
        <w:t>passation ne supprimait pas le droit du payeur à un rembourseme</w:t>
      </w:r>
      <w:r w:rsidR="005652C9" w:rsidRPr="005040A4">
        <w:t>nt.  Co</w:t>
      </w:r>
      <w:r w:rsidRPr="005040A4">
        <w:t>nformément au règlement d</w:t>
      </w:r>
      <w:r w:rsidR="00743D89" w:rsidRPr="005040A4">
        <w:t>’</w:t>
      </w:r>
      <w:r w:rsidRPr="005040A4">
        <w:t>exécution de l</w:t>
      </w:r>
      <w:r w:rsidR="00743D89" w:rsidRPr="005040A4">
        <w:t>’</w:t>
      </w:r>
      <w:r w:rsidRPr="005040A4">
        <w:t>Arrangement de Madrid, les clients demeurent en droit de réclamer ces fon</w:t>
      </w:r>
      <w:r w:rsidR="005652C9" w:rsidRPr="005040A4">
        <w:t>ds.  La</w:t>
      </w:r>
      <w:r w:rsidRPr="005040A4">
        <w:t xml:space="preserve"> </w:t>
      </w:r>
      <w:r w:rsidRPr="005040A4">
        <w:lastRenderedPageBreak/>
        <w:t>consignation hors du grand livre des dépôts ayant fait l</w:t>
      </w:r>
      <w:r w:rsidR="00743D89" w:rsidRPr="005040A4">
        <w:t>’</w:t>
      </w:r>
      <w:r w:rsidRPr="005040A4">
        <w:t>objet d</w:t>
      </w:r>
      <w:r w:rsidR="00743D89" w:rsidRPr="005040A4">
        <w:t>’</w:t>
      </w:r>
      <w:r w:rsidRPr="005040A4">
        <w:t>une contre</w:t>
      </w:r>
      <w:r w:rsidR="00C249FA" w:rsidRPr="005040A4">
        <w:noBreakHyphen/>
      </w:r>
      <w:r w:rsidRPr="005040A4">
        <w:t>passation est maintenue afin de faciliter la réponse aux réclamations futures, le cas échéant.</w:t>
      </w:r>
    </w:p>
    <w:p w14:paraId="09A2CCC3" w14:textId="0D893332" w:rsidR="00855109" w:rsidRPr="005040A4" w:rsidRDefault="00855109" w:rsidP="000057BC">
      <w:pPr>
        <w:pStyle w:val="ListParagraph"/>
      </w:pPr>
      <w:r w:rsidRPr="005040A4">
        <w:t>La BPK est d</w:t>
      </w:r>
      <w:r w:rsidR="00743D89" w:rsidRPr="005040A4">
        <w:t>’</w:t>
      </w:r>
      <w:r w:rsidRPr="005040A4">
        <w:t>avis que l</w:t>
      </w:r>
      <w:r w:rsidR="00743D89" w:rsidRPr="005040A4">
        <w:t>’</w:t>
      </w:r>
      <w:r w:rsidRPr="005040A4">
        <w:t xml:space="preserve">accumulation des dépôts non comptabilisés constitue une charge administrative qui augmente chaque année à mesure que le nombre de comptes concernés augmente. </w:t>
      </w:r>
      <w:r w:rsidR="001B7F27" w:rsidRPr="005040A4">
        <w:t xml:space="preserve"> </w:t>
      </w:r>
      <w:r w:rsidRPr="005040A4">
        <w:t>L</w:t>
      </w:r>
      <w:r w:rsidR="00743D89" w:rsidRPr="005040A4">
        <w:t>’</w:t>
      </w:r>
      <w:r w:rsidRPr="005040A4">
        <w:t>Organisation doit consacrer des ressources pour rechercher, gérer et tenter d</w:t>
      </w:r>
      <w:r w:rsidR="00743D89" w:rsidRPr="005040A4">
        <w:t>’</w:t>
      </w:r>
      <w:r w:rsidRPr="005040A4">
        <w:t>identifier les payeu</w:t>
      </w:r>
      <w:r w:rsidR="005652C9" w:rsidRPr="005040A4">
        <w:t xml:space="preserve">rs.  À </w:t>
      </w:r>
      <w:r w:rsidRPr="005040A4">
        <w:t>mesure que cet ensemble de dépôts non comptabilisés augmente parallèlement à la croissance du système de Madrid, l</w:t>
      </w:r>
      <w:r w:rsidR="00743D89" w:rsidRPr="005040A4">
        <w:t>’</w:t>
      </w:r>
      <w:r w:rsidRPr="005040A4">
        <w:t>Organisation se heurte à une difficulté</w:t>
      </w:r>
      <w:r w:rsidR="00743D89" w:rsidRPr="005040A4">
        <w:t> :</w:t>
      </w:r>
      <w:r w:rsidRPr="005040A4">
        <w:t xml:space="preserve"> plus le dépôt est ancien, plus il devient difficile de résoudre le problème ou d</w:t>
      </w:r>
      <w:r w:rsidR="00743D89" w:rsidRPr="005040A4">
        <w:t>’</w:t>
      </w:r>
      <w:r w:rsidRPr="005040A4">
        <w:t>identifier le payeur afin de procéder au remboursement.</w:t>
      </w:r>
    </w:p>
    <w:p w14:paraId="6E473CE3" w14:textId="02B874F2" w:rsidR="00743D89" w:rsidRPr="005040A4" w:rsidRDefault="00855109" w:rsidP="000057BC">
      <w:pPr>
        <w:pStyle w:val="ListParagraph"/>
        <w:rPr>
          <w:rStyle w:val="normaltextrun"/>
        </w:rPr>
      </w:pPr>
      <w:r w:rsidRPr="005040A4">
        <w:rPr>
          <w:rStyle w:val="eop"/>
        </w:rPr>
        <w:t xml:space="preserve">La direction a conscience du problème et a mis en œuvre plusieurs initiatives pour gérer les dépôts non comptabilisés et améliorer le processus de remboursement. </w:t>
      </w:r>
      <w:r w:rsidR="001B7F27" w:rsidRPr="005040A4">
        <w:rPr>
          <w:rStyle w:val="eop"/>
        </w:rPr>
        <w:t xml:space="preserve"> </w:t>
      </w:r>
      <w:r w:rsidRPr="005040A4">
        <w:rPr>
          <w:rStyle w:val="eop"/>
        </w:rPr>
        <w:t>L</w:t>
      </w:r>
      <w:r w:rsidR="00743D89" w:rsidRPr="005040A4">
        <w:rPr>
          <w:rStyle w:val="eop"/>
        </w:rPr>
        <w:t>’</w:t>
      </w:r>
      <w:r w:rsidRPr="005040A4">
        <w:rPr>
          <w:rStyle w:val="eop"/>
        </w:rPr>
        <w:t>Organisation a nommé des fonctionnaires essentiellement chargés de suivre et de contacter les clients concern</w:t>
      </w:r>
      <w:r w:rsidR="005652C9" w:rsidRPr="005040A4">
        <w:rPr>
          <w:rStyle w:val="eop"/>
        </w:rPr>
        <w:t>és.  En</w:t>
      </w:r>
      <w:r w:rsidRPr="005040A4">
        <w:rPr>
          <w:rStyle w:val="eop"/>
        </w:rPr>
        <w:t xml:space="preserve"> outre, une analyse des données est en place aux fins d</w:t>
      </w:r>
      <w:r w:rsidR="00743D89" w:rsidRPr="005040A4">
        <w:rPr>
          <w:rStyle w:val="eop"/>
        </w:rPr>
        <w:t>’</w:t>
      </w:r>
      <w:r w:rsidRPr="005040A4">
        <w:rPr>
          <w:rStyle w:val="eop"/>
        </w:rPr>
        <w:t>améliorer les dossiers des clients dans le système financier et de mettre régulièrement à jour les coordonnées des nouveaux clients après le paiement pour faciliter les remboursements futu</w:t>
      </w:r>
      <w:r w:rsidR="005652C9" w:rsidRPr="005040A4">
        <w:rPr>
          <w:rStyle w:val="eop"/>
        </w:rPr>
        <w:t>rs.  Il</w:t>
      </w:r>
      <w:r w:rsidRPr="005040A4">
        <w:rPr>
          <w:rStyle w:val="eop"/>
        </w:rPr>
        <w:t xml:space="preserve"> convient de souligner que la grande majorité des fonds reçus des clients sont utilisés à bon escient ou remboursés.</w:t>
      </w:r>
    </w:p>
    <w:p w14:paraId="274B62CA" w14:textId="6A4BFBAE" w:rsidR="00855109" w:rsidRPr="00606A8C" w:rsidRDefault="00855109" w:rsidP="005908BF">
      <w:pPr>
        <w:pStyle w:val="ListParagraph"/>
        <w:rPr>
          <w:rStyle w:val="eop"/>
          <w:spacing w:val="-2"/>
        </w:rPr>
      </w:pPr>
      <w:r w:rsidRPr="00606A8C">
        <w:rPr>
          <w:rStyle w:val="normaltextrun"/>
          <w:spacing w:val="-2"/>
        </w:rPr>
        <w:t>La direction a également indiqué qu</w:t>
      </w:r>
      <w:r w:rsidR="00743D89" w:rsidRPr="00606A8C">
        <w:rPr>
          <w:rStyle w:val="normaltextrun"/>
          <w:spacing w:val="-2"/>
        </w:rPr>
        <w:t>’</w:t>
      </w:r>
      <w:r w:rsidRPr="00606A8C">
        <w:rPr>
          <w:rStyle w:val="normaltextrun"/>
          <w:spacing w:val="-2"/>
        </w:rPr>
        <w:t>elle mettait actuellement au point un nouveau système ERP, qui comprend des améliorations visant à renforcer le processus de rapprochement et favoriser le remboursement des clien</w:t>
      </w:r>
      <w:r w:rsidR="005652C9" w:rsidRPr="00606A8C">
        <w:rPr>
          <w:rStyle w:val="normaltextrun"/>
          <w:spacing w:val="-2"/>
        </w:rPr>
        <w:t>ts.  La</w:t>
      </w:r>
      <w:r w:rsidRPr="00606A8C">
        <w:rPr>
          <w:rStyle w:val="normaltextrun"/>
          <w:spacing w:val="-2"/>
        </w:rPr>
        <w:t xml:space="preserve"> conception et la mise en œuvre définitives pourraient inclure l</w:t>
      </w:r>
      <w:r w:rsidR="00743D89" w:rsidRPr="00606A8C">
        <w:rPr>
          <w:rStyle w:val="normaltextrun"/>
          <w:spacing w:val="-2"/>
        </w:rPr>
        <w:t>’</w:t>
      </w:r>
      <w:r w:rsidRPr="00606A8C">
        <w:rPr>
          <w:rStyle w:val="normaltextrun"/>
          <w:spacing w:val="-2"/>
        </w:rPr>
        <w:t>utilisation de numéros de référence uniques afin de faciliter ce rapprochement et de simplifier les éventuelles demandes de remboursement, ainsi que le recours à des technologies modernes telles que l</w:t>
      </w:r>
      <w:r w:rsidR="00743D89" w:rsidRPr="00606A8C">
        <w:rPr>
          <w:rStyle w:val="normaltextrun"/>
          <w:spacing w:val="-2"/>
        </w:rPr>
        <w:t>’</w:t>
      </w:r>
      <w:r w:rsidRPr="00606A8C">
        <w:rPr>
          <w:rStyle w:val="normaltextrun"/>
          <w:spacing w:val="-2"/>
        </w:rPr>
        <w:t>intelligence artificielle (IA) pour améliorer les outils de rapprochement et de recherche.</w:t>
      </w:r>
      <w:r w:rsidR="001B7F27" w:rsidRPr="00606A8C">
        <w:rPr>
          <w:rStyle w:val="normaltextrun"/>
          <w:spacing w:val="-2"/>
        </w:rPr>
        <w:t xml:space="preserve">  </w:t>
      </w:r>
    </w:p>
    <w:tbl>
      <w:tblPr>
        <w:tblW w:w="8364"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364"/>
      </w:tblGrid>
      <w:tr w:rsidR="00855109" w:rsidRPr="005040A4" w14:paraId="7424AB97" w14:textId="77777777" w:rsidTr="00327509">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cPr>
          <w:p w14:paraId="1219AE49" w14:textId="000337C7" w:rsidR="00855109" w:rsidRPr="005040A4" w:rsidRDefault="00855109" w:rsidP="00E862E4">
            <w:pPr>
              <w:spacing w:before="81" w:after="81" w:line="280" w:lineRule="auto"/>
              <w:jc w:val="both"/>
              <w:rPr>
                <w:rFonts w:eastAsia="Times New Roman"/>
                <w:b/>
                <w:lang w:val="fr-FR"/>
              </w:rPr>
            </w:pPr>
            <w:r w:rsidRPr="005040A4">
              <w:rPr>
                <w:b/>
                <w:lang w:val="fr-FR"/>
              </w:rPr>
              <w:t>Recommandation n°</w:t>
            </w:r>
            <w:r w:rsidR="001B7F27" w:rsidRPr="005040A4">
              <w:rPr>
                <w:b/>
                <w:lang w:val="fr-FR"/>
              </w:rPr>
              <w:t> </w:t>
            </w:r>
            <w:r w:rsidRPr="005040A4">
              <w:rPr>
                <w:b/>
                <w:lang w:val="fr-FR"/>
              </w:rPr>
              <w:t>3</w:t>
            </w:r>
          </w:p>
          <w:p w14:paraId="7E3FE442" w14:textId="439382C2" w:rsidR="00855109" w:rsidRPr="005040A4" w:rsidRDefault="00855109" w:rsidP="00E862E4">
            <w:pPr>
              <w:spacing w:before="81" w:after="81" w:line="280" w:lineRule="auto"/>
              <w:jc w:val="both"/>
              <w:rPr>
                <w:rFonts w:eastAsia="Times New Roman"/>
                <w:lang w:val="fr-FR"/>
              </w:rPr>
            </w:pPr>
            <w:r w:rsidRPr="005040A4">
              <w:rPr>
                <w:rStyle w:val="normaltextrun"/>
                <w:lang w:val="fr-FR"/>
              </w:rPr>
              <w:t>La BPK recommande à l</w:t>
            </w:r>
            <w:r w:rsidR="00743D89" w:rsidRPr="005040A4">
              <w:rPr>
                <w:rStyle w:val="normaltextrun"/>
                <w:lang w:val="fr-FR"/>
              </w:rPr>
              <w:t>’</w:t>
            </w:r>
            <w:r w:rsidRPr="005040A4">
              <w:rPr>
                <w:rStyle w:val="normaltextrun"/>
                <w:lang w:val="fr-FR"/>
              </w:rPr>
              <w:t>Organisation de mettre en place un système et un mécanisme visant à réduire au minimum l</w:t>
            </w:r>
            <w:r w:rsidR="00743D89" w:rsidRPr="005040A4">
              <w:rPr>
                <w:rStyle w:val="normaltextrun"/>
                <w:lang w:val="fr-FR"/>
              </w:rPr>
              <w:t>’</w:t>
            </w:r>
            <w:r w:rsidRPr="005040A4">
              <w:rPr>
                <w:rStyle w:val="normaltextrun"/>
                <w:lang w:val="fr-FR"/>
              </w:rPr>
              <w:t>arriéré des paiements liés à des marques et à garantir que le nouveau système ERP contienne un mécanisme permettant d</w:t>
            </w:r>
            <w:r w:rsidR="00743D89" w:rsidRPr="005040A4">
              <w:rPr>
                <w:rStyle w:val="normaltextrun"/>
                <w:lang w:val="fr-FR"/>
              </w:rPr>
              <w:t>’</w:t>
            </w:r>
            <w:r w:rsidRPr="005040A4">
              <w:rPr>
                <w:rStyle w:val="normaltextrun"/>
                <w:lang w:val="fr-FR"/>
              </w:rPr>
              <w:t>éviter, dans la mesure du possible, les soldes de dépôts non comptabilisés.</w:t>
            </w:r>
          </w:p>
        </w:tc>
      </w:tr>
      <w:tr w:rsidR="00855109" w:rsidRPr="005040A4" w14:paraId="3D2E925B" w14:textId="77777777" w:rsidTr="00327509">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cPr>
          <w:p w14:paraId="623339BC" w14:textId="1D211426" w:rsidR="00743D89" w:rsidRPr="005040A4" w:rsidRDefault="00855109" w:rsidP="00E862E4">
            <w:pPr>
              <w:spacing w:before="81" w:after="81" w:line="280" w:lineRule="auto"/>
              <w:jc w:val="both"/>
              <w:rPr>
                <w:b/>
                <w:lang w:val="fr-FR"/>
              </w:rPr>
            </w:pPr>
            <w:r w:rsidRPr="005040A4">
              <w:rPr>
                <w:b/>
                <w:lang w:val="fr-FR"/>
              </w:rPr>
              <w:t>Réponse de la direction</w:t>
            </w:r>
            <w:r w:rsidR="00743D89" w:rsidRPr="005040A4">
              <w:rPr>
                <w:b/>
                <w:lang w:val="fr-FR"/>
              </w:rPr>
              <w:t> :</w:t>
            </w:r>
          </w:p>
          <w:p w14:paraId="14C2814F" w14:textId="3DAB93F7" w:rsidR="00855109" w:rsidRPr="005040A4" w:rsidRDefault="00855109" w:rsidP="00E862E4">
            <w:pPr>
              <w:spacing w:before="81" w:after="81" w:line="280" w:lineRule="auto"/>
              <w:jc w:val="both"/>
              <w:rPr>
                <w:rStyle w:val="normaltextrun"/>
                <w:bCs/>
                <w:szCs w:val="22"/>
                <w:lang w:val="fr-FR"/>
              </w:rPr>
            </w:pPr>
            <w:r w:rsidRPr="005040A4">
              <w:rPr>
                <w:rStyle w:val="normaltextrun"/>
                <w:lang w:val="fr-FR"/>
              </w:rPr>
              <w:t>La direction souscrit à la recommandation et, en ce qui concerne les améliorations futures, elle participe activement à la conception et à la mise en œuvre de plusieurs nouveaux systèmes au sein de l</w:t>
            </w:r>
            <w:r w:rsidR="00743D89" w:rsidRPr="005040A4">
              <w:rPr>
                <w:rStyle w:val="normaltextrun"/>
                <w:lang w:val="fr-FR"/>
              </w:rPr>
              <w:t>’</w:t>
            </w:r>
            <w:r w:rsidRPr="005040A4">
              <w:rPr>
                <w:rStyle w:val="normaltextrun"/>
                <w:lang w:val="fr-FR"/>
              </w:rPr>
              <w:t>Organisation, notamment le nouveau système ERP, qui devraient améliorer le processus de rapprochement et l</w:t>
            </w:r>
            <w:r w:rsidR="00743D89" w:rsidRPr="005040A4">
              <w:rPr>
                <w:rStyle w:val="normaltextrun"/>
                <w:lang w:val="fr-FR"/>
              </w:rPr>
              <w:t>’</w:t>
            </w:r>
            <w:r w:rsidRPr="005040A4">
              <w:rPr>
                <w:rStyle w:val="normaltextrun"/>
                <w:lang w:val="fr-FR"/>
              </w:rPr>
              <w:t>identification des données relatives aux clien</w:t>
            </w:r>
            <w:r w:rsidR="005652C9" w:rsidRPr="005040A4">
              <w:rPr>
                <w:rStyle w:val="normaltextrun"/>
                <w:lang w:val="fr-FR"/>
              </w:rPr>
              <w:t>ts.  La</w:t>
            </w:r>
            <w:r w:rsidRPr="005040A4">
              <w:rPr>
                <w:rStyle w:val="normaltextrun"/>
                <w:lang w:val="fr-FR"/>
              </w:rPr>
              <w:t xml:space="preserve"> conception et la mise en œuvre définitives pourraient inclure l</w:t>
            </w:r>
            <w:r w:rsidR="00743D89" w:rsidRPr="005040A4">
              <w:rPr>
                <w:rStyle w:val="normaltextrun"/>
                <w:lang w:val="fr-FR"/>
              </w:rPr>
              <w:t>’</w:t>
            </w:r>
            <w:r w:rsidRPr="005040A4">
              <w:rPr>
                <w:rStyle w:val="normaltextrun"/>
                <w:lang w:val="fr-FR"/>
              </w:rPr>
              <w:t>utilisation de numéros de référence uniques afin de faciliter ce rapprochement et de simplifier les éventuelles demandes de rembourseme</w:t>
            </w:r>
            <w:r w:rsidR="005652C9" w:rsidRPr="005040A4">
              <w:rPr>
                <w:rStyle w:val="normaltextrun"/>
                <w:lang w:val="fr-FR"/>
              </w:rPr>
              <w:t>nt.  En</w:t>
            </w:r>
            <w:r w:rsidRPr="005040A4">
              <w:rPr>
                <w:rStyle w:val="normaltextrun"/>
                <w:lang w:val="fr-FR"/>
              </w:rPr>
              <w:t xml:space="preserve"> outre, la direction prévoit que ces nouveaux systèmes utiliseront des technologies modernes telles que des outils de rapprochement et de recherche améliorés par l</w:t>
            </w:r>
            <w:r w:rsidR="00743D89" w:rsidRPr="005040A4">
              <w:rPr>
                <w:rStyle w:val="normaltextrun"/>
                <w:lang w:val="fr-FR"/>
              </w:rPr>
              <w:t>’</w:t>
            </w:r>
            <w:r w:rsidRPr="005040A4">
              <w:rPr>
                <w:rStyle w:val="normaltextrun"/>
                <w:lang w:val="fr-FR"/>
              </w:rPr>
              <w:t>intelligence artificielle afin de perfectionner encore davantage les processus de rapprochement et de remboursement des paiements.</w:t>
            </w:r>
          </w:p>
          <w:p w14:paraId="04E76C33" w14:textId="1B999F17" w:rsidR="00855109" w:rsidRPr="005040A4" w:rsidRDefault="00855109" w:rsidP="00E862E4">
            <w:pPr>
              <w:spacing w:before="81" w:after="81" w:line="280" w:lineRule="auto"/>
              <w:jc w:val="both"/>
              <w:rPr>
                <w:rFonts w:eastAsia="Times New Roman"/>
                <w:lang w:val="fr-FR"/>
              </w:rPr>
            </w:pPr>
            <w:r w:rsidRPr="005040A4">
              <w:rPr>
                <w:rStyle w:val="normaltextrun"/>
                <w:lang w:val="fr-FR"/>
              </w:rPr>
              <w:t>La mise en place de cette mesure devrait être achevée d</w:t>
            </w:r>
            <w:r w:rsidR="00743D89" w:rsidRPr="005040A4">
              <w:rPr>
                <w:rStyle w:val="normaltextrun"/>
                <w:lang w:val="fr-FR"/>
              </w:rPr>
              <w:t>’</w:t>
            </w:r>
            <w:r w:rsidRPr="005040A4">
              <w:rPr>
                <w:rStyle w:val="normaltextrun"/>
                <w:lang w:val="fr-FR"/>
              </w:rPr>
              <w:t>ici le 31 décembre 2027, conformément au calendrier de mise en œuvre du nouveau système ERP.</w:t>
            </w:r>
          </w:p>
        </w:tc>
      </w:tr>
    </w:tbl>
    <w:p w14:paraId="3A5D6511" w14:textId="77777777" w:rsidR="00855109" w:rsidRPr="00AB7D15" w:rsidRDefault="00855109" w:rsidP="00AB7D15">
      <w:pPr>
        <w:pStyle w:val="Heading3"/>
      </w:pPr>
      <w:bookmarkStart w:id="96" w:name="_Toc199153497"/>
      <w:r w:rsidRPr="00AB7D15">
        <w:lastRenderedPageBreak/>
        <w:t>Audit de performance</w:t>
      </w:r>
      <w:bookmarkEnd w:id="96"/>
    </w:p>
    <w:p w14:paraId="2BFB0329" w14:textId="77777777" w:rsidR="00855109" w:rsidRPr="005040A4" w:rsidRDefault="00855109" w:rsidP="000057BC">
      <w:pPr>
        <w:pStyle w:val="Heading4"/>
      </w:pPr>
      <w:bookmarkStart w:id="97" w:name="_Toc199153498"/>
      <w:r w:rsidRPr="005040A4">
        <w:t>Contexte</w:t>
      </w:r>
      <w:bookmarkEnd w:id="97"/>
    </w:p>
    <w:p w14:paraId="0579F93D" w14:textId="167F808C" w:rsidR="00743D89" w:rsidRPr="005040A4" w:rsidRDefault="00855109" w:rsidP="000057BC">
      <w:pPr>
        <w:pStyle w:val="ListParagraph"/>
        <w:rPr>
          <w:rStyle w:val="normaltextrun"/>
        </w:rPr>
      </w:pPr>
      <w:r w:rsidRPr="005040A4">
        <w:rPr>
          <w:rStyle w:val="normaltextrun"/>
        </w:rPr>
        <w:t>Le PSMT privilégie la sensibilisation et la collaboration dans le cadre des piliers n</w:t>
      </w:r>
      <w:r w:rsidRPr="005040A4">
        <w:rPr>
          <w:rStyle w:val="normaltextrun"/>
          <w:vertAlign w:val="superscript"/>
        </w:rPr>
        <w:t>os</w:t>
      </w:r>
      <w:r w:rsidRPr="005040A4">
        <w:rPr>
          <w:rStyle w:val="normaltextrun"/>
        </w:rPr>
        <w:t> 1 et 2 afin d</w:t>
      </w:r>
      <w:r w:rsidR="00743D89" w:rsidRPr="005040A4">
        <w:rPr>
          <w:rStyle w:val="normaltextrun"/>
        </w:rPr>
        <w:t>’</w:t>
      </w:r>
      <w:r w:rsidRPr="005040A4">
        <w:rPr>
          <w:rStyle w:val="normaltextrun"/>
        </w:rPr>
        <w:t>élargir la pertinence mondiale de la propriété intellectuel</w:t>
      </w:r>
      <w:r w:rsidR="005652C9" w:rsidRPr="005040A4">
        <w:rPr>
          <w:rStyle w:val="normaltextrun"/>
        </w:rPr>
        <w:t>le.  Le</w:t>
      </w:r>
      <w:r w:rsidRPr="005040A4">
        <w:rPr>
          <w:rStyle w:val="normaltextrun"/>
        </w:rPr>
        <w:t xml:space="preserve"> pilier n° 1 vise à intensifier les efforts de communication à l</w:t>
      </w:r>
      <w:r w:rsidR="00743D89" w:rsidRPr="005040A4">
        <w:rPr>
          <w:rStyle w:val="normaltextrun"/>
        </w:rPr>
        <w:t>’</w:t>
      </w:r>
      <w:r w:rsidRPr="005040A4">
        <w:rPr>
          <w:rStyle w:val="normaltextrun"/>
        </w:rPr>
        <w:t xml:space="preserve">échelle mondiale afin de démontrer le potentiel de la propriété intellectuelle </w:t>
      </w:r>
      <w:r w:rsidRPr="005040A4">
        <w:t>pour</w:t>
      </w:r>
      <w:r w:rsidRPr="005040A4">
        <w:rPr>
          <w:rStyle w:val="normaltextrun"/>
        </w:rPr>
        <w:t xml:space="preserve"> améliorer la vie de tous en transformant les idées en actifs précie</w:t>
      </w:r>
      <w:r w:rsidR="005652C9" w:rsidRPr="005040A4">
        <w:rPr>
          <w:rStyle w:val="normaltextrun"/>
        </w:rPr>
        <w:t>ux.  Gr</w:t>
      </w:r>
      <w:r w:rsidRPr="005040A4">
        <w:rPr>
          <w:rStyle w:val="normaltextrun"/>
        </w:rPr>
        <w:t>âce à des messages adaptés, à des récits percutants et à une utilisation stratégique des médias numériques, l</w:t>
      </w:r>
      <w:r w:rsidR="00743D89" w:rsidRPr="005040A4">
        <w:rPr>
          <w:rStyle w:val="normaltextrun"/>
        </w:rPr>
        <w:t>’</w:t>
      </w:r>
      <w:r w:rsidRPr="005040A4">
        <w:rPr>
          <w:rStyle w:val="normaltextrun"/>
        </w:rPr>
        <w:t>Organisation cherche à toucher des publics diversifiés, tels que les petites et moyennes entreprises (PME), les jeunes et le grand publ</w:t>
      </w:r>
      <w:r w:rsidR="005652C9" w:rsidRPr="005040A4">
        <w:rPr>
          <w:rStyle w:val="normaltextrun"/>
        </w:rPr>
        <w:t>ic.  Le</w:t>
      </w:r>
      <w:r w:rsidRPr="005040A4">
        <w:rPr>
          <w:rStyle w:val="normaltextrun"/>
        </w:rPr>
        <w:t xml:space="preserve"> deuxième pilier met l</w:t>
      </w:r>
      <w:r w:rsidR="00743D89" w:rsidRPr="005040A4">
        <w:rPr>
          <w:rStyle w:val="normaltextrun"/>
        </w:rPr>
        <w:t>’</w:t>
      </w:r>
      <w:r w:rsidRPr="005040A4">
        <w:rPr>
          <w:rStyle w:val="normaltextrun"/>
        </w:rPr>
        <w:t>accent sur la promotion des partenariats et de la coopération internationale afin de relever les défis mondiaux en matière de propriété intellectuelle, notamment en créant des cadres juridiques équilibrés et en réunissant les parties prenantes pour débattre des questions émergentes telles que l</w:t>
      </w:r>
      <w:r w:rsidR="00743D89" w:rsidRPr="005040A4">
        <w:rPr>
          <w:rStyle w:val="normaltextrun"/>
        </w:rPr>
        <w:t>’</w:t>
      </w:r>
      <w:r w:rsidRPr="005040A4">
        <w:rPr>
          <w:rStyle w:val="normaltextrun"/>
        </w:rPr>
        <w:t>IA et les technologies de poin</w:t>
      </w:r>
      <w:r w:rsidR="005652C9" w:rsidRPr="005040A4">
        <w:rPr>
          <w:rStyle w:val="normaltextrun"/>
        </w:rPr>
        <w:t>te.  En</w:t>
      </w:r>
      <w:r w:rsidRPr="005040A4">
        <w:rPr>
          <w:rStyle w:val="normaltextrun"/>
        </w:rPr>
        <w:t>semble, ces piliers traduisent la vision de l</w:t>
      </w:r>
      <w:r w:rsidR="00743D89" w:rsidRPr="005040A4">
        <w:rPr>
          <w:rStyle w:val="normaltextrun"/>
        </w:rPr>
        <w:t>’</w:t>
      </w:r>
      <w:r w:rsidRPr="005040A4">
        <w:rPr>
          <w:rStyle w:val="normaltextrun"/>
        </w:rPr>
        <w:t>Organisation, qui est de faire de la propriété intellectuelle un outil transformateur et inclusif au service de l</w:t>
      </w:r>
      <w:r w:rsidR="00743D89" w:rsidRPr="005040A4">
        <w:rPr>
          <w:rStyle w:val="normaltextrun"/>
        </w:rPr>
        <w:t>’</w:t>
      </w:r>
      <w:r w:rsidRPr="005040A4">
        <w:rPr>
          <w:rStyle w:val="normaltextrun"/>
        </w:rPr>
        <w:t>innovation et du développeme</w:t>
      </w:r>
      <w:r w:rsidR="005652C9" w:rsidRPr="005040A4">
        <w:rPr>
          <w:rStyle w:val="normaltextrun"/>
        </w:rPr>
        <w:t>nt.  Il</w:t>
      </w:r>
      <w:r w:rsidRPr="005040A4">
        <w:rPr>
          <w:rStyle w:val="normaltextrun"/>
        </w:rPr>
        <w:t xml:space="preserve"> convient d</w:t>
      </w:r>
      <w:r w:rsidR="00743D89" w:rsidRPr="005040A4">
        <w:rPr>
          <w:rStyle w:val="normaltextrun"/>
        </w:rPr>
        <w:t>’</w:t>
      </w:r>
      <w:r w:rsidRPr="005040A4">
        <w:rPr>
          <w:rStyle w:val="normaltextrun"/>
        </w:rPr>
        <w:t>indiquer que ces deux</w:t>
      </w:r>
      <w:r w:rsidR="001B7F27" w:rsidRPr="005040A4">
        <w:rPr>
          <w:rStyle w:val="normaltextrun"/>
        </w:rPr>
        <w:t> </w:t>
      </w:r>
      <w:r w:rsidRPr="005040A4">
        <w:rPr>
          <w:rStyle w:val="normaltextrun"/>
        </w:rPr>
        <w:t>piliers ont été définis comme constituant notre domaine d</w:t>
      </w:r>
      <w:r w:rsidR="00743D89" w:rsidRPr="005040A4">
        <w:rPr>
          <w:rStyle w:val="normaltextrun"/>
        </w:rPr>
        <w:t>’</w:t>
      </w:r>
      <w:r w:rsidRPr="005040A4">
        <w:rPr>
          <w:rStyle w:val="normaltextrun"/>
        </w:rPr>
        <w:t>audit pour l</w:t>
      </w:r>
      <w:r w:rsidR="00743D89" w:rsidRPr="005040A4">
        <w:rPr>
          <w:rStyle w:val="normaltextrun"/>
        </w:rPr>
        <w:t>’</w:t>
      </w:r>
      <w:r w:rsidRPr="005040A4">
        <w:rPr>
          <w:rStyle w:val="normaltextrun"/>
        </w:rPr>
        <w:t>année en cours, ce qui garantit une évaluation ciblée de leur mise en œuvre et de leur impact.</w:t>
      </w:r>
    </w:p>
    <w:p w14:paraId="570FF5FD" w14:textId="410CD9D0" w:rsidR="00855109" w:rsidRPr="005040A4" w:rsidRDefault="00855109" w:rsidP="000057BC">
      <w:pPr>
        <w:pStyle w:val="ListParagraph"/>
        <w:rPr>
          <w:rStyle w:val="normaltextrun"/>
        </w:rPr>
      </w:pPr>
      <w:r w:rsidRPr="005040A4">
        <w:rPr>
          <w:rStyle w:val="normaltextrun"/>
        </w:rPr>
        <w:t>Afin de garantir la responsabilisation et l</w:t>
      </w:r>
      <w:r w:rsidR="00743D89" w:rsidRPr="005040A4">
        <w:rPr>
          <w:rStyle w:val="normaltextrun"/>
        </w:rPr>
        <w:t>’</w:t>
      </w:r>
      <w:r w:rsidRPr="005040A4">
        <w:rPr>
          <w:rStyle w:val="normaltextrun"/>
        </w:rPr>
        <w:t>efficacité, l</w:t>
      </w:r>
      <w:r w:rsidR="00743D89" w:rsidRPr="005040A4">
        <w:rPr>
          <w:rStyle w:val="normaltextrun"/>
        </w:rPr>
        <w:t>’</w:t>
      </w:r>
      <w:r w:rsidRPr="005040A4">
        <w:rPr>
          <w:rStyle w:val="normaltextrun"/>
        </w:rPr>
        <w:t>Organisation suit une stratégie de gestion axée sur les résulta</w:t>
      </w:r>
      <w:r w:rsidR="005652C9" w:rsidRPr="005040A4">
        <w:rPr>
          <w:rStyle w:val="normaltextrun"/>
        </w:rPr>
        <w:t>ts.  Ce</w:t>
      </w:r>
      <w:r w:rsidRPr="005040A4">
        <w:rPr>
          <w:rStyle w:val="normaltextrun"/>
        </w:rPr>
        <w:t xml:space="preserve"> cadre lui permet de planifier, de suivre et d</w:t>
      </w:r>
      <w:r w:rsidR="00743D89" w:rsidRPr="005040A4">
        <w:rPr>
          <w:rStyle w:val="normaltextrun"/>
        </w:rPr>
        <w:t>’</w:t>
      </w:r>
      <w:r w:rsidRPr="005040A4">
        <w:rPr>
          <w:rStyle w:val="normaltextrun"/>
        </w:rPr>
        <w:t>évaluer systématiquement ses activités à travers une chaîne de résulta</w:t>
      </w:r>
      <w:r w:rsidR="005652C9" w:rsidRPr="005040A4">
        <w:rPr>
          <w:rStyle w:val="normaltextrun"/>
        </w:rPr>
        <w:t>ts.  Le</w:t>
      </w:r>
      <w:r w:rsidRPr="005040A4">
        <w:rPr>
          <w:rStyle w:val="normaltextrun"/>
        </w:rPr>
        <w:t>s résultats escomptés sont définis et mesurés à l</w:t>
      </w:r>
      <w:r w:rsidR="00743D89" w:rsidRPr="005040A4">
        <w:rPr>
          <w:rStyle w:val="normaltextrun"/>
        </w:rPr>
        <w:t>’</w:t>
      </w:r>
      <w:r w:rsidRPr="005040A4">
        <w:rPr>
          <w:rStyle w:val="normaltextrun"/>
        </w:rPr>
        <w:t>aide d</w:t>
      </w:r>
      <w:r w:rsidR="00743D89" w:rsidRPr="005040A4">
        <w:rPr>
          <w:rStyle w:val="normaltextrun"/>
        </w:rPr>
        <w:t>’</w:t>
      </w:r>
      <w:r w:rsidRPr="005040A4">
        <w:rPr>
          <w:rStyle w:val="normaltextrun"/>
        </w:rPr>
        <w:t>indicateurs d</w:t>
      </w:r>
      <w:r w:rsidR="00743D89" w:rsidRPr="005040A4">
        <w:rPr>
          <w:rStyle w:val="normaltextrun"/>
        </w:rPr>
        <w:t>’</w:t>
      </w:r>
      <w:r w:rsidRPr="005040A4">
        <w:rPr>
          <w:rStyle w:val="normaltextrun"/>
        </w:rPr>
        <w:t>exécution, ce qui permet à l</w:t>
      </w:r>
      <w:r w:rsidR="00743D89" w:rsidRPr="005040A4">
        <w:rPr>
          <w:rStyle w:val="normaltextrun"/>
        </w:rPr>
        <w:t>’</w:t>
      </w:r>
      <w:r w:rsidRPr="005040A4">
        <w:rPr>
          <w:rStyle w:val="normaltextrun"/>
        </w:rPr>
        <w:t>Organisation de suivre les progrès accomplis, d</w:t>
      </w:r>
      <w:r w:rsidR="00743D89" w:rsidRPr="005040A4">
        <w:rPr>
          <w:rStyle w:val="normaltextrun"/>
        </w:rPr>
        <w:t>’</w:t>
      </w:r>
      <w:r w:rsidRPr="005040A4">
        <w:rPr>
          <w:rStyle w:val="normaltextrun"/>
        </w:rPr>
        <w:t>allouer des ressources de manière efficace et de démontrer les effets de ses initiatives conformément à ses priorités stratégiqu</w:t>
      </w:r>
      <w:r w:rsidR="005652C9" w:rsidRPr="005040A4">
        <w:rPr>
          <w:rStyle w:val="normaltextrun"/>
        </w:rPr>
        <w:t>es.  La</w:t>
      </w:r>
      <w:r w:rsidRPr="005040A4">
        <w:rPr>
          <w:rStyle w:val="normaltextrun"/>
        </w:rPr>
        <w:t xml:space="preserve"> planification consiste à définir les résultats à travers l</w:t>
      </w:r>
      <w:r w:rsidR="00743D89" w:rsidRPr="005040A4">
        <w:rPr>
          <w:rStyle w:val="normaltextrun"/>
        </w:rPr>
        <w:t>’</w:t>
      </w:r>
      <w:r w:rsidRPr="005040A4">
        <w:rPr>
          <w:rStyle w:val="normaltextrun"/>
        </w:rPr>
        <w:t>analyse des pays et des agences et des priorit</w:t>
      </w:r>
      <w:r w:rsidR="005652C9" w:rsidRPr="005040A4">
        <w:rPr>
          <w:rStyle w:val="normaltextrun"/>
        </w:rPr>
        <w:t>és.  Un</w:t>
      </w:r>
      <w:r w:rsidRPr="005040A4">
        <w:rPr>
          <w:rStyle w:val="normaltextrun"/>
        </w:rPr>
        <w:t>e matrice de résultats est élaborée qui intègre les résultats, les productions, les indicateurs, les niveaux de référence, les objectifs, les méthodes de vérification, les risques, les hypothèses, les rôles des partenaires et les ressourc</w:t>
      </w:r>
      <w:r w:rsidR="005652C9" w:rsidRPr="005040A4">
        <w:rPr>
          <w:rStyle w:val="normaltextrun"/>
        </w:rPr>
        <w:t>es.  L’a</w:t>
      </w:r>
      <w:r w:rsidRPr="005040A4">
        <w:rPr>
          <w:rStyle w:val="normaltextrun"/>
        </w:rPr>
        <w:t>ccent est mis sur la formulation d</w:t>
      </w:r>
      <w:r w:rsidR="00743D89" w:rsidRPr="005040A4">
        <w:rPr>
          <w:rStyle w:val="normaltextrun"/>
        </w:rPr>
        <w:t>’</w:t>
      </w:r>
      <w:r w:rsidRPr="005040A4">
        <w:rPr>
          <w:rStyle w:val="normaltextrun"/>
        </w:rPr>
        <w:t>indicateurs et l</w:t>
      </w:r>
      <w:r w:rsidR="00743D89" w:rsidRPr="005040A4">
        <w:rPr>
          <w:rStyle w:val="normaltextrun"/>
        </w:rPr>
        <w:t>’</w:t>
      </w:r>
      <w:r w:rsidRPr="005040A4">
        <w:rPr>
          <w:rStyle w:val="normaltextrun"/>
        </w:rPr>
        <w:t>utilisation d</w:t>
      </w:r>
      <w:r w:rsidR="00743D89" w:rsidRPr="005040A4">
        <w:rPr>
          <w:rStyle w:val="normaltextrun"/>
        </w:rPr>
        <w:t>’</w:t>
      </w:r>
      <w:r w:rsidRPr="005040A4">
        <w:rPr>
          <w:rStyle w:val="normaltextrun"/>
        </w:rPr>
        <w:t>outils tels que le système WePerform pour l</w:t>
      </w:r>
      <w:r w:rsidR="00743D89" w:rsidRPr="005040A4">
        <w:rPr>
          <w:rStyle w:val="normaltextrun"/>
        </w:rPr>
        <w:t>’</w:t>
      </w:r>
      <w:r w:rsidRPr="005040A4">
        <w:rPr>
          <w:rStyle w:val="normaltextrun"/>
        </w:rPr>
        <w:t>établissement de rapports sur l</w:t>
      </w:r>
      <w:r w:rsidR="00743D89" w:rsidRPr="005040A4">
        <w:rPr>
          <w:rStyle w:val="normaltextrun"/>
        </w:rPr>
        <w:t>’</w:t>
      </w:r>
      <w:r w:rsidRPr="005040A4">
        <w:rPr>
          <w:rStyle w:val="normaltextrun"/>
        </w:rPr>
        <w:t>exécuti</w:t>
      </w:r>
      <w:r w:rsidR="005652C9" w:rsidRPr="005040A4">
        <w:rPr>
          <w:rStyle w:val="normaltextrun"/>
        </w:rPr>
        <w:t>on.  Le</w:t>
      </w:r>
      <w:r w:rsidRPr="005040A4">
        <w:rPr>
          <w:rStyle w:val="normaltextrun"/>
        </w:rPr>
        <w:t xml:space="preserve"> suivi comprend l</w:t>
      </w:r>
      <w:r w:rsidR="00743D89" w:rsidRPr="005040A4">
        <w:rPr>
          <w:rStyle w:val="normaltextrun"/>
        </w:rPr>
        <w:t>’</w:t>
      </w:r>
      <w:r w:rsidRPr="005040A4">
        <w:rPr>
          <w:rStyle w:val="normaltextrun"/>
        </w:rPr>
        <w:t>élaboration d</w:t>
      </w:r>
      <w:r w:rsidR="00743D89" w:rsidRPr="005040A4">
        <w:rPr>
          <w:rStyle w:val="normaltextrun"/>
        </w:rPr>
        <w:t>’</w:t>
      </w:r>
      <w:r w:rsidRPr="005040A4">
        <w:rPr>
          <w:rStyle w:val="normaltextrun"/>
        </w:rPr>
        <w:t>un plan de suivi assorti de politiques, de rôles et de cadres clai</w:t>
      </w:r>
      <w:r w:rsidR="005652C9" w:rsidRPr="005040A4">
        <w:rPr>
          <w:rStyle w:val="normaltextrun"/>
        </w:rPr>
        <w:t>rs.  Le</w:t>
      </w:r>
      <w:r w:rsidRPr="005040A4">
        <w:rPr>
          <w:rStyle w:val="normaltextrun"/>
        </w:rPr>
        <w:t>s actions couvrent la collecte de données, l</w:t>
      </w:r>
      <w:r w:rsidR="00743D89" w:rsidRPr="005040A4">
        <w:rPr>
          <w:rStyle w:val="normaltextrun"/>
        </w:rPr>
        <w:t>’</w:t>
      </w:r>
      <w:r w:rsidRPr="005040A4">
        <w:rPr>
          <w:rStyle w:val="normaltextrun"/>
        </w:rPr>
        <w:t>analyse, l</w:t>
      </w:r>
      <w:r w:rsidR="00743D89" w:rsidRPr="005040A4">
        <w:rPr>
          <w:rStyle w:val="normaltextrun"/>
        </w:rPr>
        <w:t>’</w:t>
      </w:r>
      <w:r w:rsidRPr="005040A4">
        <w:rPr>
          <w:rStyle w:val="normaltextrun"/>
        </w:rPr>
        <w:t>établissement de rapports et la prise de mesures correctives sur la base des enseignements tirés du sui</w:t>
      </w:r>
      <w:r w:rsidR="005652C9" w:rsidRPr="005040A4">
        <w:rPr>
          <w:rStyle w:val="normaltextrun"/>
        </w:rPr>
        <w:t>vi.  Le</w:t>
      </w:r>
      <w:r w:rsidRPr="005040A4">
        <w:rPr>
          <w:rStyle w:val="normaltextrun"/>
        </w:rPr>
        <w:t xml:space="preserve"> processus est renforcé par des cadres de suivi et d</w:t>
      </w:r>
      <w:r w:rsidR="00743D89" w:rsidRPr="005040A4">
        <w:rPr>
          <w:rStyle w:val="normaltextrun"/>
        </w:rPr>
        <w:t>’</w:t>
      </w:r>
      <w:r w:rsidRPr="005040A4">
        <w:rPr>
          <w:rStyle w:val="normaltextrun"/>
        </w:rPr>
        <w:t>évaluation consolid</w:t>
      </w:r>
      <w:r w:rsidR="005652C9" w:rsidRPr="005040A4">
        <w:rPr>
          <w:rStyle w:val="normaltextrun"/>
        </w:rPr>
        <w:t>és.  L’é</w:t>
      </w:r>
      <w:r w:rsidRPr="005040A4">
        <w:rPr>
          <w:rStyle w:val="normaltextrun"/>
        </w:rPr>
        <w:t>valuation est axée sur l</w:t>
      </w:r>
      <w:r w:rsidR="00743D89" w:rsidRPr="005040A4">
        <w:rPr>
          <w:rStyle w:val="normaltextrun"/>
        </w:rPr>
        <w:t>’</w:t>
      </w:r>
      <w:r w:rsidRPr="005040A4">
        <w:rPr>
          <w:rStyle w:val="normaltextrun"/>
        </w:rPr>
        <w:t>amélioration des programmes, la responsabilisation grâce à des évaluations indépendantes et la promotion de l</w:t>
      </w:r>
      <w:r w:rsidR="00743D89" w:rsidRPr="005040A4">
        <w:rPr>
          <w:rStyle w:val="normaltextrun"/>
        </w:rPr>
        <w:t>’</w:t>
      </w:r>
      <w:r w:rsidRPr="005040A4">
        <w:rPr>
          <w:rStyle w:val="normaltextrun"/>
        </w:rPr>
        <w:t>apprentissage organisationnel afin de renforcer les connaissances institutionnelles.</w:t>
      </w:r>
    </w:p>
    <w:p w14:paraId="1A5CC8F3" w14:textId="77777777" w:rsidR="00855109" w:rsidRPr="005040A4" w:rsidRDefault="00855109" w:rsidP="000057BC">
      <w:pPr>
        <w:pStyle w:val="ListParagraph"/>
        <w:rPr>
          <w:rStyle w:val="normaltextrun"/>
          <w:b/>
          <w:bCs/>
        </w:rPr>
      </w:pPr>
      <w:r w:rsidRPr="005040A4">
        <w:rPr>
          <w:rStyle w:val="normaltextrun"/>
        </w:rPr>
        <w:t>Certains de ces domaines pourraient être améliorés afin de renforcer les services fournis aux parties prenantes.</w:t>
      </w:r>
    </w:p>
    <w:p w14:paraId="7495C42D" w14:textId="475E1778" w:rsidR="00855109" w:rsidRPr="005040A4" w:rsidRDefault="00855109" w:rsidP="000057BC">
      <w:pPr>
        <w:pStyle w:val="Heading4"/>
      </w:pPr>
      <w:bookmarkStart w:id="98" w:name="_Toc199153499"/>
      <w:bookmarkStart w:id="99" w:name="_Toc196159472"/>
      <w:r w:rsidRPr="00AB7D15">
        <w:lastRenderedPageBreak/>
        <w:t>Observations</w:t>
      </w:r>
      <w:r w:rsidRPr="005040A4">
        <w:t xml:space="preserve"> découlant de l</w:t>
      </w:r>
      <w:r w:rsidR="00743D89" w:rsidRPr="005040A4">
        <w:t>’</w:t>
      </w:r>
      <w:r w:rsidRPr="005040A4">
        <w:t>audit</w:t>
      </w:r>
      <w:bookmarkEnd w:id="98"/>
    </w:p>
    <w:p w14:paraId="3093F181" w14:textId="6A86E313" w:rsidR="00855109" w:rsidRPr="00663D09" w:rsidRDefault="00855109" w:rsidP="00663D09">
      <w:pPr>
        <w:pStyle w:val="Heading5"/>
        <w:keepNext/>
        <w:rPr>
          <w:spacing w:val="-6"/>
        </w:rPr>
      </w:pPr>
      <w:bookmarkStart w:id="100" w:name="_Toc199153500"/>
      <w:r w:rsidRPr="00663D09">
        <w:rPr>
          <w:spacing w:val="-6"/>
        </w:rPr>
        <w:t>Établissement de procédures opérationnelles standardisées pour l</w:t>
      </w:r>
      <w:r w:rsidR="00743D89" w:rsidRPr="00663D09">
        <w:rPr>
          <w:spacing w:val="-6"/>
        </w:rPr>
        <w:t>’</w:t>
      </w:r>
      <w:r w:rsidRPr="00663D09">
        <w:rPr>
          <w:spacing w:val="-6"/>
        </w:rPr>
        <w:t>organisation des réunions des organes décisionnels et de négociation de l</w:t>
      </w:r>
      <w:r w:rsidR="00743D89" w:rsidRPr="00663D09">
        <w:rPr>
          <w:spacing w:val="-6"/>
        </w:rPr>
        <w:t>’</w:t>
      </w:r>
      <w:r w:rsidRPr="00663D09">
        <w:rPr>
          <w:spacing w:val="-6"/>
        </w:rPr>
        <w:t>OMPI</w:t>
      </w:r>
      <w:bookmarkEnd w:id="99"/>
      <w:bookmarkEnd w:id="100"/>
    </w:p>
    <w:p w14:paraId="524FA719" w14:textId="541230CA" w:rsidR="00743D89" w:rsidRPr="005040A4" w:rsidRDefault="00855109" w:rsidP="00663D09">
      <w:pPr>
        <w:pStyle w:val="ListParagraph"/>
        <w:keepLines/>
        <w:rPr>
          <w:rStyle w:val="normaltextrun"/>
        </w:rPr>
      </w:pPr>
      <w:r w:rsidRPr="005040A4">
        <w:t>L</w:t>
      </w:r>
      <w:r w:rsidR="00743D89" w:rsidRPr="005040A4">
        <w:t>’</w:t>
      </w:r>
      <w:r w:rsidRPr="005040A4">
        <w:t xml:space="preserve">Organisation </w:t>
      </w:r>
      <w:r w:rsidRPr="005040A4">
        <w:rPr>
          <w:rStyle w:val="normaltextrun"/>
        </w:rPr>
        <w:t>facilite le travail de 18 organes spécialisés qui ont pour mission de prendre des décisions et de mener des négociatio</w:t>
      </w:r>
      <w:r w:rsidR="005652C9" w:rsidRPr="005040A4">
        <w:rPr>
          <w:rStyle w:val="normaltextrun"/>
        </w:rPr>
        <w:t>ns.  Po</w:t>
      </w:r>
      <w:r w:rsidRPr="005040A4">
        <w:rPr>
          <w:rStyle w:val="normaltextrun"/>
        </w:rPr>
        <w:t>ur l</w:t>
      </w:r>
      <w:r w:rsidR="00743D89" w:rsidRPr="005040A4">
        <w:rPr>
          <w:rStyle w:val="normaltextrun"/>
        </w:rPr>
        <w:t>’</w:t>
      </w:r>
      <w:r w:rsidRPr="005040A4">
        <w:rPr>
          <w:rStyle w:val="normaltextrun"/>
        </w:rPr>
        <w:t xml:space="preserve">exercice </w:t>
      </w:r>
      <w:r w:rsidR="00743D89" w:rsidRPr="005040A4">
        <w:rPr>
          <w:rStyle w:val="normaltextrun"/>
        </w:rPr>
        <w:t>biennal 2024</w:t>
      </w:r>
      <w:r w:rsidR="00C249FA" w:rsidRPr="005040A4">
        <w:rPr>
          <w:rStyle w:val="normaltextrun"/>
        </w:rPr>
        <w:noBreakHyphen/>
      </w:r>
      <w:r w:rsidRPr="005040A4">
        <w:rPr>
          <w:rStyle w:val="normaltextrun"/>
        </w:rPr>
        <w:t>2025, l</w:t>
      </w:r>
      <w:r w:rsidR="00743D89" w:rsidRPr="005040A4">
        <w:rPr>
          <w:rStyle w:val="normaltextrun"/>
        </w:rPr>
        <w:t>’</w:t>
      </w:r>
      <w:r w:rsidRPr="005040A4">
        <w:rPr>
          <w:rStyle w:val="normaltextrun"/>
        </w:rPr>
        <w:t>Organisation prévoit d</w:t>
      </w:r>
      <w:r w:rsidR="00743D89" w:rsidRPr="005040A4">
        <w:rPr>
          <w:rStyle w:val="normaltextrun"/>
        </w:rPr>
        <w:t>’</w:t>
      </w:r>
      <w:r w:rsidRPr="005040A4">
        <w:rPr>
          <w:rStyle w:val="normaltextrun"/>
        </w:rPr>
        <w:t xml:space="preserve">organiser environ 21 à 24 réunions par </w:t>
      </w:r>
      <w:r w:rsidR="005652C9" w:rsidRPr="005040A4">
        <w:rPr>
          <w:rStyle w:val="normaltextrun"/>
        </w:rPr>
        <w:t>an.  La</w:t>
      </w:r>
      <w:r w:rsidRPr="005040A4">
        <w:rPr>
          <w:rStyle w:val="normaltextrun"/>
        </w:rPr>
        <w:t xml:space="preserve"> coordination des réunions des organes décisionnels et de négociation de l</w:t>
      </w:r>
      <w:r w:rsidR="00743D89" w:rsidRPr="005040A4">
        <w:rPr>
          <w:rStyle w:val="normaltextrun"/>
        </w:rPr>
        <w:t>’</w:t>
      </w:r>
      <w:r w:rsidRPr="005040A4">
        <w:rPr>
          <w:rStyle w:val="normaltextrun"/>
        </w:rPr>
        <w:t>Organisation nécessite une collaboration entre plusieurs divisions afin de maintenir l</w:t>
      </w:r>
      <w:r w:rsidR="00743D89" w:rsidRPr="005040A4">
        <w:rPr>
          <w:rStyle w:val="normaltextrun"/>
        </w:rPr>
        <w:t>’</w:t>
      </w:r>
      <w:r w:rsidRPr="005040A4">
        <w:rPr>
          <w:rStyle w:val="normaltextrun"/>
        </w:rPr>
        <w:t>efficacité opérationnelle et l</w:t>
      </w:r>
      <w:r w:rsidR="00743D89" w:rsidRPr="005040A4">
        <w:rPr>
          <w:rStyle w:val="normaltextrun"/>
        </w:rPr>
        <w:t>’</w:t>
      </w:r>
      <w:r w:rsidRPr="005040A4">
        <w:rPr>
          <w:rStyle w:val="normaltextrun"/>
        </w:rPr>
        <w:t>alignement stratégique.</w:t>
      </w:r>
    </w:p>
    <w:p w14:paraId="71CA01CE" w14:textId="20B807E1" w:rsidR="00743D89" w:rsidRPr="005040A4" w:rsidRDefault="00855109" w:rsidP="000057BC">
      <w:pPr>
        <w:pStyle w:val="ListParagraph"/>
        <w:rPr>
          <w:rStyle w:val="normaltextrun"/>
        </w:rPr>
      </w:pPr>
      <w:r w:rsidRPr="005040A4">
        <w:rPr>
          <w:rStyle w:val="normaltextrun"/>
        </w:rPr>
        <w:t>Même si l</w:t>
      </w:r>
      <w:r w:rsidR="00743D89" w:rsidRPr="005040A4">
        <w:rPr>
          <w:rStyle w:val="normaltextrun"/>
        </w:rPr>
        <w:t>’</w:t>
      </w:r>
      <w:r w:rsidRPr="005040A4">
        <w:rPr>
          <w:rStyle w:val="normaltextrun"/>
        </w:rPr>
        <w:t>Organisation a mis en place un cadre structuré régissant les protocoles logistiques pour la coordination des réunions, ces mesures, accessibles via la plateforme Intranet de l</w:t>
      </w:r>
      <w:r w:rsidR="00743D89" w:rsidRPr="005040A4">
        <w:rPr>
          <w:rStyle w:val="normaltextrun"/>
        </w:rPr>
        <w:t>’</w:t>
      </w:r>
      <w:r w:rsidRPr="005040A4">
        <w:rPr>
          <w:rStyle w:val="normaltextrun"/>
        </w:rPr>
        <w:t>Organisation, se concentrent principalement sur des actions telles que la programmation des réunions, la réservation des salles et la conception des formulaires d</w:t>
      </w:r>
      <w:r w:rsidR="00743D89" w:rsidRPr="005040A4">
        <w:rPr>
          <w:rStyle w:val="normaltextrun"/>
        </w:rPr>
        <w:t>’</w:t>
      </w:r>
      <w:r w:rsidRPr="005040A4">
        <w:rPr>
          <w:rStyle w:val="normaltextrun"/>
        </w:rPr>
        <w:t>inscripti</w:t>
      </w:r>
      <w:r w:rsidR="005652C9" w:rsidRPr="005040A4">
        <w:rPr>
          <w:rStyle w:val="normaltextrun"/>
        </w:rPr>
        <w:t>on.  To</w:t>
      </w:r>
      <w:r w:rsidRPr="005040A4">
        <w:rPr>
          <w:rStyle w:val="normaltextrun"/>
        </w:rPr>
        <w:t>utefois, aucun processus complet et formalisé couvrant l</w:t>
      </w:r>
      <w:r w:rsidR="00743D89" w:rsidRPr="005040A4">
        <w:rPr>
          <w:rStyle w:val="normaltextrun"/>
        </w:rPr>
        <w:t>’</w:t>
      </w:r>
      <w:r w:rsidRPr="005040A4">
        <w:rPr>
          <w:rStyle w:val="normaltextrun"/>
        </w:rPr>
        <w:t>ensemble du cycle de vie des réunions, de la planification initiale aux activités de suivi post</w:t>
      </w:r>
      <w:r w:rsidR="00C249FA" w:rsidRPr="005040A4">
        <w:rPr>
          <w:rStyle w:val="normaltextrun"/>
        </w:rPr>
        <w:noBreakHyphen/>
      </w:r>
      <w:r w:rsidRPr="005040A4">
        <w:rPr>
          <w:rStyle w:val="normaltextrun"/>
        </w:rPr>
        <w:t>événement, n</w:t>
      </w:r>
      <w:r w:rsidR="00743D89" w:rsidRPr="005040A4">
        <w:rPr>
          <w:rStyle w:val="normaltextrun"/>
        </w:rPr>
        <w:t>’</w:t>
      </w:r>
      <w:r w:rsidRPr="005040A4">
        <w:rPr>
          <w:rStyle w:val="normaltextrun"/>
        </w:rPr>
        <w:t>a encore été officiellement mis en place, ce qui met en évidence la nécessité d</w:t>
      </w:r>
      <w:r w:rsidR="00743D89" w:rsidRPr="005040A4">
        <w:rPr>
          <w:rStyle w:val="normaltextrun"/>
        </w:rPr>
        <w:t>’</w:t>
      </w:r>
      <w:r w:rsidRPr="005040A4">
        <w:rPr>
          <w:rStyle w:val="normaltextrun"/>
        </w:rPr>
        <w:t>améliorer les procédures.</w:t>
      </w:r>
    </w:p>
    <w:p w14:paraId="34119898" w14:textId="2DDC3BC7" w:rsidR="00743D89" w:rsidRPr="005040A4" w:rsidRDefault="00855109" w:rsidP="000057BC">
      <w:pPr>
        <w:pStyle w:val="ListParagraph"/>
        <w:rPr>
          <w:rStyle w:val="normaltextrun"/>
        </w:rPr>
      </w:pPr>
      <w:r w:rsidRPr="005040A4">
        <w:rPr>
          <w:rStyle w:val="normaltextrun"/>
        </w:rPr>
        <w:t>Les cadres procéduraux actuels pour la coordination des réunions varient considérablement d</w:t>
      </w:r>
      <w:r w:rsidR="00743D89" w:rsidRPr="005040A4">
        <w:rPr>
          <w:rStyle w:val="normaltextrun"/>
        </w:rPr>
        <w:t>’</w:t>
      </w:r>
      <w:r w:rsidRPr="005040A4">
        <w:rPr>
          <w:rStyle w:val="normaltextrun"/>
        </w:rPr>
        <w:t>une division à l</w:t>
      </w:r>
      <w:r w:rsidR="00743D89" w:rsidRPr="005040A4">
        <w:rPr>
          <w:rStyle w:val="normaltextrun"/>
        </w:rPr>
        <w:t>’</w:t>
      </w:r>
      <w:r w:rsidRPr="005040A4">
        <w:rPr>
          <w:rStyle w:val="normaltextrun"/>
        </w:rPr>
        <w:t>autre au sein de l</w:t>
      </w:r>
      <w:r w:rsidR="00743D89" w:rsidRPr="005040A4">
        <w:rPr>
          <w:rStyle w:val="normaltextrun"/>
        </w:rPr>
        <w:t>’</w:t>
      </w:r>
      <w:r w:rsidRPr="005040A4">
        <w:rPr>
          <w:rStyle w:val="normaltextrun"/>
        </w:rPr>
        <w:t>Organisati</w:t>
      </w:r>
      <w:r w:rsidR="005652C9" w:rsidRPr="005040A4">
        <w:rPr>
          <w:rStyle w:val="normaltextrun"/>
        </w:rPr>
        <w:t>on.  Le</w:t>
      </w:r>
      <w:r w:rsidRPr="005040A4">
        <w:rPr>
          <w:rStyle w:val="normaltextrun"/>
        </w:rPr>
        <w:t>s protocoles existants portent principalement sur la planification préalable des réunions, telle que l</w:t>
      </w:r>
      <w:r w:rsidR="00743D89" w:rsidRPr="005040A4">
        <w:rPr>
          <w:rStyle w:val="normaltextrun"/>
        </w:rPr>
        <w:t>’</w:t>
      </w:r>
      <w:r w:rsidRPr="005040A4">
        <w:rPr>
          <w:rStyle w:val="normaltextrun"/>
        </w:rPr>
        <w:t>estimation budgétaire, la logistique des déplacements des participants et la documentation préparatoire, ainsi que sur les mesures de suivi après réunio</w:t>
      </w:r>
      <w:r w:rsidR="005652C9" w:rsidRPr="005040A4">
        <w:rPr>
          <w:rStyle w:val="normaltextrun"/>
        </w:rPr>
        <w:t>ns.  To</w:t>
      </w:r>
      <w:r w:rsidRPr="005040A4">
        <w:rPr>
          <w:rStyle w:val="normaltextrun"/>
        </w:rPr>
        <w:t>utefois, ces directives ne contiennent pas de dispositions visant à atténuer les perturbations pendant les réunions, telles que des mesures d</w:t>
      </w:r>
      <w:r w:rsidR="00743D89" w:rsidRPr="005040A4">
        <w:rPr>
          <w:rStyle w:val="normaltextrun"/>
        </w:rPr>
        <w:t>’</w:t>
      </w:r>
      <w:r w:rsidRPr="005040A4">
        <w:rPr>
          <w:rStyle w:val="normaltextrun"/>
        </w:rPr>
        <w:t>urgence en cas d</w:t>
      </w:r>
      <w:r w:rsidR="00743D89" w:rsidRPr="005040A4">
        <w:rPr>
          <w:rStyle w:val="normaltextrun"/>
        </w:rPr>
        <w:t>’</w:t>
      </w:r>
      <w:r w:rsidRPr="005040A4">
        <w:rPr>
          <w:rStyle w:val="normaltextrun"/>
        </w:rPr>
        <w:t>interruptions techniques ou procédural</w:t>
      </w:r>
      <w:r w:rsidR="005652C9" w:rsidRPr="005040A4">
        <w:rPr>
          <w:rStyle w:val="normaltextrun"/>
        </w:rPr>
        <w:t>es.  De</w:t>
      </w:r>
      <w:r w:rsidRPr="005040A4">
        <w:rPr>
          <w:rStyle w:val="normaltextrun"/>
        </w:rPr>
        <w:t xml:space="preserve"> plus, les rôles dans la collaboration transversale n</w:t>
      </w:r>
      <w:r w:rsidR="00743D89" w:rsidRPr="005040A4">
        <w:rPr>
          <w:rStyle w:val="normaltextrun"/>
        </w:rPr>
        <w:t>’</w:t>
      </w:r>
      <w:r w:rsidRPr="005040A4">
        <w:rPr>
          <w:rStyle w:val="normaltextrun"/>
        </w:rPr>
        <w:t>étaient pas clairement définis, et aucune unité n</w:t>
      </w:r>
      <w:r w:rsidR="00743D89" w:rsidRPr="005040A4">
        <w:rPr>
          <w:rStyle w:val="normaltextrun"/>
        </w:rPr>
        <w:t>’</w:t>
      </w:r>
      <w:r w:rsidRPr="005040A4">
        <w:rPr>
          <w:rStyle w:val="normaltextrun"/>
        </w:rPr>
        <w:t>est explicitement chargée d</w:t>
      </w:r>
      <w:r w:rsidR="00743D89" w:rsidRPr="005040A4">
        <w:rPr>
          <w:rStyle w:val="normaltextrun"/>
        </w:rPr>
        <w:t>’</w:t>
      </w:r>
      <w:r w:rsidRPr="005040A4">
        <w:rPr>
          <w:rStyle w:val="normaltextrun"/>
        </w:rPr>
        <w:t>assurer le soutien en matière de procédures.</w:t>
      </w:r>
    </w:p>
    <w:p w14:paraId="465497D9" w14:textId="536D6291" w:rsidR="00855109" w:rsidRPr="005040A4" w:rsidRDefault="00855109" w:rsidP="005908BF">
      <w:pPr>
        <w:pStyle w:val="ListParagraph"/>
        <w:numPr>
          <w:ilvl w:val="0"/>
          <w:numId w:val="0"/>
        </w:numPr>
        <w:ind w:left="1134"/>
        <w:rPr>
          <w:rStyle w:val="normaltextrun"/>
          <w:b/>
          <w:bCs/>
        </w:rPr>
      </w:pPr>
      <w:r w:rsidRPr="005040A4">
        <w:rPr>
          <w:rStyle w:val="normaltextrun"/>
        </w:rPr>
        <w:t>La BPK est d</w:t>
      </w:r>
      <w:r w:rsidR="00743D89" w:rsidRPr="005040A4">
        <w:rPr>
          <w:rStyle w:val="normaltextrun"/>
        </w:rPr>
        <w:t>’</w:t>
      </w:r>
      <w:r w:rsidRPr="005040A4">
        <w:rPr>
          <w:rStyle w:val="normaltextrun"/>
        </w:rPr>
        <w:t>avis que, bien que chaque organe décisionnel et de négociation fonctionne selon des règles de procédure distinctes, conformes à son mandat spécifique, la mise en place d</w:t>
      </w:r>
      <w:r w:rsidR="00743D89" w:rsidRPr="005040A4">
        <w:rPr>
          <w:rStyle w:val="normaltextrun"/>
        </w:rPr>
        <w:t>’</w:t>
      </w:r>
      <w:r w:rsidRPr="005040A4">
        <w:rPr>
          <w:rStyle w:val="normaltextrun"/>
        </w:rPr>
        <w:t>une procédure opérationnelle standard unifiée qui intègre les meilleures pratiques, harmonise les processus divergents et rassemble les cadres de gestion logistique apporterait des avantages institutionnels considérabl</w:t>
      </w:r>
      <w:r w:rsidR="005652C9" w:rsidRPr="005040A4">
        <w:rPr>
          <w:rStyle w:val="normaltextrun"/>
        </w:rPr>
        <w:t>es.  Un</w:t>
      </w:r>
      <w:r w:rsidRPr="005040A4">
        <w:rPr>
          <w:rStyle w:val="normaltextrun"/>
        </w:rPr>
        <w:t>e procédure opérationnelle standard consolidée améliorerait la cohérence opérationnelle, optimiserait l</w:t>
      </w:r>
      <w:r w:rsidR="00743D89" w:rsidRPr="005040A4">
        <w:rPr>
          <w:rStyle w:val="normaltextrun"/>
        </w:rPr>
        <w:t>’</w:t>
      </w:r>
      <w:r w:rsidRPr="005040A4">
        <w:rPr>
          <w:rStyle w:val="normaltextrun"/>
        </w:rPr>
        <w:t>efficacité des procédures et établirait des lignes directrices claires pour la coordination future des événemen</w:t>
      </w:r>
      <w:r w:rsidR="005652C9" w:rsidRPr="005040A4">
        <w:rPr>
          <w:rStyle w:val="normaltextrun"/>
        </w:rPr>
        <w:t>ts.  En</w:t>
      </w:r>
      <w:r w:rsidRPr="005040A4">
        <w:rPr>
          <w:rStyle w:val="normaltextrun"/>
        </w:rPr>
        <w:t xml:space="preserve"> outre, elle constituerait un outil essentiel de gestion des connaissances, contribuant à préserver l</w:t>
      </w:r>
      <w:r w:rsidR="00743D89" w:rsidRPr="005040A4">
        <w:rPr>
          <w:rStyle w:val="normaltextrun"/>
        </w:rPr>
        <w:t>’</w:t>
      </w:r>
      <w:r w:rsidRPr="005040A4">
        <w:rPr>
          <w:rStyle w:val="normaltextrun"/>
        </w:rPr>
        <w:t>expertise institutionnelle et assurant la continuité des pratiques d</w:t>
      </w:r>
      <w:r w:rsidR="00743D89" w:rsidRPr="005040A4">
        <w:rPr>
          <w:rStyle w:val="normaltextrun"/>
        </w:rPr>
        <w:t>’</w:t>
      </w:r>
      <w:r w:rsidRPr="005040A4">
        <w:rPr>
          <w:rStyle w:val="normaltextrun"/>
        </w:rPr>
        <w:t>engagement multilatéral.</w:t>
      </w:r>
    </w:p>
    <w:tbl>
      <w:tblPr>
        <w:tblW w:w="8364"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364"/>
      </w:tblGrid>
      <w:tr w:rsidR="00855109" w:rsidRPr="005040A4" w14:paraId="06528C10" w14:textId="77777777" w:rsidTr="00327509">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cPr>
          <w:p w14:paraId="36523C38" w14:textId="347337A1" w:rsidR="00855109" w:rsidRPr="005040A4" w:rsidRDefault="00855109" w:rsidP="00E862E4">
            <w:pPr>
              <w:spacing w:before="81" w:after="81" w:line="280" w:lineRule="auto"/>
              <w:jc w:val="both"/>
              <w:rPr>
                <w:rFonts w:eastAsia="Times New Roman"/>
                <w:b/>
                <w:lang w:val="fr-FR"/>
              </w:rPr>
            </w:pPr>
            <w:r w:rsidRPr="005040A4">
              <w:rPr>
                <w:b/>
                <w:lang w:val="fr-FR"/>
              </w:rPr>
              <w:t>Recommandation n°</w:t>
            </w:r>
            <w:r w:rsidR="001B7F27" w:rsidRPr="005040A4">
              <w:rPr>
                <w:b/>
                <w:lang w:val="fr-FR"/>
              </w:rPr>
              <w:t> </w:t>
            </w:r>
            <w:r w:rsidRPr="005040A4">
              <w:rPr>
                <w:b/>
                <w:lang w:val="fr-FR"/>
              </w:rPr>
              <w:t>4</w:t>
            </w:r>
          </w:p>
          <w:p w14:paraId="0BDD08C3" w14:textId="44CE0253" w:rsidR="00855109" w:rsidRPr="005040A4" w:rsidRDefault="00855109" w:rsidP="00E862E4">
            <w:pPr>
              <w:spacing w:before="81" w:after="81" w:line="280" w:lineRule="auto"/>
              <w:jc w:val="both"/>
              <w:rPr>
                <w:rStyle w:val="normaltextrun"/>
                <w:bCs/>
                <w:szCs w:val="22"/>
                <w:lang w:val="fr-FR"/>
              </w:rPr>
            </w:pPr>
            <w:r w:rsidRPr="005040A4">
              <w:rPr>
                <w:rStyle w:val="normaltextrun"/>
                <w:lang w:val="fr-FR"/>
              </w:rPr>
              <w:t>La BPK recommande au Secrétariat d</w:t>
            </w:r>
            <w:r w:rsidR="00743D89" w:rsidRPr="005040A4">
              <w:rPr>
                <w:rStyle w:val="normaltextrun"/>
                <w:lang w:val="fr-FR"/>
              </w:rPr>
              <w:t>’</w:t>
            </w:r>
            <w:r w:rsidRPr="005040A4">
              <w:rPr>
                <w:rStyle w:val="normaltextrun"/>
                <w:lang w:val="fr-FR"/>
              </w:rPr>
              <w:t>élaborer une procédure opérationnelle standard pour coordonner les réunions des organes décisionnels et de négociati</w:t>
            </w:r>
            <w:r w:rsidR="005652C9" w:rsidRPr="005040A4">
              <w:rPr>
                <w:rStyle w:val="normaltextrun"/>
                <w:lang w:val="fr-FR"/>
              </w:rPr>
              <w:t>on.  Ce</w:t>
            </w:r>
            <w:r w:rsidRPr="005040A4">
              <w:rPr>
                <w:rStyle w:val="normaltextrun"/>
                <w:lang w:val="fr-FR"/>
              </w:rPr>
              <w:t>tte procédure opérationnelle standard devrait englober un cadre complet couvrant les phases clés, notamment, mais sans s</w:t>
            </w:r>
            <w:r w:rsidR="00743D89" w:rsidRPr="005040A4">
              <w:rPr>
                <w:rStyle w:val="normaltextrun"/>
                <w:lang w:val="fr-FR"/>
              </w:rPr>
              <w:t>’</w:t>
            </w:r>
            <w:r w:rsidRPr="005040A4">
              <w:rPr>
                <w:rStyle w:val="normaltextrun"/>
                <w:lang w:val="fr-FR"/>
              </w:rPr>
              <w:t>y limiter</w:t>
            </w:r>
            <w:r w:rsidR="00743D89" w:rsidRPr="005040A4">
              <w:rPr>
                <w:rStyle w:val="normaltextrun"/>
                <w:lang w:val="fr-FR"/>
              </w:rPr>
              <w:t> :</w:t>
            </w:r>
          </w:p>
          <w:p w14:paraId="39A5E134" w14:textId="37BF5F9A" w:rsidR="00855109" w:rsidRPr="005040A4" w:rsidRDefault="00855109" w:rsidP="000057BC">
            <w:pPr>
              <w:pStyle w:val="ListParagraph"/>
              <w:numPr>
                <w:ilvl w:val="1"/>
                <w:numId w:val="31"/>
              </w:numPr>
              <w:rPr>
                <w:rStyle w:val="normaltextrun"/>
                <w:bCs/>
              </w:rPr>
            </w:pPr>
            <w:r w:rsidRPr="005040A4">
              <w:rPr>
                <w:rStyle w:val="normaltextrun"/>
              </w:rPr>
              <w:t>la planification préalable à la réunion</w:t>
            </w:r>
            <w:r w:rsidR="00743D89" w:rsidRPr="005040A4">
              <w:rPr>
                <w:rStyle w:val="normaltextrun"/>
              </w:rPr>
              <w:t> :</w:t>
            </w:r>
            <w:r w:rsidRPr="005040A4">
              <w:rPr>
                <w:rStyle w:val="normaltextrun"/>
              </w:rPr>
              <w:t xml:space="preserve"> préparation logistique, formulation de l</w:t>
            </w:r>
            <w:r w:rsidR="00743D89" w:rsidRPr="005040A4">
              <w:rPr>
                <w:rStyle w:val="normaltextrun"/>
              </w:rPr>
              <w:t>’</w:t>
            </w:r>
            <w:r w:rsidRPr="005040A4">
              <w:rPr>
                <w:rStyle w:val="normaltextrun"/>
              </w:rPr>
              <w:t xml:space="preserve">ordre du jour et répartition des rôles (désignation </w:t>
            </w:r>
            <w:r w:rsidRPr="005040A4">
              <w:rPr>
                <w:rStyle w:val="normaltextrun"/>
              </w:rPr>
              <w:lastRenderedPageBreak/>
              <w:t>claire des responsabilités et protocoles de collaboration entre les différentes divisions);</w:t>
            </w:r>
          </w:p>
          <w:p w14:paraId="2BBD62DB" w14:textId="39551D04" w:rsidR="00855109" w:rsidRPr="005040A4" w:rsidRDefault="00855109" w:rsidP="000057BC">
            <w:pPr>
              <w:pStyle w:val="ListParagraph"/>
              <w:numPr>
                <w:ilvl w:val="1"/>
                <w:numId w:val="31"/>
              </w:numPr>
              <w:rPr>
                <w:rStyle w:val="normaltextrun"/>
                <w:bCs/>
              </w:rPr>
            </w:pPr>
            <w:r w:rsidRPr="005040A4">
              <w:rPr>
                <w:rStyle w:val="normaltextrun"/>
              </w:rPr>
              <w:t>le déroulement de la réunion</w:t>
            </w:r>
            <w:r w:rsidR="00743D89" w:rsidRPr="005040A4">
              <w:rPr>
                <w:rStyle w:val="normaltextrun"/>
              </w:rPr>
              <w:t> :</w:t>
            </w:r>
            <w:r w:rsidRPr="005040A4">
              <w:rPr>
                <w:rStyle w:val="normaltextrun"/>
              </w:rPr>
              <w:t xml:space="preserve"> conformité à la planification préalable, stratégie d</w:t>
            </w:r>
            <w:r w:rsidR="00743D89" w:rsidRPr="005040A4">
              <w:rPr>
                <w:rStyle w:val="normaltextrun"/>
              </w:rPr>
              <w:t>’</w:t>
            </w:r>
            <w:r w:rsidRPr="005040A4">
              <w:rPr>
                <w:rStyle w:val="normaltextrun"/>
              </w:rPr>
              <w:t>atténuation des risques et planification des urgences;</w:t>
            </w:r>
          </w:p>
          <w:p w14:paraId="1B8632AB" w14:textId="18549E85" w:rsidR="00855109" w:rsidRPr="005040A4" w:rsidRDefault="00855109" w:rsidP="000057BC">
            <w:pPr>
              <w:pStyle w:val="ListParagraph"/>
              <w:numPr>
                <w:ilvl w:val="1"/>
                <w:numId w:val="31"/>
              </w:numPr>
              <w:rPr>
                <w:bCs/>
              </w:rPr>
            </w:pPr>
            <w:r w:rsidRPr="005040A4">
              <w:rPr>
                <w:rStyle w:val="normaltextrun"/>
              </w:rPr>
              <w:t>les activités après réunion</w:t>
            </w:r>
            <w:r w:rsidR="00743D89" w:rsidRPr="005040A4">
              <w:rPr>
                <w:rStyle w:val="normaltextrun"/>
              </w:rPr>
              <w:t> :</w:t>
            </w:r>
            <w:r w:rsidRPr="005040A4">
              <w:rPr>
                <w:rStyle w:val="normaltextrun"/>
              </w:rPr>
              <w:t xml:space="preserve"> évaluation de la réunion et suivi des mesures, finalisation de la documentation et diffusion des résultats.</w:t>
            </w:r>
          </w:p>
        </w:tc>
      </w:tr>
      <w:tr w:rsidR="00855109" w:rsidRPr="005040A4" w14:paraId="158CAEBA" w14:textId="77777777" w:rsidTr="00327509">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cPr>
          <w:p w14:paraId="05F4FCE3" w14:textId="4551EDC7" w:rsidR="00743D89" w:rsidRPr="005040A4" w:rsidRDefault="00855109" w:rsidP="00E862E4">
            <w:pPr>
              <w:spacing w:before="81" w:after="81" w:line="280" w:lineRule="auto"/>
              <w:jc w:val="both"/>
              <w:rPr>
                <w:b/>
                <w:lang w:val="fr-FR"/>
              </w:rPr>
            </w:pPr>
            <w:r w:rsidRPr="005040A4">
              <w:rPr>
                <w:b/>
                <w:lang w:val="fr-FR"/>
              </w:rPr>
              <w:lastRenderedPageBreak/>
              <w:t>Réponse de la direction</w:t>
            </w:r>
            <w:r w:rsidR="00743D89" w:rsidRPr="005040A4">
              <w:rPr>
                <w:b/>
                <w:lang w:val="fr-FR"/>
              </w:rPr>
              <w:t> :</w:t>
            </w:r>
          </w:p>
          <w:p w14:paraId="088FF3E8" w14:textId="23A482B3" w:rsidR="00855109" w:rsidRPr="005040A4" w:rsidRDefault="00855109" w:rsidP="00E862E4">
            <w:pPr>
              <w:spacing w:before="81" w:after="81" w:line="280" w:lineRule="auto"/>
              <w:jc w:val="both"/>
              <w:rPr>
                <w:rFonts w:eastAsia="Times New Roman"/>
                <w:lang w:val="fr-FR"/>
              </w:rPr>
            </w:pPr>
            <w:r w:rsidRPr="005040A4">
              <w:rPr>
                <w:rStyle w:val="normaltextrun"/>
                <w:lang w:val="fr-FR"/>
              </w:rPr>
              <w:t>La direction souscrit à cette recommandation et devrait la mettre en œuvre d</w:t>
            </w:r>
            <w:r w:rsidR="00743D89" w:rsidRPr="005040A4">
              <w:rPr>
                <w:rStyle w:val="normaltextrun"/>
                <w:lang w:val="fr-FR"/>
              </w:rPr>
              <w:t>’</w:t>
            </w:r>
            <w:r w:rsidRPr="005040A4">
              <w:rPr>
                <w:rStyle w:val="normaltextrun"/>
                <w:lang w:val="fr-FR"/>
              </w:rPr>
              <w:t>ici au 31 </w:t>
            </w:r>
            <w:r w:rsidR="00743D89" w:rsidRPr="005040A4">
              <w:rPr>
                <w:rStyle w:val="normaltextrun"/>
                <w:lang w:val="fr-FR"/>
              </w:rPr>
              <w:t>septembre 20</w:t>
            </w:r>
            <w:r w:rsidRPr="005040A4">
              <w:rPr>
                <w:rStyle w:val="normaltextrun"/>
                <w:lang w:val="fr-FR"/>
              </w:rPr>
              <w:t>26.</w:t>
            </w:r>
          </w:p>
        </w:tc>
      </w:tr>
    </w:tbl>
    <w:p w14:paraId="180D0898" w14:textId="17DD86BD" w:rsidR="00855109" w:rsidRPr="00AB7D15" w:rsidRDefault="00855109" w:rsidP="00606A8C">
      <w:pPr>
        <w:pStyle w:val="Heading5"/>
      </w:pPr>
      <w:bookmarkStart w:id="101" w:name="_Toc196159473"/>
      <w:bookmarkStart w:id="102" w:name="_Toc199153501"/>
      <w:r w:rsidRPr="00AB7D15">
        <w:t>Affiner la formulation et la cohérence des indicateurs d</w:t>
      </w:r>
      <w:r w:rsidR="00743D89" w:rsidRPr="00AB7D15">
        <w:t>’</w:t>
      </w:r>
      <w:r w:rsidRPr="00AB7D15">
        <w:t>exécution de l</w:t>
      </w:r>
      <w:r w:rsidR="00743D89" w:rsidRPr="00AB7D15">
        <w:t>’</w:t>
      </w:r>
      <w:r w:rsidRPr="00AB7D15">
        <w:t>OMPI pour une meilleure mesure des résultats</w:t>
      </w:r>
      <w:bookmarkEnd w:id="101"/>
      <w:bookmarkEnd w:id="102"/>
    </w:p>
    <w:p w14:paraId="470F79FF" w14:textId="17332310" w:rsidR="00855109" w:rsidRPr="005040A4" w:rsidRDefault="00855109" w:rsidP="000057BC">
      <w:pPr>
        <w:pStyle w:val="ListParagraph"/>
        <w:rPr>
          <w:rStyle w:val="normaltextrun"/>
        </w:rPr>
      </w:pPr>
      <w:r w:rsidRPr="005040A4">
        <w:rPr>
          <w:rStyle w:val="normaltextrun"/>
        </w:rPr>
        <w:t>La planification des programmes de l</w:t>
      </w:r>
      <w:r w:rsidR="00743D89" w:rsidRPr="005040A4">
        <w:rPr>
          <w:rStyle w:val="normaltextrun"/>
        </w:rPr>
        <w:t>’</w:t>
      </w:r>
      <w:r w:rsidRPr="005040A4">
        <w:rPr>
          <w:rStyle w:val="normaltextrun"/>
        </w:rPr>
        <w:t>Organisation commence par la déclinaison des piliers du PSMT en résultats escomptés, indicateurs d</w:t>
      </w:r>
      <w:r w:rsidR="00743D89" w:rsidRPr="005040A4">
        <w:rPr>
          <w:rStyle w:val="normaltextrun"/>
        </w:rPr>
        <w:t>’</w:t>
      </w:r>
      <w:r w:rsidRPr="005040A4">
        <w:rPr>
          <w:rStyle w:val="normaltextrun"/>
        </w:rPr>
        <w:t>exécution, niveaux de référence, objectifs, activités et budgets associ</w:t>
      </w:r>
      <w:r w:rsidR="005652C9" w:rsidRPr="005040A4">
        <w:rPr>
          <w:rStyle w:val="normaltextrun"/>
        </w:rPr>
        <w:t>és.  Su</w:t>
      </w:r>
      <w:r w:rsidRPr="005040A4">
        <w:rPr>
          <w:rStyle w:val="normaltextrun"/>
        </w:rPr>
        <w:t>r la base de l</w:t>
      </w:r>
      <w:r w:rsidR="00743D89" w:rsidRPr="005040A4">
        <w:rPr>
          <w:rStyle w:val="normaltextrun"/>
        </w:rPr>
        <w:t>’</w:t>
      </w:r>
      <w:r w:rsidRPr="005040A4">
        <w:rPr>
          <w:rStyle w:val="normaltextrun"/>
        </w:rPr>
        <w:t>analyse des documents de planification et des entretiens menés avec la direction de l</w:t>
      </w:r>
      <w:r w:rsidR="00743D89" w:rsidRPr="005040A4">
        <w:rPr>
          <w:rStyle w:val="normaltextrun"/>
        </w:rPr>
        <w:t>’</w:t>
      </w:r>
      <w:r w:rsidRPr="005040A4">
        <w:rPr>
          <w:rStyle w:val="normaltextrun"/>
        </w:rPr>
        <w:t>Organisation, la BPK a identifié des possibilités d</w:t>
      </w:r>
      <w:r w:rsidR="00743D89" w:rsidRPr="005040A4">
        <w:rPr>
          <w:rStyle w:val="normaltextrun"/>
        </w:rPr>
        <w:t>’</w:t>
      </w:r>
      <w:r w:rsidRPr="005040A4">
        <w:rPr>
          <w:rStyle w:val="normaltextrun"/>
        </w:rPr>
        <w:t>amélioration de la formulation des indicateurs d</w:t>
      </w:r>
      <w:r w:rsidR="00743D89" w:rsidRPr="005040A4">
        <w:rPr>
          <w:rStyle w:val="normaltextrun"/>
        </w:rPr>
        <w:t>’</w:t>
      </w:r>
      <w:r w:rsidRPr="005040A4">
        <w:rPr>
          <w:rStyle w:val="normaltextrun"/>
        </w:rPr>
        <w:t>exécution, comme suit.</w:t>
      </w:r>
    </w:p>
    <w:p w14:paraId="37C8101E" w14:textId="5F6B9236" w:rsidR="00855109" w:rsidRPr="00663D09" w:rsidRDefault="00855109" w:rsidP="00663D09">
      <w:pPr>
        <w:pStyle w:val="Heading6"/>
        <w:rPr>
          <w:rStyle w:val="normaltextrun"/>
        </w:rPr>
      </w:pPr>
      <w:r w:rsidRPr="00663D09">
        <w:rPr>
          <w:rStyle w:val="normaltextrun"/>
        </w:rPr>
        <w:t>Niveau des indicateurs d</w:t>
      </w:r>
      <w:r w:rsidR="00743D89" w:rsidRPr="00663D09">
        <w:rPr>
          <w:rStyle w:val="normaltextrun"/>
        </w:rPr>
        <w:t>’</w:t>
      </w:r>
      <w:r w:rsidRPr="00663D09">
        <w:rPr>
          <w:rStyle w:val="normaltextrun"/>
        </w:rPr>
        <w:t>exécution</w:t>
      </w:r>
    </w:p>
    <w:p w14:paraId="791E0D34" w14:textId="34E59159" w:rsidR="00743D89" w:rsidRPr="005040A4" w:rsidRDefault="00855109" w:rsidP="000057BC">
      <w:pPr>
        <w:pStyle w:val="ListParagraph"/>
        <w:rPr>
          <w:rStyle w:val="normaltextrun"/>
        </w:rPr>
      </w:pPr>
      <w:r w:rsidRPr="005040A4">
        <w:rPr>
          <w:rStyle w:val="normaltextrun"/>
        </w:rPr>
        <w:t>Au début de chaque processus de planification biennale des programmes, la Division de l</w:t>
      </w:r>
      <w:r w:rsidR="00743D89" w:rsidRPr="005040A4">
        <w:rPr>
          <w:rStyle w:val="normaltextrun"/>
        </w:rPr>
        <w:t>’</w:t>
      </w:r>
      <w:r w:rsidRPr="005040A4">
        <w:rPr>
          <w:rStyle w:val="normaltextrun"/>
        </w:rPr>
        <w:t>exécution des programmes et du budget fournit des documents d</w:t>
      </w:r>
      <w:r w:rsidR="00743D89" w:rsidRPr="005040A4">
        <w:rPr>
          <w:rStyle w:val="normaltextrun"/>
        </w:rPr>
        <w:t>’</w:t>
      </w:r>
      <w:r w:rsidRPr="005040A4">
        <w:rPr>
          <w:rStyle w:val="normaltextrun"/>
        </w:rPr>
        <w:t>orientation à tous les secteu</w:t>
      </w:r>
      <w:r w:rsidR="005652C9" w:rsidRPr="005040A4">
        <w:rPr>
          <w:rStyle w:val="normaltextrun"/>
        </w:rPr>
        <w:t>rs.  Po</w:t>
      </w:r>
      <w:r w:rsidRPr="005040A4">
        <w:rPr>
          <w:rStyle w:val="normaltextrun"/>
        </w:rPr>
        <w:t>ur l</w:t>
      </w:r>
      <w:r w:rsidR="00743D89" w:rsidRPr="005040A4">
        <w:rPr>
          <w:rStyle w:val="normaltextrun"/>
        </w:rPr>
        <w:t>’</w:t>
      </w:r>
      <w:r w:rsidRPr="005040A4">
        <w:rPr>
          <w:rStyle w:val="normaltextrun"/>
        </w:rPr>
        <w:t xml:space="preserve">exercice </w:t>
      </w:r>
      <w:r w:rsidR="00743D89" w:rsidRPr="005040A4">
        <w:rPr>
          <w:rStyle w:val="normaltextrun"/>
        </w:rPr>
        <w:t>biennal 2022</w:t>
      </w:r>
      <w:r w:rsidR="00C249FA" w:rsidRPr="005040A4">
        <w:rPr>
          <w:rStyle w:val="normaltextrun"/>
        </w:rPr>
        <w:noBreakHyphen/>
      </w:r>
      <w:r w:rsidRPr="005040A4">
        <w:rPr>
          <w:rStyle w:val="normaltextrun"/>
        </w:rPr>
        <w:t>2023, ces documents mettaient l</w:t>
      </w:r>
      <w:r w:rsidR="00743D89" w:rsidRPr="005040A4">
        <w:rPr>
          <w:rStyle w:val="normaltextrun"/>
        </w:rPr>
        <w:t>’</w:t>
      </w:r>
      <w:r w:rsidRPr="005040A4">
        <w:rPr>
          <w:rStyle w:val="normaltextrun"/>
        </w:rPr>
        <w:t>accent sur plusieurs principes de planification, notamment l</w:t>
      </w:r>
      <w:r w:rsidR="00743D89" w:rsidRPr="005040A4">
        <w:rPr>
          <w:rStyle w:val="normaltextrun"/>
        </w:rPr>
        <w:t>’</w:t>
      </w:r>
      <w:r w:rsidRPr="005040A4">
        <w:rPr>
          <w:rStyle w:val="normaltextrun"/>
        </w:rPr>
        <w:t>importance de se concentrer sur les résultats plutôt que simplement sur les productions, et ce même dans les nouveaux domaines d</w:t>
      </w:r>
      <w:r w:rsidR="00743D89" w:rsidRPr="005040A4">
        <w:rPr>
          <w:rStyle w:val="normaltextrun"/>
        </w:rPr>
        <w:t>’</w:t>
      </w:r>
      <w:r w:rsidRPr="005040A4">
        <w:rPr>
          <w:rStyle w:val="normaltextrun"/>
        </w:rPr>
        <w:t>activi</w:t>
      </w:r>
      <w:r w:rsidR="005652C9" w:rsidRPr="005040A4">
        <w:rPr>
          <w:rStyle w:val="normaltextrun"/>
        </w:rPr>
        <w:t>té.  Il</w:t>
      </w:r>
      <w:r w:rsidRPr="005040A4">
        <w:rPr>
          <w:rStyle w:val="normaltextrun"/>
        </w:rPr>
        <w:t>s précisaient également que les indicateurs d</w:t>
      </w:r>
      <w:r w:rsidR="00743D89" w:rsidRPr="005040A4">
        <w:rPr>
          <w:rStyle w:val="normaltextrun"/>
        </w:rPr>
        <w:t>’</w:t>
      </w:r>
      <w:r w:rsidRPr="005040A4">
        <w:rPr>
          <w:rStyle w:val="normaltextrun"/>
        </w:rPr>
        <w:t>exécution devaient être SMART (précis, mesurables, réalistes, pertinents et assortis de délais) et qu</w:t>
      </w:r>
      <w:r w:rsidR="00743D89" w:rsidRPr="005040A4">
        <w:rPr>
          <w:rStyle w:val="normaltextrun"/>
        </w:rPr>
        <w:t>’</w:t>
      </w:r>
      <w:r w:rsidRPr="005040A4">
        <w:rPr>
          <w:rStyle w:val="normaltextrun"/>
        </w:rPr>
        <w:t>il convenait de privilégier des indicateurs d</w:t>
      </w:r>
      <w:r w:rsidR="00743D89" w:rsidRPr="005040A4">
        <w:rPr>
          <w:rStyle w:val="normaltextrun"/>
        </w:rPr>
        <w:t>’</w:t>
      </w:r>
      <w:r w:rsidRPr="005040A4">
        <w:rPr>
          <w:rStyle w:val="normaltextrun"/>
        </w:rPr>
        <w:t>exécution qualitati</w:t>
      </w:r>
      <w:r w:rsidR="005652C9" w:rsidRPr="005040A4">
        <w:rPr>
          <w:rStyle w:val="normaltextrun"/>
        </w:rPr>
        <w:t>fs.  De</w:t>
      </w:r>
      <w:r w:rsidRPr="005040A4">
        <w:rPr>
          <w:rStyle w:val="normaltextrun"/>
        </w:rPr>
        <w:t xml:space="preserve"> même, les documents d</w:t>
      </w:r>
      <w:r w:rsidR="00743D89" w:rsidRPr="005040A4">
        <w:rPr>
          <w:rStyle w:val="normaltextrun"/>
        </w:rPr>
        <w:t>’</w:t>
      </w:r>
      <w:r w:rsidRPr="005040A4">
        <w:rPr>
          <w:rStyle w:val="normaltextrun"/>
        </w:rPr>
        <w:t>orientation pour l</w:t>
      </w:r>
      <w:r w:rsidR="00743D89" w:rsidRPr="005040A4">
        <w:rPr>
          <w:rStyle w:val="normaltextrun"/>
        </w:rPr>
        <w:t>’</w:t>
      </w:r>
      <w:r w:rsidRPr="005040A4">
        <w:rPr>
          <w:rStyle w:val="normaltextrun"/>
        </w:rPr>
        <w:t xml:space="preserve">exercice </w:t>
      </w:r>
      <w:r w:rsidR="00743D89" w:rsidRPr="005040A4">
        <w:rPr>
          <w:rStyle w:val="normaltextrun"/>
        </w:rPr>
        <w:t>biennal 2024</w:t>
      </w:r>
      <w:r w:rsidR="00C249FA" w:rsidRPr="005040A4">
        <w:rPr>
          <w:rStyle w:val="normaltextrun"/>
        </w:rPr>
        <w:noBreakHyphen/>
      </w:r>
      <w:r w:rsidRPr="005040A4">
        <w:rPr>
          <w:rStyle w:val="normaltextrun"/>
        </w:rPr>
        <w:t>2025 ont réitéré la nécessité de disposer d</w:t>
      </w:r>
      <w:r w:rsidR="00743D89" w:rsidRPr="005040A4">
        <w:rPr>
          <w:rStyle w:val="normaltextrun"/>
        </w:rPr>
        <w:t>’</w:t>
      </w:r>
      <w:r w:rsidRPr="005040A4">
        <w:rPr>
          <w:rStyle w:val="normaltextrun"/>
        </w:rPr>
        <w:t>indicateurs d</w:t>
      </w:r>
      <w:r w:rsidR="00743D89" w:rsidRPr="005040A4">
        <w:rPr>
          <w:rStyle w:val="normaltextrun"/>
        </w:rPr>
        <w:t>’</w:t>
      </w:r>
      <w:r w:rsidRPr="005040A4">
        <w:rPr>
          <w:rStyle w:val="normaltextrun"/>
        </w:rPr>
        <w:t>exécution SMART.</w:t>
      </w:r>
    </w:p>
    <w:p w14:paraId="7100A822" w14:textId="5EBB6F15" w:rsidR="00855109" w:rsidRPr="005040A4" w:rsidRDefault="00855109" w:rsidP="000057BC">
      <w:pPr>
        <w:pStyle w:val="ListParagraph"/>
        <w:rPr>
          <w:rStyle w:val="normaltextrun"/>
        </w:rPr>
      </w:pPr>
      <w:r w:rsidRPr="005040A4">
        <w:rPr>
          <w:rStyle w:val="normaltextrun"/>
        </w:rPr>
        <w:t>Si les documents relatifs au programme de travail et au budget pour les exercices biennaux</w:t>
      </w:r>
      <w:r w:rsidR="00596148" w:rsidRPr="005040A4">
        <w:rPr>
          <w:rStyle w:val="normaltextrun"/>
        </w:rPr>
        <w:t> </w:t>
      </w:r>
      <w:r w:rsidRPr="005040A4">
        <w:rPr>
          <w:rStyle w:val="normaltextrun"/>
        </w:rPr>
        <w:t>2022</w:t>
      </w:r>
      <w:r w:rsidR="00C249FA" w:rsidRPr="005040A4">
        <w:rPr>
          <w:rStyle w:val="normaltextrun"/>
        </w:rPr>
        <w:noBreakHyphen/>
      </w:r>
      <w:r w:rsidRPr="005040A4">
        <w:rPr>
          <w:rStyle w:val="normaltextrun"/>
        </w:rPr>
        <w:t>2023 et 2024</w:t>
      </w:r>
      <w:r w:rsidR="00C249FA" w:rsidRPr="005040A4">
        <w:rPr>
          <w:rStyle w:val="normaltextrun"/>
        </w:rPr>
        <w:noBreakHyphen/>
      </w:r>
      <w:r w:rsidRPr="005040A4">
        <w:rPr>
          <w:rStyle w:val="normaltextrun"/>
        </w:rPr>
        <w:t>2025 comprennent des indicateurs d</w:t>
      </w:r>
      <w:r w:rsidR="00743D89" w:rsidRPr="005040A4">
        <w:rPr>
          <w:rStyle w:val="normaltextrun"/>
        </w:rPr>
        <w:t>’</w:t>
      </w:r>
      <w:r w:rsidRPr="005040A4">
        <w:rPr>
          <w:rStyle w:val="normaltextrun"/>
        </w:rPr>
        <w:t>exécution, leur niveau reste toutefois variab</w:t>
      </w:r>
      <w:r w:rsidR="005652C9" w:rsidRPr="005040A4">
        <w:rPr>
          <w:rStyle w:val="normaltextrun"/>
        </w:rPr>
        <w:t>le.  Ce</w:t>
      </w:r>
      <w:r w:rsidRPr="005040A4">
        <w:rPr>
          <w:rStyle w:val="normaltextrun"/>
        </w:rPr>
        <w:t>rtains des indicateurs d</w:t>
      </w:r>
      <w:r w:rsidR="00743D89" w:rsidRPr="005040A4">
        <w:rPr>
          <w:rStyle w:val="normaltextrun"/>
        </w:rPr>
        <w:t>’</w:t>
      </w:r>
      <w:r w:rsidRPr="005040A4">
        <w:rPr>
          <w:rStyle w:val="normaltextrun"/>
        </w:rPr>
        <w:t>exécution des piliers n</w:t>
      </w:r>
      <w:r w:rsidRPr="005040A4">
        <w:rPr>
          <w:rStyle w:val="normaltextrun"/>
          <w:vertAlign w:val="superscript"/>
        </w:rPr>
        <w:t>os</w:t>
      </w:r>
      <w:r w:rsidRPr="005040A4">
        <w:rPr>
          <w:rStyle w:val="normaltextrun"/>
        </w:rPr>
        <w:t> 1 et 2 se situent encore au niveau de la production, tandis que d</w:t>
      </w:r>
      <w:r w:rsidR="00743D89" w:rsidRPr="005040A4">
        <w:rPr>
          <w:rStyle w:val="normaltextrun"/>
        </w:rPr>
        <w:t>’</w:t>
      </w:r>
      <w:r w:rsidRPr="005040A4">
        <w:rPr>
          <w:rStyle w:val="normaltextrun"/>
        </w:rPr>
        <w:t>autres se situent au niveau des résulta</w:t>
      </w:r>
      <w:r w:rsidR="005652C9" w:rsidRPr="005040A4">
        <w:rPr>
          <w:rStyle w:val="normaltextrun"/>
        </w:rPr>
        <w:t>ts.  Le</w:t>
      </w:r>
      <w:r w:rsidRPr="005040A4">
        <w:rPr>
          <w:rStyle w:val="normaltextrun"/>
        </w:rPr>
        <w:t>s entretiens avec les coordonnateurs ont révélé que l</w:t>
      </w:r>
      <w:r w:rsidR="00743D89" w:rsidRPr="005040A4">
        <w:rPr>
          <w:rStyle w:val="normaltextrun"/>
        </w:rPr>
        <w:t>’</w:t>
      </w:r>
      <w:r w:rsidRPr="005040A4">
        <w:rPr>
          <w:rStyle w:val="normaltextrun"/>
        </w:rPr>
        <w:t>Organisation progresse vers des indicateurs d</w:t>
      </w:r>
      <w:r w:rsidR="00743D89" w:rsidRPr="005040A4">
        <w:rPr>
          <w:rStyle w:val="normaltextrun"/>
        </w:rPr>
        <w:t>’</w:t>
      </w:r>
      <w:r w:rsidRPr="005040A4">
        <w:rPr>
          <w:rStyle w:val="normaltextrun"/>
        </w:rPr>
        <w:t>exécution axés sur les résulta</w:t>
      </w:r>
      <w:r w:rsidR="005652C9" w:rsidRPr="005040A4">
        <w:rPr>
          <w:rStyle w:val="normaltextrun"/>
        </w:rPr>
        <w:t>ts.  To</w:t>
      </w:r>
      <w:r w:rsidRPr="005040A4">
        <w:rPr>
          <w:rStyle w:val="normaltextrun"/>
        </w:rPr>
        <w:t>utefois, certains indicateurs d</w:t>
      </w:r>
      <w:r w:rsidR="00743D89" w:rsidRPr="005040A4">
        <w:rPr>
          <w:rStyle w:val="normaltextrun"/>
        </w:rPr>
        <w:t>’</w:t>
      </w:r>
      <w:r w:rsidRPr="005040A4">
        <w:rPr>
          <w:rStyle w:val="normaltextrun"/>
        </w:rPr>
        <w:t>exécution doivent rester au niveau de la production.</w:t>
      </w:r>
    </w:p>
    <w:p w14:paraId="413F23C7" w14:textId="2E6888C0" w:rsidR="00855109" w:rsidRPr="005040A4" w:rsidRDefault="00855109" w:rsidP="000057BC">
      <w:pPr>
        <w:pStyle w:val="ListParagraph"/>
        <w:rPr>
          <w:rStyle w:val="normaltextrun"/>
        </w:rPr>
      </w:pPr>
      <w:r w:rsidRPr="005040A4">
        <w:rPr>
          <w:rStyle w:val="normaltextrun"/>
        </w:rPr>
        <w:t>La BPK est d</w:t>
      </w:r>
      <w:r w:rsidR="00743D89" w:rsidRPr="005040A4">
        <w:rPr>
          <w:rStyle w:val="normaltextrun"/>
        </w:rPr>
        <w:t>’</w:t>
      </w:r>
      <w:r w:rsidRPr="005040A4">
        <w:rPr>
          <w:rStyle w:val="normaltextrun"/>
        </w:rPr>
        <w:t>avis que les indicateurs d</w:t>
      </w:r>
      <w:r w:rsidR="00743D89" w:rsidRPr="005040A4">
        <w:rPr>
          <w:rStyle w:val="normaltextrun"/>
        </w:rPr>
        <w:t>’</w:t>
      </w:r>
      <w:r w:rsidRPr="005040A4">
        <w:rPr>
          <w:rStyle w:val="normaltextrun"/>
        </w:rPr>
        <w:t>exécution devraient, dans la mesure du possible, être formulés de manière cohéren</w:t>
      </w:r>
      <w:r w:rsidR="005652C9" w:rsidRPr="005040A4">
        <w:rPr>
          <w:rStyle w:val="normaltextrun"/>
        </w:rPr>
        <w:t>te.  En</w:t>
      </w:r>
      <w:r w:rsidRPr="005040A4">
        <w:rPr>
          <w:rStyle w:val="normaltextrun"/>
        </w:rPr>
        <w:t xml:space="preserve"> outre, conformément aux directives, les indicateurs d</w:t>
      </w:r>
      <w:r w:rsidR="00743D89" w:rsidRPr="005040A4">
        <w:rPr>
          <w:rStyle w:val="normaltextrun"/>
        </w:rPr>
        <w:t>’</w:t>
      </w:r>
      <w:r w:rsidRPr="005040A4">
        <w:rPr>
          <w:rStyle w:val="normaltextrun"/>
        </w:rPr>
        <w:t>exécution devraient être SMART et axés sur les résulta</w:t>
      </w:r>
      <w:r w:rsidR="005652C9" w:rsidRPr="005040A4">
        <w:rPr>
          <w:rStyle w:val="normaltextrun"/>
        </w:rPr>
        <w:t>ts.  En</w:t>
      </w:r>
      <w:r w:rsidRPr="005040A4">
        <w:rPr>
          <w:rStyle w:val="normaltextrun"/>
        </w:rPr>
        <w:t xml:space="preserve"> maintenant la cohérence du niveau des indicateurs d</w:t>
      </w:r>
      <w:r w:rsidR="00743D89" w:rsidRPr="005040A4">
        <w:rPr>
          <w:rStyle w:val="normaltextrun"/>
        </w:rPr>
        <w:t>’</w:t>
      </w:r>
      <w:r w:rsidRPr="005040A4">
        <w:rPr>
          <w:rStyle w:val="normaltextrun"/>
        </w:rPr>
        <w:t>exécution, en appliquant le principe SMART et en intégrant des moyens de vérification clairs, l</w:t>
      </w:r>
      <w:r w:rsidR="00743D89" w:rsidRPr="005040A4">
        <w:rPr>
          <w:rStyle w:val="normaltextrun"/>
        </w:rPr>
        <w:t>’</w:t>
      </w:r>
      <w:r w:rsidRPr="005040A4">
        <w:rPr>
          <w:rStyle w:val="normaltextrun"/>
        </w:rPr>
        <w:t>Organisation renforcera sa capacité à mesurer efficacement ses performances organisationnelles.</w:t>
      </w:r>
    </w:p>
    <w:p w14:paraId="2E4C53D9" w14:textId="3C5EEC5F" w:rsidR="00855109" w:rsidRPr="00663D09" w:rsidRDefault="00855109" w:rsidP="00663D09">
      <w:pPr>
        <w:pStyle w:val="Heading6"/>
        <w:keepNext/>
        <w:rPr>
          <w:rStyle w:val="normaltextrun"/>
        </w:rPr>
      </w:pPr>
      <w:r w:rsidRPr="00663D09">
        <w:rPr>
          <w:rStyle w:val="normaltextrun"/>
        </w:rPr>
        <w:lastRenderedPageBreak/>
        <w:t>Contribution des secteurs à la réalisation des indicateurs d</w:t>
      </w:r>
      <w:r w:rsidR="00743D89" w:rsidRPr="00663D09">
        <w:rPr>
          <w:rStyle w:val="normaltextrun"/>
        </w:rPr>
        <w:t>’</w:t>
      </w:r>
      <w:r w:rsidRPr="00663D09">
        <w:rPr>
          <w:rStyle w:val="normaltextrun"/>
        </w:rPr>
        <w:t>exécution</w:t>
      </w:r>
    </w:p>
    <w:p w14:paraId="41397B68" w14:textId="02294D67" w:rsidR="00855109" w:rsidRPr="005040A4" w:rsidRDefault="00855109" w:rsidP="00663D09">
      <w:pPr>
        <w:pStyle w:val="ListParagraph"/>
        <w:keepLines/>
        <w:rPr>
          <w:rStyle w:val="normaltextrun"/>
        </w:rPr>
      </w:pPr>
      <w:r w:rsidRPr="005040A4">
        <w:rPr>
          <w:rStyle w:val="normaltextrun"/>
        </w:rPr>
        <w:t>Outre les indicateurs d</w:t>
      </w:r>
      <w:r w:rsidR="00743D89" w:rsidRPr="005040A4">
        <w:rPr>
          <w:rStyle w:val="normaltextrun"/>
        </w:rPr>
        <w:t>’</w:t>
      </w:r>
      <w:r w:rsidRPr="005040A4">
        <w:rPr>
          <w:rStyle w:val="normaltextrun"/>
        </w:rPr>
        <w:t xml:space="preserve">exécution, les documents relatifs au programme de travail et au budget </w:t>
      </w:r>
      <w:r w:rsidR="00743D89" w:rsidRPr="005040A4">
        <w:rPr>
          <w:rStyle w:val="normaltextrun"/>
        </w:rPr>
        <w:t>pour 2022</w:t>
      </w:r>
      <w:r w:rsidR="00C249FA" w:rsidRPr="005040A4">
        <w:rPr>
          <w:rStyle w:val="normaltextrun"/>
        </w:rPr>
        <w:noBreakHyphen/>
      </w:r>
      <w:r w:rsidRPr="005040A4">
        <w:rPr>
          <w:rStyle w:val="normaltextrun"/>
        </w:rPr>
        <w:t>2023 et 2024</w:t>
      </w:r>
      <w:r w:rsidR="00C249FA" w:rsidRPr="005040A4">
        <w:rPr>
          <w:rStyle w:val="normaltextrun"/>
        </w:rPr>
        <w:noBreakHyphen/>
      </w:r>
      <w:r w:rsidRPr="005040A4">
        <w:rPr>
          <w:rStyle w:val="normaltextrun"/>
        </w:rPr>
        <w:t>2025 indiquent également le lien qui existe entre les indicateurs d</w:t>
      </w:r>
      <w:r w:rsidR="00743D89" w:rsidRPr="005040A4">
        <w:rPr>
          <w:rStyle w:val="normaltextrun"/>
        </w:rPr>
        <w:t>’</w:t>
      </w:r>
      <w:r w:rsidRPr="005040A4">
        <w:rPr>
          <w:rStyle w:val="normaltextrun"/>
        </w:rPr>
        <w:t>exécution et les secteurs concern</w:t>
      </w:r>
      <w:r w:rsidR="005652C9" w:rsidRPr="005040A4">
        <w:rPr>
          <w:rStyle w:val="normaltextrun"/>
        </w:rPr>
        <w:t>és.  Le</w:t>
      </w:r>
      <w:r w:rsidRPr="005040A4">
        <w:rPr>
          <w:rStyle w:val="normaltextrun"/>
        </w:rPr>
        <w:t>s discussions avec les coordonnateurs ont révélé que l</w:t>
      </w:r>
      <w:r w:rsidR="00743D89" w:rsidRPr="005040A4">
        <w:rPr>
          <w:rStyle w:val="normaltextrun"/>
        </w:rPr>
        <w:t>’</w:t>
      </w:r>
      <w:r w:rsidRPr="005040A4">
        <w:rPr>
          <w:rStyle w:val="normaltextrun"/>
        </w:rPr>
        <w:t>indicateur d</w:t>
      </w:r>
      <w:r w:rsidR="00743D89" w:rsidRPr="005040A4">
        <w:rPr>
          <w:rStyle w:val="normaltextrun"/>
        </w:rPr>
        <w:t>’</w:t>
      </w:r>
      <w:r w:rsidRPr="005040A4">
        <w:rPr>
          <w:rStyle w:val="normaltextrun"/>
        </w:rPr>
        <w:t>exécution était lié à un secteur, alors que la contribution d</w:t>
      </w:r>
      <w:r w:rsidR="00743D89" w:rsidRPr="005040A4">
        <w:rPr>
          <w:rStyle w:val="normaltextrun"/>
        </w:rPr>
        <w:t>’</w:t>
      </w:r>
      <w:r w:rsidRPr="005040A4">
        <w:rPr>
          <w:rStyle w:val="normaltextrun"/>
        </w:rPr>
        <w:t>un autre secteur était également un facteur déterminant dans la réalisation de cet indicateur.</w:t>
      </w:r>
    </w:p>
    <w:p w14:paraId="55401ADF" w14:textId="4A590C4C" w:rsidR="00855109" w:rsidRPr="005040A4" w:rsidRDefault="00855109" w:rsidP="005908BF">
      <w:pPr>
        <w:pStyle w:val="ListParagraph"/>
      </w:pPr>
      <w:r w:rsidRPr="005040A4">
        <w:rPr>
          <w:rStyle w:val="normaltextrun"/>
        </w:rPr>
        <w:t>La BPK estime que, même si les principaux indicateurs d</w:t>
      </w:r>
      <w:r w:rsidR="00743D89" w:rsidRPr="005040A4">
        <w:rPr>
          <w:rStyle w:val="normaltextrun"/>
        </w:rPr>
        <w:t>’</w:t>
      </w:r>
      <w:r w:rsidRPr="005040A4">
        <w:rPr>
          <w:rStyle w:val="normaltextrun"/>
        </w:rPr>
        <w:t>exécution peuvent être présentés comme collaboratifs, l</w:t>
      </w:r>
      <w:r w:rsidR="00743D89" w:rsidRPr="005040A4">
        <w:rPr>
          <w:rStyle w:val="normaltextrun"/>
        </w:rPr>
        <w:t>’</w:t>
      </w:r>
      <w:r w:rsidRPr="005040A4">
        <w:rPr>
          <w:rStyle w:val="normaltextrun"/>
        </w:rPr>
        <w:t>identification explicite de tous les secteurs contribuant à la réalisation d</w:t>
      </w:r>
      <w:r w:rsidR="00743D89" w:rsidRPr="005040A4">
        <w:rPr>
          <w:rStyle w:val="normaltextrun"/>
        </w:rPr>
        <w:t>’</w:t>
      </w:r>
      <w:r w:rsidRPr="005040A4">
        <w:rPr>
          <w:rStyle w:val="normaltextrun"/>
        </w:rPr>
        <w:t>un indicateur d</w:t>
      </w:r>
      <w:r w:rsidR="00743D89" w:rsidRPr="005040A4">
        <w:rPr>
          <w:rStyle w:val="normaltextrun"/>
        </w:rPr>
        <w:t>’</w:t>
      </w:r>
      <w:r w:rsidRPr="005040A4">
        <w:rPr>
          <w:rStyle w:val="normaltextrun"/>
        </w:rPr>
        <w:t>exécution améliorerait le processus de suivi et d</w:t>
      </w:r>
      <w:r w:rsidR="00743D89" w:rsidRPr="005040A4">
        <w:rPr>
          <w:rStyle w:val="normaltextrun"/>
        </w:rPr>
        <w:t>’</w:t>
      </w:r>
      <w:r w:rsidRPr="005040A4">
        <w:rPr>
          <w:rStyle w:val="normaltextrun"/>
        </w:rPr>
        <w:t>évaluation des résultats des indicateurs d</w:t>
      </w:r>
      <w:r w:rsidR="00743D89" w:rsidRPr="005040A4">
        <w:rPr>
          <w:rStyle w:val="normaltextrun"/>
        </w:rPr>
        <w:t>’</w:t>
      </w:r>
      <w:r w:rsidRPr="005040A4">
        <w:rPr>
          <w:rStyle w:val="normaltextrun"/>
        </w:rPr>
        <w:t>exécution</w:t>
      </w:r>
      <w:r w:rsidRPr="005040A4">
        <w:t>.</w:t>
      </w:r>
    </w:p>
    <w:tbl>
      <w:tblPr>
        <w:tblW w:w="8222"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222"/>
      </w:tblGrid>
      <w:tr w:rsidR="00855109" w:rsidRPr="005040A4" w14:paraId="6B4E00E1" w14:textId="77777777" w:rsidTr="00327509">
        <w:trPr>
          <w:cantSplit/>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cPr>
          <w:p w14:paraId="1753D1E7" w14:textId="4329E8B4" w:rsidR="00855109" w:rsidRPr="005040A4" w:rsidRDefault="00855109" w:rsidP="00E862E4">
            <w:pPr>
              <w:spacing w:before="81" w:after="81" w:line="280" w:lineRule="auto"/>
              <w:jc w:val="both"/>
              <w:rPr>
                <w:rFonts w:eastAsia="Times New Roman"/>
                <w:b/>
                <w:lang w:val="fr-FR"/>
              </w:rPr>
            </w:pPr>
            <w:r w:rsidRPr="005040A4">
              <w:rPr>
                <w:b/>
                <w:lang w:val="fr-FR"/>
              </w:rPr>
              <w:t>Recommandation n°</w:t>
            </w:r>
            <w:r w:rsidR="001B7F27" w:rsidRPr="005040A4">
              <w:rPr>
                <w:b/>
                <w:lang w:val="fr-FR"/>
              </w:rPr>
              <w:t> </w:t>
            </w:r>
            <w:r w:rsidRPr="005040A4">
              <w:rPr>
                <w:b/>
                <w:lang w:val="fr-FR"/>
              </w:rPr>
              <w:t>5</w:t>
            </w:r>
          </w:p>
          <w:p w14:paraId="05A84C2F" w14:textId="69040383" w:rsidR="00855109" w:rsidRPr="005040A4" w:rsidRDefault="00855109" w:rsidP="00E862E4">
            <w:pPr>
              <w:spacing w:before="81" w:after="81" w:line="280" w:lineRule="auto"/>
              <w:jc w:val="both"/>
              <w:rPr>
                <w:rStyle w:val="normaltextrun"/>
                <w:bCs/>
                <w:szCs w:val="22"/>
                <w:lang w:val="fr-FR"/>
              </w:rPr>
            </w:pPr>
            <w:r w:rsidRPr="005040A4">
              <w:rPr>
                <w:rStyle w:val="normaltextrun"/>
                <w:lang w:val="fr-FR"/>
              </w:rPr>
              <w:t>La BPK recommande à l</w:t>
            </w:r>
            <w:r w:rsidR="00743D89" w:rsidRPr="005040A4">
              <w:rPr>
                <w:rStyle w:val="normaltextrun"/>
                <w:lang w:val="fr-FR"/>
              </w:rPr>
              <w:t>’</w:t>
            </w:r>
            <w:r w:rsidRPr="005040A4">
              <w:rPr>
                <w:rStyle w:val="normaltextrun"/>
                <w:lang w:val="fr-FR"/>
              </w:rPr>
              <w:t>Organisation d</w:t>
            </w:r>
            <w:r w:rsidR="00743D89" w:rsidRPr="005040A4">
              <w:rPr>
                <w:rStyle w:val="normaltextrun"/>
                <w:lang w:val="fr-FR"/>
              </w:rPr>
              <w:t>’</w:t>
            </w:r>
            <w:r w:rsidRPr="005040A4">
              <w:rPr>
                <w:rStyle w:val="normaltextrun"/>
                <w:lang w:val="fr-FR"/>
              </w:rPr>
              <w:t>évaluer ses indicateurs d</w:t>
            </w:r>
            <w:r w:rsidR="00743D89" w:rsidRPr="005040A4">
              <w:rPr>
                <w:rStyle w:val="normaltextrun"/>
                <w:lang w:val="fr-FR"/>
              </w:rPr>
              <w:t>’</w:t>
            </w:r>
            <w:r w:rsidRPr="005040A4">
              <w:rPr>
                <w:rStyle w:val="normaltextrun"/>
                <w:lang w:val="fr-FR"/>
              </w:rPr>
              <w:t>exécution en place et de prendre les mesures suivantes</w:t>
            </w:r>
            <w:r w:rsidR="00743D89" w:rsidRPr="005040A4">
              <w:rPr>
                <w:rStyle w:val="normaltextrun"/>
                <w:lang w:val="fr-FR"/>
              </w:rPr>
              <w:t> :</w:t>
            </w:r>
          </w:p>
          <w:p w14:paraId="247F6292" w14:textId="27DE7466" w:rsidR="00855109" w:rsidRPr="005040A4" w:rsidRDefault="00855109" w:rsidP="000057BC">
            <w:pPr>
              <w:pStyle w:val="ListParagraph"/>
              <w:numPr>
                <w:ilvl w:val="0"/>
                <w:numId w:val="32"/>
              </w:numPr>
              <w:rPr>
                <w:rStyle w:val="normaltextrun"/>
                <w:bCs/>
              </w:rPr>
            </w:pPr>
            <w:r w:rsidRPr="005040A4">
              <w:rPr>
                <w:rStyle w:val="normaltextrun"/>
              </w:rPr>
              <w:t>formuler, dans la mesure du possible, des indicateurs d</w:t>
            </w:r>
            <w:r w:rsidR="00743D89" w:rsidRPr="005040A4">
              <w:rPr>
                <w:rStyle w:val="normaltextrun"/>
              </w:rPr>
              <w:t>’</w:t>
            </w:r>
            <w:r w:rsidRPr="005040A4">
              <w:rPr>
                <w:rStyle w:val="normaltextrun"/>
              </w:rPr>
              <w:t>exécution au niveau des résultats, en veillant à ce qu</w:t>
            </w:r>
            <w:r w:rsidR="00743D89" w:rsidRPr="005040A4">
              <w:rPr>
                <w:rStyle w:val="normaltextrun"/>
              </w:rPr>
              <w:t>’</w:t>
            </w:r>
            <w:r w:rsidRPr="005040A4">
              <w:rPr>
                <w:rStyle w:val="normaltextrun"/>
              </w:rPr>
              <w:t>ils puissent être clairement vérifiés et respectent les principes SMART;</w:t>
            </w:r>
          </w:p>
          <w:p w14:paraId="45F5370E" w14:textId="684C6A04" w:rsidR="00855109" w:rsidRPr="005040A4" w:rsidRDefault="00855109" w:rsidP="000057BC">
            <w:pPr>
              <w:pStyle w:val="ListParagraph"/>
              <w:numPr>
                <w:ilvl w:val="0"/>
                <w:numId w:val="32"/>
              </w:numPr>
              <w:rPr>
                <w:bCs/>
              </w:rPr>
            </w:pPr>
            <w:r w:rsidRPr="005040A4">
              <w:rPr>
                <w:rStyle w:val="normaltextrun"/>
              </w:rPr>
              <w:t>identifier et présenter clairement tous les secteurs qui contribuent à la réalisation des indicateurs d</w:t>
            </w:r>
            <w:r w:rsidR="00743D89" w:rsidRPr="005040A4">
              <w:rPr>
                <w:rStyle w:val="normaltextrun"/>
              </w:rPr>
              <w:t>’</w:t>
            </w:r>
            <w:r w:rsidRPr="005040A4">
              <w:rPr>
                <w:rStyle w:val="normaltextrun"/>
              </w:rPr>
              <w:t>exécution afin d</w:t>
            </w:r>
            <w:r w:rsidR="00743D89" w:rsidRPr="005040A4">
              <w:rPr>
                <w:rStyle w:val="normaltextrun"/>
              </w:rPr>
              <w:t>’</w:t>
            </w:r>
            <w:r w:rsidRPr="005040A4">
              <w:rPr>
                <w:rStyle w:val="normaltextrun"/>
              </w:rPr>
              <w:t>améliorer le processus de suivi et d</w:t>
            </w:r>
            <w:r w:rsidR="00743D89" w:rsidRPr="005040A4">
              <w:rPr>
                <w:rStyle w:val="normaltextrun"/>
              </w:rPr>
              <w:t>’</w:t>
            </w:r>
            <w:r w:rsidRPr="005040A4">
              <w:rPr>
                <w:rStyle w:val="normaltextrun"/>
              </w:rPr>
              <w:t>évaluation.</w:t>
            </w:r>
          </w:p>
        </w:tc>
      </w:tr>
      <w:tr w:rsidR="00855109" w:rsidRPr="005040A4" w14:paraId="7D092A6E" w14:textId="77777777" w:rsidTr="00327509">
        <w:trPr>
          <w:cantSplit/>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cPr>
          <w:p w14:paraId="01BAEC70" w14:textId="55623FCE" w:rsidR="00743D89" w:rsidRPr="005040A4" w:rsidRDefault="00855109" w:rsidP="00E862E4">
            <w:pPr>
              <w:spacing w:before="81" w:after="81" w:line="280" w:lineRule="auto"/>
              <w:jc w:val="both"/>
              <w:rPr>
                <w:b/>
                <w:lang w:val="fr-FR"/>
              </w:rPr>
            </w:pPr>
            <w:r w:rsidRPr="005040A4">
              <w:rPr>
                <w:b/>
                <w:lang w:val="fr-FR"/>
              </w:rPr>
              <w:t>Réponse de la direction</w:t>
            </w:r>
            <w:r w:rsidR="00743D89" w:rsidRPr="005040A4">
              <w:rPr>
                <w:b/>
                <w:lang w:val="fr-FR"/>
              </w:rPr>
              <w:t> :</w:t>
            </w:r>
          </w:p>
          <w:p w14:paraId="43E02410" w14:textId="17C75C72" w:rsidR="00743D89" w:rsidRPr="005040A4" w:rsidRDefault="00855109" w:rsidP="00E862E4">
            <w:pPr>
              <w:spacing w:before="81" w:after="81" w:line="280" w:lineRule="auto"/>
              <w:jc w:val="both"/>
              <w:rPr>
                <w:rStyle w:val="normaltextrun"/>
                <w:lang w:val="fr-FR"/>
              </w:rPr>
            </w:pPr>
            <w:r w:rsidRPr="005040A4">
              <w:rPr>
                <w:rStyle w:val="normaltextrun"/>
                <w:lang w:val="fr-FR"/>
              </w:rPr>
              <w:t>La direction souscrit à la recommandation, en précisant que les indicateurs d</w:t>
            </w:r>
            <w:r w:rsidR="00743D89" w:rsidRPr="005040A4">
              <w:rPr>
                <w:rStyle w:val="normaltextrun"/>
                <w:lang w:val="fr-FR"/>
              </w:rPr>
              <w:t>’</w:t>
            </w:r>
            <w:r w:rsidRPr="005040A4">
              <w:rPr>
                <w:rStyle w:val="normaltextrun"/>
                <w:lang w:val="fr-FR"/>
              </w:rPr>
              <w:t>exécution qui figurent dans le programme de travail et le budget relatifs au fonctionnement des systèmes mondiaux de propriété intellectuelle sont des indicateurs de niveau de production et n</w:t>
            </w:r>
            <w:r w:rsidR="00743D89" w:rsidRPr="005040A4">
              <w:rPr>
                <w:rStyle w:val="normaltextrun"/>
                <w:lang w:val="fr-FR"/>
              </w:rPr>
              <w:t>’</w:t>
            </w:r>
            <w:r w:rsidRPr="005040A4">
              <w:rPr>
                <w:rStyle w:val="normaltextrun"/>
                <w:lang w:val="fr-FR"/>
              </w:rPr>
              <w:t>entrent pas dans la recommandation</w:t>
            </w:r>
            <w:r w:rsidR="001B7F27" w:rsidRPr="005040A4">
              <w:rPr>
                <w:rStyle w:val="normaltextrun"/>
                <w:lang w:val="fr-FR"/>
              </w:rPr>
              <w:t xml:space="preserve"> n°</w:t>
            </w:r>
            <w:r w:rsidRPr="005040A4">
              <w:rPr>
                <w:rStyle w:val="normaltextrun"/>
                <w:lang w:val="fr-FR"/>
              </w:rPr>
              <w:t> 5.a.</w:t>
            </w:r>
          </w:p>
          <w:p w14:paraId="49592C66" w14:textId="262BE1FF" w:rsidR="00855109" w:rsidRPr="005040A4" w:rsidRDefault="00855109" w:rsidP="00E862E4">
            <w:pPr>
              <w:spacing w:before="81" w:after="81" w:line="280" w:lineRule="auto"/>
              <w:jc w:val="both"/>
              <w:rPr>
                <w:rFonts w:eastAsia="Times New Roman"/>
                <w:lang w:val="fr-FR"/>
              </w:rPr>
            </w:pPr>
            <w:r w:rsidRPr="005040A4">
              <w:rPr>
                <w:rStyle w:val="normaltextrun"/>
                <w:lang w:val="fr-FR"/>
              </w:rPr>
              <w:t>La direction prévoit de mettre en œuvre la recommandation d</w:t>
            </w:r>
            <w:r w:rsidR="00743D89" w:rsidRPr="005040A4">
              <w:rPr>
                <w:rStyle w:val="normaltextrun"/>
                <w:lang w:val="fr-FR"/>
              </w:rPr>
              <w:t>’</w:t>
            </w:r>
            <w:r w:rsidRPr="005040A4">
              <w:rPr>
                <w:rStyle w:val="normaltextrun"/>
                <w:lang w:val="fr-FR"/>
              </w:rPr>
              <w:t>ici au 31 juillet 2025.</w:t>
            </w:r>
          </w:p>
        </w:tc>
      </w:tr>
    </w:tbl>
    <w:p w14:paraId="1A0392D7" w14:textId="60C6BD65" w:rsidR="00855109" w:rsidRPr="005040A4" w:rsidRDefault="00855109" w:rsidP="00663D09">
      <w:pPr>
        <w:pStyle w:val="Heading5"/>
        <w:spacing w:before="360"/>
      </w:pPr>
      <w:bookmarkStart w:id="103" w:name="_Toc194144020"/>
      <w:bookmarkStart w:id="104" w:name="_Toc196159474"/>
      <w:bookmarkStart w:id="105" w:name="_Toc199153502"/>
      <w:bookmarkEnd w:id="103"/>
      <w:r w:rsidRPr="005040A4">
        <w:t>Optimisation de l</w:t>
      </w:r>
      <w:r w:rsidR="00743D89" w:rsidRPr="005040A4">
        <w:t>’</w:t>
      </w:r>
      <w:r w:rsidRPr="005040A4">
        <w:t>utilisation de la traduction automatique pour les publications de l</w:t>
      </w:r>
      <w:r w:rsidR="00743D89" w:rsidRPr="005040A4">
        <w:t>’</w:t>
      </w:r>
      <w:r w:rsidRPr="005040A4">
        <w:t>OMPI</w:t>
      </w:r>
      <w:bookmarkEnd w:id="104"/>
      <w:bookmarkEnd w:id="105"/>
    </w:p>
    <w:p w14:paraId="1624FD4D" w14:textId="6DECCCD3" w:rsidR="00855109" w:rsidRPr="005040A4" w:rsidRDefault="00855109" w:rsidP="000057BC">
      <w:pPr>
        <w:pStyle w:val="ListParagraph"/>
        <w:rPr>
          <w:rStyle w:val="normaltextrun"/>
        </w:rPr>
      </w:pPr>
      <w:r w:rsidRPr="005040A4">
        <w:rPr>
          <w:rStyle w:val="normaltextrun"/>
        </w:rPr>
        <w:t>La Politique de l</w:t>
      </w:r>
      <w:r w:rsidR="00743D89" w:rsidRPr="005040A4">
        <w:rPr>
          <w:rStyle w:val="normaltextrun"/>
        </w:rPr>
        <w:t>’</w:t>
      </w:r>
      <w:r w:rsidRPr="005040A4">
        <w:rPr>
          <w:rStyle w:val="normaltextrun"/>
        </w:rPr>
        <w:t>OMPI en matière de publications souligne l</w:t>
      </w:r>
      <w:r w:rsidR="00743D89" w:rsidRPr="005040A4">
        <w:rPr>
          <w:rStyle w:val="normaltextrun"/>
        </w:rPr>
        <w:t>’</w:t>
      </w:r>
      <w:r w:rsidRPr="005040A4">
        <w:rPr>
          <w:rStyle w:val="normaltextrun"/>
        </w:rPr>
        <w:t>engagement de l</w:t>
      </w:r>
      <w:r w:rsidR="00743D89" w:rsidRPr="005040A4">
        <w:rPr>
          <w:rStyle w:val="normaltextrun"/>
        </w:rPr>
        <w:t>’</w:t>
      </w:r>
      <w:r w:rsidRPr="005040A4">
        <w:rPr>
          <w:rStyle w:val="normaltextrun"/>
        </w:rPr>
        <w:t>Organisation à renforcer sa réputation en tant qu</w:t>
      </w:r>
      <w:r w:rsidR="00743D89" w:rsidRPr="005040A4">
        <w:rPr>
          <w:rStyle w:val="normaltextrun"/>
        </w:rPr>
        <w:t>’</w:t>
      </w:r>
      <w:r w:rsidRPr="005040A4">
        <w:rPr>
          <w:rStyle w:val="normaltextrun"/>
        </w:rPr>
        <w:t>autorité mondiale en matière de propriété intellectuelle en diffusant des informations sur la propriété intellectuelle dans le monde entier par l</w:t>
      </w:r>
      <w:r w:rsidR="00743D89" w:rsidRPr="005040A4">
        <w:rPr>
          <w:rStyle w:val="normaltextrun"/>
        </w:rPr>
        <w:t>’</w:t>
      </w:r>
      <w:r w:rsidRPr="005040A4">
        <w:rPr>
          <w:rStyle w:val="normaltextrun"/>
        </w:rPr>
        <w:t>intermédiaire de publications phares, de rapports, de magazines et d</w:t>
      </w:r>
      <w:r w:rsidR="00743D89" w:rsidRPr="005040A4">
        <w:rPr>
          <w:rStyle w:val="normaltextrun"/>
        </w:rPr>
        <w:t>’</w:t>
      </w:r>
      <w:r w:rsidRPr="005040A4">
        <w:rPr>
          <w:rStyle w:val="normaltextrun"/>
        </w:rPr>
        <w:t>autres supports gérés par sa Section des publications et de la concepti</w:t>
      </w:r>
      <w:r w:rsidR="005652C9" w:rsidRPr="005040A4">
        <w:rPr>
          <w:rStyle w:val="normaltextrun"/>
        </w:rPr>
        <w:t>on.  Po</w:t>
      </w:r>
      <w:r w:rsidRPr="005040A4">
        <w:rPr>
          <w:rStyle w:val="normaltextrun"/>
        </w:rPr>
        <w:t>ur compléter cet effort, le cadre de la traduction interne de l</w:t>
      </w:r>
      <w:r w:rsidR="00743D89" w:rsidRPr="005040A4">
        <w:rPr>
          <w:rStyle w:val="normaltextrun"/>
        </w:rPr>
        <w:t>’</w:t>
      </w:r>
      <w:r w:rsidRPr="005040A4">
        <w:rPr>
          <w:rStyle w:val="normaltextrun"/>
        </w:rPr>
        <w:t>Organisation accorde la priorité au multilinguisme en tant que valeur organisationnelle fondamentale et utilise l</w:t>
      </w:r>
      <w:r w:rsidR="00743D89" w:rsidRPr="005040A4">
        <w:rPr>
          <w:rStyle w:val="normaltextrun"/>
        </w:rPr>
        <w:t>’</w:t>
      </w:r>
      <w:r w:rsidRPr="005040A4">
        <w:rPr>
          <w:rStyle w:val="normaltextrun"/>
        </w:rPr>
        <w:t>outil de traduction automatique du Centre d</w:t>
      </w:r>
      <w:r w:rsidR="00743D89" w:rsidRPr="005040A4">
        <w:rPr>
          <w:rStyle w:val="normaltextrun"/>
        </w:rPr>
        <w:t>’</w:t>
      </w:r>
      <w:r w:rsidRPr="005040A4">
        <w:rPr>
          <w:rStyle w:val="normaltextrun"/>
        </w:rPr>
        <w:t>application des technologies de pointe (ATAC), WIPO Translate, pour diffuser efficacement ses travaux dans plusieurs langues.</w:t>
      </w:r>
    </w:p>
    <w:p w14:paraId="557FF4FE" w14:textId="39D10EFB" w:rsidR="00743D89" w:rsidRPr="005040A4" w:rsidRDefault="00855109" w:rsidP="00327509">
      <w:pPr>
        <w:pStyle w:val="ListParagraph"/>
        <w:keepLines/>
        <w:rPr>
          <w:rStyle w:val="normaltextrun"/>
        </w:rPr>
      </w:pPr>
      <w:r w:rsidRPr="005040A4">
        <w:rPr>
          <w:rStyle w:val="normaltextrun"/>
        </w:rPr>
        <w:lastRenderedPageBreak/>
        <w:t>Comme indiqué dans la Politique linguistique révisée de l</w:t>
      </w:r>
      <w:r w:rsidR="00743D89" w:rsidRPr="005040A4">
        <w:rPr>
          <w:rStyle w:val="normaltextrun"/>
        </w:rPr>
        <w:t>’</w:t>
      </w:r>
      <w:r w:rsidRPr="005040A4">
        <w:rPr>
          <w:rStyle w:val="normaltextrun"/>
        </w:rPr>
        <w:t>Organisation (WO/PBC/32/6,</w:t>
      </w:r>
      <w:r w:rsidR="00743D89" w:rsidRPr="005040A4">
        <w:rPr>
          <w:rStyle w:val="normaltextrun"/>
        </w:rPr>
        <w:t xml:space="preserve"> 1</w:t>
      </w:r>
      <w:r w:rsidR="00743D89" w:rsidRPr="005040A4">
        <w:rPr>
          <w:rStyle w:val="normaltextrun"/>
          <w:vertAlign w:val="superscript"/>
        </w:rPr>
        <w:t>er</w:t>
      </w:r>
      <w:r w:rsidR="00743D89" w:rsidRPr="005040A4">
        <w:rPr>
          <w:rStyle w:val="normaltextrun"/>
        </w:rPr>
        <w:t> </w:t>
      </w:r>
      <w:r w:rsidRPr="005040A4">
        <w:rPr>
          <w:rStyle w:val="normaltextrun"/>
        </w:rPr>
        <w:t>juin 2021), la stratégie de traduction de l</w:t>
      </w:r>
      <w:r w:rsidR="00743D89" w:rsidRPr="005040A4">
        <w:rPr>
          <w:rStyle w:val="normaltextrun"/>
        </w:rPr>
        <w:t>’</w:t>
      </w:r>
      <w:r w:rsidRPr="005040A4">
        <w:rPr>
          <w:rStyle w:val="normaltextrun"/>
        </w:rPr>
        <w:t>Organisation classe les types de communication en fonction de l</w:t>
      </w:r>
      <w:r w:rsidR="00743D89" w:rsidRPr="005040A4">
        <w:rPr>
          <w:rStyle w:val="normaltextrun"/>
        </w:rPr>
        <w:t>’</w:t>
      </w:r>
      <w:r w:rsidRPr="005040A4">
        <w:rPr>
          <w:rStyle w:val="normaltextrun"/>
        </w:rPr>
        <w:t>audience visée, des exigences de précision de la traduction et de la disponibilité des technologies de traducti</w:t>
      </w:r>
      <w:r w:rsidR="005652C9" w:rsidRPr="005040A4">
        <w:rPr>
          <w:rStyle w:val="normaltextrun"/>
        </w:rPr>
        <w:t>on.  Pl</w:t>
      </w:r>
      <w:r w:rsidRPr="005040A4">
        <w:rPr>
          <w:rStyle w:val="normaltextrun"/>
        </w:rPr>
        <w:t>us précisément, la traduction automatique est recommandée dans deux</w:t>
      </w:r>
      <w:r w:rsidR="001B7F27" w:rsidRPr="005040A4">
        <w:rPr>
          <w:rStyle w:val="normaltextrun"/>
        </w:rPr>
        <w:t> </w:t>
      </w:r>
      <w:r w:rsidRPr="005040A4">
        <w:rPr>
          <w:rStyle w:val="normaltextrun"/>
        </w:rPr>
        <w:t>cas</w:t>
      </w:r>
      <w:r w:rsidR="00743D89" w:rsidRPr="005040A4">
        <w:rPr>
          <w:rStyle w:val="normaltextrun"/>
        </w:rPr>
        <w:t> :</w:t>
      </w:r>
      <w:r w:rsidRPr="005040A4">
        <w:rPr>
          <w:rStyle w:val="normaltextrun"/>
        </w:rPr>
        <w:t xml:space="preserve"> 1) les communications destinées à un large public qui nécessitent des traductions de haute précision ou raisonnablement précises;  et 2) les communications destinées à un public restreint pour lesquelles des traductions raisonnablement précises suffise</w:t>
      </w:r>
      <w:r w:rsidR="005652C9" w:rsidRPr="005040A4">
        <w:rPr>
          <w:rStyle w:val="normaltextrun"/>
        </w:rPr>
        <w:t>nt.  To</w:t>
      </w:r>
      <w:r w:rsidRPr="005040A4">
        <w:rPr>
          <w:rStyle w:val="normaltextrun"/>
        </w:rPr>
        <w:t>utefois, cette technologie n</w:t>
      </w:r>
      <w:r w:rsidR="00743D89" w:rsidRPr="005040A4">
        <w:rPr>
          <w:rStyle w:val="normaltextrun"/>
        </w:rPr>
        <w:t>’</w:t>
      </w:r>
      <w:r w:rsidRPr="005040A4">
        <w:rPr>
          <w:rStyle w:val="normaltextrun"/>
        </w:rPr>
        <w:t>est pas encore appliquée à toutes les publications en ligne qui répondent aux critères énoncés dans la stratégie de traduction.</w:t>
      </w:r>
    </w:p>
    <w:p w14:paraId="03A7FA9B" w14:textId="0AE1F589" w:rsidR="00855109" w:rsidRPr="005040A4" w:rsidRDefault="00855109" w:rsidP="000057BC">
      <w:pPr>
        <w:pStyle w:val="ListParagraph"/>
        <w:rPr>
          <w:rStyle w:val="normaltextrun"/>
        </w:rPr>
      </w:pPr>
      <w:r w:rsidRPr="005040A4">
        <w:rPr>
          <w:rStyle w:val="normaltextrun"/>
        </w:rPr>
        <w:t>Pour les exercices biennaux</w:t>
      </w:r>
      <w:r w:rsidR="00596148" w:rsidRPr="005040A4">
        <w:rPr>
          <w:rStyle w:val="normaltextrun"/>
        </w:rPr>
        <w:t> </w:t>
      </w:r>
      <w:r w:rsidRPr="005040A4">
        <w:rPr>
          <w:rStyle w:val="normaltextrun"/>
        </w:rPr>
        <w:t>2022</w:t>
      </w:r>
      <w:r w:rsidR="00C249FA" w:rsidRPr="005040A4">
        <w:rPr>
          <w:rStyle w:val="normaltextrun"/>
        </w:rPr>
        <w:noBreakHyphen/>
      </w:r>
      <w:r w:rsidRPr="005040A4">
        <w:rPr>
          <w:rStyle w:val="normaltextrun"/>
        </w:rPr>
        <w:t>2023 et 2024</w:t>
      </w:r>
      <w:r w:rsidR="00C249FA" w:rsidRPr="005040A4">
        <w:rPr>
          <w:rStyle w:val="normaltextrun"/>
        </w:rPr>
        <w:noBreakHyphen/>
      </w:r>
      <w:r w:rsidRPr="005040A4">
        <w:rPr>
          <w:rStyle w:val="normaltextrun"/>
        </w:rPr>
        <w:t>2025, l</w:t>
      </w:r>
      <w:r w:rsidR="00743D89" w:rsidRPr="005040A4">
        <w:rPr>
          <w:rStyle w:val="normaltextrun"/>
        </w:rPr>
        <w:t>’</w:t>
      </w:r>
      <w:r w:rsidRPr="005040A4">
        <w:rPr>
          <w:rStyle w:val="normaltextrun"/>
        </w:rPr>
        <w:t>Organisation a produit environ 40 publications et rapports par an, dont 8 à 11 ont été classés comme des publications de fo</w:t>
      </w:r>
      <w:r w:rsidR="005652C9" w:rsidRPr="005040A4">
        <w:rPr>
          <w:rStyle w:val="normaltextrun"/>
        </w:rPr>
        <w:t>nd.  La</w:t>
      </w:r>
      <w:r w:rsidRPr="005040A4">
        <w:rPr>
          <w:rStyle w:val="normaltextrun"/>
        </w:rPr>
        <w:t xml:space="preserve"> Division linguistique est chargée de ces traductions dans les six langues de l</w:t>
      </w:r>
      <w:r w:rsidR="00743D89" w:rsidRPr="005040A4">
        <w:rPr>
          <w:rStyle w:val="normaltextrun"/>
        </w:rPr>
        <w:t>’</w:t>
      </w:r>
      <w:r w:rsidRPr="005040A4">
        <w:rPr>
          <w:rStyle w:val="normaltextrun"/>
        </w:rPr>
        <w:t xml:space="preserve">Organisation des </w:t>
      </w:r>
      <w:r w:rsidR="00743D89" w:rsidRPr="005040A4">
        <w:rPr>
          <w:rStyle w:val="normaltextrun"/>
        </w:rPr>
        <w:t>Nations Unies</w:t>
      </w:r>
      <w:r w:rsidRPr="005040A4">
        <w:rPr>
          <w:rStyle w:val="normaltextrun"/>
        </w:rPr>
        <w:t>, ainsi que dans d</w:t>
      </w:r>
      <w:r w:rsidR="00743D89" w:rsidRPr="005040A4">
        <w:rPr>
          <w:rStyle w:val="normaltextrun"/>
        </w:rPr>
        <w:t>’</w:t>
      </w:r>
      <w:r w:rsidRPr="005040A4">
        <w:rPr>
          <w:rStyle w:val="normaltextrun"/>
        </w:rPr>
        <w:t>autres langues à la demande de l</w:t>
      </w:r>
      <w:r w:rsidR="00743D89" w:rsidRPr="005040A4">
        <w:rPr>
          <w:rStyle w:val="normaltextrun"/>
        </w:rPr>
        <w:t>’</w:t>
      </w:r>
      <w:r w:rsidRPr="005040A4">
        <w:rPr>
          <w:rStyle w:val="normaltextrun"/>
        </w:rPr>
        <w:t>auteur ou du public cib</w:t>
      </w:r>
      <w:r w:rsidR="005652C9" w:rsidRPr="005040A4">
        <w:rPr>
          <w:rStyle w:val="normaltextrun"/>
        </w:rPr>
        <w:t>le.  Se</w:t>
      </w:r>
      <w:r w:rsidRPr="005040A4">
        <w:rPr>
          <w:rStyle w:val="normaltextrun"/>
        </w:rPr>
        <w:t>lon le coordonnateur de l</w:t>
      </w:r>
      <w:r w:rsidR="00743D89" w:rsidRPr="005040A4">
        <w:rPr>
          <w:rStyle w:val="normaltextrun"/>
        </w:rPr>
        <w:t>’</w:t>
      </w:r>
      <w:r w:rsidRPr="005040A4">
        <w:rPr>
          <w:rStyle w:val="normaltextrun"/>
        </w:rPr>
        <w:t>Organisation, le processus de traduction peut généralement prendre plusieurs mois, en fonction de la complexité et de la longueur du contenu.</w:t>
      </w:r>
    </w:p>
    <w:p w14:paraId="5E45B465" w14:textId="24387D37" w:rsidR="00855109" w:rsidRPr="005040A4" w:rsidRDefault="00855109" w:rsidP="000057BC">
      <w:pPr>
        <w:pStyle w:val="ListParagraph"/>
        <w:rPr>
          <w:rStyle w:val="normaltextrun"/>
        </w:rPr>
      </w:pPr>
      <w:r w:rsidRPr="005040A4">
        <w:rPr>
          <w:rStyle w:val="normaltextrun"/>
        </w:rPr>
        <w:t>Des discussions avec le coordonnateur de l</w:t>
      </w:r>
      <w:r w:rsidR="00743D89" w:rsidRPr="005040A4">
        <w:rPr>
          <w:rStyle w:val="normaltextrun"/>
        </w:rPr>
        <w:t>’</w:t>
      </w:r>
      <w:r w:rsidRPr="005040A4">
        <w:rPr>
          <w:rStyle w:val="normaltextrun"/>
        </w:rPr>
        <w:t>Organisation ont révélé que le widget de traduction automatique immédiate de l</w:t>
      </w:r>
      <w:r w:rsidR="00743D89" w:rsidRPr="005040A4">
        <w:rPr>
          <w:rStyle w:val="normaltextrun"/>
        </w:rPr>
        <w:t>’</w:t>
      </w:r>
      <w:r w:rsidRPr="005040A4">
        <w:rPr>
          <w:rStyle w:val="normaltextrun"/>
        </w:rPr>
        <w:t>Organisation a été testé avec succès sur le site</w:t>
      </w:r>
      <w:r w:rsidR="001B7F27" w:rsidRPr="005040A4">
        <w:rPr>
          <w:rStyle w:val="normaltextrun"/>
        </w:rPr>
        <w:t> </w:t>
      </w:r>
      <w:r w:rsidRPr="005040A4">
        <w:rPr>
          <w:rStyle w:val="normaltextrun"/>
        </w:rPr>
        <w:t>Web de l</w:t>
      </w:r>
      <w:r w:rsidR="00743D89" w:rsidRPr="005040A4">
        <w:rPr>
          <w:rStyle w:val="normaltextrun"/>
        </w:rPr>
        <w:t>’</w:t>
      </w:r>
      <w:r w:rsidRPr="005040A4">
        <w:rPr>
          <w:rStyle w:val="normaltextrun"/>
        </w:rPr>
        <w:t>Organisati</w:t>
      </w:r>
      <w:r w:rsidR="005652C9" w:rsidRPr="005040A4">
        <w:rPr>
          <w:rStyle w:val="normaltextrun"/>
        </w:rPr>
        <w:t>on.  Ce</w:t>
      </w:r>
      <w:r w:rsidRPr="005040A4">
        <w:rPr>
          <w:rStyle w:val="normaltextrun"/>
        </w:rPr>
        <w:t>tte mise en œuvre a considérablement amélioré l</w:t>
      </w:r>
      <w:r w:rsidR="00743D89" w:rsidRPr="005040A4">
        <w:rPr>
          <w:rStyle w:val="normaltextrun"/>
        </w:rPr>
        <w:t>’</w:t>
      </w:r>
      <w:r w:rsidRPr="005040A4">
        <w:rPr>
          <w:rStyle w:val="normaltextrun"/>
        </w:rPr>
        <w:t>efficacité de la traduction du contenu Web en optimisant les ressources en termes de temps et en accélérant la disponibilité des documents dans plusieurs langu</w:t>
      </w:r>
      <w:r w:rsidR="005652C9" w:rsidRPr="005040A4">
        <w:rPr>
          <w:rStyle w:val="normaltextrun"/>
        </w:rPr>
        <w:t>es.  Pa</w:t>
      </w:r>
      <w:r w:rsidRPr="005040A4">
        <w:rPr>
          <w:rStyle w:val="normaltextrun"/>
        </w:rPr>
        <w:t>r conséquent, l</w:t>
      </w:r>
      <w:r w:rsidR="00743D89" w:rsidRPr="005040A4">
        <w:rPr>
          <w:rStyle w:val="normaltextrun"/>
        </w:rPr>
        <w:t>’</w:t>
      </w:r>
      <w:r w:rsidRPr="005040A4">
        <w:rPr>
          <w:rStyle w:val="normaltextrun"/>
        </w:rPr>
        <w:t>utilisation de la traduction automatique a permis d</w:t>
      </w:r>
      <w:r w:rsidR="00743D89" w:rsidRPr="005040A4">
        <w:rPr>
          <w:rStyle w:val="normaltextrun"/>
        </w:rPr>
        <w:t>’</w:t>
      </w:r>
      <w:r w:rsidRPr="005040A4">
        <w:rPr>
          <w:rStyle w:val="normaltextrun"/>
        </w:rPr>
        <w:t>atténuer les retards potentiels qui survenaient parfois lors de la préparation des publications dans les langues officielles et pourrait permettre aux lecteurs d</w:t>
      </w:r>
      <w:r w:rsidR="00743D89" w:rsidRPr="005040A4">
        <w:rPr>
          <w:rStyle w:val="normaltextrun"/>
        </w:rPr>
        <w:t>’</w:t>
      </w:r>
      <w:r w:rsidRPr="005040A4">
        <w:rPr>
          <w:rStyle w:val="normaltextrun"/>
        </w:rPr>
        <w:t xml:space="preserve">accéder à des documents dans des langues autres que celles des </w:t>
      </w:r>
      <w:r w:rsidR="00743D89" w:rsidRPr="005040A4">
        <w:rPr>
          <w:rStyle w:val="normaltextrun"/>
        </w:rPr>
        <w:t>Nations Unies</w:t>
      </w:r>
      <w:r w:rsidRPr="005040A4">
        <w:rPr>
          <w:rStyle w:val="normaltextrun"/>
        </w:rPr>
        <w:t>.</w:t>
      </w:r>
    </w:p>
    <w:p w14:paraId="3326675A" w14:textId="0F1BFE0E" w:rsidR="00855109" w:rsidRPr="005040A4" w:rsidRDefault="00855109" w:rsidP="005908BF">
      <w:pPr>
        <w:pStyle w:val="ListParagraph"/>
      </w:pPr>
      <w:r w:rsidRPr="005040A4">
        <w:rPr>
          <w:rStyle w:val="normaltextrun"/>
        </w:rPr>
        <w:t>La BPK estime que l</w:t>
      </w:r>
      <w:r w:rsidR="00743D89" w:rsidRPr="005040A4">
        <w:rPr>
          <w:rStyle w:val="normaltextrun"/>
        </w:rPr>
        <w:t>’</w:t>
      </w:r>
      <w:r w:rsidRPr="005040A4">
        <w:rPr>
          <w:rStyle w:val="normaltextrun"/>
        </w:rPr>
        <w:t>élargissement de l</w:t>
      </w:r>
      <w:r w:rsidR="00743D89" w:rsidRPr="005040A4">
        <w:rPr>
          <w:rStyle w:val="normaltextrun"/>
        </w:rPr>
        <w:t>’</w:t>
      </w:r>
      <w:r w:rsidRPr="005040A4">
        <w:rPr>
          <w:rStyle w:val="normaltextrun"/>
        </w:rPr>
        <w:t>utilisation de la traduction automatique à toutes les catégories de publication remplissant les critères établis permettrait d</w:t>
      </w:r>
      <w:r w:rsidR="00743D89" w:rsidRPr="005040A4">
        <w:rPr>
          <w:rStyle w:val="normaltextrun"/>
        </w:rPr>
        <w:t>’</w:t>
      </w:r>
      <w:r w:rsidRPr="005040A4">
        <w:rPr>
          <w:rStyle w:val="normaltextrun"/>
        </w:rPr>
        <w:t>améliorer l</w:t>
      </w:r>
      <w:r w:rsidR="00743D89" w:rsidRPr="005040A4">
        <w:rPr>
          <w:rStyle w:val="normaltextrun"/>
        </w:rPr>
        <w:t>’</w:t>
      </w:r>
      <w:r w:rsidRPr="005040A4">
        <w:rPr>
          <w:rStyle w:val="normaltextrun"/>
        </w:rPr>
        <w:t>efficacité, la qualité et la diffusion des informations et des ressources en matière de propriété intellectuel</w:t>
      </w:r>
      <w:r w:rsidR="005652C9" w:rsidRPr="005040A4">
        <w:rPr>
          <w:rStyle w:val="normaltextrun"/>
        </w:rPr>
        <w:t>le.  Ce</w:t>
      </w:r>
      <w:r w:rsidRPr="005040A4">
        <w:rPr>
          <w:rStyle w:val="normaltextrun"/>
        </w:rPr>
        <w:t>la permettrait à l</w:t>
      </w:r>
      <w:r w:rsidR="00743D89" w:rsidRPr="005040A4">
        <w:rPr>
          <w:rStyle w:val="normaltextrun"/>
        </w:rPr>
        <w:t>’</w:t>
      </w:r>
      <w:r w:rsidRPr="005040A4">
        <w:rPr>
          <w:rStyle w:val="normaltextrun"/>
        </w:rPr>
        <w:t>Organisation d</w:t>
      </w:r>
      <w:r w:rsidR="00743D89" w:rsidRPr="005040A4">
        <w:rPr>
          <w:rStyle w:val="normaltextrun"/>
        </w:rPr>
        <w:t>’</w:t>
      </w:r>
      <w:r w:rsidRPr="005040A4">
        <w:rPr>
          <w:rStyle w:val="normaltextrun"/>
        </w:rPr>
        <w:t>atteindre et de servir efficacement un public plus large</w:t>
      </w:r>
      <w:r w:rsidRPr="005040A4">
        <w:t>.</w:t>
      </w:r>
    </w:p>
    <w:tbl>
      <w:tblPr>
        <w:tblW w:w="8364"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364"/>
      </w:tblGrid>
      <w:tr w:rsidR="00855109" w:rsidRPr="005040A4" w14:paraId="6D8FE0B5" w14:textId="77777777" w:rsidTr="00327509">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cPr>
          <w:p w14:paraId="6357A74F" w14:textId="26286C24" w:rsidR="00855109" w:rsidRPr="005040A4" w:rsidRDefault="00855109" w:rsidP="00E862E4">
            <w:pPr>
              <w:spacing w:before="81" w:after="81" w:line="280" w:lineRule="auto"/>
              <w:jc w:val="both"/>
              <w:rPr>
                <w:rFonts w:eastAsia="Times New Roman"/>
                <w:b/>
                <w:lang w:val="fr-FR"/>
              </w:rPr>
            </w:pPr>
            <w:r w:rsidRPr="005040A4">
              <w:rPr>
                <w:b/>
                <w:lang w:val="fr-FR"/>
              </w:rPr>
              <w:t>Recommandation n°</w:t>
            </w:r>
            <w:r w:rsidR="001B7F27" w:rsidRPr="005040A4">
              <w:rPr>
                <w:b/>
                <w:lang w:val="fr-FR"/>
              </w:rPr>
              <w:t> </w:t>
            </w:r>
            <w:r w:rsidRPr="005040A4">
              <w:rPr>
                <w:b/>
                <w:lang w:val="fr-FR"/>
              </w:rPr>
              <w:t>6</w:t>
            </w:r>
          </w:p>
          <w:p w14:paraId="34BA63B5" w14:textId="4AC9FD08" w:rsidR="00855109" w:rsidRPr="005040A4" w:rsidRDefault="00855109" w:rsidP="00E862E4">
            <w:pPr>
              <w:spacing w:before="81" w:after="81" w:line="280" w:lineRule="auto"/>
              <w:jc w:val="both"/>
              <w:rPr>
                <w:bCs/>
                <w:szCs w:val="22"/>
                <w:lang w:val="fr-FR"/>
              </w:rPr>
            </w:pPr>
            <w:r w:rsidRPr="005040A4">
              <w:rPr>
                <w:rStyle w:val="normaltextrun"/>
                <w:lang w:val="fr-FR"/>
              </w:rPr>
              <w:t>La BPK recommande que le Secrétariat étende l</w:t>
            </w:r>
            <w:r w:rsidR="00743D89" w:rsidRPr="005040A4">
              <w:rPr>
                <w:rStyle w:val="normaltextrun"/>
                <w:lang w:val="fr-FR"/>
              </w:rPr>
              <w:t>’</w:t>
            </w:r>
            <w:r w:rsidRPr="005040A4">
              <w:rPr>
                <w:rStyle w:val="normaltextrun"/>
                <w:lang w:val="fr-FR"/>
              </w:rPr>
              <w:t>utilisation de la traduction automatique à toutes les publications répondant aux critères énoncés dans la stratégie de traduction.</w:t>
            </w:r>
          </w:p>
        </w:tc>
      </w:tr>
      <w:tr w:rsidR="00855109" w:rsidRPr="005040A4" w14:paraId="7AFF5C58" w14:textId="77777777" w:rsidTr="00327509">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cPr>
          <w:p w14:paraId="322B6616" w14:textId="2209EFAD" w:rsidR="00743D89" w:rsidRPr="005040A4" w:rsidRDefault="00855109" w:rsidP="00E862E4">
            <w:pPr>
              <w:spacing w:before="81" w:after="81" w:line="280" w:lineRule="auto"/>
              <w:jc w:val="both"/>
              <w:rPr>
                <w:b/>
                <w:lang w:val="fr-FR"/>
              </w:rPr>
            </w:pPr>
            <w:r w:rsidRPr="005040A4">
              <w:rPr>
                <w:b/>
                <w:lang w:val="fr-FR"/>
              </w:rPr>
              <w:t>Réponse de la direction</w:t>
            </w:r>
            <w:r w:rsidR="00743D89" w:rsidRPr="005040A4">
              <w:rPr>
                <w:b/>
                <w:lang w:val="fr-FR"/>
              </w:rPr>
              <w:t> :</w:t>
            </w:r>
          </w:p>
          <w:p w14:paraId="59D2F320" w14:textId="20B44ED4" w:rsidR="00743D89" w:rsidRPr="005040A4" w:rsidRDefault="00855109" w:rsidP="00E862E4">
            <w:pPr>
              <w:spacing w:before="81" w:after="81" w:line="280" w:lineRule="auto"/>
              <w:jc w:val="both"/>
              <w:rPr>
                <w:rStyle w:val="normaltextrun"/>
                <w:lang w:val="fr-FR"/>
              </w:rPr>
            </w:pPr>
            <w:r w:rsidRPr="005040A4">
              <w:rPr>
                <w:rStyle w:val="normaltextrun"/>
                <w:lang w:val="fr-FR"/>
              </w:rPr>
              <w:t>La direction souscrit à la recommandation et indique que l</w:t>
            </w:r>
            <w:r w:rsidR="00743D89" w:rsidRPr="005040A4">
              <w:rPr>
                <w:rStyle w:val="normaltextrun"/>
                <w:lang w:val="fr-FR"/>
              </w:rPr>
              <w:t>’</w:t>
            </w:r>
            <w:r w:rsidRPr="005040A4">
              <w:rPr>
                <w:rStyle w:val="normaltextrun"/>
                <w:lang w:val="fr-FR"/>
              </w:rPr>
              <w:t>utilisation de la traduction automatique est progressivement renforcée à mesure que les outils de traduction automatique gagnent en maturité.</w:t>
            </w:r>
          </w:p>
          <w:p w14:paraId="200F0353" w14:textId="12FC1567" w:rsidR="00855109" w:rsidRPr="005040A4" w:rsidRDefault="00855109" w:rsidP="00E862E4">
            <w:pPr>
              <w:spacing w:before="81" w:after="81" w:line="280" w:lineRule="auto"/>
              <w:jc w:val="both"/>
              <w:rPr>
                <w:rFonts w:eastAsia="Times New Roman"/>
                <w:lang w:val="fr-FR"/>
              </w:rPr>
            </w:pPr>
            <w:r w:rsidRPr="005040A4">
              <w:rPr>
                <w:rStyle w:val="normaltextrun"/>
                <w:lang w:val="fr-FR"/>
              </w:rPr>
              <w:t>La direction prévoit de mettre pleinement en œuvre la recommandation d</w:t>
            </w:r>
            <w:r w:rsidR="00743D89" w:rsidRPr="005040A4">
              <w:rPr>
                <w:rStyle w:val="normaltextrun"/>
                <w:lang w:val="fr-FR"/>
              </w:rPr>
              <w:t>’</w:t>
            </w:r>
            <w:r w:rsidRPr="005040A4">
              <w:rPr>
                <w:rStyle w:val="normaltextrun"/>
                <w:lang w:val="fr-FR"/>
              </w:rPr>
              <w:t>ici au 31 décembre 2026.</w:t>
            </w:r>
          </w:p>
        </w:tc>
      </w:tr>
    </w:tbl>
    <w:p w14:paraId="11679516" w14:textId="51D2437D" w:rsidR="00855109" w:rsidRPr="005040A4" w:rsidRDefault="00855109" w:rsidP="00327509">
      <w:pPr>
        <w:pStyle w:val="Heading5"/>
        <w:keepNext/>
        <w:spacing w:before="360"/>
      </w:pPr>
      <w:bookmarkStart w:id="106" w:name="_Toc196159475"/>
      <w:bookmarkStart w:id="107" w:name="_Toc199153503"/>
      <w:r w:rsidRPr="005040A4">
        <w:lastRenderedPageBreak/>
        <w:t>Renforcement du rôle de WePerform dans le processus d</w:t>
      </w:r>
      <w:r w:rsidR="00743D89" w:rsidRPr="005040A4">
        <w:t>’</w:t>
      </w:r>
      <w:r w:rsidRPr="005040A4">
        <w:t>évaluation des performances</w:t>
      </w:r>
      <w:bookmarkEnd w:id="106"/>
      <w:bookmarkEnd w:id="107"/>
    </w:p>
    <w:p w14:paraId="20919CF5" w14:textId="6847AA30" w:rsidR="00743D89" w:rsidRPr="005040A4" w:rsidRDefault="00855109" w:rsidP="000057BC">
      <w:pPr>
        <w:pStyle w:val="ListParagraph"/>
        <w:rPr>
          <w:rStyle w:val="normaltextrun"/>
        </w:rPr>
      </w:pPr>
      <w:r w:rsidRPr="005040A4">
        <w:rPr>
          <w:rStyle w:val="normaltextrun"/>
        </w:rPr>
        <w:t>Les activités de l</w:t>
      </w:r>
      <w:r w:rsidR="00743D89" w:rsidRPr="005040A4">
        <w:rPr>
          <w:rStyle w:val="normaltextrun"/>
        </w:rPr>
        <w:t>’</w:t>
      </w:r>
      <w:r w:rsidRPr="005040A4">
        <w:rPr>
          <w:rStyle w:val="normaltextrun"/>
        </w:rPr>
        <w:t>Organisation sont guidées par les principes de la gestion axée sur les résultats, qui consiste en un cycle continu de planification, de mise en œuvre, de suivi, d</w:t>
      </w:r>
      <w:r w:rsidR="00743D89" w:rsidRPr="005040A4">
        <w:rPr>
          <w:rStyle w:val="normaltextrun"/>
        </w:rPr>
        <w:t>’</w:t>
      </w:r>
      <w:r w:rsidRPr="005040A4">
        <w:rPr>
          <w:rStyle w:val="normaltextrun"/>
        </w:rPr>
        <w:t>évaluation et de rappo</w:t>
      </w:r>
      <w:r w:rsidR="005652C9" w:rsidRPr="005040A4">
        <w:rPr>
          <w:rStyle w:val="normaltextrun"/>
        </w:rPr>
        <w:t>rt.  Da</w:t>
      </w:r>
      <w:r w:rsidRPr="005040A4">
        <w:rPr>
          <w:rStyle w:val="normaltextrun"/>
        </w:rPr>
        <w:t>ns le cadre de la mise en œuvre de la gestion axée sur les résultats, l</w:t>
      </w:r>
      <w:r w:rsidR="00743D89" w:rsidRPr="005040A4">
        <w:rPr>
          <w:rStyle w:val="normaltextrun"/>
        </w:rPr>
        <w:t>’</w:t>
      </w:r>
      <w:r w:rsidRPr="005040A4">
        <w:rPr>
          <w:rStyle w:val="normaltextrun"/>
        </w:rPr>
        <w:t>Organisation a développé une application dénommée WePerform qui a joué un rôle central dans le processus de planification et de budgétisation de l</w:t>
      </w:r>
      <w:r w:rsidR="00743D89" w:rsidRPr="005040A4">
        <w:rPr>
          <w:rStyle w:val="normaltextrun"/>
        </w:rPr>
        <w:t>’</w:t>
      </w:r>
      <w:r w:rsidRPr="005040A4">
        <w:rPr>
          <w:rStyle w:val="normaltextrun"/>
        </w:rPr>
        <w:t>Organisation.</w:t>
      </w:r>
    </w:p>
    <w:p w14:paraId="48933B40" w14:textId="101D8D11" w:rsidR="00743D89" w:rsidRPr="005040A4" w:rsidRDefault="00855109" w:rsidP="000057BC">
      <w:pPr>
        <w:pStyle w:val="ListParagraph"/>
        <w:rPr>
          <w:rStyle w:val="normaltextrun"/>
        </w:rPr>
      </w:pPr>
      <w:r w:rsidRPr="005040A4">
        <w:rPr>
          <w:rStyle w:val="normaltextrun"/>
        </w:rPr>
        <w:t>Si l</w:t>
      </w:r>
      <w:r w:rsidR="00743D89" w:rsidRPr="005040A4">
        <w:rPr>
          <w:rStyle w:val="normaltextrun"/>
        </w:rPr>
        <w:t>’</w:t>
      </w:r>
      <w:r w:rsidRPr="005040A4">
        <w:rPr>
          <w:rStyle w:val="normaltextrun"/>
        </w:rPr>
        <w:t>Organisation a mis en œuvre avec succès WePerform pour la planification du programme de travail et du budget pour l</w:t>
      </w:r>
      <w:r w:rsidR="00743D89" w:rsidRPr="005040A4">
        <w:rPr>
          <w:rStyle w:val="normaltextrun"/>
        </w:rPr>
        <w:t>’</w:t>
      </w:r>
      <w:r w:rsidRPr="005040A4">
        <w:rPr>
          <w:rStyle w:val="normaltextrun"/>
        </w:rPr>
        <w:t xml:space="preserve">exercice </w:t>
      </w:r>
      <w:r w:rsidR="00743D89" w:rsidRPr="005040A4">
        <w:rPr>
          <w:rStyle w:val="normaltextrun"/>
        </w:rPr>
        <w:t>biennal 2024</w:t>
      </w:r>
      <w:r w:rsidR="00C249FA" w:rsidRPr="005040A4">
        <w:rPr>
          <w:rStyle w:val="normaltextrun"/>
        </w:rPr>
        <w:noBreakHyphen/>
      </w:r>
      <w:r w:rsidRPr="005040A4">
        <w:rPr>
          <w:rStyle w:val="normaltextrun"/>
        </w:rPr>
        <w:t>2025, son utilisation dans le processus d</w:t>
      </w:r>
      <w:r w:rsidR="00743D89" w:rsidRPr="005040A4">
        <w:rPr>
          <w:rStyle w:val="normaltextrun"/>
        </w:rPr>
        <w:t>’</w:t>
      </w:r>
      <w:r w:rsidRPr="005040A4">
        <w:rPr>
          <w:rStyle w:val="normaltextrun"/>
        </w:rPr>
        <w:t>évaluation de l</w:t>
      </w:r>
      <w:r w:rsidR="00743D89" w:rsidRPr="005040A4">
        <w:rPr>
          <w:rStyle w:val="normaltextrun"/>
        </w:rPr>
        <w:t>’</w:t>
      </w:r>
      <w:r w:rsidRPr="005040A4">
        <w:rPr>
          <w:rStyle w:val="normaltextrun"/>
        </w:rPr>
        <w:t>exécution peut encore être amélior</w:t>
      </w:r>
      <w:r w:rsidR="005652C9" w:rsidRPr="005040A4">
        <w:rPr>
          <w:rStyle w:val="normaltextrun"/>
        </w:rPr>
        <w:t>ée.  La</w:t>
      </w:r>
      <w:r w:rsidRPr="005040A4">
        <w:rPr>
          <w:rStyle w:val="normaltextrun"/>
        </w:rPr>
        <w:t> BPK a constaté qu</w:t>
      </w:r>
      <w:r w:rsidR="00743D89" w:rsidRPr="005040A4">
        <w:rPr>
          <w:rStyle w:val="normaltextrun"/>
        </w:rPr>
        <w:t>’</w:t>
      </w:r>
      <w:r w:rsidRPr="005040A4">
        <w:rPr>
          <w:rStyle w:val="normaltextrun"/>
        </w:rPr>
        <w:t>il n</w:t>
      </w:r>
      <w:r w:rsidR="00743D89" w:rsidRPr="005040A4">
        <w:rPr>
          <w:rStyle w:val="normaltextrun"/>
        </w:rPr>
        <w:t>’</w:t>
      </w:r>
      <w:r w:rsidRPr="005040A4">
        <w:rPr>
          <w:rStyle w:val="normaltextrun"/>
        </w:rPr>
        <w:t>y avait aucune trace de la validation finale des données relatives à l</w:t>
      </w:r>
      <w:r w:rsidR="00743D89" w:rsidRPr="005040A4">
        <w:rPr>
          <w:rStyle w:val="normaltextrun"/>
        </w:rPr>
        <w:t>’</w:t>
      </w:r>
      <w:r w:rsidRPr="005040A4">
        <w:rPr>
          <w:rStyle w:val="normaltextrun"/>
        </w:rPr>
        <w:t>exécution mises à jour dans WePerform.</w:t>
      </w:r>
    </w:p>
    <w:p w14:paraId="28E313F5" w14:textId="56C05EE7" w:rsidR="00855109" w:rsidRPr="005040A4" w:rsidRDefault="00855109" w:rsidP="00663D09">
      <w:pPr>
        <w:pStyle w:val="ListParagraph"/>
        <w:numPr>
          <w:ilvl w:val="0"/>
          <w:numId w:val="0"/>
        </w:numPr>
        <w:ind w:left="1134"/>
      </w:pPr>
      <w:r w:rsidRPr="005040A4">
        <w:rPr>
          <w:rStyle w:val="normaltextrun"/>
        </w:rPr>
        <w:t>Elle est d</w:t>
      </w:r>
      <w:r w:rsidR="00743D89" w:rsidRPr="005040A4">
        <w:rPr>
          <w:rStyle w:val="normaltextrun"/>
        </w:rPr>
        <w:t>’</w:t>
      </w:r>
      <w:r w:rsidRPr="005040A4">
        <w:rPr>
          <w:rStyle w:val="normaltextrun"/>
        </w:rPr>
        <w:t>avis que l</w:t>
      </w:r>
      <w:r w:rsidR="00743D89" w:rsidRPr="005040A4">
        <w:rPr>
          <w:rStyle w:val="normaltextrun"/>
        </w:rPr>
        <w:t>’</w:t>
      </w:r>
      <w:r w:rsidRPr="005040A4">
        <w:rPr>
          <w:rStyle w:val="normaltextrun"/>
        </w:rPr>
        <w:t>amélioration de l</w:t>
      </w:r>
      <w:r w:rsidR="00743D89" w:rsidRPr="005040A4">
        <w:rPr>
          <w:rStyle w:val="normaltextrun"/>
        </w:rPr>
        <w:t>’</w:t>
      </w:r>
      <w:r w:rsidRPr="005040A4">
        <w:rPr>
          <w:rStyle w:val="normaltextrun"/>
        </w:rPr>
        <w:t>utilisation de WePerform grâce au téléchargement du résultat de la validation finale permettrait d</w:t>
      </w:r>
      <w:r w:rsidR="00743D89" w:rsidRPr="005040A4">
        <w:rPr>
          <w:rStyle w:val="normaltextrun"/>
        </w:rPr>
        <w:t>’</w:t>
      </w:r>
      <w:r w:rsidRPr="005040A4">
        <w:rPr>
          <w:rStyle w:val="normaltextrun"/>
        </w:rPr>
        <w:t>améliorer le processus d</w:t>
      </w:r>
      <w:r w:rsidR="00743D89" w:rsidRPr="005040A4">
        <w:rPr>
          <w:rStyle w:val="normaltextrun"/>
        </w:rPr>
        <w:t>’</w:t>
      </w:r>
      <w:r w:rsidRPr="005040A4">
        <w:rPr>
          <w:rStyle w:val="normaltextrun"/>
        </w:rPr>
        <w:t>évaluation de l</w:t>
      </w:r>
      <w:r w:rsidR="00743D89" w:rsidRPr="005040A4">
        <w:rPr>
          <w:rStyle w:val="normaltextrun"/>
        </w:rPr>
        <w:t>’</w:t>
      </w:r>
      <w:r w:rsidRPr="005040A4">
        <w:rPr>
          <w:rStyle w:val="normaltextrun"/>
        </w:rPr>
        <w:t>exécution au sein de l</w:t>
      </w:r>
      <w:r w:rsidR="00743D89" w:rsidRPr="005040A4">
        <w:rPr>
          <w:rStyle w:val="normaltextrun"/>
        </w:rPr>
        <w:t>’</w:t>
      </w:r>
      <w:r w:rsidRPr="005040A4">
        <w:rPr>
          <w:rStyle w:val="normaltextrun"/>
        </w:rPr>
        <w:t>Organisati</w:t>
      </w:r>
      <w:r w:rsidR="005652C9" w:rsidRPr="005040A4">
        <w:rPr>
          <w:rStyle w:val="normaltextrun"/>
        </w:rPr>
        <w:t>on.  Ce</w:t>
      </w:r>
      <w:r w:rsidRPr="005040A4">
        <w:rPr>
          <w:rStyle w:val="normaltextrun"/>
        </w:rPr>
        <w:t>tte mesure serait également bénéfique pour l</w:t>
      </w:r>
      <w:r w:rsidR="00743D89" w:rsidRPr="005040A4">
        <w:rPr>
          <w:rStyle w:val="normaltextrun"/>
        </w:rPr>
        <w:t>’</w:t>
      </w:r>
      <w:r w:rsidRPr="005040A4">
        <w:rPr>
          <w:rStyle w:val="normaltextrun"/>
        </w:rPr>
        <w:t>Organisation, car elle faciliterait le suivi des étapes de l</w:t>
      </w:r>
      <w:r w:rsidR="00743D89" w:rsidRPr="005040A4">
        <w:rPr>
          <w:rStyle w:val="normaltextrun"/>
        </w:rPr>
        <w:t>’</w:t>
      </w:r>
      <w:r w:rsidRPr="005040A4">
        <w:rPr>
          <w:rStyle w:val="normaltextrun"/>
        </w:rPr>
        <w:t>évaluation et fournirait un référentiel pour la documentation relative au processus d</w:t>
      </w:r>
      <w:r w:rsidR="00743D89" w:rsidRPr="005040A4">
        <w:rPr>
          <w:rStyle w:val="normaltextrun"/>
        </w:rPr>
        <w:t>’</w:t>
      </w:r>
      <w:r w:rsidRPr="005040A4">
        <w:rPr>
          <w:rStyle w:val="normaltextrun"/>
        </w:rPr>
        <w:t>évaluation des performances.</w:t>
      </w:r>
    </w:p>
    <w:tbl>
      <w:tblPr>
        <w:tblW w:w="8364"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364"/>
      </w:tblGrid>
      <w:tr w:rsidR="00855109" w:rsidRPr="005040A4" w14:paraId="564B6CB3" w14:textId="77777777" w:rsidTr="00327509">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cPr>
          <w:p w14:paraId="2A81577A" w14:textId="77C96DA7" w:rsidR="00855109" w:rsidRPr="005040A4" w:rsidRDefault="00855109" w:rsidP="00E862E4">
            <w:pPr>
              <w:spacing w:before="81" w:after="81" w:line="280" w:lineRule="auto"/>
              <w:jc w:val="both"/>
              <w:rPr>
                <w:rFonts w:eastAsia="Times New Roman"/>
                <w:b/>
                <w:lang w:val="fr-FR"/>
              </w:rPr>
            </w:pPr>
            <w:r w:rsidRPr="005040A4">
              <w:rPr>
                <w:b/>
                <w:lang w:val="fr-FR"/>
              </w:rPr>
              <w:t>Recommandation n°</w:t>
            </w:r>
            <w:r w:rsidR="001B7F27" w:rsidRPr="005040A4">
              <w:rPr>
                <w:b/>
                <w:lang w:val="fr-FR"/>
              </w:rPr>
              <w:t> </w:t>
            </w:r>
            <w:r w:rsidRPr="005040A4">
              <w:rPr>
                <w:b/>
                <w:lang w:val="fr-FR"/>
              </w:rPr>
              <w:t>7</w:t>
            </w:r>
          </w:p>
          <w:p w14:paraId="3F05A302" w14:textId="0A77FC23" w:rsidR="00855109" w:rsidRPr="005040A4" w:rsidRDefault="00855109" w:rsidP="00E862E4">
            <w:pPr>
              <w:spacing w:before="81" w:after="81" w:line="280" w:lineRule="auto"/>
              <w:jc w:val="both"/>
              <w:rPr>
                <w:bCs/>
                <w:szCs w:val="22"/>
                <w:lang w:val="fr-FR"/>
              </w:rPr>
            </w:pPr>
            <w:r w:rsidRPr="005040A4">
              <w:rPr>
                <w:rStyle w:val="normaltextrun"/>
                <w:lang w:val="fr-FR"/>
              </w:rPr>
              <w:t>La BPK recommande au Secrétariat d</w:t>
            </w:r>
            <w:r w:rsidR="00743D89" w:rsidRPr="005040A4">
              <w:rPr>
                <w:rStyle w:val="normaltextrun"/>
                <w:lang w:val="fr-FR"/>
              </w:rPr>
              <w:t>’</w:t>
            </w:r>
            <w:r w:rsidRPr="005040A4">
              <w:rPr>
                <w:rStyle w:val="normaltextrun"/>
                <w:lang w:val="fr-FR"/>
              </w:rPr>
              <w:t>envisager de renforcer l</w:t>
            </w:r>
            <w:r w:rsidR="00743D89" w:rsidRPr="005040A4">
              <w:rPr>
                <w:rStyle w:val="normaltextrun"/>
                <w:lang w:val="fr-FR"/>
              </w:rPr>
              <w:t>’</w:t>
            </w:r>
            <w:r w:rsidRPr="005040A4">
              <w:rPr>
                <w:rStyle w:val="normaltextrun"/>
                <w:lang w:val="fr-FR"/>
              </w:rPr>
              <w:t>utilisation de WePerform pour l</w:t>
            </w:r>
            <w:r w:rsidR="00743D89" w:rsidRPr="005040A4">
              <w:rPr>
                <w:rStyle w:val="normaltextrun"/>
                <w:lang w:val="fr-FR"/>
              </w:rPr>
              <w:t>’</w:t>
            </w:r>
            <w:r w:rsidRPr="005040A4">
              <w:rPr>
                <w:rStyle w:val="normaltextrun"/>
                <w:lang w:val="fr-FR"/>
              </w:rPr>
              <w:t>évaluation des performances en téléchargeant les résultats de la validation finale des données relatives à l</w:t>
            </w:r>
            <w:r w:rsidR="00743D89" w:rsidRPr="005040A4">
              <w:rPr>
                <w:rStyle w:val="normaltextrun"/>
                <w:lang w:val="fr-FR"/>
              </w:rPr>
              <w:t>’</w:t>
            </w:r>
            <w:r w:rsidRPr="005040A4">
              <w:rPr>
                <w:rStyle w:val="normaltextrun"/>
                <w:lang w:val="fr-FR"/>
              </w:rPr>
              <w:t>exécution après la publication des rapports sur la performance de l</w:t>
            </w:r>
            <w:r w:rsidR="00743D89" w:rsidRPr="005040A4">
              <w:rPr>
                <w:rStyle w:val="normaltextrun"/>
                <w:lang w:val="fr-FR"/>
              </w:rPr>
              <w:t>’</w:t>
            </w:r>
            <w:r w:rsidRPr="005040A4">
              <w:rPr>
                <w:rStyle w:val="normaltextrun"/>
                <w:lang w:val="fr-FR"/>
              </w:rPr>
              <w:t>Organisation.</w:t>
            </w:r>
          </w:p>
        </w:tc>
      </w:tr>
      <w:tr w:rsidR="00855109" w:rsidRPr="005040A4" w14:paraId="340AF99D" w14:textId="77777777" w:rsidTr="00327509">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cPr>
          <w:p w14:paraId="7C8148DE" w14:textId="193FCDDB" w:rsidR="00743D89" w:rsidRPr="005040A4" w:rsidRDefault="00855109" w:rsidP="00E862E4">
            <w:pPr>
              <w:spacing w:before="81" w:after="81" w:line="280" w:lineRule="auto"/>
              <w:jc w:val="both"/>
              <w:rPr>
                <w:b/>
                <w:lang w:val="fr-FR"/>
              </w:rPr>
            </w:pPr>
            <w:r w:rsidRPr="005040A4">
              <w:rPr>
                <w:b/>
                <w:lang w:val="fr-FR"/>
              </w:rPr>
              <w:t>Réponse de la direction</w:t>
            </w:r>
            <w:r w:rsidR="00743D89" w:rsidRPr="005040A4">
              <w:rPr>
                <w:b/>
                <w:lang w:val="fr-FR"/>
              </w:rPr>
              <w:t> :</w:t>
            </w:r>
          </w:p>
          <w:p w14:paraId="41765EB5" w14:textId="69590B68" w:rsidR="00743D89" w:rsidRPr="005040A4" w:rsidRDefault="00855109" w:rsidP="00E862E4">
            <w:pPr>
              <w:spacing w:before="81" w:after="81" w:line="280" w:lineRule="auto"/>
              <w:jc w:val="both"/>
              <w:rPr>
                <w:rStyle w:val="normaltextrun"/>
                <w:lang w:val="fr-FR"/>
              </w:rPr>
            </w:pPr>
            <w:r w:rsidRPr="005040A4">
              <w:rPr>
                <w:rStyle w:val="normaltextrun"/>
                <w:lang w:val="fr-FR"/>
              </w:rPr>
              <w:t>La direction souscrit à la recommandation et téléchargera les données finales validées relatives à la performance dans WePerform au plus tard un mois après la publication des rapports sur la performance de l</w:t>
            </w:r>
            <w:r w:rsidR="00743D89" w:rsidRPr="005040A4">
              <w:rPr>
                <w:rStyle w:val="normaltextrun"/>
                <w:lang w:val="fr-FR"/>
              </w:rPr>
              <w:t>’</w:t>
            </w:r>
            <w:r w:rsidRPr="005040A4">
              <w:rPr>
                <w:rStyle w:val="normaltextrun"/>
                <w:lang w:val="fr-FR"/>
              </w:rPr>
              <w:t>Organisation.</w:t>
            </w:r>
          </w:p>
          <w:p w14:paraId="6B79A063" w14:textId="57154EC2" w:rsidR="00855109" w:rsidRPr="005040A4" w:rsidRDefault="00855109" w:rsidP="00E862E4">
            <w:pPr>
              <w:spacing w:before="81" w:after="81" w:line="280" w:lineRule="auto"/>
              <w:jc w:val="both"/>
              <w:rPr>
                <w:rFonts w:eastAsia="Times New Roman"/>
                <w:lang w:val="fr-FR"/>
              </w:rPr>
            </w:pPr>
            <w:r w:rsidRPr="005040A4">
              <w:rPr>
                <w:rStyle w:val="normaltextrun"/>
                <w:lang w:val="fr-FR"/>
              </w:rPr>
              <w:t>La direction prévoit de mettre en œuvre la recommandation d</w:t>
            </w:r>
            <w:r w:rsidR="00743D89" w:rsidRPr="005040A4">
              <w:rPr>
                <w:rStyle w:val="normaltextrun"/>
                <w:lang w:val="fr-FR"/>
              </w:rPr>
              <w:t>’</w:t>
            </w:r>
            <w:r w:rsidRPr="005040A4">
              <w:rPr>
                <w:rStyle w:val="normaltextrun"/>
                <w:lang w:val="fr-FR"/>
              </w:rPr>
              <w:t>ici au 31 juillet 2025.</w:t>
            </w:r>
          </w:p>
        </w:tc>
      </w:tr>
    </w:tbl>
    <w:p w14:paraId="1BEC7A7B" w14:textId="13375021" w:rsidR="00855109" w:rsidRPr="005040A4" w:rsidRDefault="00855109" w:rsidP="00663D09">
      <w:pPr>
        <w:pStyle w:val="Heading5"/>
        <w:spacing w:before="360"/>
      </w:pPr>
      <w:bookmarkStart w:id="108" w:name="_Toc196159476"/>
      <w:bookmarkStart w:id="109" w:name="_Toc199153504"/>
      <w:r w:rsidRPr="005040A4">
        <w:t>Améliorer le processus d</w:t>
      </w:r>
      <w:r w:rsidR="00743D89" w:rsidRPr="005040A4">
        <w:t>’</w:t>
      </w:r>
      <w:r w:rsidRPr="005040A4">
        <w:t>enquête afin de renforcer la procédure d</w:t>
      </w:r>
      <w:r w:rsidR="00743D89" w:rsidRPr="005040A4">
        <w:t>’</w:t>
      </w:r>
      <w:r w:rsidRPr="005040A4">
        <w:t>évaluation de l</w:t>
      </w:r>
      <w:r w:rsidR="00743D89" w:rsidRPr="005040A4">
        <w:t>’</w:t>
      </w:r>
      <w:r w:rsidRPr="005040A4">
        <w:t>OMPI</w:t>
      </w:r>
      <w:bookmarkEnd w:id="108"/>
      <w:bookmarkEnd w:id="109"/>
    </w:p>
    <w:p w14:paraId="504B9A8A" w14:textId="5F4AC558" w:rsidR="00743D89" w:rsidRPr="005040A4" w:rsidRDefault="00855109" w:rsidP="000057BC">
      <w:pPr>
        <w:pStyle w:val="ListParagraph"/>
        <w:rPr>
          <w:rStyle w:val="normaltextrun"/>
        </w:rPr>
      </w:pPr>
      <w:r w:rsidRPr="005040A4">
        <w:rPr>
          <w:rStyle w:val="normaltextrun"/>
        </w:rPr>
        <w:t>Dans le cadre de la procédure d</w:t>
      </w:r>
      <w:r w:rsidR="00743D89" w:rsidRPr="005040A4">
        <w:rPr>
          <w:rStyle w:val="normaltextrun"/>
        </w:rPr>
        <w:t>’</w:t>
      </w:r>
      <w:r w:rsidRPr="005040A4">
        <w:rPr>
          <w:rStyle w:val="normaltextrun"/>
        </w:rPr>
        <w:t>évaluation, l</w:t>
      </w:r>
      <w:r w:rsidR="00743D89" w:rsidRPr="005040A4">
        <w:rPr>
          <w:rStyle w:val="normaltextrun"/>
        </w:rPr>
        <w:t>’</w:t>
      </w:r>
      <w:r w:rsidRPr="005040A4">
        <w:rPr>
          <w:rStyle w:val="normaltextrun"/>
        </w:rPr>
        <w:t>Organisation mène des enquêtes afin de recueillir les contributions des parties prenant</w:t>
      </w:r>
      <w:r w:rsidR="005652C9" w:rsidRPr="005040A4">
        <w:rPr>
          <w:rStyle w:val="normaltextrun"/>
        </w:rPr>
        <w:t>es.  Ce</w:t>
      </w:r>
      <w:r w:rsidRPr="005040A4">
        <w:rPr>
          <w:rStyle w:val="normaltextrun"/>
        </w:rPr>
        <w:t>s enquêtes visent à améliorer l</w:t>
      </w:r>
      <w:r w:rsidR="00743D89" w:rsidRPr="005040A4">
        <w:rPr>
          <w:rStyle w:val="normaltextrun"/>
        </w:rPr>
        <w:t>’</w:t>
      </w:r>
      <w:r w:rsidRPr="005040A4">
        <w:rPr>
          <w:rStyle w:val="normaltextrun"/>
        </w:rPr>
        <w:t>organisation des réunions de l</w:t>
      </w:r>
      <w:r w:rsidR="00743D89" w:rsidRPr="005040A4">
        <w:rPr>
          <w:rStyle w:val="normaltextrun"/>
        </w:rPr>
        <w:t>’</w:t>
      </w:r>
      <w:r w:rsidRPr="005040A4">
        <w:rPr>
          <w:rStyle w:val="normaltextrun"/>
        </w:rPr>
        <w:t xml:space="preserve">OMPI, à évaluer la satisfaction des parties prenantes </w:t>
      </w:r>
      <w:r w:rsidR="00743D89" w:rsidRPr="005040A4">
        <w:rPr>
          <w:rStyle w:val="normaltextrun"/>
        </w:rPr>
        <w:t>à l’égard</w:t>
      </w:r>
      <w:r w:rsidRPr="005040A4">
        <w:rPr>
          <w:rStyle w:val="normaltextrun"/>
        </w:rPr>
        <w:t xml:space="preserve"> de services tels que les conseils juridiques, les services liés aux demandes de titres de propriété intellectuelle, les sessions de formation et les séminaires, et à recueillir des observations sur des questions techniques liées à la propriété intellectuel</w:t>
      </w:r>
      <w:r w:rsidR="005652C9" w:rsidRPr="005040A4">
        <w:rPr>
          <w:rStyle w:val="normaltextrun"/>
        </w:rPr>
        <w:t>le.  Se</w:t>
      </w:r>
      <w:r w:rsidRPr="005040A4">
        <w:rPr>
          <w:rStyle w:val="normaltextrun"/>
        </w:rPr>
        <w:t>lon les données communiquées par la Division de l</w:t>
      </w:r>
      <w:r w:rsidR="00743D89" w:rsidRPr="005040A4">
        <w:rPr>
          <w:rStyle w:val="normaltextrun"/>
        </w:rPr>
        <w:t>’</w:t>
      </w:r>
      <w:r w:rsidRPr="005040A4">
        <w:rPr>
          <w:rStyle w:val="normaltextrun"/>
        </w:rPr>
        <w:t>exécution des programmes et du budget, 388 enquêtes ont été validées dans le cadre du rapport sur la performance de l</w:t>
      </w:r>
      <w:r w:rsidR="00743D89" w:rsidRPr="005040A4">
        <w:rPr>
          <w:rStyle w:val="normaltextrun"/>
        </w:rPr>
        <w:t>’</w:t>
      </w:r>
      <w:r w:rsidRPr="005040A4">
        <w:rPr>
          <w:rStyle w:val="normaltextrun"/>
        </w:rPr>
        <w:t>Organisation pour l</w:t>
      </w:r>
      <w:r w:rsidR="00743D89" w:rsidRPr="005040A4">
        <w:rPr>
          <w:rStyle w:val="normaltextrun"/>
        </w:rPr>
        <w:t>’</w:t>
      </w:r>
      <w:r w:rsidRPr="005040A4">
        <w:rPr>
          <w:rStyle w:val="normaltextrun"/>
        </w:rPr>
        <w:t xml:space="preserve">exercice </w:t>
      </w:r>
      <w:r w:rsidR="00743D89" w:rsidRPr="005040A4">
        <w:rPr>
          <w:rStyle w:val="normaltextrun"/>
        </w:rPr>
        <w:t>biennal 2022</w:t>
      </w:r>
      <w:r w:rsidR="00C249FA" w:rsidRPr="005040A4">
        <w:rPr>
          <w:rStyle w:val="normaltextrun"/>
        </w:rPr>
        <w:noBreakHyphen/>
      </w:r>
      <w:r w:rsidRPr="005040A4">
        <w:rPr>
          <w:rStyle w:val="normaltextrun"/>
        </w:rPr>
        <w:t>2023 pour les indicateurs d</w:t>
      </w:r>
      <w:r w:rsidR="00743D89" w:rsidRPr="005040A4">
        <w:rPr>
          <w:rStyle w:val="normaltextrun"/>
        </w:rPr>
        <w:t>’</w:t>
      </w:r>
      <w:r w:rsidRPr="005040A4">
        <w:rPr>
          <w:rStyle w:val="normaltextrun"/>
        </w:rPr>
        <w:t>exécution, avec un taux de réponse moyen d</w:t>
      </w:r>
      <w:r w:rsidR="00743D89" w:rsidRPr="005040A4">
        <w:rPr>
          <w:rStyle w:val="normaltextrun"/>
        </w:rPr>
        <w:t>’</w:t>
      </w:r>
      <w:r w:rsidRPr="005040A4">
        <w:rPr>
          <w:rStyle w:val="normaltextrun"/>
        </w:rPr>
        <w:t xml:space="preserve">environ 60%. </w:t>
      </w:r>
      <w:r w:rsidR="001B7F27" w:rsidRPr="005040A4">
        <w:rPr>
          <w:rStyle w:val="normaltextrun"/>
        </w:rPr>
        <w:t xml:space="preserve"> </w:t>
      </w:r>
      <w:r w:rsidRPr="005040A4">
        <w:rPr>
          <w:rStyle w:val="normaltextrun"/>
        </w:rPr>
        <w:t xml:space="preserve">Toutefois, ce chiffre ne représente pas nécessairement le taux de réponse moyen pour </w:t>
      </w:r>
      <w:r w:rsidRPr="005040A4">
        <w:rPr>
          <w:rStyle w:val="normaltextrun"/>
        </w:rPr>
        <w:lastRenderedPageBreak/>
        <w:t>l</w:t>
      </w:r>
      <w:r w:rsidR="00743D89" w:rsidRPr="005040A4">
        <w:rPr>
          <w:rStyle w:val="normaltextrun"/>
        </w:rPr>
        <w:t>’</w:t>
      </w:r>
      <w:r w:rsidRPr="005040A4">
        <w:rPr>
          <w:rStyle w:val="normaltextrun"/>
        </w:rPr>
        <w:t>ensemble de l</w:t>
      </w:r>
      <w:r w:rsidR="00743D89" w:rsidRPr="005040A4">
        <w:rPr>
          <w:rStyle w:val="normaltextrun"/>
        </w:rPr>
        <w:t>’</w:t>
      </w:r>
      <w:r w:rsidRPr="005040A4">
        <w:rPr>
          <w:rStyle w:val="normaltextrun"/>
        </w:rPr>
        <w:t>Organisation, car il ne tient pas compte des enquêtes menées en dehors du contexte des indicateurs d</w:t>
      </w:r>
      <w:r w:rsidR="00743D89" w:rsidRPr="005040A4">
        <w:rPr>
          <w:rStyle w:val="normaltextrun"/>
        </w:rPr>
        <w:t>’</w:t>
      </w:r>
      <w:r w:rsidRPr="005040A4">
        <w:rPr>
          <w:rStyle w:val="normaltextrun"/>
        </w:rPr>
        <w:t>exécution.</w:t>
      </w:r>
    </w:p>
    <w:p w14:paraId="350D3963" w14:textId="73C422FC" w:rsidR="00743D89" w:rsidRPr="005040A4" w:rsidRDefault="00855109" w:rsidP="000057BC">
      <w:pPr>
        <w:pStyle w:val="ListParagraph"/>
        <w:rPr>
          <w:rStyle w:val="normaltextrun"/>
        </w:rPr>
      </w:pPr>
      <w:r w:rsidRPr="005040A4">
        <w:rPr>
          <w:rStyle w:val="normaltextrun"/>
        </w:rPr>
        <w:t>Les discussions avec les coordonnateurs ont révélé que des enquêtes supplémentaires ont été menées au niveau sectoriel, ces enquêtes étant techniques et spécifiques à leurs secteurs respecti</w:t>
      </w:r>
      <w:r w:rsidR="005652C9" w:rsidRPr="005040A4">
        <w:rPr>
          <w:rStyle w:val="normaltextrun"/>
        </w:rPr>
        <w:t>fs.  En</w:t>
      </w:r>
      <w:r w:rsidRPr="005040A4">
        <w:rPr>
          <w:rStyle w:val="normaltextrun"/>
        </w:rPr>
        <w:t xml:space="preserve"> outre, les coordonnateurs ont également indiqué que le taux de réponse moyen dans leurs secteurs respectifs variait entre 20 et 35%. </w:t>
      </w:r>
      <w:r w:rsidR="001B7F27" w:rsidRPr="005040A4">
        <w:rPr>
          <w:rStyle w:val="normaltextrun"/>
        </w:rPr>
        <w:t xml:space="preserve"> </w:t>
      </w:r>
      <w:r w:rsidRPr="005040A4">
        <w:rPr>
          <w:rStyle w:val="normaltextrun"/>
        </w:rPr>
        <w:t>Ils ont souligné que les réponses aux enquêtes jouaient un rôle essentiel dans l</w:t>
      </w:r>
      <w:r w:rsidR="00743D89" w:rsidRPr="005040A4">
        <w:rPr>
          <w:rStyle w:val="normaltextrun"/>
        </w:rPr>
        <w:t>’</w:t>
      </w:r>
      <w:r w:rsidRPr="005040A4">
        <w:rPr>
          <w:rStyle w:val="normaltextrun"/>
        </w:rPr>
        <w:t>identification des besoins des parties prenantes, l</w:t>
      </w:r>
      <w:r w:rsidR="00743D89" w:rsidRPr="005040A4">
        <w:rPr>
          <w:rStyle w:val="normaltextrun"/>
        </w:rPr>
        <w:t>’</w:t>
      </w:r>
      <w:r w:rsidRPr="005040A4">
        <w:rPr>
          <w:rStyle w:val="normaltextrun"/>
        </w:rPr>
        <w:t>amélioration des services et l</w:t>
      </w:r>
      <w:r w:rsidR="00743D89" w:rsidRPr="005040A4">
        <w:rPr>
          <w:rStyle w:val="normaltextrun"/>
        </w:rPr>
        <w:t>’</w:t>
      </w:r>
      <w:r w:rsidRPr="005040A4">
        <w:rPr>
          <w:rStyle w:val="normaltextrun"/>
        </w:rPr>
        <w:t>établissement des fondements pour la mesure des indicateurs d</w:t>
      </w:r>
      <w:r w:rsidR="00743D89" w:rsidRPr="005040A4">
        <w:rPr>
          <w:rStyle w:val="normaltextrun"/>
        </w:rPr>
        <w:t>’</w:t>
      </w:r>
      <w:r w:rsidRPr="005040A4">
        <w:rPr>
          <w:rStyle w:val="normaltextrun"/>
        </w:rPr>
        <w:t xml:space="preserve">exécution. </w:t>
      </w:r>
      <w:r w:rsidR="001B7F27" w:rsidRPr="005040A4">
        <w:rPr>
          <w:rStyle w:val="normaltextrun"/>
        </w:rPr>
        <w:t xml:space="preserve"> </w:t>
      </w:r>
      <w:r w:rsidRPr="005040A4">
        <w:rPr>
          <w:rStyle w:val="normaltextrun"/>
        </w:rPr>
        <w:t>L</w:t>
      </w:r>
      <w:r w:rsidR="00743D89" w:rsidRPr="005040A4">
        <w:rPr>
          <w:rStyle w:val="normaltextrun"/>
        </w:rPr>
        <w:t>’</w:t>
      </w:r>
      <w:r w:rsidRPr="005040A4">
        <w:rPr>
          <w:rStyle w:val="normaltextrun"/>
        </w:rPr>
        <w:t>Organisation a certes exploité les observations tirées des réponses aux enquêtes, mais il y a matière à amélioration pour les enquêtes dont le taux de réponse est faible.</w:t>
      </w:r>
    </w:p>
    <w:p w14:paraId="5D844BE1" w14:textId="1AA1C53A" w:rsidR="00855109" w:rsidRPr="005040A4" w:rsidRDefault="00855109" w:rsidP="000057BC">
      <w:pPr>
        <w:pStyle w:val="ListParagraph"/>
      </w:pPr>
      <w:r w:rsidRPr="005040A4">
        <w:rPr>
          <w:rStyle w:val="normaltextrun"/>
        </w:rPr>
        <w:t>La BPK est d</w:t>
      </w:r>
      <w:r w:rsidR="00743D89" w:rsidRPr="005040A4">
        <w:rPr>
          <w:rStyle w:val="normaltextrun"/>
        </w:rPr>
        <w:t>’</w:t>
      </w:r>
      <w:r w:rsidRPr="005040A4">
        <w:rPr>
          <w:rStyle w:val="normaltextrun"/>
        </w:rPr>
        <w:t>avis que les enquêtes sont un élément essentiel des processus d</w:t>
      </w:r>
      <w:r w:rsidR="00743D89" w:rsidRPr="005040A4">
        <w:rPr>
          <w:rStyle w:val="normaltextrun"/>
        </w:rPr>
        <w:t>’</w:t>
      </w:r>
      <w:r w:rsidRPr="005040A4">
        <w:rPr>
          <w:rStyle w:val="normaltextrun"/>
        </w:rPr>
        <w:t>évaluation de l</w:t>
      </w:r>
      <w:r w:rsidR="00743D89" w:rsidRPr="005040A4">
        <w:rPr>
          <w:rStyle w:val="normaltextrun"/>
        </w:rPr>
        <w:t>’</w:t>
      </w:r>
      <w:r w:rsidRPr="005040A4">
        <w:rPr>
          <w:rStyle w:val="normaltextrun"/>
        </w:rPr>
        <w:t>Organisation, car elles servent à vérifier les indicateurs d</w:t>
      </w:r>
      <w:r w:rsidR="00743D89" w:rsidRPr="005040A4">
        <w:rPr>
          <w:rStyle w:val="normaltextrun"/>
        </w:rPr>
        <w:t>’</w:t>
      </w:r>
      <w:r w:rsidRPr="005040A4">
        <w:rPr>
          <w:rStyle w:val="normaltextrun"/>
        </w:rPr>
        <w:t>exécuti</w:t>
      </w:r>
      <w:r w:rsidR="005652C9" w:rsidRPr="005040A4">
        <w:rPr>
          <w:rStyle w:val="normaltextrun"/>
        </w:rPr>
        <w:t>on.  L’a</w:t>
      </w:r>
      <w:r w:rsidRPr="005040A4">
        <w:rPr>
          <w:rStyle w:val="normaltextrun"/>
        </w:rPr>
        <w:t>mélioration des taux de réponse aux enquêtes permettrait à l</w:t>
      </w:r>
      <w:r w:rsidR="00743D89" w:rsidRPr="005040A4">
        <w:rPr>
          <w:rStyle w:val="normaltextrun"/>
        </w:rPr>
        <w:t>’</w:t>
      </w:r>
      <w:r w:rsidRPr="005040A4">
        <w:rPr>
          <w:rStyle w:val="normaltextrun"/>
        </w:rPr>
        <w:t>Organisation de mieux comprendre l</w:t>
      </w:r>
      <w:r w:rsidR="00743D89" w:rsidRPr="005040A4">
        <w:rPr>
          <w:rStyle w:val="normaltextrun"/>
        </w:rPr>
        <w:t>’</w:t>
      </w:r>
      <w:r w:rsidRPr="005040A4">
        <w:rPr>
          <w:rStyle w:val="normaltextrun"/>
        </w:rPr>
        <w:t>évolution de la propriété intellectuelle, d</w:t>
      </w:r>
      <w:r w:rsidR="00743D89" w:rsidRPr="005040A4">
        <w:rPr>
          <w:rStyle w:val="normaltextrun"/>
        </w:rPr>
        <w:t>’</w:t>
      </w:r>
      <w:r w:rsidRPr="005040A4">
        <w:rPr>
          <w:rStyle w:val="normaltextrun"/>
        </w:rPr>
        <w:t>améliorer ses services et de jeter des fondements plus solides pour la mesure des indicateurs d</w:t>
      </w:r>
      <w:r w:rsidR="00743D89" w:rsidRPr="005040A4">
        <w:rPr>
          <w:rStyle w:val="normaltextrun"/>
        </w:rPr>
        <w:t>’</w:t>
      </w:r>
      <w:r w:rsidRPr="005040A4">
        <w:rPr>
          <w:rStyle w:val="normaltextrun"/>
        </w:rPr>
        <w:t>exécution.</w:t>
      </w:r>
    </w:p>
    <w:tbl>
      <w:tblPr>
        <w:tblW w:w="8364"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364"/>
      </w:tblGrid>
      <w:tr w:rsidR="00855109" w:rsidRPr="005040A4" w14:paraId="256931F3" w14:textId="77777777" w:rsidTr="00327509">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cPr>
          <w:p w14:paraId="375FCC75" w14:textId="058091F0" w:rsidR="00855109" w:rsidRPr="005040A4" w:rsidRDefault="00855109" w:rsidP="00E862E4">
            <w:pPr>
              <w:spacing w:before="81" w:after="81" w:line="280" w:lineRule="auto"/>
              <w:jc w:val="both"/>
              <w:rPr>
                <w:rFonts w:eastAsia="Times New Roman"/>
                <w:b/>
                <w:lang w:val="fr-FR"/>
              </w:rPr>
            </w:pPr>
            <w:r w:rsidRPr="005040A4">
              <w:rPr>
                <w:b/>
                <w:lang w:val="fr-FR"/>
              </w:rPr>
              <w:t>Recommandation n°</w:t>
            </w:r>
            <w:r w:rsidR="001B7F27" w:rsidRPr="005040A4">
              <w:rPr>
                <w:b/>
                <w:lang w:val="fr-FR"/>
              </w:rPr>
              <w:t> </w:t>
            </w:r>
            <w:r w:rsidRPr="005040A4">
              <w:rPr>
                <w:b/>
                <w:lang w:val="fr-FR"/>
              </w:rPr>
              <w:t>8</w:t>
            </w:r>
          </w:p>
          <w:p w14:paraId="7133768C" w14:textId="7E087FED" w:rsidR="00855109" w:rsidRPr="005040A4" w:rsidRDefault="00855109" w:rsidP="00E862E4">
            <w:pPr>
              <w:spacing w:before="81" w:after="81" w:line="280" w:lineRule="auto"/>
              <w:jc w:val="both"/>
              <w:rPr>
                <w:rStyle w:val="normaltextrun"/>
                <w:bCs/>
                <w:szCs w:val="22"/>
                <w:lang w:val="fr-FR"/>
              </w:rPr>
            </w:pPr>
            <w:r w:rsidRPr="005040A4">
              <w:rPr>
                <w:rStyle w:val="normaltextrun"/>
                <w:lang w:val="fr-FR"/>
              </w:rPr>
              <w:t>La BPK recommande à l</w:t>
            </w:r>
            <w:r w:rsidR="00743D89" w:rsidRPr="005040A4">
              <w:rPr>
                <w:rStyle w:val="normaltextrun"/>
                <w:lang w:val="fr-FR"/>
              </w:rPr>
              <w:t>’</w:t>
            </w:r>
            <w:r w:rsidRPr="005040A4">
              <w:rPr>
                <w:rStyle w:val="normaltextrun"/>
                <w:lang w:val="fr-FR"/>
              </w:rPr>
              <w:t>Organisation de procéder à une évaluation complète de ses procédures d</w:t>
            </w:r>
            <w:r w:rsidR="00743D89" w:rsidRPr="005040A4">
              <w:rPr>
                <w:rStyle w:val="normaltextrun"/>
                <w:lang w:val="fr-FR"/>
              </w:rPr>
              <w:t>’</w:t>
            </w:r>
            <w:r w:rsidRPr="005040A4">
              <w:rPr>
                <w:rStyle w:val="normaltextrun"/>
                <w:lang w:val="fr-FR"/>
              </w:rPr>
              <w:t>enquête, d</w:t>
            </w:r>
            <w:r w:rsidR="00743D89" w:rsidRPr="005040A4">
              <w:rPr>
                <w:rStyle w:val="normaltextrun"/>
                <w:lang w:val="fr-FR"/>
              </w:rPr>
              <w:t>’</w:t>
            </w:r>
            <w:r w:rsidRPr="005040A4">
              <w:rPr>
                <w:rStyle w:val="normaltextrun"/>
                <w:lang w:val="fr-FR"/>
              </w:rPr>
              <w:t>identifier les causes profondes des faibles taux de réponse et d</w:t>
            </w:r>
            <w:r w:rsidR="00743D89" w:rsidRPr="005040A4">
              <w:rPr>
                <w:rStyle w:val="normaltextrun"/>
                <w:lang w:val="fr-FR"/>
              </w:rPr>
              <w:t>’</w:t>
            </w:r>
            <w:r w:rsidRPr="005040A4">
              <w:rPr>
                <w:rStyle w:val="normaltextrun"/>
                <w:lang w:val="fr-FR"/>
              </w:rPr>
              <w:t>étudier les moyens d</w:t>
            </w:r>
            <w:r w:rsidR="00743D89" w:rsidRPr="005040A4">
              <w:rPr>
                <w:rStyle w:val="normaltextrun"/>
                <w:lang w:val="fr-FR"/>
              </w:rPr>
              <w:t>’</w:t>
            </w:r>
            <w:r w:rsidRPr="005040A4">
              <w:rPr>
                <w:rStyle w:val="normaltextrun"/>
                <w:lang w:val="fr-FR"/>
              </w:rPr>
              <w:t>y remédi</w:t>
            </w:r>
            <w:r w:rsidR="005652C9" w:rsidRPr="005040A4">
              <w:rPr>
                <w:rStyle w:val="normaltextrun"/>
                <w:lang w:val="fr-FR"/>
              </w:rPr>
              <w:t>er.  Le</w:t>
            </w:r>
            <w:r w:rsidRPr="005040A4">
              <w:rPr>
                <w:rStyle w:val="normaltextrun"/>
                <w:lang w:val="fr-FR"/>
              </w:rPr>
              <w:t>s stratégies possibles peuvent inclure, sans s</w:t>
            </w:r>
            <w:r w:rsidR="00743D89" w:rsidRPr="005040A4">
              <w:rPr>
                <w:rStyle w:val="normaltextrun"/>
                <w:lang w:val="fr-FR"/>
              </w:rPr>
              <w:t>’</w:t>
            </w:r>
            <w:r w:rsidRPr="005040A4">
              <w:rPr>
                <w:rStyle w:val="normaltextrun"/>
                <w:lang w:val="fr-FR"/>
              </w:rPr>
              <w:t>y limiter, les mesures suivantes</w:t>
            </w:r>
            <w:r w:rsidR="00743D89" w:rsidRPr="005040A4">
              <w:rPr>
                <w:rStyle w:val="normaltextrun"/>
                <w:lang w:val="fr-FR"/>
              </w:rPr>
              <w:t> :</w:t>
            </w:r>
          </w:p>
          <w:p w14:paraId="5E57D517" w14:textId="77777777" w:rsidR="00855109" w:rsidRPr="005040A4" w:rsidRDefault="00855109" w:rsidP="000057BC">
            <w:pPr>
              <w:pStyle w:val="ListParagraph"/>
              <w:numPr>
                <w:ilvl w:val="0"/>
                <w:numId w:val="25"/>
              </w:numPr>
              <w:rPr>
                <w:rStyle w:val="normaltextrun"/>
                <w:bCs/>
              </w:rPr>
            </w:pPr>
            <w:r w:rsidRPr="005040A4">
              <w:rPr>
                <w:rStyle w:val="normaltextrun"/>
              </w:rPr>
              <w:t>réduire au minimum le chevauchement des enquêtes afin de limiter la lassitude des personnes interrogées;</w:t>
            </w:r>
          </w:p>
          <w:p w14:paraId="6A96B37C" w14:textId="5C3BB427" w:rsidR="00855109" w:rsidRPr="005040A4" w:rsidRDefault="00855109" w:rsidP="000057BC">
            <w:pPr>
              <w:pStyle w:val="ListParagraph"/>
              <w:numPr>
                <w:ilvl w:val="0"/>
                <w:numId w:val="25"/>
              </w:numPr>
              <w:rPr>
                <w:rStyle w:val="normaltextrun"/>
                <w:bCs/>
              </w:rPr>
            </w:pPr>
            <w:r w:rsidRPr="005040A4">
              <w:rPr>
                <w:rStyle w:val="normaltextrun"/>
              </w:rPr>
              <w:t>améliorer le calendrier afin d</w:t>
            </w:r>
            <w:r w:rsidR="00743D89" w:rsidRPr="005040A4">
              <w:rPr>
                <w:rStyle w:val="normaltextrun"/>
              </w:rPr>
              <w:t>’</w:t>
            </w:r>
            <w:r w:rsidRPr="005040A4">
              <w:rPr>
                <w:rStyle w:val="normaltextrun"/>
              </w:rPr>
              <w:t>éviter le lancement simultané de plusieurs enquêtes;</w:t>
            </w:r>
          </w:p>
          <w:p w14:paraId="32709DF9" w14:textId="77777777" w:rsidR="00855109" w:rsidRPr="005040A4" w:rsidRDefault="00855109" w:rsidP="000057BC">
            <w:pPr>
              <w:pStyle w:val="ListParagraph"/>
              <w:numPr>
                <w:ilvl w:val="0"/>
                <w:numId w:val="25"/>
              </w:numPr>
              <w:rPr>
                <w:rStyle w:val="normaltextrun"/>
              </w:rPr>
            </w:pPr>
            <w:r w:rsidRPr="005040A4">
              <w:rPr>
                <w:rStyle w:val="normaltextrun"/>
              </w:rPr>
              <w:t>renforcer les mesures de suivi afin de favoriser des taux de réponse plus élevés.</w:t>
            </w:r>
          </w:p>
        </w:tc>
      </w:tr>
      <w:tr w:rsidR="00855109" w:rsidRPr="005040A4" w14:paraId="370B9F1B" w14:textId="77777777" w:rsidTr="00327509">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cPr>
          <w:p w14:paraId="7D893419" w14:textId="762D7A96" w:rsidR="00743D89" w:rsidRPr="005040A4" w:rsidRDefault="00855109" w:rsidP="00E862E4">
            <w:pPr>
              <w:spacing w:before="81" w:after="81" w:line="280" w:lineRule="auto"/>
              <w:jc w:val="both"/>
              <w:rPr>
                <w:b/>
                <w:lang w:val="fr-FR"/>
              </w:rPr>
            </w:pPr>
            <w:r w:rsidRPr="005040A4">
              <w:rPr>
                <w:b/>
                <w:lang w:val="fr-FR"/>
              </w:rPr>
              <w:t>Réponse de la direction</w:t>
            </w:r>
            <w:r w:rsidR="00743D89" w:rsidRPr="005040A4">
              <w:rPr>
                <w:b/>
                <w:lang w:val="fr-FR"/>
              </w:rPr>
              <w:t> :</w:t>
            </w:r>
          </w:p>
          <w:p w14:paraId="11E1D915" w14:textId="77777777" w:rsidR="00743D89" w:rsidRPr="005040A4" w:rsidRDefault="00855109" w:rsidP="00E862E4">
            <w:pPr>
              <w:spacing w:before="81" w:after="81" w:line="280" w:lineRule="auto"/>
              <w:jc w:val="both"/>
              <w:rPr>
                <w:rStyle w:val="normaltextrun"/>
                <w:lang w:val="fr-FR"/>
              </w:rPr>
            </w:pPr>
            <w:r w:rsidRPr="005040A4">
              <w:rPr>
                <w:rStyle w:val="normaltextrun"/>
                <w:lang w:val="fr-FR"/>
              </w:rPr>
              <w:t>La direction souscrit à cette recommandation et collaborera avec la DSI pour la mettre en œuvre.</w:t>
            </w:r>
          </w:p>
          <w:p w14:paraId="5D94F86F" w14:textId="020DDC25" w:rsidR="00855109" w:rsidRPr="005040A4" w:rsidRDefault="00855109" w:rsidP="00E862E4">
            <w:pPr>
              <w:spacing w:before="81" w:after="81" w:line="280" w:lineRule="auto"/>
              <w:jc w:val="both"/>
              <w:rPr>
                <w:rFonts w:eastAsia="Times New Roman"/>
                <w:lang w:val="fr-FR"/>
              </w:rPr>
            </w:pPr>
            <w:r w:rsidRPr="005040A4">
              <w:rPr>
                <w:rStyle w:val="normaltextrun"/>
                <w:lang w:val="fr-FR"/>
              </w:rPr>
              <w:t>La recommandation devrait être mise en œuvre d</w:t>
            </w:r>
            <w:r w:rsidR="00743D89" w:rsidRPr="005040A4">
              <w:rPr>
                <w:rStyle w:val="normaltextrun"/>
                <w:lang w:val="fr-FR"/>
              </w:rPr>
              <w:t>’</w:t>
            </w:r>
            <w:r w:rsidRPr="005040A4">
              <w:rPr>
                <w:rStyle w:val="normaltextrun"/>
                <w:lang w:val="fr-FR"/>
              </w:rPr>
              <w:t>ici le 31 décembre 2026.</w:t>
            </w:r>
          </w:p>
        </w:tc>
      </w:tr>
    </w:tbl>
    <w:p w14:paraId="6D4BAE06" w14:textId="77777777" w:rsidR="00855109" w:rsidRPr="005040A4" w:rsidRDefault="00855109" w:rsidP="00E862E4">
      <w:pPr>
        <w:rPr>
          <w:lang w:val="fr-FR"/>
        </w:rPr>
      </w:pPr>
      <w:r w:rsidRPr="005040A4">
        <w:rPr>
          <w:lang w:val="fr-FR"/>
        </w:rPr>
        <w:br w:type="page"/>
      </w:r>
    </w:p>
    <w:p w14:paraId="0B5FFEDD" w14:textId="77777777" w:rsidR="00855109" w:rsidRPr="005040A4" w:rsidRDefault="00855109" w:rsidP="00715B40">
      <w:pPr>
        <w:pStyle w:val="Heading3"/>
      </w:pPr>
      <w:bookmarkStart w:id="110" w:name="_Toc199153505"/>
      <w:r w:rsidRPr="005040A4">
        <w:lastRenderedPageBreak/>
        <w:t>Mise en œuvre des recommandations figurant dans les précédents rapports des vérificateurs externes des comptes</w:t>
      </w:r>
      <w:bookmarkEnd w:id="110"/>
    </w:p>
    <w:p w14:paraId="7BFDCC08" w14:textId="2A7721AB" w:rsidR="00743D89" w:rsidRPr="005040A4" w:rsidRDefault="00855109" w:rsidP="000057BC">
      <w:pPr>
        <w:pStyle w:val="ListParagraph"/>
      </w:pPr>
      <w:r w:rsidRPr="005040A4">
        <w:t>Lors de la vérification des états financiers pour l</w:t>
      </w:r>
      <w:r w:rsidR="00743D89" w:rsidRPr="005040A4">
        <w:t>’</w:t>
      </w:r>
      <w:r w:rsidRPr="005040A4">
        <w:t>exercice 2024, la BPK a examiné l</w:t>
      </w:r>
      <w:r w:rsidR="00743D89" w:rsidRPr="005040A4">
        <w:t>’</w:t>
      </w:r>
      <w:r w:rsidRPr="005040A4">
        <w:t>état d</w:t>
      </w:r>
      <w:r w:rsidR="00743D89" w:rsidRPr="005040A4">
        <w:t>’</w:t>
      </w:r>
      <w:r w:rsidRPr="005040A4">
        <w:t>avancement de la mise en œuvre de six recommandations formulées dans les rapports des vérificateurs externes des comptes entre 2018 et 2023.</w:t>
      </w:r>
    </w:p>
    <w:p w14:paraId="79F7481E" w14:textId="560AB019" w:rsidR="00743D89" w:rsidRPr="005040A4" w:rsidRDefault="00855109" w:rsidP="000057BC">
      <w:pPr>
        <w:pStyle w:val="ListParagraph"/>
        <w:rPr>
          <w:color w:val="0D0D0D" w:themeColor="text1" w:themeTint="F2"/>
        </w:rPr>
      </w:pPr>
      <w:r w:rsidRPr="005040A4">
        <w:t>Au 31 mars 2025 (date des travaux de vérification sur place), sur les 34 recommandations formulées entre 2018 et 2023, 31 (91,2%) avaient été pleinement mises en œuv</w:t>
      </w:r>
      <w:r w:rsidR="005652C9" w:rsidRPr="005040A4">
        <w:t>re.  Tr</w:t>
      </w:r>
      <w:r w:rsidRPr="005040A4">
        <w:t>ois</w:t>
      </w:r>
      <w:r w:rsidR="001B7F27" w:rsidRPr="005040A4">
        <w:t> </w:t>
      </w:r>
      <w:r w:rsidRPr="005040A4">
        <w:rPr>
          <w:color w:val="0D0D0D" w:themeColor="text1" w:themeTint="F2"/>
        </w:rPr>
        <w:t xml:space="preserve">recommandations </w:t>
      </w:r>
      <w:r w:rsidR="00743D89" w:rsidRPr="005040A4">
        <w:rPr>
          <w:color w:val="0D0D0D" w:themeColor="text1" w:themeTint="F2"/>
        </w:rPr>
        <w:t>de 2022</w:t>
      </w:r>
      <w:r w:rsidRPr="005040A4">
        <w:rPr>
          <w:color w:val="0D0D0D" w:themeColor="text1" w:themeTint="F2"/>
        </w:rPr>
        <w:t xml:space="preserve"> (8,8%) demeuraient en cou</w:t>
      </w:r>
      <w:r w:rsidR="005652C9" w:rsidRPr="005040A4">
        <w:rPr>
          <w:color w:val="0D0D0D" w:themeColor="text1" w:themeTint="F2"/>
        </w:rPr>
        <w:t>rs.  Le</w:t>
      </w:r>
      <w:r w:rsidRPr="005040A4">
        <w:rPr>
          <w:color w:val="0D0D0D" w:themeColor="text1" w:themeTint="F2"/>
        </w:rPr>
        <w:t xml:space="preserve"> tableau ci</w:t>
      </w:r>
      <w:r w:rsidR="00C249FA" w:rsidRPr="005040A4">
        <w:rPr>
          <w:color w:val="0D0D0D" w:themeColor="text1" w:themeTint="F2"/>
        </w:rPr>
        <w:noBreakHyphen/>
      </w:r>
      <w:r w:rsidRPr="005040A4">
        <w:rPr>
          <w:color w:val="0D0D0D" w:themeColor="text1" w:themeTint="F2"/>
        </w:rPr>
        <w:t>après présente des informations détaillées sur l</w:t>
      </w:r>
      <w:r w:rsidR="00743D89" w:rsidRPr="005040A4">
        <w:rPr>
          <w:color w:val="0D0D0D" w:themeColor="text1" w:themeTint="F2"/>
        </w:rPr>
        <w:t>’</w:t>
      </w:r>
      <w:r w:rsidRPr="005040A4">
        <w:rPr>
          <w:color w:val="0D0D0D" w:themeColor="text1" w:themeTint="F2"/>
        </w:rPr>
        <w:t>état d</w:t>
      </w:r>
      <w:r w:rsidR="00743D89" w:rsidRPr="005040A4">
        <w:rPr>
          <w:color w:val="0D0D0D" w:themeColor="text1" w:themeTint="F2"/>
        </w:rPr>
        <w:t>’</w:t>
      </w:r>
      <w:r w:rsidRPr="005040A4">
        <w:rPr>
          <w:color w:val="0D0D0D" w:themeColor="text1" w:themeTint="F2"/>
        </w:rPr>
        <w:t>avancement de la mise en œuvre.</w:t>
      </w:r>
    </w:p>
    <w:p w14:paraId="7CD35383" w14:textId="42957E24" w:rsidR="00855109" w:rsidRPr="005040A4" w:rsidRDefault="00855109" w:rsidP="005908BF">
      <w:pPr>
        <w:pStyle w:val="Caption"/>
        <w:keepNext/>
        <w:spacing w:after="120"/>
        <w:ind w:left="1134"/>
        <w:jc w:val="center"/>
        <w:rPr>
          <w:b w:val="0"/>
          <w:bCs w:val="0"/>
          <w:i/>
          <w:iCs/>
          <w:color w:val="000000" w:themeColor="text1"/>
          <w:lang w:val="fr-FR"/>
        </w:rPr>
      </w:pPr>
      <w:bookmarkStart w:id="111" w:name="_Toc197089140"/>
      <w:bookmarkStart w:id="112" w:name="_Toc199138717"/>
      <w:r w:rsidRPr="005040A4">
        <w:rPr>
          <w:color w:val="000000" w:themeColor="text1"/>
          <w:lang w:val="fr-FR"/>
        </w:rPr>
        <w:t>Tableau </w:t>
      </w:r>
      <w:r w:rsidRPr="005040A4">
        <w:rPr>
          <w:b w:val="0"/>
          <w:i/>
          <w:color w:val="000000" w:themeColor="text1"/>
          <w:lang w:val="fr-FR"/>
        </w:rPr>
        <w:fldChar w:fldCharType="begin"/>
      </w:r>
      <w:r w:rsidRPr="005040A4">
        <w:rPr>
          <w:color w:val="000000" w:themeColor="text1"/>
          <w:lang w:val="fr-FR"/>
        </w:rPr>
        <w:instrText xml:space="preserve"> SEQ Table \* ARABIC </w:instrText>
      </w:r>
      <w:r w:rsidRPr="005040A4">
        <w:rPr>
          <w:b w:val="0"/>
          <w:i/>
          <w:color w:val="000000" w:themeColor="text1"/>
          <w:lang w:val="fr-FR"/>
        </w:rPr>
        <w:fldChar w:fldCharType="separate"/>
      </w:r>
      <w:r w:rsidR="00C90090">
        <w:rPr>
          <w:noProof/>
          <w:color w:val="000000" w:themeColor="text1"/>
          <w:lang w:val="fr-FR"/>
        </w:rPr>
        <w:t>3</w:t>
      </w:r>
      <w:r w:rsidRPr="005040A4">
        <w:rPr>
          <w:b w:val="0"/>
          <w:i/>
          <w:color w:val="000000" w:themeColor="text1"/>
          <w:lang w:val="fr-FR"/>
        </w:rPr>
        <w:fldChar w:fldCharType="end"/>
      </w:r>
      <w:r w:rsidRPr="005040A4">
        <w:rPr>
          <w:color w:val="000000" w:themeColor="text1"/>
          <w:lang w:val="fr-FR"/>
        </w:rPr>
        <w:t xml:space="preserve">. </w:t>
      </w:r>
      <w:r w:rsidR="001B7F27" w:rsidRPr="005040A4">
        <w:rPr>
          <w:color w:val="000000" w:themeColor="text1"/>
          <w:lang w:val="fr-FR"/>
        </w:rPr>
        <w:t xml:space="preserve"> </w:t>
      </w:r>
      <w:r w:rsidRPr="005040A4">
        <w:rPr>
          <w:color w:val="000000" w:themeColor="text1"/>
          <w:lang w:val="fr-FR"/>
        </w:rPr>
        <w:t>Récapitulatif de l</w:t>
      </w:r>
      <w:r w:rsidR="00743D89" w:rsidRPr="005040A4">
        <w:rPr>
          <w:color w:val="000000" w:themeColor="text1"/>
          <w:lang w:val="fr-FR"/>
        </w:rPr>
        <w:t>’</w:t>
      </w:r>
      <w:r w:rsidRPr="005040A4">
        <w:rPr>
          <w:color w:val="000000" w:themeColor="text1"/>
          <w:lang w:val="fr-FR"/>
        </w:rPr>
        <w:t>état d</w:t>
      </w:r>
      <w:r w:rsidR="00743D89" w:rsidRPr="005040A4">
        <w:rPr>
          <w:color w:val="000000" w:themeColor="text1"/>
          <w:lang w:val="fr-FR"/>
        </w:rPr>
        <w:t>’</w:t>
      </w:r>
      <w:r w:rsidRPr="005040A4">
        <w:rPr>
          <w:color w:val="000000" w:themeColor="text1"/>
          <w:lang w:val="fr-FR"/>
        </w:rPr>
        <w:t>avancement de la mise en œuvre des recommandations des</w:t>
      </w:r>
      <w:r w:rsidR="00663D09">
        <w:rPr>
          <w:color w:val="000000" w:themeColor="text1"/>
          <w:lang w:val="fr-FR"/>
        </w:rPr>
        <w:t> </w:t>
      </w:r>
      <w:r w:rsidRPr="005040A4">
        <w:rPr>
          <w:color w:val="000000" w:themeColor="text1"/>
          <w:lang w:val="fr-FR"/>
        </w:rPr>
        <w:t>vérifications externes des comptes des années précédentes</w:t>
      </w:r>
      <w:bookmarkEnd w:id="111"/>
      <w:bookmarkEnd w:id="112"/>
    </w:p>
    <w:tbl>
      <w:tblPr>
        <w:tblW w:w="8685" w:type="dxa"/>
        <w:tblInd w:w="8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4"/>
        <w:gridCol w:w="1358"/>
        <w:gridCol w:w="872"/>
        <w:gridCol w:w="624"/>
        <w:gridCol w:w="1390"/>
        <w:gridCol w:w="1394"/>
        <w:gridCol w:w="635"/>
        <w:gridCol w:w="1394"/>
        <w:gridCol w:w="514"/>
      </w:tblGrid>
      <w:tr w:rsidR="00855109" w:rsidRPr="005040A4" w14:paraId="09D14AE7" w14:textId="77777777" w:rsidTr="00663D09">
        <w:trPr>
          <w:trHeight w:val="300"/>
        </w:trPr>
        <w:tc>
          <w:tcPr>
            <w:tcW w:w="504"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5237C186" w14:textId="77777777" w:rsidR="00855109" w:rsidRPr="005040A4" w:rsidRDefault="00855109" w:rsidP="00E862E4">
            <w:pPr>
              <w:spacing w:before="60"/>
              <w:jc w:val="center"/>
              <w:textAlignment w:val="baseline"/>
              <w:rPr>
                <w:rFonts w:eastAsia="Times New Roman"/>
                <w:sz w:val="16"/>
                <w:szCs w:val="16"/>
                <w:lang w:val="fr-FR"/>
              </w:rPr>
            </w:pPr>
            <w:r w:rsidRPr="005040A4">
              <w:rPr>
                <w:b/>
                <w:sz w:val="16"/>
                <w:lang w:val="fr-FR"/>
              </w:rPr>
              <w:t>Année</w:t>
            </w:r>
          </w:p>
        </w:tc>
        <w:tc>
          <w:tcPr>
            <w:tcW w:w="1358"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4008121D" w14:textId="77777777" w:rsidR="00855109" w:rsidRPr="005040A4" w:rsidRDefault="00855109" w:rsidP="00E862E4">
            <w:pPr>
              <w:spacing w:before="60"/>
              <w:jc w:val="center"/>
              <w:rPr>
                <w:rFonts w:eastAsia="Times New Roman"/>
                <w:sz w:val="16"/>
                <w:szCs w:val="16"/>
                <w:lang w:val="fr-FR"/>
              </w:rPr>
            </w:pPr>
            <w:r w:rsidRPr="005040A4">
              <w:rPr>
                <w:b/>
                <w:sz w:val="16"/>
                <w:lang w:val="fr-FR"/>
              </w:rPr>
              <w:t>Total</w:t>
            </w:r>
          </w:p>
          <w:p w14:paraId="10ABB39C" w14:textId="77777777" w:rsidR="00855109" w:rsidRPr="005040A4" w:rsidRDefault="00855109" w:rsidP="00E862E4">
            <w:pPr>
              <w:spacing w:before="60"/>
              <w:jc w:val="center"/>
              <w:textAlignment w:val="baseline"/>
              <w:rPr>
                <w:rFonts w:eastAsia="Times New Roman"/>
                <w:sz w:val="16"/>
                <w:szCs w:val="16"/>
                <w:lang w:val="fr-FR"/>
              </w:rPr>
            </w:pPr>
            <w:r w:rsidRPr="005040A4">
              <w:rPr>
                <w:b/>
                <w:sz w:val="16"/>
                <w:lang w:val="fr-FR"/>
              </w:rPr>
              <w:t>Recommandation</w:t>
            </w:r>
          </w:p>
        </w:tc>
        <w:tc>
          <w:tcPr>
            <w:tcW w:w="1496" w:type="dxa"/>
            <w:gridSpan w:val="2"/>
            <w:tcBorders>
              <w:top w:val="single" w:sz="6" w:space="0" w:color="auto"/>
              <w:left w:val="single" w:sz="6" w:space="0" w:color="auto"/>
              <w:bottom w:val="single" w:sz="6" w:space="0" w:color="auto"/>
              <w:right w:val="single" w:sz="6" w:space="0" w:color="auto"/>
            </w:tcBorders>
            <w:shd w:val="clear" w:color="auto" w:fill="D9E2F3"/>
            <w:vAlign w:val="center"/>
            <w:hideMark/>
          </w:tcPr>
          <w:p w14:paraId="26162FAE" w14:textId="77777777" w:rsidR="00855109" w:rsidRPr="005040A4" w:rsidRDefault="00855109" w:rsidP="00E862E4">
            <w:pPr>
              <w:spacing w:before="60"/>
              <w:ind w:left="102"/>
              <w:jc w:val="center"/>
              <w:textAlignment w:val="baseline"/>
              <w:rPr>
                <w:rFonts w:eastAsia="Times New Roman"/>
                <w:sz w:val="16"/>
                <w:szCs w:val="16"/>
                <w:lang w:val="fr-FR"/>
              </w:rPr>
            </w:pPr>
            <w:r w:rsidRPr="005040A4">
              <w:rPr>
                <w:b/>
                <w:sz w:val="16"/>
                <w:lang w:val="fr-FR"/>
              </w:rPr>
              <w:t>Au 31 décembre 2023</w:t>
            </w:r>
          </w:p>
        </w:tc>
        <w:tc>
          <w:tcPr>
            <w:tcW w:w="1390"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3C2FEF0B" w14:textId="68260F6E" w:rsidR="00855109" w:rsidRPr="005040A4" w:rsidRDefault="00855109" w:rsidP="00E862E4">
            <w:pPr>
              <w:spacing w:before="60"/>
              <w:ind w:left="117" w:right="113"/>
              <w:jc w:val="center"/>
              <w:textAlignment w:val="baseline"/>
              <w:rPr>
                <w:rFonts w:eastAsia="Times New Roman"/>
                <w:sz w:val="16"/>
                <w:szCs w:val="16"/>
                <w:lang w:val="fr-FR"/>
              </w:rPr>
            </w:pPr>
            <w:r w:rsidRPr="005040A4">
              <w:rPr>
                <w:b/>
                <w:sz w:val="16"/>
                <w:lang w:val="fr-FR"/>
              </w:rPr>
              <w:t>Mise en œuvre entre le</w:t>
            </w:r>
            <w:r w:rsidR="00743D89" w:rsidRPr="005040A4">
              <w:rPr>
                <w:b/>
                <w:sz w:val="16"/>
                <w:lang w:val="fr-FR"/>
              </w:rPr>
              <w:t xml:space="preserve"> 1</w:t>
            </w:r>
            <w:r w:rsidR="00743D89" w:rsidRPr="005040A4">
              <w:rPr>
                <w:b/>
                <w:sz w:val="16"/>
                <w:vertAlign w:val="superscript"/>
                <w:lang w:val="fr-FR"/>
              </w:rPr>
              <w:t>er</w:t>
            </w:r>
            <w:r w:rsidR="00743D89" w:rsidRPr="005040A4">
              <w:rPr>
                <w:b/>
                <w:sz w:val="16"/>
                <w:lang w:val="fr-FR"/>
              </w:rPr>
              <w:t> janvier 20</w:t>
            </w:r>
            <w:r w:rsidRPr="005040A4">
              <w:rPr>
                <w:b/>
                <w:sz w:val="16"/>
                <w:lang w:val="fr-FR"/>
              </w:rPr>
              <w:t>24 et le 31 mars 2025</w:t>
            </w:r>
          </w:p>
        </w:tc>
        <w:tc>
          <w:tcPr>
            <w:tcW w:w="3937" w:type="dxa"/>
            <w:gridSpan w:val="4"/>
            <w:tcBorders>
              <w:top w:val="single" w:sz="6" w:space="0" w:color="auto"/>
              <w:left w:val="single" w:sz="6" w:space="0" w:color="auto"/>
              <w:bottom w:val="single" w:sz="6" w:space="0" w:color="auto"/>
              <w:right w:val="single" w:sz="6" w:space="0" w:color="auto"/>
            </w:tcBorders>
            <w:shd w:val="clear" w:color="auto" w:fill="D9E2F3"/>
            <w:vAlign w:val="center"/>
            <w:hideMark/>
          </w:tcPr>
          <w:p w14:paraId="15F241C1" w14:textId="77777777" w:rsidR="00855109" w:rsidRPr="005040A4" w:rsidRDefault="00855109" w:rsidP="00E862E4">
            <w:pPr>
              <w:spacing w:before="60"/>
              <w:jc w:val="center"/>
              <w:textAlignment w:val="baseline"/>
              <w:rPr>
                <w:rFonts w:eastAsia="Times New Roman"/>
                <w:sz w:val="16"/>
                <w:szCs w:val="16"/>
                <w:lang w:val="fr-FR"/>
              </w:rPr>
            </w:pPr>
            <w:r w:rsidRPr="005040A4">
              <w:rPr>
                <w:b/>
                <w:sz w:val="16"/>
                <w:lang w:val="fr-FR"/>
              </w:rPr>
              <w:t>Au 31 mars 2025</w:t>
            </w:r>
          </w:p>
        </w:tc>
      </w:tr>
      <w:tr w:rsidR="00855109" w:rsidRPr="005040A4" w14:paraId="367CE259" w14:textId="77777777" w:rsidTr="00663D09">
        <w:trPr>
          <w:trHeight w:val="300"/>
        </w:trPr>
        <w:tc>
          <w:tcPr>
            <w:tcW w:w="50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D3345D4" w14:textId="77777777" w:rsidR="00855109" w:rsidRPr="005040A4" w:rsidRDefault="00855109" w:rsidP="00E862E4">
            <w:pPr>
              <w:spacing w:before="60"/>
              <w:jc w:val="center"/>
              <w:rPr>
                <w:rFonts w:eastAsia="Times New Roman"/>
                <w:sz w:val="16"/>
                <w:szCs w:val="16"/>
                <w:lang w:val="fr-FR"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0A9B8C" w14:textId="77777777" w:rsidR="00855109" w:rsidRPr="005040A4" w:rsidRDefault="00855109" w:rsidP="00E862E4">
            <w:pPr>
              <w:spacing w:before="60"/>
              <w:jc w:val="center"/>
              <w:rPr>
                <w:rFonts w:eastAsia="Times New Roman"/>
                <w:sz w:val="16"/>
                <w:szCs w:val="16"/>
                <w:lang w:val="fr-FR" w:eastAsia="en-GB"/>
              </w:rPr>
            </w:pPr>
          </w:p>
        </w:tc>
        <w:tc>
          <w:tcPr>
            <w:tcW w:w="872"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78FE3946" w14:textId="77777777" w:rsidR="00855109" w:rsidRPr="005040A4" w:rsidRDefault="00855109" w:rsidP="00E862E4">
            <w:pPr>
              <w:spacing w:before="60"/>
              <w:jc w:val="center"/>
              <w:textAlignment w:val="baseline"/>
              <w:rPr>
                <w:rFonts w:eastAsia="Times New Roman"/>
                <w:sz w:val="16"/>
                <w:szCs w:val="16"/>
                <w:lang w:val="fr-FR"/>
              </w:rPr>
            </w:pPr>
            <w:r w:rsidRPr="005040A4">
              <w:rPr>
                <w:b/>
                <w:sz w:val="16"/>
                <w:lang w:val="fr-FR"/>
              </w:rPr>
              <w:t>Mise en œuvre</w:t>
            </w:r>
          </w:p>
        </w:tc>
        <w:tc>
          <w:tcPr>
            <w:tcW w:w="624" w:type="dxa"/>
            <w:vMerge w:val="restart"/>
            <w:tcBorders>
              <w:top w:val="single" w:sz="6" w:space="0" w:color="auto"/>
              <w:left w:val="single" w:sz="6" w:space="0" w:color="auto"/>
              <w:bottom w:val="single" w:sz="6" w:space="0" w:color="auto"/>
              <w:right w:val="single" w:sz="6" w:space="0" w:color="auto"/>
            </w:tcBorders>
            <w:shd w:val="clear" w:color="auto" w:fill="D9E2F3"/>
            <w:vAlign w:val="center"/>
            <w:hideMark/>
          </w:tcPr>
          <w:p w14:paraId="4BE83687" w14:textId="77777777" w:rsidR="00855109" w:rsidRPr="005040A4" w:rsidRDefault="00855109" w:rsidP="00E862E4">
            <w:pPr>
              <w:spacing w:before="60"/>
              <w:jc w:val="center"/>
              <w:textAlignment w:val="baseline"/>
              <w:rPr>
                <w:rFonts w:eastAsia="Times New Roman"/>
                <w:sz w:val="16"/>
                <w:szCs w:val="16"/>
                <w:lang w:val="fr-FR"/>
              </w:rPr>
            </w:pPr>
            <w:r w:rsidRPr="005040A4">
              <w:rPr>
                <w:b/>
                <w:sz w:val="16"/>
                <w:lang w:val="fr-FR"/>
              </w:rPr>
              <w:t>En cours</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680BBE0" w14:textId="77777777" w:rsidR="00855109" w:rsidRPr="005040A4" w:rsidRDefault="00855109" w:rsidP="00E862E4">
            <w:pPr>
              <w:spacing w:before="60"/>
              <w:jc w:val="center"/>
              <w:rPr>
                <w:rFonts w:eastAsia="Times New Roman"/>
                <w:sz w:val="16"/>
                <w:szCs w:val="16"/>
                <w:lang w:val="fr-FR" w:eastAsia="en-GB"/>
              </w:rPr>
            </w:pPr>
          </w:p>
        </w:tc>
        <w:tc>
          <w:tcPr>
            <w:tcW w:w="2029" w:type="dxa"/>
            <w:gridSpan w:val="2"/>
            <w:tcBorders>
              <w:top w:val="single" w:sz="6" w:space="0" w:color="auto"/>
              <w:left w:val="single" w:sz="6" w:space="0" w:color="auto"/>
              <w:bottom w:val="single" w:sz="6" w:space="0" w:color="auto"/>
              <w:right w:val="single" w:sz="6" w:space="0" w:color="auto"/>
            </w:tcBorders>
            <w:shd w:val="clear" w:color="auto" w:fill="D9E2F3"/>
            <w:vAlign w:val="center"/>
            <w:hideMark/>
          </w:tcPr>
          <w:p w14:paraId="33B44A41" w14:textId="77777777" w:rsidR="00855109" w:rsidRPr="005040A4" w:rsidRDefault="00855109" w:rsidP="00E862E4">
            <w:pPr>
              <w:spacing w:before="60"/>
              <w:jc w:val="center"/>
              <w:textAlignment w:val="baseline"/>
              <w:rPr>
                <w:rFonts w:eastAsia="Times New Roman"/>
                <w:sz w:val="16"/>
                <w:szCs w:val="16"/>
                <w:lang w:val="fr-FR"/>
              </w:rPr>
            </w:pPr>
            <w:r w:rsidRPr="005040A4">
              <w:rPr>
                <w:b/>
                <w:sz w:val="16"/>
                <w:lang w:val="fr-FR"/>
              </w:rPr>
              <w:t>Mise en œuvre</w:t>
            </w:r>
          </w:p>
        </w:tc>
        <w:tc>
          <w:tcPr>
            <w:tcW w:w="1908" w:type="dxa"/>
            <w:gridSpan w:val="2"/>
            <w:tcBorders>
              <w:top w:val="single" w:sz="6" w:space="0" w:color="auto"/>
              <w:left w:val="single" w:sz="6" w:space="0" w:color="auto"/>
              <w:bottom w:val="single" w:sz="6" w:space="0" w:color="auto"/>
              <w:right w:val="single" w:sz="6" w:space="0" w:color="auto"/>
            </w:tcBorders>
            <w:shd w:val="clear" w:color="auto" w:fill="D9E2F3"/>
            <w:vAlign w:val="center"/>
            <w:hideMark/>
          </w:tcPr>
          <w:p w14:paraId="26917D33" w14:textId="77777777" w:rsidR="00855109" w:rsidRPr="005040A4" w:rsidRDefault="00855109" w:rsidP="00E862E4">
            <w:pPr>
              <w:spacing w:before="60"/>
              <w:jc w:val="center"/>
              <w:textAlignment w:val="baseline"/>
              <w:rPr>
                <w:rFonts w:eastAsia="Times New Roman"/>
                <w:sz w:val="16"/>
                <w:szCs w:val="16"/>
                <w:lang w:val="fr-FR"/>
              </w:rPr>
            </w:pPr>
            <w:r w:rsidRPr="005040A4">
              <w:rPr>
                <w:b/>
                <w:sz w:val="16"/>
                <w:lang w:val="fr-FR"/>
              </w:rPr>
              <w:t>En cours</w:t>
            </w:r>
          </w:p>
        </w:tc>
      </w:tr>
      <w:tr w:rsidR="00855109" w:rsidRPr="005040A4" w14:paraId="5766CE33" w14:textId="77777777" w:rsidTr="00663D09">
        <w:trPr>
          <w:trHeight w:val="300"/>
        </w:trPr>
        <w:tc>
          <w:tcPr>
            <w:tcW w:w="50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0043B7C" w14:textId="77777777" w:rsidR="00855109" w:rsidRPr="005040A4" w:rsidRDefault="00855109" w:rsidP="00E862E4">
            <w:pPr>
              <w:spacing w:before="60"/>
              <w:jc w:val="center"/>
              <w:rPr>
                <w:rFonts w:eastAsia="Times New Roman"/>
                <w:sz w:val="16"/>
                <w:szCs w:val="16"/>
                <w:lang w:val="fr-FR"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D6AE500" w14:textId="77777777" w:rsidR="00855109" w:rsidRPr="005040A4" w:rsidRDefault="00855109" w:rsidP="00E862E4">
            <w:pPr>
              <w:spacing w:before="60"/>
              <w:jc w:val="center"/>
              <w:rPr>
                <w:rFonts w:eastAsia="Times New Roman"/>
                <w:sz w:val="16"/>
                <w:szCs w:val="16"/>
                <w:lang w:val="fr-FR"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8E03300" w14:textId="77777777" w:rsidR="00855109" w:rsidRPr="005040A4" w:rsidRDefault="00855109" w:rsidP="00E862E4">
            <w:pPr>
              <w:spacing w:before="60"/>
              <w:jc w:val="center"/>
              <w:rPr>
                <w:rFonts w:eastAsia="Times New Roman"/>
                <w:sz w:val="16"/>
                <w:szCs w:val="16"/>
                <w:lang w:val="fr-FR"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C116689" w14:textId="77777777" w:rsidR="00855109" w:rsidRPr="005040A4" w:rsidRDefault="00855109" w:rsidP="00E862E4">
            <w:pPr>
              <w:spacing w:before="60"/>
              <w:jc w:val="center"/>
              <w:rPr>
                <w:rFonts w:eastAsia="Times New Roman"/>
                <w:sz w:val="16"/>
                <w:szCs w:val="16"/>
                <w:lang w:val="fr-FR"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2975FF4" w14:textId="77777777" w:rsidR="00855109" w:rsidRPr="005040A4" w:rsidRDefault="00855109" w:rsidP="00E862E4">
            <w:pPr>
              <w:spacing w:before="60"/>
              <w:jc w:val="center"/>
              <w:rPr>
                <w:rFonts w:eastAsia="Times New Roman"/>
                <w:sz w:val="16"/>
                <w:szCs w:val="16"/>
                <w:lang w:val="fr-FR" w:eastAsia="en-GB"/>
              </w:rPr>
            </w:pPr>
          </w:p>
        </w:tc>
        <w:tc>
          <w:tcPr>
            <w:tcW w:w="139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16C5F9F7" w14:textId="77777777" w:rsidR="00743D89" w:rsidRPr="005040A4" w:rsidRDefault="00855109" w:rsidP="00E862E4">
            <w:pPr>
              <w:spacing w:before="60"/>
              <w:jc w:val="center"/>
              <w:textAlignment w:val="baseline"/>
              <w:rPr>
                <w:b/>
                <w:sz w:val="16"/>
                <w:lang w:val="fr-FR"/>
              </w:rPr>
            </w:pPr>
            <w:r w:rsidRPr="005040A4">
              <w:rPr>
                <w:b/>
                <w:sz w:val="16"/>
                <w:lang w:val="fr-FR"/>
              </w:rPr>
              <w:t>Nombre de</w:t>
            </w:r>
          </w:p>
          <w:p w14:paraId="0608E737" w14:textId="6D5952AF" w:rsidR="00855109" w:rsidRPr="005040A4" w:rsidRDefault="00855109" w:rsidP="00E862E4">
            <w:pPr>
              <w:spacing w:before="60"/>
              <w:jc w:val="center"/>
              <w:textAlignment w:val="baseline"/>
              <w:rPr>
                <w:rFonts w:eastAsia="Times New Roman"/>
                <w:sz w:val="16"/>
                <w:szCs w:val="16"/>
                <w:lang w:val="fr-FR"/>
              </w:rPr>
            </w:pPr>
            <w:r w:rsidRPr="005040A4">
              <w:rPr>
                <w:b/>
                <w:sz w:val="16"/>
                <w:lang w:val="fr-FR"/>
              </w:rPr>
              <w:t>recommandations</w:t>
            </w:r>
          </w:p>
        </w:tc>
        <w:tc>
          <w:tcPr>
            <w:tcW w:w="635"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1E9ACF45" w14:textId="77777777" w:rsidR="00855109" w:rsidRPr="005040A4" w:rsidRDefault="00855109" w:rsidP="00E862E4">
            <w:pPr>
              <w:spacing w:before="60"/>
              <w:jc w:val="center"/>
              <w:textAlignment w:val="baseline"/>
              <w:rPr>
                <w:rFonts w:eastAsia="Times New Roman"/>
                <w:sz w:val="16"/>
                <w:szCs w:val="16"/>
                <w:lang w:val="fr-FR"/>
              </w:rPr>
            </w:pPr>
            <w:r w:rsidRPr="005040A4">
              <w:rPr>
                <w:b/>
                <w:sz w:val="16"/>
                <w:lang w:val="fr-FR"/>
              </w:rPr>
              <w:t>%</w:t>
            </w:r>
          </w:p>
        </w:tc>
        <w:tc>
          <w:tcPr>
            <w:tcW w:w="139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340E5CF0" w14:textId="77777777" w:rsidR="00855109" w:rsidRPr="005040A4" w:rsidRDefault="00855109" w:rsidP="00E862E4">
            <w:pPr>
              <w:spacing w:before="60"/>
              <w:jc w:val="center"/>
              <w:textAlignment w:val="baseline"/>
              <w:rPr>
                <w:rFonts w:eastAsia="Times New Roman"/>
                <w:sz w:val="16"/>
                <w:szCs w:val="16"/>
                <w:lang w:val="fr-FR"/>
              </w:rPr>
            </w:pPr>
            <w:r w:rsidRPr="005040A4">
              <w:rPr>
                <w:b/>
                <w:sz w:val="16"/>
                <w:lang w:val="fr-FR"/>
              </w:rPr>
              <w:t>Nombre de recommandations</w:t>
            </w:r>
          </w:p>
        </w:tc>
        <w:tc>
          <w:tcPr>
            <w:tcW w:w="51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261038FB" w14:textId="77777777" w:rsidR="00855109" w:rsidRPr="005040A4" w:rsidRDefault="00855109" w:rsidP="00E862E4">
            <w:pPr>
              <w:spacing w:before="60"/>
              <w:jc w:val="center"/>
              <w:textAlignment w:val="baseline"/>
              <w:rPr>
                <w:rFonts w:eastAsia="Times New Roman"/>
                <w:sz w:val="16"/>
                <w:szCs w:val="16"/>
                <w:lang w:val="fr-FR"/>
              </w:rPr>
            </w:pPr>
            <w:r w:rsidRPr="005040A4">
              <w:rPr>
                <w:b/>
                <w:sz w:val="16"/>
                <w:lang w:val="fr-FR"/>
              </w:rPr>
              <w:t>%</w:t>
            </w:r>
          </w:p>
        </w:tc>
      </w:tr>
      <w:tr w:rsidR="00855109" w:rsidRPr="005040A4" w14:paraId="52AC133B" w14:textId="77777777" w:rsidTr="00663D09">
        <w:trPr>
          <w:trHeight w:val="300"/>
        </w:trPr>
        <w:tc>
          <w:tcPr>
            <w:tcW w:w="5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014C47" w14:textId="77777777"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2023</w:t>
            </w:r>
          </w:p>
        </w:tc>
        <w:tc>
          <w:tcPr>
            <w:tcW w:w="13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D7F9CA" w14:textId="11D923D7"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0</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96847D" w14:textId="18594E37"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0</w:t>
            </w:r>
          </w:p>
        </w:tc>
        <w:tc>
          <w:tcPr>
            <w:tcW w:w="6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657B8B" w14:textId="4F9C509F"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0</w:t>
            </w:r>
          </w:p>
        </w:tc>
        <w:tc>
          <w:tcPr>
            <w:tcW w:w="1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412596" w14:textId="297FCD19"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0</w:t>
            </w:r>
          </w:p>
        </w:tc>
        <w:tc>
          <w:tcPr>
            <w:tcW w:w="1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4BDE22" w14:textId="117A353E"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0</w:t>
            </w:r>
          </w:p>
        </w:tc>
        <w:tc>
          <w:tcPr>
            <w:tcW w:w="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9594BE" w14:textId="77777777" w:rsidR="00855109" w:rsidRPr="005040A4" w:rsidRDefault="00855109" w:rsidP="00E862E4">
            <w:pPr>
              <w:spacing w:before="60"/>
              <w:jc w:val="right"/>
              <w:textAlignment w:val="baseline"/>
              <w:rPr>
                <w:rFonts w:eastAsia="Times New Roman"/>
                <w:sz w:val="16"/>
                <w:szCs w:val="16"/>
                <w:lang w:val="fr-FR"/>
              </w:rPr>
            </w:pPr>
            <w:r w:rsidRPr="005040A4">
              <w:rPr>
                <w:sz w:val="16"/>
                <w:lang w:val="fr-FR"/>
              </w:rPr>
              <w:t>100,0% </w:t>
            </w:r>
          </w:p>
        </w:tc>
        <w:tc>
          <w:tcPr>
            <w:tcW w:w="1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78276C" w14:textId="351A48CA"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0</w:t>
            </w:r>
          </w:p>
        </w:tc>
        <w:tc>
          <w:tcPr>
            <w:tcW w:w="5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8D3160" w14:textId="6E4F3F9B" w:rsidR="00855109" w:rsidRPr="005040A4" w:rsidRDefault="00855109" w:rsidP="00E862E4">
            <w:pPr>
              <w:spacing w:before="60"/>
              <w:jc w:val="right"/>
              <w:textAlignment w:val="baseline"/>
              <w:rPr>
                <w:rFonts w:eastAsia="Times New Roman"/>
                <w:sz w:val="16"/>
                <w:szCs w:val="16"/>
                <w:lang w:val="fr-FR"/>
              </w:rPr>
            </w:pPr>
            <w:r w:rsidRPr="005040A4">
              <w:rPr>
                <w:sz w:val="16"/>
                <w:lang w:val="fr-FR"/>
              </w:rPr>
              <w:t>0,0%</w:t>
            </w:r>
          </w:p>
        </w:tc>
      </w:tr>
      <w:tr w:rsidR="00855109" w:rsidRPr="005040A4" w14:paraId="08D38D92" w14:textId="77777777" w:rsidTr="00663D09">
        <w:trPr>
          <w:trHeight w:val="300"/>
        </w:trPr>
        <w:tc>
          <w:tcPr>
            <w:tcW w:w="5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6A92BB" w14:textId="77777777"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2022</w:t>
            </w:r>
          </w:p>
        </w:tc>
        <w:tc>
          <w:tcPr>
            <w:tcW w:w="13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8BD0AC" w14:textId="5240A13B"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6</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D12DEE" w14:textId="43211AC9" w:rsidR="00855109" w:rsidRPr="005040A4" w:rsidRDefault="006B3229" w:rsidP="00E862E4">
            <w:pPr>
              <w:spacing w:before="60"/>
              <w:jc w:val="center"/>
              <w:textAlignment w:val="baseline"/>
              <w:rPr>
                <w:rFonts w:eastAsia="Times New Roman"/>
                <w:sz w:val="16"/>
                <w:szCs w:val="16"/>
                <w:lang w:val="fr-FR"/>
              </w:rPr>
            </w:pPr>
            <w:r>
              <w:rPr>
                <w:rFonts w:eastAsia="Times New Roman"/>
                <w:sz w:val="16"/>
                <w:szCs w:val="16"/>
                <w:lang w:val="fr-FR"/>
              </w:rPr>
              <w:t>1</w:t>
            </w:r>
          </w:p>
        </w:tc>
        <w:tc>
          <w:tcPr>
            <w:tcW w:w="6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DBB5F6" w14:textId="0ECE32A1"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5</w:t>
            </w:r>
          </w:p>
        </w:tc>
        <w:tc>
          <w:tcPr>
            <w:tcW w:w="1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E0888B" w14:textId="714CC71E"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2</w:t>
            </w:r>
          </w:p>
        </w:tc>
        <w:tc>
          <w:tcPr>
            <w:tcW w:w="1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E2FEBB" w14:textId="005329E0"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3</w:t>
            </w:r>
          </w:p>
        </w:tc>
        <w:tc>
          <w:tcPr>
            <w:tcW w:w="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533BA7" w14:textId="77777777" w:rsidR="00855109" w:rsidRPr="005040A4" w:rsidRDefault="00855109" w:rsidP="00E862E4">
            <w:pPr>
              <w:spacing w:before="60"/>
              <w:jc w:val="right"/>
              <w:textAlignment w:val="baseline"/>
              <w:rPr>
                <w:rFonts w:eastAsia="Times New Roman"/>
                <w:sz w:val="16"/>
                <w:szCs w:val="16"/>
                <w:lang w:val="fr-FR"/>
              </w:rPr>
            </w:pPr>
            <w:r w:rsidRPr="005040A4">
              <w:rPr>
                <w:sz w:val="16"/>
                <w:lang w:val="fr-FR"/>
              </w:rPr>
              <w:t>50,0% </w:t>
            </w:r>
          </w:p>
        </w:tc>
        <w:tc>
          <w:tcPr>
            <w:tcW w:w="1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2448EA" w14:textId="4C672AE1"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3</w:t>
            </w:r>
          </w:p>
        </w:tc>
        <w:tc>
          <w:tcPr>
            <w:tcW w:w="5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0E0B47" w14:textId="714813EB" w:rsidR="00855109" w:rsidRPr="005040A4" w:rsidRDefault="00855109" w:rsidP="00E862E4">
            <w:pPr>
              <w:spacing w:before="60"/>
              <w:jc w:val="right"/>
              <w:textAlignment w:val="baseline"/>
              <w:rPr>
                <w:rFonts w:eastAsia="Times New Roman"/>
                <w:sz w:val="16"/>
                <w:szCs w:val="16"/>
                <w:lang w:val="fr-FR"/>
              </w:rPr>
            </w:pPr>
            <w:r w:rsidRPr="005040A4">
              <w:rPr>
                <w:sz w:val="16"/>
                <w:lang w:val="fr-FR"/>
              </w:rPr>
              <w:t>50,0%</w:t>
            </w:r>
          </w:p>
        </w:tc>
      </w:tr>
      <w:tr w:rsidR="00855109" w:rsidRPr="005040A4" w14:paraId="480F8F25" w14:textId="77777777" w:rsidTr="00663D09">
        <w:trPr>
          <w:trHeight w:val="300"/>
        </w:trPr>
        <w:tc>
          <w:tcPr>
            <w:tcW w:w="5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EAC75F" w14:textId="77777777"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2021</w:t>
            </w:r>
          </w:p>
        </w:tc>
        <w:tc>
          <w:tcPr>
            <w:tcW w:w="13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EF5D3A" w14:textId="14764222"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2</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D8727A" w14:textId="0DD4BE65"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1</w:t>
            </w:r>
          </w:p>
        </w:tc>
        <w:tc>
          <w:tcPr>
            <w:tcW w:w="6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ACAE8D" w14:textId="6D631FF7"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1</w:t>
            </w:r>
          </w:p>
        </w:tc>
        <w:tc>
          <w:tcPr>
            <w:tcW w:w="1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B13735" w14:textId="738C8810"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1</w:t>
            </w:r>
          </w:p>
        </w:tc>
        <w:tc>
          <w:tcPr>
            <w:tcW w:w="1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9FB9E2" w14:textId="682C234D"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2</w:t>
            </w:r>
          </w:p>
        </w:tc>
        <w:tc>
          <w:tcPr>
            <w:tcW w:w="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AACD78" w14:textId="77777777" w:rsidR="00855109" w:rsidRPr="005040A4" w:rsidRDefault="00855109" w:rsidP="00E862E4">
            <w:pPr>
              <w:spacing w:before="60"/>
              <w:jc w:val="right"/>
              <w:textAlignment w:val="baseline"/>
              <w:rPr>
                <w:rFonts w:eastAsia="Times New Roman"/>
                <w:sz w:val="16"/>
                <w:szCs w:val="16"/>
                <w:lang w:val="fr-FR"/>
              </w:rPr>
            </w:pPr>
            <w:r w:rsidRPr="005040A4">
              <w:rPr>
                <w:sz w:val="16"/>
                <w:lang w:val="fr-FR"/>
              </w:rPr>
              <w:t>100,0% </w:t>
            </w:r>
          </w:p>
        </w:tc>
        <w:tc>
          <w:tcPr>
            <w:tcW w:w="1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99618B" w14:textId="2CE4E051"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0</w:t>
            </w:r>
          </w:p>
        </w:tc>
        <w:tc>
          <w:tcPr>
            <w:tcW w:w="5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3FC905" w14:textId="75310CE3" w:rsidR="00855109" w:rsidRPr="005040A4" w:rsidRDefault="00855109" w:rsidP="00E862E4">
            <w:pPr>
              <w:spacing w:before="60"/>
              <w:jc w:val="right"/>
              <w:textAlignment w:val="baseline"/>
              <w:rPr>
                <w:rFonts w:eastAsia="Times New Roman"/>
                <w:sz w:val="16"/>
                <w:szCs w:val="16"/>
                <w:lang w:val="fr-FR"/>
              </w:rPr>
            </w:pPr>
            <w:r w:rsidRPr="005040A4">
              <w:rPr>
                <w:sz w:val="16"/>
                <w:lang w:val="fr-FR"/>
              </w:rPr>
              <w:t>0,0%</w:t>
            </w:r>
          </w:p>
        </w:tc>
      </w:tr>
      <w:tr w:rsidR="00855109" w:rsidRPr="005040A4" w14:paraId="1B5AE089" w14:textId="77777777" w:rsidTr="00663D09">
        <w:trPr>
          <w:trHeight w:val="300"/>
        </w:trPr>
        <w:tc>
          <w:tcPr>
            <w:tcW w:w="5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F35F7A" w14:textId="77777777"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2020</w:t>
            </w:r>
          </w:p>
        </w:tc>
        <w:tc>
          <w:tcPr>
            <w:tcW w:w="13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A28769" w14:textId="17D3C2D5"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3</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31BAE8" w14:textId="3DAF6C26"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3</w:t>
            </w:r>
          </w:p>
        </w:tc>
        <w:tc>
          <w:tcPr>
            <w:tcW w:w="6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DC488C" w14:textId="3ACDBBCE" w:rsidR="00855109" w:rsidRPr="005040A4" w:rsidRDefault="006B3229" w:rsidP="00E862E4">
            <w:pPr>
              <w:spacing w:before="60"/>
              <w:jc w:val="center"/>
              <w:textAlignment w:val="baseline"/>
              <w:rPr>
                <w:rFonts w:eastAsia="Times New Roman"/>
                <w:sz w:val="16"/>
                <w:szCs w:val="16"/>
                <w:lang w:val="fr-FR"/>
              </w:rPr>
            </w:pPr>
            <w:r>
              <w:rPr>
                <w:rFonts w:eastAsia="Times New Roman"/>
                <w:sz w:val="16"/>
                <w:szCs w:val="16"/>
                <w:lang w:val="fr-FR"/>
              </w:rPr>
              <w:t>0</w:t>
            </w:r>
          </w:p>
        </w:tc>
        <w:tc>
          <w:tcPr>
            <w:tcW w:w="1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D7FCD8" w14:textId="305CCF61"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0</w:t>
            </w:r>
          </w:p>
        </w:tc>
        <w:tc>
          <w:tcPr>
            <w:tcW w:w="1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0BF071" w14:textId="38DBED52"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3</w:t>
            </w:r>
          </w:p>
        </w:tc>
        <w:tc>
          <w:tcPr>
            <w:tcW w:w="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13F034" w14:textId="77777777" w:rsidR="00855109" w:rsidRPr="005040A4" w:rsidRDefault="00855109" w:rsidP="00E862E4">
            <w:pPr>
              <w:spacing w:before="60"/>
              <w:jc w:val="right"/>
              <w:textAlignment w:val="baseline"/>
              <w:rPr>
                <w:rFonts w:eastAsia="Times New Roman"/>
                <w:sz w:val="16"/>
                <w:szCs w:val="16"/>
                <w:lang w:val="fr-FR"/>
              </w:rPr>
            </w:pPr>
            <w:r w:rsidRPr="005040A4">
              <w:rPr>
                <w:sz w:val="16"/>
                <w:lang w:val="fr-FR"/>
              </w:rPr>
              <w:t>100,0% </w:t>
            </w:r>
          </w:p>
        </w:tc>
        <w:tc>
          <w:tcPr>
            <w:tcW w:w="1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F2A380" w14:textId="637E5073"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0</w:t>
            </w:r>
          </w:p>
        </w:tc>
        <w:tc>
          <w:tcPr>
            <w:tcW w:w="5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775093" w14:textId="75C85DAB" w:rsidR="00855109" w:rsidRPr="005040A4" w:rsidRDefault="00855109" w:rsidP="00E862E4">
            <w:pPr>
              <w:spacing w:before="60"/>
              <w:jc w:val="right"/>
              <w:textAlignment w:val="baseline"/>
              <w:rPr>
                <w:rFonts w:eastAsia="Times New Roman"/>
                <w:sz w:val="16"/>
                <w:szCs w:val="16"/>
                <w:lang w:val="fr-FR"/>
              </w:rPr>
            </w:pPr>
            <w:r w:rsidRPr="005040A4">
              <w:rPr>
                <w:sz w:val="16"/>
                <w:lang w:val="fr-FR"/>
              </w:rPr>
              <w:t>0,0%</w:t>
            </w:r>
          </w:p>
        </w:tc>
      </w:tr>
      <w:tr w:rsidR="00855109" w:rsidRPr="005040A4" w14:paraId="51038EE5" w14:textId="77777777" w:rsidTr="00663D09">
        <w:trPr>
          <w:trHeight w:val="300"/>
        </w:trPr>
        <w:tc>
          <w:tcPr>
            <w:tcW w:w="5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64A60A" w14:textId="77777777"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2019</w:t>
            </w:r>
          </w:p>
        </w:tc>
        <w:tc>
          <w:tcPr>
            <w:tcW w:w="13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427EF0" w14:textId="6653D8B3"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7</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0C8498" w14:textId="6A0EF47C"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7</w:t>
            </w:r>
          </w:p>
        </w:tc>
        <w:tc>
          <w:tcPr>
            <w:tcW w:w="6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479907" w14:textId="48A92DDF"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0</w:t>
            </w:r>
          </w:p>
        </w:tc>
        <w:tc>
          <w:tcPr>
            <w:tcW w:w="1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C68B45" w14:textId="26EC1405"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0</w:t>
            </w:r>
          </w:p>
        </w:tc>
        <w:tc>
          <w:tcPr>
            <w:tcW w:w="1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D994DB" w14:textId="56954DF1"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7 </w:t>
            </w:r>
          </w:p>
        </w:tc>
        <w:tc>
          <w:tcPr>
            <w:tcW w:w="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3077A4" w14:textId="0EDE05F9" w:rsidR="00855109" w:rsidRPr="00327509" w:rsidRDefault="00855109" w:rsidP="00327509">
            <w:pPr>
              <w:spacing w:before="60"/>
              <w:jc w:val="right"/>
              <w:textAlignment w:val="baseline"/>
              <w:rPr>
                <w:sz w:val="16"/>
                <w:lang w:val="fr-FR"/>
              </w:rPr>
            </w:pPr>
            <w:r w:rsidRPr="005040A4">
              <w:rPr>
                <w:sz w:val="16"/>
                <w:lang w:val="fr-FR"/>
              </w:rPr>
              <w:t>100,0% </w:t>
            </w:r>
          </w:p>
        </w:tc>
        <w:tc>
          <w:tcPr>
            <w:tcW w:w="1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6A9F81" w14:textId="7F9A3FF5"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0</w:t>
            </w:r>
          </w:p>
        </w:tc>
        <w:tc>
          <w:tcPr>
            <w:tcW w:w="5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75D1EE" w14:textId="22BE570B" w:rsidR="00855109" w:rsidRPr="005040A4" w:rsidRDefault="00855109" w:rsidP="00E862E4">
            <w:pPr>
              <w:spacing w:before="60"/>
              <w:jc w:val="right"/>
              <w:textAlignment w:val="baseline"/>
              <w:rPr>
                <w:rFonts w:eastAsia="Times New Roman"/>
                <w:sz w:val="16"/>
                <w:szCs w:val="16"/>
                <w:lang w:val="fr-FR"/>
              </w:rPr>
            </w:pPr>
            <w:r w:rsidRPr="005040A4">
              <w:rPr>
                <w:sz w:val="16"/>
                <w:lang w:val="fr-FR"/>
              </w:rPr>
              <w:t>0,0%</w:t>
            </w:r>
          </w:p>
        </w:tc>
      </w:tr>
      <w:tr w:rsidR="00855109" w:rsidRPr="005040A4" w14:paraId="2BFDA825" w14:textId="77777777" w:rsidTr="00663D09">
        <w:trPr>
          <w:trHeight w:val="300"/>
        </w:trPr>
        <w:tc>
          <w:tcPr>
            <w:tcW w:w="5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8DD590" w14:textId="77777777"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2018</w:t>
            </w:r>
          </w:p>
        </w:tc>
        <w:tc>
          <w:tcPr>
            <w:tcW w:w="13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46BE25" w14:textId="442F7604"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16</w:t>
            </w:r>
          </w:p>
        </w:tc>
        <w:tc>
          <w:tcPr>
            <w:tcW w:w="8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F95A33" w14:textId="73AEC3D2"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16</w:t>
            </w:r>
          </w:p>
        </w:tc>
        <w:tc>
          <w:tcPr>
            <w:tcW w:w="6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061850" w14:textId="38A6BAE3"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0</w:t>
            </w:r>
          </w:p>
        </w:tc>
        <w:tc>
          <w:tcPr>
            <w:tcW w:w="1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DFA156" w14:textId="49C8D8C9"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0</w:t>
            </w:r>
          </w:p>
        </w:tc>
        <w:tc>
          <w:tcPr>
            <w:tcW w:w="1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3D25C8" w14:textId="15CF8E5D"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16 </w:t>
            </w:r>
          </w:p>
        </w:tc>
        <w:tc>
          <w:tcPr>
            <w:tcW w:w="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DF0C59" w14:textId="7697E424" w:rsidR="00855109" w:rsidRPr="005040A4" w:rsidRDefault="00855109" w:rsidP="00E862E4">
            <w:pPr>
              <w:spacing w:before="60"/>
              <w:jc w:val="right"/>
              <w:textAlignment w:val="baseline"/>
              <w:rPr>
                <w:rFonts w:eastAsia="Times New Roman"/>
                <w:sz w:val="16"/>
                <w:szCs w:val="16"/>
                <w:lang w:val="fr-FR"/>
              </w:rPr>
            </w:pPr>
            <w:r w:rsidRPr="005040A4">
              <w:rPr>
                <w:sz w:val="16"/>
                <w:lang w:val="fr-FR"/>
              </w:rPr>
              <w:t>100,0% </w:t>
            </w:r>
          </w:p>
        </w:tc>
        <w:tc>
          <w:tcPr>
            <w:tcW w:w="1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E98FFF" w14:textId="6F1AB2EE" w:rsidR="00855109" w:rsidRPr="005040A4" w:rsidRDefault="00855109" w:rsidP="00E862E4">
            <w:pPr>
              <w:spacing w:before="60"/>
              <w:jc w:val="center"/>
              <w:textAlignment w:val="baseline"/>
              <w:rPr>
                <w:rFonts w:eastAsia="Times New Roman"/>
                <w:sz w:val="16"/>
                <w:szCs w:val="16"/>
                <w:lang w:val="fr-FR"/>
              </w:rPr>
            </w:pPr>
            <w:r w:rsidRPr="005040A4">
              <w:rPr>
                <w:sz w:val="16"/>
                <w:lang w:val="fr-FR"/>
              </w:rPr>
              <w:t>0</w:t>
            </w:r>
          </w:p>
        </w:tc>
        <w:tc>
          <w:tcPr>
            <w:tcW w:w="5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45F611" w14:textId="7B1E0674" w:rsidR="00855109" w:rsidRPr="005040A4" w:rsidRDefault="00855109" w:rsidP="00E862E4">
            <w:pPr>
              <w:spacing w:before="60"/>
              <w:jc w:val="right"/>
              <w:textAlignment w:val="baseline"/>
              <w:rPr>
                <w:rFonts w:eastAsia="Times New Roman"/>
                <w:sz w:val="16"/>
                <w:szCs w:val="16"/>
                <w:lang w:val="fr-FR"/>
              </w:rPr>
            </w:pPr>
            <w:r w:rsidRPr="005040A4">
              <w:rPr>
                <w:sz w:val="16"/>
                <w:lang w:val="fr-FR"/>
              </w:rPr>
              <w:t>0,0%</w:t>
            </w:r>
          </w:p>
        </w:tc>
      </w:tr>
      <w:tr w:rsidR="00855109" w:rsidRPr="005040A4" w14:paraId="13D77679" w14:textId="77777777" w:rsidTr="00663D09">
        <w:trPr>
          <w:trHeight w:val="300"/>
        </w:trPr>
        <w:tc>
          <w:tcPr>
            <w:tcW w:w="50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3D284F3C" w14:textId="77777777" w:rsidR="00855109" w:rsidRPr="005040A4" w:rsidRDefault="00855109" w:rsidP="00E862E4">
            <w:pPr>
              <w:spacing w:before="60"/>
              <w:jc w:val="center"/>
              <w:textAlignment w:val="baseline"/>
              <w:rPr>
                <w:rFonts w:eastAsia="Times New Roman"/>
                <w:sz w:val="16"/>
                <w:szCs w:val="16"/>
                <w:lang w:val="fr-FR"/>
              </w:rPr>
            </w:pPr>
            <w:r w:rsidRPr="005040A4">
              <w:rPr>
                <w:b/>
                <w:sz w:val="16"/>
                <w:lang w:val="fr-FR"/>
              </w:rPr>
              <w:t>Total</w:t>
            </w:r>
          </w:p>
        </w:tc>
        <w:tc>
          <w:tcPr>
            <w:tcW w:w="1358"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4E7488B0" w14:textId="0C2393C6" w:rsidR="00855109" w:rsidRPr="005040A4" w:rsidRDefault="00855109" w:rsidP="00E862E4">
            <w:pPr>
              <w:spacing w:before="60"/>
              <w:jc w:val="center"/>
              <w:textAlignment w:val="baseline"/>
              <w:rPr>
                <w:rFonts w:eastAsia="Times New Roman"/>
                <w:sz w:val="16"/>
                <w:szCs w:val="16"/>
                <w:lang w:val="fr-FR"/>
              </w:rPr>
            </w:pPr>
            <w:r w:rsidRPr="005040A4">
              <w:rPr>
                <w:b/>
                <w:sz w:val="16"/>
                <w:lang w:val="fr-FR"/>
              </w:rPr>
              <w:t>34</w:t>
            </w:r>
          </w:p>
        </w:tc>
        <w:tc>
          <w:tcPr>
            <w:tcW w:w="872"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67ACA43F" w14:textId="3AC0F590" w:rsidR="00855109" w:rsidRPr="005040A4" w:rsidRDefault="00855109" w:rsidP="00E862E4">
            <w:pPr>
              <w:spacing w:before="60"/>
              <w:jc w:val="center"/>
              <w:textAlignment w:val="baseline"/>
              <w:rPr>
                <w:rFonts w:eastAsia="Times New Roman"/>
                <w:sz w:val="16"/>
                <w:szCs w:val="16"/>
                <w:lang w:val="fr-FR"/>
              </w:rPr>
            </w:pPr>
            <w:r w:rsidRPr="005040A4">
              <w:rPr>
                <w:b/>
                <w:sz w:val="16"/>
                <w:lang w:val="fr-FR"/>
              </w:rPr>
              <w:t>28</w:t>
            </w:r>
          </w:p>
        </w:tc>
        <w:tc>
          <w:tcPr>
            <w:tcW w:w="62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6525FCB2" w14:textId="07A52F6A" w:rsidR="00855109" w:rsidRPr="005040A4" w:rsidRDefault="00855109" w:rsidP="00E862E4">
            <w:pPr>
              <w:spacing w:before="60"/>
              <w:jc w:val="center"/>
              <w:textAlignment w:val="baseline"/>
              <w:rPr>
                <w:rFonts w:eastAsia="Times New Roman"/>
                <w:sz w:val="16"/>
                <w:szCs w:val="16"/>
                <w:lang w:val="fr-FR"/>
              </w:rPr>
            </w:pPr>
            <w:r w:rsidRPr="005040A4">
              <w:rPr>
                <w:b/>
                <w:sz w:val="16"/>
                <w:lang w:val="fr-FR"/>
              </w:rPr>
              <w:t>6</w:t>
            </w:r>
          </w:p>
        </w:tc>
        <w:tc>
          <w:tcPr>
            <w:tcW w:w="1390"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7D5C2382" w14:textId="4200B642" w:rsidR="00855109" w:rsidRPr="005040A4" w:rsidRDefault="00855109" w:rsidP="00E862E4">
            <w:pPr>
              <w:spacing w:before="60"/>
              <w:jc w:val="center"/>
              <w:textAlignment w:val="baseline"/>
              <w:rPr>
                <w:rFonts w:eastAsia="Times New Roman"/>
                <w:b/>
                <w:bCs/>
                <w:sz w:val="16"/>
                <w:szCs w:val="16"/>
                <w:lang w:val="fr-FR"/>
              </w:rPr>
            </w:pPr>
            <w:r w:rsidRPr="005040A4">
              <w:rPr>
                <w:b/>
                <w:sz w:val="16"/>
                <w:lang w:val="fr-FR"/>
              </w:rPr>
              <w:t>3</w:t>
            </w:r>
          </w:p>
        </w:tc>
        <w:tc>
          <w:tcPr>
            <w:tcW w:w="139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52CB332D" w14:textId="4BE8CEF2" w:rsidR="00855109" w:rsidRPr="005040A4" w:rsidRDefault="00855109" w:rsidP="00E862E4">
            <w:pPr>
              <w:spacing w:before="60"/>
              <w:jc w:val="center"/>
              <w:textAlignment w:val="baseline"/>
              <w:rPr>
                <w:rFonts w:eastAsia="Times New Roman"/>
                <w:b/>
                <w:bCs/>
                <w:sz w:val="16"/>
                <w:szCs w:val="16"/>
                <w:lang w:val="fr-FR"/>
              </w:rPr>
            </w:pPr>
            <w:r w:rsidRPr="005040A4">
              <w:rPr>
                <w:b/>
                <w:sz w:val="16"/>
                <w:lang w:val="fr-FR"/>
              </w:rPr>
              <w:t>31</w:t>
            </w:r>
          </w:p>
        </w:tc>
        <w:tc>
          <w:tcPr>
            <w:tcW w:w="635"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5877366A" w14:textId="7636BB0D" w:rsidR="00855109" w:rsidRPr="005040A4" w:rsidRDefault="00855109" w:rsidP="00E862E4">
            <w:pPr>
              <w:spacing w:before="60"/>
              <w:jc w:val="right"/>
              <w:textAlignment w:val="baseline"/>
              <w:rPr>
                <w:rFonts w:eastAsia="Times New Roman"/>
                <w:sz w:val="16"/>
                <w:szCs w:val="16"/>
                <w:lang w:val="fr-FR"/>
              </w:rPr>
            </w:pPr>
            <w:r w:rsidRPr="005040A4">
              <w:rPr>
                <w:b/>
                <w:sz w:val="16"/>
                <w:lang w:val="fr-FR"/>
              </w:rPr>
              <w:t>91,2%</w:t>
            </w:r>
            <w:r w:rsidRPr="005040A4">
              <w:rPr>
                <w:sz w:val="16"/>
                <w:lang w:val="fr-FR"/>
              </w:rPr>
              <w:t> </w:t>
            </w:r>
          </w:p>
        </w:tc>
        <w:tc>
          <w:tcPr>
            <w:tcW w:w="139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706F5E04" w14:textId="77777777" w:rsidR="00855109" w:rsidRPr="005040A4" w:rsidRDefault="00855109" w:rsidP="00E862E4">
            <w:pPr>
              <w:spacing w:before="60"/>
              <w:jc w:val="center"/>
              <w:textAlignment w:val="baseline"/>
              <w:rPr>
                <w:rFonts w:eastAsia="Times New Roman"/>
                <w:b/>
                <w:bCs/>
                <w:sz w:val="16"/>
                <w:szCs w:val="16"/>
                <w:lang w:val="fr-FR"/>
              </w:rPr>
            </w:pPr>
            <w:r w:rsidRPr="005040A4">
              <w:rPr>
                <w:b/>
                <w:sz w:val="16"/>
                <w:lang w:val="fr-FR"/>
              </w:rPr>
              <w:t>3</w:t>
            </w:r>
          </w:p>
        </w:tc>
        <w:tc>
          <w:tcPr>
            <w:tcW w:w="514"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7B76B3AA" w14:textId="49EA7897" w:rsidR="00855109" w:rsidRPr="005040A4" w:rsidRDefault="00855109" w:rsidP="00E862E4">
            <w:pPr>
              <w:spacing w:before="60"/>
              <w:jc w:val="right"/>
              <w:textAlignment w:val="baseline"/>
              <w:rPr>
                <w:rFonts w:eastAsia="Times New Roman"/>
                <w:sz w:val="16"/>
                <w:szCs w:val="16"/>
                <w:lang w:val="fr-FR"/>
              </w:rPr>
            </w:pPr>
            <w:r w:rsidRPr="005040A4">
              <w:rPr>
                <w:b/>
                <w:sz w:val="16"/>
                <w:lang w:val="fr-FR"/>
              </w:rPr>
              <w:t>8,8%</w:t>
            </w:r>
          </w:p>
        </w:tc>
      </w:tr>
    </w:tbl>
    <w:p w14:paraId="3B496333" w14:textId="4EB0B8BB" w:rsidR="00855109" w:rsidRPr="006B3229" w:rsidRDefault="00855109" w:rsidP="00663D09">
      <w:pPr>
        <w:pStyle w:val="ListParagraph"/>
        <w:spacing w:before="240"/>
      </w:pPr>
      <w:r w:rsidRPr="005040A4">
        <w:t>La BPK salue les progrès globaux accomplis dans la mise en œuvre et la clôture des précédentes recommandations et reconnaît les progrès continus réalisés dans la mise en œuvre des recommandations en suspe</w:t>
      </w:r>
      <w:r w:rsidR="005652C9" w:rsidRPr="005040A4">
        <w:t>ns.  Tr</w:t>
      </w:r>
      <w:r w:rsidRPr="005040A4">
        <w:t>ois</w:t>
      </w:r>
      <w:r w:rsidR="001B7F27" w:rsidRPr="005040A4">
        <w:t> </w:t>
      </w:r>
      <w:r w:rsidRPr="005040A4">
        <w:rPr>
          <w:color w:val="0D0D0D" w:themeColor="text1" w:themeTint="F2"/>
        </w:rPr>
        <w:t>recommandations en cours de mise en œuvre sont liées au rapport du vérificateur externe des comptes de 2022 et devraient être mises en œuvre d</w:t>
      </w:r>
      <w:r w:rsidR="00743D89" w:rsidRPr="005040A4">
        <w:rPr>
          <w:color w:val="0D0D0D" w:themeColor="text1" w:themeTint="F2"/>
        </w:rPr>
        <w:t>’</w:t>
      </w:r>
      <w:r w:rsidRPr="005040A4">
        <w:rPr>
          <w:color w:val="0D0D0D" w:themeColor="text1" w:themeTint="F2"/>
        </w:rPr>
        <w:t xml:space="preserve">ici au 31 décembre 2025. </w:t>
      </w:r>
      <w:r w:rsidR="001B7F27" w:rsidRPr="005040A4">
        <w:rPr>
          <w:color w:val="0D0D0D" w:themeColor="text1" w:themeTint="F2"/>
        </w:rPr>
        <w:t xml:space="preserve"> </w:t>
      </w:r>
      <w:r w:rsidRPr="005040A4">
        <w:rPr>
          <w:color w:val="0D0D0D" w:themeColor="text1" w:themeTint="F2"/>
        </w:rPr>
        <w:t>Les informations détaillées sont présentées en annexe </w:t>
      </w:r>
      <w:r w:rsidR="00663D09">
        <w:rPr>
          <w:color w:val="0D0D0D" w:themeColor="text1" w:themeTint="F2"/>
        </w:rPr>
        <w:t>I</w:t>
      </w:r>
      <w:r w:rsidRPr="005040A4">
        <w:rPr>
          <w:color w:val="0D0D0D" w:themeColor="text1" w:themeTint="F2"/>
        </w:rPr>
        <w:t>.</w:t>
      </w:r>
    </w:p>
    <w:p w14:paraId="096F7DE9" w14:textId="77777777" w:rsidR="00855109" w:rsidRPr="006B3229" w:rsidRDefault="00855109" w:rsidP="006B3229">
      <w:r w:rsidRPr="006B3229">
        <w:br w:type="page"/>
      </w:r>
    </w:p>
    <w:p w14:paraId="153E1A14" w14:textId="77777777" w:rsidR="00855109" w:rsidRPr="005040A4" w:rsidRDefault="00855109" w:rsidP="00715B40">
      <w:pPr>
        <w:pStyle w:val="Heading3"/>
      </w:pPr>
      <w:bookmarkStart w:id="113" w:name="_Toc199153506"/>
      <w:r w:rsidRPr="005040A4">
        <w:lastRenderedPageBreak/>
        <w:t>Déclarations de la direction</w:t>
      </w:r>
      <w:bookmarkEnd w:id="113"/>
    </w:p>
    <w:p w14:paraId="0A7B4138" w14:textId="230BE0E8" w:rsidR="00855109" w:rsidRPr="005040A4" w:rsidRDefault="00855109" w:rsidP="000057BC">
      <w:pPr>
        <w:pStyle w:val="Heading4"/>
      </w:pPr>
      <w:bookmarkStart w:id="114" w:name="_Toc199153507"/>
      <w:r w:rsidRPr="005040A4">
        <w:t>Inscription de pertes de trésorerie, créances clients et éléments d</w:t>
      </w:r>
      <w:r w:rsidR="00743D89" w:rsidRPr="005040A4">
        <w:t>’</w:t>
      </w:r>
      <w:r w:rsidRPr="005040A4">
        <w:t>actif</w:t>
      </w:r>
      <w:bookmarkEnd w:id="114"/>
    </w:p>
    <w:p w14:paraId="2E883F72" w14:textId="7CFA0889" w:rsidR="00743D89" w:rsidRPr="005040A4" w:rsidRDefault="00743D89" w:rsidP="000057BC">
      <w:pPr>
        <w:pStyle w:val="ListParagraph"/>
      </w:pPr>
      <w:r w:rsidRPr="005040A4">
        <w:t>En 2024</w:t>
      </w:r>
      <w:r w:rsidR="00855109" w:rsidRPr="005040A4">
        <w:t>, l</w:t>
      </w:r>
      <w:r w:rsidRPr="005040A4">
        <w:t>’</w:t>
      </w:r>
      <w:r w:rsidR="00855109" w:rsidRPr="005040A4">
        <w:t>Organisation a cédé certaines immobilisations corporelles obsolètes qui représentaient une perte totale de 64 000 francs suisses au moment de leur cession.</w:t>
      </w:r>
    </w:p>
    <w:p w14:paraId="4AEBDA81" w14:textId="44132BE8" w:rsidR="00855109" w:rsidRPr="005040A4" w:rsidRDefault="00855109" w:rsidP="000057BC">
      <w:pPr>
        <w:pStyle w:val="Heading4"/>
      </w:pPr>
      <w:bookmarkStart w:id="115" w:name="_Toc199153508"/>
      <w:r w:rsidRPr="005040A4">
        <w:t>Versements à titre gracieux</w:t>
      </w:r>
      <w:bookmarkEnd w:id="115"/>
    </w:p>
    <w:p w14:paraId="552A705D" w14:textId="71C46E9B" w:rsidR="00855109" w:rsidRPr="005040A4" w:rsidRDefault="00855109" w:rsidP="000057BC">
      <w:pPr>
        <w:pStyle w:val="ListParagraph"/>
      </w:pPr>
      <w:r w:rsidRPr="005040A4">
        <w:t>L</w:t>
      </w:r>
      <w:r w:rsidR="00743D89" w:rsidRPr="005040A4">
        <w:t>’</w:t>
      </w:r>
      <w:r w:rsidRPr="005040A4">
        <w:t>Organisation a indiqué qu</w:t>
      </w:r>
      <w:r w:rsidR="00743D89" w:rsidRPr="005040A4">
        <w:t>’</w:t>
      </w:r>
      <w:r w:rsidRPr="005040A4">
        <w:t>aucun paiement à titre gracieux n</w:t>
      </w:r>
      <w:r w:rsidR="00743D89" w:rsidRPr="005040A4">
        <w:t>’</w:t>
      </w:r>
      <w:r w:rsidRPr="005040A4">
        <w:t>a été effectué en 2024.</w:t>
      </w:r>
    </w:p>
    <w:p w14:paraId="58257008" w14:textId="77777777" w:rsidR="00855109" w:rsidRPr="005040A4" w:rsidRDefault="00855109" w:rsidP="000057BC">
      <w:pPr>
        <w:pStyle w:val="Heading4"/>
      </w:pPr>
      <w:bookmarkStart w:id="116" w:name="_Toc199153509"/>
      <w:r w:rsidRPr="005040A4">
        <w:t>Définition de la fraude et de la présomption de fraude</w:t>
      </w:r>
      <w:bookmarkEnd w:id="116"/>
    </w:p>
    <w:p w14:paraId="2F47D15A" w14:textId="6F796B89" w:rsidR="00855109" w:rsidRPr="005040A4" w:rsidRDefault="00855109" w:rsidP="00663D09">
      <w:pPr>
        <w:pStyle w:val="ListParagraph"/>
        <w:rPr>
          <w:rFonts w:eastAsia="Times New Roman"/>
        </w:rPr>
      </w:pPr>
      <w:r w:rsidRPr="005040A4">
        <w:t>Conformément à la norme comptable internationale ISA</w:t>
      </w:r>
      <w:r w:rsidR="00596148" w:rsidRPr="005040A4">
        <w:t> </w:t>
      </w:r>
      <w:r w:rsidRPr="005040A4">
        <w:t xml:space="preserve">240 – </w:t>
      </w:r>
      <w:r w:rsidR="00743D89" w:rsidRPr="005040A4">
        <w:t>“</w:t>
      </w:r>
      <w:r w:rsidRPr="005040A4">
        <w:t>Obligations de l</w:t>
      </w:r>
      <w:r w:rsidR="00743D89" w:rsidRPr="005040A4">
        <w:t>’</w:t>
      </w:r>
      <w:r w:rsidRPr="005040A4">
        <w:t>auditeur en matière de fraude lors d</w:t>
      </w:r>
      <w:r w:rsidR="00743D89" w:rsidRPr="005040A4">
        <w:t>’</w:t>
      </w:r>
      <w:r w:rsidRPr="005040A4">
        <w:t>un audit d</w:t>
      </w:r>
      <w:r w:rsidR="00743D89" w:rsidRPr="005040A4">
        <w:t>’</w:t>
      </w:r>
      <w:r w:rsidRPr="005040A4">
        <w:t>états financiers</w:t>
      </w:r>
      <w:r w:rsidRPr="005040A4">
        <w:rPr>
          <w:i/>
        </w:rPr>
        <w:t>”</w:t>
      </w:r>
      <w:r w:rsidRPr="005040A4">
        <w:t>, la BPK planifie ses vérifications des états financiers de manière à disposer d</w:t>
      </w:r>
      <w:r w:rsidR="00743D89" w:rsidRPr="005040A4">
        <w:t>’</w:t>
      </w:r>
      <w:r w:rsidRPr="005040A4">
        <w:t>une assurance raisonnable de détecter les anomalies et irrégularités significatives (</w:t>
      </w:r>
      <w:r w:rsidR="00743D89" w:rsidRPr="005040A4">
        <w:t>y compris</w:t>
      </w:r>
      <w:r w:rsidRPr="005040A4">
        <w:t xml:space="preserve"> celles qui résultent de fraud</w:t>
      </w:r>
      <w:r w:rsidR="005652C9" w:rsidRPr="005040A4">
        <w:t>es).  To</w:t>
      </w:r>
      <w:r w:rsidRPr="005040A4">
        <w:t>utefois, on ne saurait attendre de notre audit qu</w:t>
      </w:r>
      <w:r w:rsidR="00743D89" w:rsidRPr="005040A4">
        <w:t>’</w:t>
      </w:r>
      <w:r w:rsidRPr="005040A4">
        <w:t>il identifie l</w:t>
      </w:r>
      <w:r w:rsidR="00743D89" w:rsidRPr="005040A4">
        <w:t>’</w:t>
      </w:r>
      <w:r w:rsidRPr="005040A4">
        <w:t>ensemble des anomalies ou irrégularit</w:t>
      </w:r>
      <w:r w:rsidR="005652C9" w:rsidRPr="005040A4">
        <w:t>és.  La</w:t>
      </w:r>
      <w:r w:rsidRPr="005040A4">
        <w:t xml:space="preserve"> responsabilité première en matière de prévention et de détection des fraudes incombe à la direction.</w:t>
      </w:r>
    </w:p>
    <w:p w14:paraId="7137397E" w14:textId="3FE1D17B" w:rsidR="00855109" w:rsidRPr="005040A4" w:rsidRDefault="00855109" w:rsidP="00663D09">
      <w:pPr>
        <w:pStyle w:val="ListParagraph"/>
        <w:rPr>
          <w:rFonts w:eastAsia="Times New Roman"/>
        </w:rPr>
      </w:pPr>
      <w:r w:rsidRPr="005040A4">
        <w:t>Au cours de l</w:t>
      </w:r>
      <w:r w:rsidR="00743D89" w:rsidRPr="005040A4">
        <w:t>’</w:t>
      </w:r>
      <w:r w:rsidRPr="005040A4">
        <w:t>audit, la BPK a interrogé l</w:t>
      </w:r>
      <w:r w:rsidR="00743D89" w:rsidRPr="005040A4">
        <w:t>’</w:t>
      </w:r>
      <w:r w:rsidRPr="005040A4">
        <w:t>Organisation sur les responsabilités en termes de surveillance de l</w:t>
      </w:r>
      <w:r w:rsidR="00743D89" w:rsidRPr="005040A4">
        <w:t>’</w:t>
      </w:r>
      <w:r w:rsidRPr="005040A4">
        <w:t xml:space="preserve">évaluation des risques de fraudes substantielles, ainsi que sur les processus mis en place pour identifier et répondre à ces risques, </w:t>
      </w:r>
      <w:r w:rsidR="00743D89" w:rsidRPr="005040A4">
        <w:t>y compris</w:t>
      </w:r>
      <w:r w:rsidRPr="005040A4">
        <w:t xml:space="preserve"> à un éventuel risque spécifique que la direction aurait identifié ou qui aurait été porté à sa connaissan</w:t>
      </w:r>
      <w:r w:rsidR="005652C9" w:rsidRPr="005040A4">
        <w:t>ce.  La</w:t>
      </w:r>
      <w:r w:rsidRPr="005040A4">
        <w:t xml:space="preserve"> BPK a également cherché </w:t>
      </w:r>
      <w:r w:rsidR="00743D89" w:rsidRPr="005040A4">
        <w:t>à savoir</w:t>
      </w:r>
      <w:r w:rsidRPr="005040A4">
        <w:t xml:space="preserve"> si l</w:t>
      </w:r>
      <w:r w:rsidR="00743D89" w:rsidRPr="005040A4">
        <w:t>’</w:t>
      </w:r>
      <w:r w:rsidRPr="005040A4">
        <w:t>Organisation avait connaissance de fraudes avérées, suspectées ou allégué</w:t>
      </w:r>
      <w:r w:rsidR="005652C9" w:rsidRPr="005040A4">
        <w:t>es.  La</w:t>
      </w:r>
      <w:r w:rsidRPr="005040A4">
        <w:t> BPK n</w:t>
      </w:r>
      <w:r w:rsidR="00743D89" w:rsidRPr="005040A4">
        <w:t>’</w:t>
      </w:r>
      <w:r w:rsidRPr="005040A4">
        <w:t>a observé aucun autre cas de fraude au cours de son audit, et aucune affaire n</w:t>
      </w:r>
      <w:r w:rsidR="00743D89" w:rsidRPr="005040A4">
        <w:t>’</w:t>
      </w:r>
      <w:r w:rsidRPr="005040A4">
        <w:t>a retenu son attention au cours de ses tests.</w:t>
      </w:r>
    </w:p>
    <w:p w14:paraId="2CD368CE" w14:textId="437D2D40" w:rsidR="00743D89" w:rsidRPr="005040A4" w:rsidRDefault="00855109" w:rsidP="000057BC">
      <w:pPr>
        <w:pStyle w:val="ListParagraph"/>
      </w:pPr>
      <w:r w:rsidRPr="005040A4">
        <w:t>La direction a signalé un cas de fraude d</w:t>
      </w:r>
      <w:r w:rsidR="00743D89" w:rsidRPr="005040A4">
        <w:t>’</w:t>
      </w:r>
      <w:r w:rsidRPr="005040A4">
        <w:t>un montant estimé à 148 000 francs suisses et aucun cas de fraude présumée n</w:t>
      </w:r>
      <w:r w:rsidR="00743D89" w:rsidRPr="005040A4">
        <w:t>’</w:t>
      </w:r>
      <w:r w:rsidRPr="005040A4">
        <w:t>a été signalé au sein de l</w:t>
      </w:r>
      <w:r w:rsidR="00743D89" w:rsidRPr="005040A4">
        <w:t>’</w:t>
      </w:r>
      <w:r w:rsidRPr="005040A4">
        <w:t>Organisation en 2024.</w:t>
      </w:r>
    </w:p>
    <w:p w14:paraId="5E704B17" w14:textId="56FFC272" w:rsidR="00855109" w:rsidRPr="005040A4" w:rsidRDefault="00855109" w:rsidP="00715B40">
      <w:pPr>
        <w:pStyle w:val="Heading3"/>
      </w:pPr>
      <w:bookmarkStart w:id="117" w:name="_Toc199153510"/>
      <w:r w:rsidRPr="005040A4">
        <w:t>Passation de pouvoirs en matière de vérification des comptes</w:t>
      </w:r>
      <w:bookmarkEnd w:id="117"/>
    </w:p>
    <w:p w14:paraId="14FD9A2F" w14:textId="1DF2F2E5" w:rsidR="00855109" w:rsidRPr="005040A4" w:rsidRDefault="00855109" w:rsidP="000057BC">
      <w:pPr>
        <w:pStyle w:val="ListParagraph"/>
      </w:pPr>
      <w:r w:rsidRPr="005040A4">
        <w:t>La BPK exprime sa gratitude au Bureau national d</w:t>
      </w:r>
      <w:r w:rsidR="00743D89" w:rsidRPr="005040A4">
        <w:t>’</w:t>
      </w:r>
      <w:r w:rsidRPr="005040A4">
        <w:t>audit du Royaume</w:t>
      </w:r>
      <w:r w:rsidR="00C249FA" w:rsidRPr="005040A4">
        <w:noBreakHyphen/>
      </w:r>
      <w:r w:rsidRPr="005040A4">
        <w:t>Uni, le vérificateur externe des comptes précédent, pour avoir facilité la passation efficace des pouvoirs en matière de vérification des compt</w:t>
      </w:r>
      <w:r w:rsidR="005652C9" w:rsidRPr="005040A4">
        <w:t>es.  So</w:t>
      </w:r>
      <w:r w:rsidRPr="005040A4">
        <w:t>n aide durant la planification de l</w:t>
      </w:r>
      <w:r w:rsidR="00743D89" w:rsidRPr="005040A4">
        <w:t>’</w:t>
      </w:r>
      <w:r w:rsidRPr="005040A4">
        <w:t>audit, à travers des discussions et des séances de partage des connaissances, a contribué à une meilleure compréhension des contrôles internes et du cadre de gouvernance de l</w:t>
      </w:r>
      <w:r w:rsidR="00743D89" w:rsidRPr="005040A4">
        <w:t>’</w:t>
      </w:r>
      <w:r w:rsidRPr="005040A4">
        <w:t>Organisati</w:t>
      </w:r>
      <w:r w:rsidR="005652C9" w:rsidRPr="005040A4">
        <w:t>on.  Ce</w:t>
      </w:r>
      <w:r w:rsidRPr="005040A4">
        <w:t>tte passation était conforme aux normes d</w:t>
      </w:r>
      <w:r w:rsidR="00743D89" w:rsidRPr="005040A4">
        <w:t>’</w:t>
      </w:r>
      <w:r w:rsidRPr="005040A4">
        <w:t xml:space="preserve">audit </w:t>
      </w:r>
      <w:r w:rsidRPr="004F2284">
        <w:t xml:space="preserve">et au </w:t>
      </w:r>
      <w:r w:rsidR="00F86621" w:rsidRPr="004F2284">
        <w:t>c</w:t>
      </w:r>
      <w:r w:rsidRPr="004F2284">
        <w:t>adre du Groupe d</w:t>
      </w:r>
      <w:r w:rsidR="00743D89" w:rsidRPr="004F2284">
        <w:t>’</w:t>
      </w:r>
      <w:r w:rsidRPr="004F2284">
        <w:t>auditeurs externes de l</w:t>
      </w:r>
      <w:r w:rsidR="00743D89" w:rsidRPr="004F2284">
        <w:t>’</w:t>
      </w:r>
      <w:r w:rsidRPr="004F2284">
        <w:t xml:space="preserve">Organisation des </w:t>
      </w:r>
      <w:r w:rsidR="00743D89" w:rsidRPr="004F2284">
        <w:t>Nations Unies</w:t>
      </w:r>
      <w:r w:rsidRPr="004F2284">
        <w:t>, qui</w:t>
      </w:r>
      <w:r w:rsidRPr="005040A4">
        <w:t xml:space="preserve"> souligne l</w:t>
      </w:r>
      <w:r w:rsidR="00743D89" w:rsidRPr="005040A4">
        <w:t>’</w:t>
      </w:r>
      <w:r w:rsidRPr="005040A4">
        <w:t>importance d</w:t>
      </w:r>
      <w:r w:rsidR="00743D89" w:rsidRPr="005040A4">
        <w:t>’</w:t>
      </w:r>
      <w:r w:rsidRPr="005040A4">
        <w:t>une passation complète de l</w:t>
      </w:r>
      <w:r w:rsidR="00743D89" w:rsidRPr="005040A4">
        <w:t>’</w:t>
      </w:r>
      <w:r w:rsidRPr="005040A4">
        <w:t>audit lors de l</w:t>
      </w:r>
      <w:r w:rsidR="00743D89" w:rsidRPr="005040A4">
        <w:t>’</w:t>
      </w:r>
      <w:r w:rsidRPr="005040A4">
        <w:t>audit initial.</w:t>
      </w:r>
    </w:p>
    <w:p w14:paraId="6010B4F8" w14:textId="77777777" w:rsidR="00855109" w:rsidRPr="00663D09" w:rsidRDefault="00855109" w:rsidP="00663D09">
      <w:pPr>
        <w:rPr>
          <w:lang w:val="fr-FR"/>
        </w:rPr>
      </w:pPr>
      <w:bookmarkStart w:id="118" w:name="_Toc197206665"/>
      <w:bookmarkStart w:id="119" w:name="_Toc197206886"/>
      <w:bookmarkEnd w:id="118"/>
      <w:bookmarkEnd w:id="119"/>
      <w:r w:rsidRPr="00663D09">
        <w:rPr>
          <w:lang w:val="fr-FR"/>
        </w:rPr>
        <w:br w:type="page"/>
      </w:r>
    </w:p>
    <w:p w14:paraId="7BFB7B43" w14:textId="77777777" w:rsidR="00855109" w:rsidRPr="005040A4" w:rsidRDefault="00855109" w:rsidP="00715B40">
      <w:pPr>
        <w:pStyle w:val="Heading3"/>
      </w:pPr>
      <w:bookmarkStart w:id="120" w:name="_Toc199153511"/>
      <w:r w:rsidRPr="005040A4">
        <w:lastRenderedPageBreak/>
        <w:t>Témoignage de reconnaissance</w:t>
      </w:r>
      <w:bookmarkEnd w:id="120"/>
    </w:p>
    <w:p w14:paraId="79B4AC20" w14:textId="019C2D7C" w:rsidR="00855109" w:rsidRPr="005040A4" w:rsidRDefault="00855109" w:rsidP="000057BC">
      <w:pPr>
        <w:pStyle w:val="ListParagraph"/>
      </w:pPr>
      <w:r w:rsidRPr="005040A4">
        <w:t>La BPK tient à exprimer sa sincère gratitude au Directeur général et au personnel pour leur coopération et leur soutien continus tout au long de la mission d</w:t>
      </w:r>
      <w:r w:rsidR="00743D89" w:rsidRPr="005040A4">
        <w:t>’</w:t>
      </w:r>
      <w:r w:rsidRPr="005040A4">
        <w:t>aud</w:t>
      </w:r>
      <w:r w:rsidR="005652C9" w:rsidRPr="005040A4">
        <w:t>it.  La</w:t>
      </w:r>
      <w:r w:rsidRPr="005040A4">
        <w:t> BPK est également très honorée de la confiance que lui ont témoignée les États membres en la nommant vérificateur externe des compt</w:t>
      </w:r>
      <w:r w:rsidR="005652C9" w:rsidRPr="005040A4">
        <w:t>es.  Ce</w:t>
      </w:r>
      <w:r w:rsidRPr="005040A4">
        <w:t>tte mission d</w:t>
      </w:r>
      <w:r w:rsidR="00743D89" w:rsidRPr="005040A4">
        <w:t>’</w:t>
      </w:r>
      <w:r w:rsidRPr="005040A4">
        <w:t>audit devrait contribuer au renforcement du partenariat constructif visant à promouvoir et à soutenir le développement mondial de la propriété intellectuelle.</w:t>
      </w:r>
    </w:p>
    <w:p w14:paraId="7E368904" w14:textId="75832AA6" w:rsidR="00855109" w:rsidRPr="005040A4" w:rsidRDefault="00855109" w:rsidP="00663D09">
      <w:pPr>
        <w:spacing w:before="720"/>
        <w:ind w:left="2977"/>
        <w:jc w:val="center"/>
        <w:rPr>
          <w:rFonts w:eastAsia="Times New Roman"/>
          <w:b/>
          <w:strike/>
          <w:color w:val="000000"/>
          <w:lang w:val="fr-FR"/>
        </w:rPr>
      </w:pPr>
      <w:r w:rsidRPr="005040A4">
        <w:rPr>
          <w:b/>
          <w:color w:val="000000"/>
          <w:lang w:val="fr-FR"/>
        </w:rPr>
        <w:t>M. Isma</w:t>
      </w:r>
      <w:r w:rsidR="00596148" w:rsidRPr="005040A4">
        <w:rPr>
          <w:b/>
          <w:color w:val="000000"/>
          <w:lang w:val="fr-FR"/>
        </w:rPr>
        <w:t> </w:t>
      </w:r>
      <w:r w:rsidRPr="005040A4">
        <w:rPr>
          <w:b/>
          <w:color w:val="000000"/>
          <w:lang w:val="fr-FR"/>
        </w:rPr>
        <w:t>Yatun, CSFA, CFrA</w:t>
      </w:r>
    </w:p>
    <w:p w14:paraId="772890BD" w14:textId="1504FE57" w:rsidR="00743D89" w:rsidRPr="005040A4" w:rsidRDefault="00855109" w:rsidP="00E862E4">
      <w:pPr>
        <w:ind w:left="2977"/>
        <w:jc w:val="center"/>
        <w:rPr>
          <w:b/>
          <w:color w:val="000000"/>
          <w:lang w:val="fr-FR"/>
        </w:rPr>
      </w:pPr>
      <w:r w:rsidRPr="005040A4">
        <w:rPr>
          <w:b/>
          <w:color w:val="000000"/>
          <w:lang w:val="fr-FR"/>
        </w:rPr>
        <w:t>Président de la Commission d</w:t>
      </w:r>
      <w:r w:rsidR="00743D89" w:rsidRPr="005040A4">
        <w:rPr>
          <w:b/>
          <w:color w:val="000000"/>
          <w:lang w:val="fr-FR"/>
        </w:rPr>
        <w:t>’</w:t>
      </w:r>
      <w:r w:rsidRPr="005040A4">
        <w:rPr>
          <w:b/>
          <w:color w:val="000000"/>
          <w:lang w:val="fr-FR"/>
        </w:rPr>
        <w:t>audit</w:t>
      </w:r>
    </w:p>
    <w:p w14:paraId="058F928B" w14:textId="7930BF8E" w:rsidR="00855109" w:rsidRPr="005040A4" w:rsidRDefault="00855109" w:rsidP="00E862E4">
      <w:pPr>
        <w:ind w:left="2977"/>
        <w:jc w:val="center"/>
        <w:rPr>
          <w:rFonts w:eastAsia="Times New Roman"/>
          <w:b/>
          <w:color w:val="000000"/>
          <w:lang w:val="fr-FR"/>
        </w:rPr>
      </w:pPr>
      <w:r w:rsidRPr="005040A4">
        <w:rPr>
          <w:b/>
          <w:color w:val="000000"/>
          <w:lang w:val="fr-FR"/>
        </w:rPr>
        <w:t>de la République d</w:t>
      </w:r>
      <w:r w:rsidR="00743D89" w:rsidRPr="005040A4">
        <w:rPr>
          <w:b/>
          <w:color w:val="000000"/>
          <w:lang w:val="fr-FR"/>
        </w:rPr>
        <w:t>’</w:t>
      </w:r>
      <w:r w:rsidRPr="005040A4">
        <w:rPr>
          <w:b/>
          <w:color w:val="000000"/>
          <w:lang w:val="fr-FR"/>
        </w:rPr>
        <w:t>Indonésie</w:t>
      </w:r>
    </w:p>
    <w:p w14:paraId="6FF5A47A" w14:textId="77777777" w:rsidR="00855109" w:rsidRPr="005040A4" w:rsidRDefault="00855109" w:rsidP="00E862E4">
      <w:pPr>
        <w:ind w:left="2977"/>
        <w:jc w:val="center"/>
        <w:rPr>
          <w:rFonts w:eastAsia="Times New Roman"/>
          <w:b/>
          <w:color w:val="000000"/>
          <w:lang w:val="fr-FR"/>
        </w:rPr>
      </w:pPr>
      <w:r w:rsidRPr="005040A4">
        <w:rPr>
          <w:b/>
          <w:color w:val="000000" w:themeColor="text1"/>
          <w:lang w:val="fr-FR"/>
        </w:rPr>
        <w:t>Vérificateur externe des comptes</w:t>
      </w:r>
    </w:p>
    <w:p w14:paraId="2C71FD71" w14:textId="08CCD2FE" w:rsidR="00743D89" w:rsidRPr="0090349F" w:rsidRDefault="00855109" w:rsidP="00663D09">
      <w:pPr>
        <w:spacing w:before="960"/>
        <w:ind w:left="2977"/>
        <w:jc w:val="center"/>
        <w:rPr>
          <w:rFonts w:eastAsia="Times New Roman"/>
          <w:b/>
          <w:color w:val="000000"/>
          <w:lang w:val="it-IT"/>
        </w:rPr>
      </w:pPr>
      <w:r w:rsidRPr="0090349F">
        <w:rPr>
          <w:b/>
          <w:color w:val="000000"/>
          <w:lang w:val="it-IT"/>
        </w:rPr>
        <w:t>Jakarta (Indonésie)</w:t>
      </w:r>
    </w:p>
    <w:p w14:paraId="3F6D0CB2" w14:textId="6D8E2CA0" w:rsidR="00206809" w:rsidRPr="0090349F" w:rsidRDefault="00855109" w:rsidP="00E862E4">
      <w:pPr>
        <w:ind w:left="2977"/>
        <w:jc w:val="center"/>
        <w:rPr>
          <w:b/>
          <w:color w:val="000000" w:themeColor="text1"/>
          <w:lang w:val="it-IT"/>
        </w:rPr>
      </w:pPr>
      <w:r w:rsidRPr="0090349F">
        <w:rPr>
          <w:b/>
          <w:color w:val="000000" w:themeColor="text1"/>
          <w:lang w:val="it-IT"/>
        </w:rPr>
        <w:t>Mai 2025</w:t>
      </w:r>
    </w:p>
    <w:p w14:paraId="17F143D1" w14:textId="77777777" w:rsidR="00687B89" w:rsidRPr="0090349F" w:rsidRDefault="00687B89" w:rsidP="00687B89">
      <w:pPr>
        <w:rPr>
          <w:lang w:val="it-IT"/>
        </w:rPr>
        <w:sectPr w:rsidR="00687B89" w:rsidRPr="0090349F" w:rsidSect="00C249FA">
          <w:headerReference w:type="first" r:id="rId21"/>
          <w:endnotePr>
            <w:numFmt w:val="decimal"/>
          </w:endnotePr>
          <w:pgSz w:w="11907" w:h="16840" w:orient="landscape" w:code="9"/>
          <w:pgMar w:top="567" w:right="1134" w:bottom="1418" w:left="1418" w:header="510" w:footer="1021" w:gutter="0"/>
          <w:cols w:space="720"/>
          <w:titlePg/>
          <w:docGrid w:linePitch="299"/>
        </w:sectPr>
      </w:pPr>
    </w:p>
    <w:p w14:paraId="3D47699C" w14:textId="517326EC" w:rsidR="00855109" w:rsidRPr="003F52D7" w:rsidRDefault="00855109" w:rsidP="003F52D7">
      <w:pPr>
        <w:spacing w:before="360" w:after="360"/>
        <w:rPr>
          <w:b/>
          <w:bCs/>
          <w:sz w:val="28"/>
          <w:szCs w:val="28"/>
        </w:rPr>
      </w:pPr>
      <w:r w:rsidRPr="0090349F">
        <w:rPr>
          <w:b/>
          <w:bCs/>
          <w:sz w:val="28"/>
          <w:szCs w:val="28"/>
          <w:lang w:val="it-IT"/>
        </w:rPr>
        <w:lastRenderedPageBreak/>
        <w:t>Annexe </w:t>
      </w:r>
      <w:r w:rsidR="00663D09" w:rsidRPr="0090349F">
        <w:rPr>
          <w:b/>
          <w:bCs/>
          <w:sz w:val="28"/>
          <w:szCs w:val="28"/>
          <w:lang w:val="it-IT"/>
        </w:rPr>
        <w:t>I</w:t>
      </w:r>
      <w:r w:rsidRPr="0090349F">
        <w:rPr>
          <w:b/>
          <w:bCs/>
          <w:sz w:val="28"/>
          <w:szCs w:val="28"/>
          <w:lang w:val="it-IT"/>
        </w:rPr>
        <w:t>.</w:t>
      </w:r>
      <w:r w:rsidR="001B7F27" w:rsidRPr="0090349F">
        <w:rPr>
          <w:b/>
          <w:bCs/>
          <w:sz w:val="28"/>
          <w:szCs w:val="28"/>
          <w:lang w:val="it-IT"/>
        </w:rPr>
        <w:t xml:space="preserve"> </w:t>
      </w:r>
      <w:r w:rsidRPr="0090349F">
        <w:rPr>
          <w:b/>
          <w:bCs/>
          <w:sz w:val="28"/>
          <w:szCs w:val="28"/>
          <w:lang w:val="it-IT"/>
        </w:rPr>
        <w:t xml:space="preserve"> </w:t>
      </w:r>
      <w:r w:rsidRPr="003F52D7">
        <w:rPr>
          <w:b/>
          <w:bCs/>
          <w:sz w:val="28"/>
          <w:szCs w:val="28"/>
        </w:rPr>
        <w:t>État d</w:t>
      </w:r>
      <w:r w:rsidR="00743D89" w:rsidRPr="003F52D7">
        <w:rPr>
          <w:b/>
          <w:bCs/>
          <w:sz w:val="28"/>
          <w:szCs w:val="28"/>
        </w:rPr>
        <w:t>’</w:t>
      </w:r>
      <w:r w:rsidRPr="003F52D7">
        <w:rPr>
          <w:b/>
          <w:bCs/>
          <w:sz w:val="28"/>
          <w:szCs w:val="28"/>
        </w:rPr>
        <w:t>avancement au 31 mars 2025 de la mise en œuvre des recommandations des années précédentes</w:t>
      </w:r>
    </w:p>
    <w:tbl>
      <w:tblPr>
        <w:tblW w:w="1057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23"/>
        <w:gridCol w:w="1437"/>
        <w:gridCol w:w="1605"/>
        <w:gridCol w:w="1372"/>
        <w:gridCol w:w="2552"/>
        <w:gridCol w:w="1417"/>
        <w:gridCol w:w="1353"/>
        <w:gridCol w:w="13"/>
      </w:tblGrid>
      <w:tr w:rsidR="00855109" w:rsidRPr="005040A4" w14:paraId="0E3FE7D3" w14:textId="77777777" w:rsidTr="006C0481">
        <w:trPr>
          <w:gridAfter w:val="1"/>
          <w:wAfter w:w="13" w:type="dxa"/>
          <w:trHeight w:val="300"/>
          <w:tblHeader/>
          <w:jc w:val="center"/>
        </w:trPr>
        <w:tc>
          <w:tcPr>
            <w:tcW w:w="823" w:type="dxa"/>
            <w:tcBorders>
              <w:top w:val="single" w:sz="6" w:space="0" w:color="auto"/>
              <w:left w:val="single" w:sz="6" w:space="0" w:color="auto"/>
              <w:bottom w:val="single" w:sz="6" w:space="0" w:color="auto"/>
              <w:right w:val="single" w:sz="6" w:space="0" w:color="auto"/>
            </w:tcBorders>
            <w:shd w:val="clear" w:color="auto" w:fill="B4C6E7"/>
            <w:hideMark/>
          </w:tcPr>
          <w:p w14:paraId="017998ED" w14:textId="49A91FA6" w:rsidR="00855109" w:rsidRPr="005040A4" w:rsidRDefault="00855109" w:rsidP="00E862E4">
            <w:pPr>
              <w:spacing w:before="60" w:after="60"/>
              <w:ind w:left="57" w:right="57"/>
              <w:jc w:val="center"/>
              <w:textAlignment w:val="baseline"/>
              <w:rPr>
                <w:rFonts w:eastAsia="Times New Roman"/>
                <w:sz w:val="16"/>
                <w:szCs w:val="16"/>
                <w:lang w:val="fr-FR"/>
              </w:rPr>
            </w:pPr>
            <w:r w:rsidRPr="005040A4">
              <w:rPr>
                <w:b/>
                <w:color w:val="000000"/>
                <w:sz w:val="16"/>
                <w:lang w:val="fr-FR"/>
              </w:rPr>
              <w:t>Exercice financier</w:t>
            </w:r>
          </w:p>
        </w:tc>
        <w:tc>
          <w:tcPr>
            <w:tcW w:w="1437" w:type="dxa"/>
            <w:tcBorders>
              <w:top w:val="single" w:sz="6" w:space="0" w:color="auto"/>
              <w:left w:val="single" w:sz="6" w:space="0" w:color="auto"/>
              <w:bottom w:val="single" w:sz="6" w:space="0" w:color="auto"/>
              <w:right w:val="single" w:sz="6" w:space="0" w:color="auto"/>
            </w:tcBorders>
            <w:shd w:val="clear" w:color="auto" w:fill="B4C6E7"/>
            <w:hideMark/>
          </w:tcPr>
          <w:p w14:paraId="30EC672F" w14:textId="782FFD11" w:rsidR="00855109" w:rsidRPr="005040A4" w:rsidRDefault="00855109" w:rsidP="00E862E4">
            <w:pPr>
              <w:spacing w:before="60" w:after="60"/>
              <w:ind w:left="57" w:right="57"/>
              <w:jc w:val="center"/>
              <w:textAlignment w:val="baseline"/>
              <w:rPr>
                <w:rFonts w:eastAsia="Times New Roman"/>
                <w:b/>
                <w:sz w:val="16"/>
                <w:szCs w:val="16"/>
                <w:lang w:val="fr-FR"/>
              </w:rPr>
            </w:pPr>
            <w:r w:rsidRPr="005040A4">
              <w:rPr>
                <w:b/>
                <w:sz w:val="16"/>
                <w:lang w:val="fr-FR"/>
              </w:rPr>
              <w:t>Référence des rapports</w:t>
            </w:r>
          </w:p>
        </w:tc>
        <w:tc>
          <w:tcPr>
            <w:tcW w:w="1605" w:type="dxa"/>
            <w:tcBorders>
              <w:top w:val="single" w:sz="6" w:space="0" w:color="auto"/>
              <w:left w:val="single" w:sz="6" w:space="0" w:color="auto"/>
              <w:bottom w:val="single" w:sz="6" w:space="0" w:color="auto"/>
              <w:right w:val="single" w:sz="6" w:space="0" w:color="auto"/>
            </w:tcBorders>
            <w:shd w:val="clear" w:color="auto" w:fill="B4C6E7"/>
            <w:hideMark/>
          </w:tcPr>
          <w:p w14:paraId="783F3A8F" w14:textId="640C663E" w:rsidR="00855109" w:rsidRPr="005040A4" w:rsidRDefault="00855109" w:rsidP="00E862E4">
            <w:pPr>
              <w:spacing w:before="60" w:after="60"/>
              <w:ind w:left="57" w:right="57"/>
              <w:jc w:val="center"/>
              <w:textAlignment w:val="baseline"/>
              <w:rPr>
                <w:rFonts w:eastAsia="Times New Roman"/>
                <w:b/>
                <w:sz w:val="16"/>
                <w:szCs w:val="16"/>
                <w:lang w:val="fr-FR"/>
              </w:rPr>
            </w:pPr>
            <w:r w:rsidRPr="005040A4">
              <w:rPr>
                <w:b/>
                <w:sz w:val="16"/>
                <w:lang w:val="fr-FR"/>
              </w:rPr>
              <w:t>Synthèse des recommandations</w:t>
            </w:r>
          </w:p>
        </w:tc>
        <w:tc>
          <w:tcPr>
            <w:tcW w:w="1372" w:type="dxa"/>
            <w:tcBorders>
              <w:top w:val="single" w:sz="6" w:space="0" w:color="auto"/>
              <w:left w:val="single" w:sz="6" w:space="0" w:color="auto"/>
              <w:bottom w:val="single" w:sz="6" w:space="0" w:color="auto"/>
              <w:right w:val="single" w:sz="6" w:space="0" w:color="auto"/>
            </w:tcBorders>
            <w:shd w:val="clear" w:color="auto" w:fill="B4C6E7"/>
            <w:hideMark/>
          </w:tcPr>
          <w:p w14:paraId="2CB6660A" w14:textId="4ABB361C" w:rsidR="00855109" w:rsidRPr="005040A4" w:rsidRDefault="00855109" w:rsidP="00E862E4">
            <w:pPr>
              <w:spacing w:before="60" w:after="60"/>
              <w:ind w:left="57" w:right="57"/>
              <w:jc w:val="center"/>
              <w:textAlignment w:val="baseline"/>
              <w:rPr>
                <w:rFonts w:eastAsia="Times New Roman"/>
                <w:b/>
                <w:sz w:val="16"/>
                <w:szCs w:val="16"/>
                <w:lang w:val="fr-FR"/>
              </w:rPr>
            </w:pPr>
            <w:r w:rsidRPr="005040A4">
              <w:rPr>
                <w:b/>
                <w:sz w:val="16"/>
                <w:lang w:val="fr-FR"/>
              </w:rPr>
              <w:t>Réponse de la direction</w:t>
            </w:r>
          </w:p>
        </w:tc>
        <w:tc>
          <w:tcPr>
            <w:tcW w:w="2552" w:type="dxa"/>
            <w:tcBorders>
              <w:top w:val="single" w:sz="6" w:space="0" w:color="auto"/>
              <w:left w:val="single" w:sz="6" w:space="0" w:color="auto"/>
              <w:bottom w:val="single" w:sz="6" w:space="0" w:color="auto"/>
              <w:right w:val="single" w:sz="6" w:space="0" w:color="auto"/>
            </w:tcBorders>
            <w:shd w:val="clear" w:color="auto" w:fill="B4C6E7"/>
            <w:hideMark/>
          </w:tcPr>
          <w:p w14:paraId="6C756705" w14:textId="0B17A4FF" w:rsidR="00855109" w:rsidRPr="005040A4" w:rsidRDefault="00855109" w:rsidP="00E862E4">
            <w:pPr>
              <w:spacing w:before="60" w:after="60"/>
              <w:ind w:left="57" w:right="57"/>
              <w:jc w:val="center"/>
              <w:textAlignment w:val="baseline"/>
              <w:rPr>
                <w:rFonts w:eastAsia="Times New Roman"/>
                <w:b/>
                <w:sz w:val="16"/>
                <w:szCs w:val="16"/>
                <w:lang w:val="fr-FR"/>
              </w:rPr>
            </w:pPr>
            <w:r w:rsidRPr="005040A4">
              <w:rPr>
                <w:b/>
                <w:sz w:val="16"/>
                <w:lang w:val="fr-FR"/>
              </w:rPr>
              <w:t>Mesure prise par la direction</w:t>
            </w:r>
          </w:p>
        </w:tc>
        <w:tc>
          <w:tcPr>
            <w:tcW w:w="1417" w:type="dxa"/>
            <w:tcBorders>
              <w:top w:val="single" w:sz="6" w:space="0" w:color="auto"/>
              <w:left w:val="single" w:sz="6" w:space="0" w:color="auto"/>
              <w:bottom w:val="single" w:sz="6" w:space="0" w:color="auto"/>
              <w:right w:val="single" w:sz="6" w:space="0" w:color="auto"/>
            </w:tcBorders>
            <w:shd w:val="clear" w:color="auto" w:fill="B4C6E7"/>
            <w:hideMark/>
          </w:tcPr>
          <w:p w14:paraId="6EFE1F67" w14:textId="25216F6E" w:rsidR="00855109" w:rsidRPr="005040A4" w:rsidRDefault="00855109" w:rsidP="00E862E4">
            <w:pPr>
              <w:spacing w:before="60" w:after="60"/>
              <w:ind w:left="57" w:right="57"/>
              <w:jc w:val="center"/>
              <w:textAlignment w:val="baseline"/>
              <w:rPr>
                <w:rFonts w:eastAsia="Times New Roman"/>
                <w:b/>
                <w:sz w:val="16"/>
                <w:szCs w:val="16"/>
                <w:lang w:val="fr-FR"/>
              </w:rPr>
            </w:pPr>
            <w:r w:rsidRPr="005040A4">
              <w:rPr>
                <w:b/>
                <w:sz w:val="16"/>
                <w:lang w:val="fr-FR"/>
              </w:rPr>
              <w:t>Observations des vérificateurs externes</w:t>
            </w:r>
          </w:p>
        </w:tc>
        <w:tc>
          <w:tcPr>
            <w:tcW w:w="1353" w:type="dxa"/>
            <w:tcBorders>
              <w:top w:val="single" w:sz="6" w:space="0" w:color="auto"/>
              <w:left w:val="single" w:sz="6" w:space="0" w:color="auto"/>
              <w:bottom w:val="single" w:sz="6" w:space="0" w:color="auto"/>
              <w:right w:val="single" w:sz="6" w:space="0" w:color="auto"/>
            </w:tcBorders>
            <w:shd w:val="clear" w:color="auto" w:fill="B4C6E7"/>
            <w:hideMark/>
          </w:tcPr>
          <w:p w14:paraId="2607A489" w14:textId="0EBC898F" w:rsidR="00855109" w:rsidRPr="005040A4" w:rsidRDefault="00855109" w:rsidP="00E862E4">
            <w:pPr>
              <w:spacing w:before="60" w:after="60"/>
              <w:ind w:left="57" w:right="57"/>
              <w:jc w:val="center"/>
              <w:textAlignment w:val="baseline"/>
              <w:rPr>
                <w:rFonts w:eastAsia="Times New Roman"/>
                <w:b/>
                <w:sz w:val="16"/>
                <w:szCs w:val="16"/>
                <w:lang w:val="fr-FR"/>
              </w:rPr>
            </w:pPr>
            <w:r w:rsidRPr="005040A4">
              <w:rPr>
                <w:b/>
                <w:sz w:val="16"/>
                <w:lang w:val="fr-FR"/>
              </w:rPr>
              <w:t>État d</w:t>
            </w:r>
            <w:r w:rsidR="00743D89" w:rsidRPr="005040A4">
              <w:rPr>
                <w:b/>
                <w:sz w:val="16"/>
                <w:lang w:val="fr-FR"/>
              </w:rPr>
              <w:t>’</w:t>
            </w:r>
            <w:r w:rsidRPr="005040A4">
              <w:rPr>
                <w:b/>
                <w:sz w:val="16"/>
                <w:lang w:val="fr-FR"/>
              </w:rPr>
              <w:t>avancement</w:t>
            </w:r>
          </w:p>
        </w:tc>
      </w:tr>
      <w:tr w:rsidR="00855109" w:rsidRPr="005040A4" w14:paraId="4728747A" w14:textId="77777777" w:rsidTr="006C0481">
        <w:trPr>
          <w:trHeight w:val="300"/>
          <w:jc w:val="center"/>
        </w:trPr>
        <w:tc>
          <w:tcPr>
            <w:tcW w:w="10572" w:type="dxa"/>
            <w:gridSpan w:val="8"/>
            <w:tcBorders>
              <w:top w:val="single" w:sz="6" w:space="0" w:color="auto"/>
              <w:left w:val="single" w:sz="6" w:space="0" w:color="auto"/>
              <w:bottom w:val="single" w:sz="6" w:space="0" w:color="auto"/>
              <w:right w:val="single" w:sz="6" w:space="0" w:color="auto"/>
            </w:tcBorders>
            <w:shd w:val="clear" w:color="auto" w:fill="B4C6E7"/>
            <w:hideMark/>
          </w:tcPr>
          <w:p w14:paraId="44AD4B24" w14:textId="1CFD7A37" w:rsidR="00855109" w:rsidRPr="005040A4" w:rsidRDefault="00855109" w:rsidP="00E862E4">
            <w:pPr>
              <w:spacing w:before="60" w:after="60"/>
              <w:ind w:left="57" w:right="57"/>
              <w:textAlignment w:val="baseline"/>
              <w:rPr>
                <w:rFonts w:eastAsia="Times New Roman"/>
                <w:sz w:val="16"/>
                <w:szCs w:val="16"/>
                <w:lang w:val="fr-FR"/>
              </w:rPr>
            </w:pPr>
            <w:r w:rsidRPr="005040A4">
              <w:rPr>
                <w:b/>
                <w:sz w:val="16"/>
                <w:lang w:val="fr-FR"/>
              </w:rPr>
              <w:t>Rapport d</w:t>
            </w:r>
            <w:r w:rsidR="00743D89" w:rsidRPr="005040A4">
              <w:rPr>
                <w:b/>
                <w:sz w:val="16"/>
                <w:lang w:val="fr-FR"/>
              </w:rPr>
              <w:t>’</w:t>
            </w:r>
            <w:r w:rsidRPr="005040A4">
              <w:rPr>
                <w:b/>
                <w:sz w:val="16"/>
                <w:lang w:val="fr-FR"/>
              </w:rPr>
              <w:t>audit pour l</w:t>
            </w:r>
            <w:r w:rsidR="00743D89" w:rsidRPr="005040A4">
              <w:rPr>
                <w:b/>
                <w:sz w:val="16"/>
                <w:lang w:val="fr-FR"/>
              </w:rPr>
              <w:t>’</w:t>
            </w:r>
            <w:r w:rsidRPr="005040A4">
              <w:rPr>
                <w:b/>
                <w:sz w:val="16"/>
                <w:lang w:val="fr-FR"/>
              </w:rPr>
              <w:t>exercice financier clos le 31 décembre 2023 </w:t>
            </w:r>
            <w:r w:rsidRPr="005040A4">
              <w:rPr>
                <w:sz w:val="16"/>
                <w:lang w:val="fr-FR"/>
              </w:rPr>
              <w:t>  </w:t>
            </w:r>
          </w:p>
        </w:tc>
      </w:tr>
      <w:tr w:rsidR="00855109" w:rsidRPr="005040A4" w14:paraId="42B7B6BE" w14:textId="77777777" w:rsidTr="006C0481">
        <w:trPr>
          <w:gridAfter w:val="1"/>
          <w:wAfter w:w="13" w:type="dxa"/>
          <w:trHeight w:val="300"/>
          <w:jc w:val="center"/>
        </w:trPr>
        <w:tc>
          <w:tcPr>
            <w:tcW w:w="823" w:type="dxa"/>
            <w:tcBorders>
              <w:top w:val="single" w:sz="6" w:space="0" w:color="auto"/>
              <w:left w:val="single" w:sz="6" w:space="0" w:color="auto"/>
              <w:bottom w:val="single" w:sz="6" w:space="0" w:color="auto"/>
              <w:right w:val="single" w:sz="6" w:space="0" w:color="auto"/>
            </w:tcBorders>
            <w:shd w:val="clear" w:color="auto" w:fill="auto"/>
            <w:hideMark/>
          </w:tcPr>
          <w:p w14:paraId="76094256" w14:textId="77777777" w:rsidR="00855109" w:rsidRPr="005040A4" w:rsidRDefault="00855109" w:rsidP="00E862E4">
            <w:pPr>
              <w:spacing w:before="60" w:after="60"/>
              <w:ind w:left="57" w:right="57"/>
              <w:textAlignment w:val="baseline"/>
              <w:rPr>
                <w:rFonts w:eastAsia="Times New Roman"/>
                <w:sz w:val="16"/>
                <w:szCs w:val="16"/>
                <w:lang w:val="fr-FR"/>
              </w:rPr>
            </w:pPr>
            <w:r w:rsidRPr="005040A4">
              <w:rPr>
                <w:sz w:val="16"/>
                <w:lang w:val="fr-FR"/>
              </w:rPr>
              <w:t>2023 </w:t>
            </w:r>
          </w:p>
        </w:tc>
        <w:tc>
          <w:tcPr>
            <w:tcW w:w="1437" w:type="dxa"/>
            <w:tcBorders>
              <w:top w:val="single" w:sz="6" w:space="0" w:color="auto"/>
              <w:left w:val="single" w:sz="6" w:space="0" w:color="auto"/>
              <w:bottom w:val="single" w:sz="6" w:space="0" w:color="auto"/>
              <w:right w:val="single" w:sz="6" w:space="0" w:color="auto"/>
            </w:tcBorders>
            <w:shd w:val="clear" w:color="auto" w:fill="auto"/>
            <w:hideMark/>
          </w:tcPr>
          <w:p w14:paraId="0978CFB8" w14:textId="359F0D7E" w:rsidR="00855109" w:rsidRPr="005040A4" w:rsidRDefault="00855109" w:rsidP="00663D09">
            <w:pPr>
              <w:spacing w:before="60" w:after="60"/>
              <w:ind w:left="57" w:right="57"/>
              <w:textAlignment w:val="baseline"/>
              <w:rPr>
                <w:rFonts w:eastAsia="Times New Roman"/>
                <w:sz w:val="16"/>
                <w:szCs w:val="16"/>
                <w:lang w:val="fr-FR"/>
              </w:rPr>
            </w:pPr>
            <w:r w:rsidRPr="005040A4">
              <w:rPr>
                <w:sz w:val="16"/>
                <w:lang w:val="fr-FR"/>
              </w:rPr>
              <w:t>Rapport d</w:t>
            </w:r>
            <w:r w:rsidR="00743D89" w:rsidRPr="005040A4">
              <w:rPr>
                <w:sz w:val="16"/>
                <w:lang w:val="fr-FR"/>
              </w:rPr>
              <w:t>’</w:t>
            </w:r>
            <w:r w:rsidRPr="005040A4">
              <w:rPr>
                <w:sz w:val="16"/>
                <w:lang w:val="fr-FR"/>
              </w:rPr>
              <w:t>audit 2023</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06FC973F" w14:textId="31D56D32" w:rsidR="00855109" w:rsidRPr="005040A4" w:rsidRDefault="00855109" w:rsidP="00663D09">
            <w:pPr>
              <w:spacing w:before="60" w:after="60"/>
              <w:ind w:left="57" w:right="57"/>
              <w:textAlignment w:val="baseline"/>
              <w:rPr>
                <w:rFonts w:eastAsia="Times New Roman"/>
                <w:sz w:val="16"/>
                <w:szCs w:val="16"/>
                <w:lang w:val="fr-FR"/>
              </w:rPr>
            </w:pPr>
            <w:r w:rsidRPr="005040A4">
              <w:rPr>
                <w:sz w:val="16"/>
                <w:lang w:val="fr-FR"/>
              </w:rPr>
              <w:t>Aucune recommandation publiée dans le rapport d</w:t>
            </w:r>
            <w:r w:rsidR="00743D89" w:rsidRPr="005040A4">
              <w:rPr>
                <w:sz w:val="16"/>
                <w:lang w:val="fr-FR"/>
              </w:rPr>
              <w:t>’</w:t>
            </w:r>
            <w:r w:rsidRPr="005040A4">
              <w:rPr>
                <w:sz w:val="16"/>
                <w:lang w:val="fr-FR"/>
              </w:rPr>
              <w:t>audit pour l</w:t>
            </w:r>
            <w:r w:rsidR="00743D89" w:rsidRPr="005040A4">
              <w:rPr>
                <w:sz w:val="16"/>
                <w:lang w:val="fr-FR"/>
              </w:rPr>
              <w:t>’</w:t>
            </w:r>
            <w:r w:rsidRPr="005040A4">
              <w:rPr>
                <w:sz w:val="16"/>
                <w:lang w:val="fr-FR"/>
              </w:rPr>
              <w:t>année 2023.</w:t>
            </w:r>
          </w:p>
        </w:tc>
        <w:tc>
          <w:tcPr>
            <w:tcW w:w="1372" w:type="dxa"/>
            <w:tcBorders>
              <w:top w:val="single" w:sz="6" w:space="0" w:color="auto"/>
              <w:left w:val="single" w:sz="6" w:space="0" w:color="auto"/>
              <w:bottom w:val="single" w:sz="6" w:space="0" w:color="auto"/>
              <w:right w:val="single" w:sz="6" w:space="0" w:color="auto"/>
            </w:tcBorders>
            <w:shd w:val="clear" w:color="auto" w:fill="auto"/>
          </w:tcPr>
          <w:p w14:paraId="23430103" w14:textId="7F3C162C" w:rsidR="00855109" w:rsidRPr="005040A4" w:rsidRDefault="00855109" w:rsidP="00E862E4">
            <w:pPr>
              <w:textAlignment w:val="baseline"/>
              <w:rPr>
                <w:rFonts w:eastAsia="Times New Roman"/>
                <w:sz w:val="16"/>
                <w:szCs w:val="16"/>
                <w:lang w:val="fr-FR"/>
              </w:rPr>
            </w:pP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5C8AA19C" w14:textId="61C9367C" w:rsidR="00855109" w:rsidRPr="005040A4" w:rsidRDefault="00855109" w:rsidP="00E862E4">
            <w:pPr>
              <w:textAlignment w:val="baseline"/>
              <w:rPr>
                <w:rFonts w:eastAsia="Times New Roman"/>
                <w:sz w:val="16"/>
                <w:szCs w:val="16"/>
                <w:lang w:val="fr-FR"/>
              </w:rPr>
            </w:pP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D66CF7D" w14:textId="3B70646B" w:rsidR="00855109" w:rsidRPr="005040A4" w:rsidRDefault="00855109" w:rsidP="00E862E4">
            <w:pPr>
              <w:textAlignment w:val="baseline"/>
              <w:rPr>
                <w:rFonts w:eastAsia="Times New Roman"/>
                <w:sz w:val="16"/>
                <w:szCs w:val="16"/>
                <w:lang w:val="fr-FR"/>
              </w:rPr>
            </w:pPr>
          </w:p>
        </w:tc>
        <w:tc>
          <w:tcPr>
            <w:tcW w:w="1353" w:type="dxa"/>
            <w:tcBorders>
              <w:top w:val="single" w:sz="6" w:space="0" w:color="auto"/>
              <w:left w:val="single" w:sz="6" w:space="0" w:color="auto"/>
              <w:bottom w:val="single" w:sz="6" w:space="0" w:color="auto"/>
              <w:right w:val="single" w:sz="6" w:space="0" w:color="auto"/>
            </w:tcBorders>
            <w:shd w:val="clear" w:color="auto" w:fill="auto"/>
          </w:tcPr>
          <w:p w14:paraId="7C32C4E0" w14:textId="45572698" w:rsidR="00855109" w:rsidRPr="005040A4" w:rsidRDefault="00855109" w:rsidP="00E862E4">
            <w:pPr>
              <w:textAlignment w:val="baseline"/>
              <w:rPr>
                <w:rFonts w:eastAsia="Times New Roman"/>
                <w:sz w:val="16"/>
                <w:szCs w:val="16"/>
                <w:lang w:val="fr-FR"/>
              </w:rPr>
            </w:pPr>
          </w:p>
        </w:tc>
      </w:tr>
      <w:tr w:rsidR="00855109" w:rsidRPr="005040A4" w14:paraId="67F5EB98" w14:textId="77777777" w:rsidTr="006C0481">
        <w:trPr>
          <w:trHeight w:val="300"/>
          <w:jc w:val="center"/>
        </w:trPr>
        <w:tc>
          <w:tcPr>
            <w:tcW w:w="10572" w:type="dxa"/>
            <w:gridSpan w:val="8"/>
            <w:tcBorders>
              <w:top w:val="single" w:sz="6" w:space="0" w:color="auto"/>
              <w:left w:val="single" w:sz="6" w:space="0" w:color="auto"/>
              <w:bottom w:val="single" w:sz="6" w:space="0" w:color="auto"/>
              <w:right w:val="single" w:sz="6" w:space="0" w:color="auto"/>
            </w:tcBorders>
            <w:shd w:val="clear" w:color="auto" w:fill="B4C6E7"/>
            <w:hideMark/>
          </w:tcPr>
          <w:p w14:paraId="1CEA6A1F" w14:textId="6A973117" w:rsidR="00855109" w:rsidRPr="005040A4" w:rsidRDefault="00855109" w:rsidP="00E862E4">
            <w:pPr>
              <w:spacing w:before="60" w:after="60"/>
              <w:ind w:left="57" w:right="57"/>
              <w:textAlignment w:val="baseline"/>
              <w:rPr>
                <w:rFonts w:eastAsia="Times New Roman"/>
                <w:sz w:val="16"/>
                <w:szCs w:val="16"/>
                <w:lang w:val="fr-FR"/>
              </w:rPr>
            </w:pPr>
            <w:r w:rsidRPr="005040A4">
              <w:rPr>
                <w:b/>
                <w:sz w:val="16"/>
                <w:lang w:val="fr-FR"/>
              </w:rPr>
              <w:t>Rapport d</w:t>
            </w:r>
            <w:r w:rsidR="00743D89" w:rsidRPr="005040A4">
              <w:rPr>
                <w:b/>
                <w:sz w:val="16"/>
                <w:lang w:val="fr-FR"/>
              </w:rPr>
              <w:t>’</w:t>
            </w:r>
            <w:r w:rsidRPr="005040A4">
              <w:rPr>
                <w:b/>
                <w:sz w:val="16"/>
                <w:lang w:val="fr-FR"/>
              </w:rPr>
              <w:t>audit pour l</w:t>
            </w:r>
            <w:r w:rsidR="00743D89" w:rsidRPr="005040A4">
              <w:rPr>
                <w:b/>
                <w:sz w:val="16"/>
                <w:lang w:val="fr-FR"/>
              </w:rPr>
              <w:t>’</w:t>
            </w:r>
            <w:r w:rsidRPr="005040A4">
              <w:rPr>
                <w:b/>
                <w:sz w:val="16"/>
                <w:lang w:val="fr-FR"/>
              </w:rPr>
              <w:t>exercice financier clos le 31 décembre 2022</w:t>
            </w:r>
            <w:r w:rsidRPr="005040A4">
              <w:rPr>
                <w:sz w:val="16"/>
                <w:lang w:val="fr-FR"/>
              </w:rPr>
              <w:t> </w:t>
            </w:r>
          </w:p>
        </w:tc>
      </w:tr>
      <w:tr w:rsidR="00855109" w:rsidRPr="005040A4" w14:paraId="5B86EBFE" w14:textId="77777777" w:rsidTr="006C0481">
        <w:trPr>
          <w:gridAfter w:val="1"/>
          <w:wAfter w:w="13" w:type="dxa"/>
          <w:trHeight w:val="300"/>
          <w:jc w:val="center"/>
        </w:trPr>
        <w:tc>
          <w:tcPr>
            <w:tcW w:w="823" w:type="dxa"/>
            <w:tcBorders>
              <w:top w:val="single" w:sz="6" w:space="0" w:color="auto"/>
              <w:left w:val="single" w:sz="6" w:space="0" w:color="auto"/>
              <w:bottom w:val="single" w:sz="6" w:space="0" w:color="auto"/>
              <w:right w:val="single" w:sz="6" w:space="0" w:color="auto"/>
            </w:tcBorders>
            <w:shd w:val="clear" w:color="auto" w:fill="auto"/>
            <w:hideMark/>
          </w:tcPr>
          <w:p w14:paraId="605C193B" w14:textId="77777777" w:rsidR="00855109" w:rsidRPr="005040A4" w:rsidRDefault="00855109" w:rsidP="00E862E4">
            <w:pPr>
              <w:spacing w:before="60" w:after="60"/>
              <w:ind w:left="57" w:right="57"/>
              <w:textAlignment w:val="baseline"/>
              <w:rPr>
                <w:rFonts w:eastAsia="Times New Roman"/>
                <w:sz w:val="16"/>
                <w:szCs w:val="16"/>
                <w:lang w:val="fr-FR"/>
              </w:rPr>
            </w:pPr>
            <w:r w:rsidRPr="005040A4">
              <w:rPr>
                <w:sz w:val="16"/>
                <w:lang w:val="fr-FR"/>
              </w:rPr>
              <w:t>2022 </w:t>
            </w:r>
          </w:p>
        </w:tc>
        <w:tc>
          <w:tcPr>
            <w:tcW w:w="1437" w:type="dxa"/>
            <w:tcBorders>
              <w:top w:val="single" w:sz="6" w:space="0" w:color="auto"/>
              <w:left w:val="single" w:sz="6" w:space="0" w:color="auto"/>
              <w:bottom w:val="single" w:sz="6" w:space="0" w:color="auto"/>
              <w:right w:val="single" w:sz="6" w:space="0" w:color="auto"/>
            </w:tcBorders>
            <w:shd w:val="clear" w:color="auto" w:fill="auto"/>
            <w:hideMark/>
          </w:tcPr>
          <w:p w14:paraId="4840E5AB" w14:textId="09F22801" w:rsidR="00855109" w:rsidRPr="005040A4" w:rsidRDefault="00855109" w:rsidP="00E862E4">
            <w:pPr>
              <w:spacing w:before="60" w:after="60"/>
              <w:ind w:left="57" w:right="57"/>
              <w:textAlignment w:val="baseline"/>
              <w:rPr>
                <w:rFonts w:eastAsia="Times New Roman"/>
                <w:sz w:val="16"/>
                <w:szCs w:val="16"/>
                <w:lang w:val="fr-FR"/>
              </w:rPr>
            </w:pPr>
            <w:r w:rsidRPr="005040A4">
              <w:rPr>
                <w:sz w:val="16"/>
                <w:lang w:val="fr-FR"/>
              </w:rPr>
              <w:t>Rapport d</w:t>
            </w:r>
            <w:r w:rsidR="00743D89" w:rsidRPr="005040A4">
              <w:rPr>
                <w:sz w:val="16"/>
                <w:lang w:val="fr-FR"/>
              </w:rPr>
              <w:t>’</w:t>
            </w:r>
            <w:r w:rsidRPr="005040A4">
              <w:rPr>
                <w:sz w:val="16"/>
                <w:lang w:val="fr-FR"/>
              </w:rPr>
              <w:t>audit</w:t>
            </w:r>
            <w:r w:rsidR="00596148" w:rsidRPr="005040A4">
              <w:rPr>
                <w:sz w:val="16"/>
                <w:lang w:val="fr-FR"/>
              </w:rPr>
              <w:t> </w:t>
            </w:r>
            <w:r w:rsidRPr="005040A4">
              <w:rPr>
                <w:sz w:val="16"/>
                <w:lang w:val="fr-FR"/>
              </w:rPr>
              <w:t>2022, recommandation n° 2 </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7CB7A6E9" w14:textId="3F2BA21A" w:rsidR="00855109" w:rsidRPr="005040A4" w:rsidRDefault="00855109" w:rsidP="00E862E4">
            <w:pPr>
              <w:spacing w:before="60" w:after="60"/>
              <w:ind w:left="57" w:right="57"/>
              <w:textAlignment w:val="baseline"/>
              <w:rPr>
                <w:rFonts w:eastAsia="Times New Roman"/>
                <w:sz w:val="16"/>
                <w:szCs w:val="16"/>
                <w:lang w:val="fr-FR"/>
              </w:rPr>
            </w:pPr>
            <w:r w:rsidRPr="005040A4">
              <w:rPr>
                <w:sz w:val="16"/>
                <w:lang w:val="fr-FR"/>
              </w:rPr>
              <w:t>Envisager un élargissement du programme actuel de gestion des conflits pour l</w:t>
            </w:r>
            <w:r w:rsidR="00743D89" w:rsidRPr="005040A4">
              <w:rPr>
                <w:sz w:val="16"/>
                <w:lang w:val="fr-FR"/>
              </w:rPr>
              <w:t>’</w:t>
            </w:r>
            <w:r w:rsidRPr="005040A4">
              <w:rPr>
                <w:sz w:val="16"/>
                <w:lang w:val="fr-FR"/>
              </w:rPr>
              <w:t>étendre aux conjoints et aux membres de la famille proche</w:t>
            </w:r>
            <w:r w:rsidR="00663D09">
              <w:rPr>
                <w:sz w:val="16"/>
                <w:lang w:val="fr-FR"/>
              </w:rPr>
              <w:t>.</w:t>
            </w:r>
          </w:p>
        </w:tc>
        <w:tc>
          <w:tcPr>
            <w:tcW w:w="1372" w:type="dxa"/>
            <w:tcBorders>
              <w:top w:val="single" w:sz="6" w:space="0" w:color="auto"/>
              <w:left w:val="single" w:sz="6" w:space="0" w:color="auto"/>
              <w:bottom w:val="single" w:sz="6" w:space="0" w:color="auto"/>
              <w:right w:val="single" w:sz="6" w:space="0" w:color="auto"/>
            </w:tcBorders>
            <w:shd w:val="clear" w:color="auto" w:fill="auto"/>
            <w:hideMark/>
          </w:tcPr>
          <w:p w14:paraId="2C8B3806" w14:textId="7A6D11F7" w:rsidR="00855109" w:rsidRPr="005040A4" w:rsidRDefault="00855109" w:rsidP="00E862E4">
            <w:pPr>
              <w:spacing w:before="60" w:after="60"/>
              <w:ind w:left="57" w:right="57"/>
              <w:textAlignment w:val="baseline"/>
              <w:rPr>
                <w:rFonts w:eastAsia="Times New Roman"/>
                <w:sz w:val="16"/>
                <w:szCs w:val="16"/>
                <w:lang w:val="fr-FR"/>
              </w:rPr>
            </w:pPr>
            <w:r w:rsidRPr="005040A4">
              <w:rPr>
                <w:sz w:val="16"/>
                <w:lang w:val="fr-FR"/>
              </w:rPr>
              <w:t>Approuvée</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73F10FEC" w14:textId="07BA8307" w:rsidR="00855109" w:rsidRPr="005040A4" w:rsidRDefault="00855109" w:rsidP="00E862E4">
            <w:pPr>
              <w:spacing w:before="60" w:after="60"/>
              <w:ind w:left="57" w:right="57"/>
              <w:textAlignment w:val="baseline"/>
              <w:rPr>
                <w:rFonts w:eastAsia="Times New Roman"/>
                <w:sz w:val="16"/>
                <w:szCs w:val="16"/>
                <w:lang w:val="fr-FR"/>
              </w:rPr>
            </w:pPr>
            <w:r w:rsidRPr="005040A4">
              <w:rPr>
                <w:sz w:val="16"/>
                <w:lang w:val="fr-FR"/>
              </w:rPr>
              <w:t>Le Secrétariat a procédé en 2024 à une évaluation des risques qui a permis de comparer l</w:t>
            </w:r>
            <w:r w:rsidR="00743D89" w:rsidRPr="005040A4">
              <w:rPr>
                <w:sz w:val="16"/>
                <w:lang w:val="fr-FR"/>
              </w:rPr>
              <w:t>’</w:t>
            </w:r>
            <w:r w:rsidRPr="005040A4">
              <w:rPr>
                <w:sz w:val="16"/>
                <w:lang w:val="fr-FR"/>
              </w:rPr>
              <w:t>ensemble des obligations existantes en matière de confidentialité et de divulgation avec les risques perçus.</w:t>
            </w:r>
          </w:p>
          <w:p w14:paraId="01FCD776" w14:textId="60F2A2B5" w:rsidR="00855109" w:rsidRPr="005040A4" w:rsidRDefault="00855109" w:rsidP="00E862E4">
            <w:pPr>
              <w:spacing w:before="60" w:after="60"/>
              <w:ind w:left="57" w:right="57"/>
              <w:textAlignment w:val="baseline"/>
              <w:rPr>
                <w:rFonts w:eastAsia="Times New Roman"/>
                <w:sz w:val="16"/>
                <w:szCs w:val="16"/>
                <w:lang w:val="fr-FR"/>
              </w:rPr>
            </w:pPr>
            <w:r w:rsidRPr="005040A4">
              <w:rPr>
                <w:sz w:val="16"/>
                <w:lang w:val="fr-FR"/>
              </w:rPr>
              <w:t>Il a en outre entrepris un examen des pratiques recommandées pour gérer les conflits potentie</w:t>
            </w:r>
            <w:r w:rsidR="005652C9" w:rsidRPr="005040A4">
              <w:rPr>
                <w:sz w:val="16"/>
                <w:lang w:val="fr-FR"/>
              </w:rPr>
              <w:t>ls.  L’é</w:t>
            </w:r>
            <w:r w:rsidRPr="005040A4">
              <w:rPr>
                <w:sz w:val="16"/>
                <w:lang w:val="fr-FR"/>
              </w:rPr>
              <w:t>largissement du programme de l</w:t>
            </w:r>
            <w:r w:rsidR="00743D89" w:rsidRPr="005040A4">
              <w:rPr>
                <w:sz w:val="16"/>
                <w:lang w:val="fr-FR"/>
              </w:rPr>
              <w:t>’</w:t>
            </w:r>
            <w:r w:rsidRPr="005040A4">
              <w:rPr>
                <w:sz w:val="16"/>
                <w:lang w:val="fr-FR"/>
              </w:rPr>
              <w:t>Organisation relatif à la déclaration de situation financière et à la déclaration d</w:t>
            </w:r>
            <w:r w:rsidR="00743D89" w:rsidRPr="005040A4">
              <w:rPr>
                <w:sz w:val="16"/>
                <w:lang w:val="fr-FR"/>
              </w:rPr>
              <w:t>’</w:t>
            </w:r>
            <w:r w:rsidRPr="005040A4">
              <w:rPr>
                <w:sz w:val="16"/>
                <w:lang w:val="fr-FR"/>
              </w:rPr>
              <w:t>autres intérêts a été approuvé par le Groupe de gestion des risques en novembre 2024.</w:t>
            </w:r>
          </w:p>
          <w:p w14:paraId="1899858C" w14:textId="1CA0BD06" w:rsidR="00855109" w:rsidRPr="005040A4" w:rsidRDefault="00855109" w:rsidP="006C0481">
            <w:pPr>
              <w:spacing w:before="60" w:after="60"/>
              <w:ind w:left="57" w:right="57"/>
              <w:textAlignment w:val="baseline"/>
              <w:rPr>
                <w:rFonts w:eastAsia="Times New Roman"/>
                <w:sz w:val="16"/>
                <w:szCs w:val="16"/>
                <w:lang w:val="fr-FR"/>
              </w:rPr>
            </w:pPr>
            <w:r w:rsidRPr="005040A4">
              <w:rPr>
                <w:sz w:val="16"/>
                <w:lang w:val="fr-FR"/>
              </w:rPr>
              <w:t>Le Secrétariat a ensuite pris une série de mesures de mise en œuvre, notamment un examen complet et une mise à jour des politiques et directives de l</w:t>
            </w:r>
            <w:r w:rsidR="00743D89" w:rsidRPr="005040A4">
              <w:rPr>
                <w:sz w:val="16"/>
                <w:lang w:val="fr-FR"/>
              </w:rPr>
              <w:t>’</w:t>
            </w:r>
            <w:r w:rsidRPr="005040A4">
              <w:rPr>
                <w:sz w:val="16"/>
                <w:lang w:val="fr-FR"/>
              </w:rPr>
              <w:t>Organisation relatives à la déclaration de la situation financière et la déclaration d</w:t>
            </w:r>
            <w:r w:rsidR="00743D89" w:rsidRPr="005040A4">
              <w:rPr>
                <w:sz w:val="16"/>
                <w:lang w:val="fr-FR"/>
              </w:rPr>
              <w:t>’</w:t>
            </w:r>
            <w:r w:rsidRPr="005040A4">
              <w:rPr>
                <w:sz w:val="16"/>
                <w:lang w:val="fr-FR"/>
              </w:rPr>
              <w:t>autres intérêts, l</w:t>
            </w:r>
            <w:r w:rsidR="00743D89" w:rsidRPr="005040A4">
              <w:rPr>
                <w:sz w:val="16"/>
                <w:lang w:val="fr-FR"/>
              </w:rPr>
              <w:t>’</w:t>
            </w:r>
            <w:r w:rsidRPr="005040A4">
              <w:rPr>
                <w:sz w:val="16"/>
                <w:lang w:val="fr-FR"/>
              </w:rPr>
              <w:t>élaboration d</w:t>
            </w:r>
            <w:r w:rsidR="00743D89" w:rsidRPr="005040A4">
              <w:rPr>
                <w:sz w:val="16"/>
                <w:lang w:val="fr-FR"/>
              </w:rPr>
              <w:t>’</w:t>
            </w:r>
            <w:r w:rsidRPr="005040A4">
              <w:rPr>
                <w:sz w:val="16"/>
                <w:lang w:val="fr-FR"/>
              </w:rPr>
              <w:t>un questionnaire et son intégration dans le système informatisé actuel de dépôt, à l</w:t>
            </w:r>
            <w:r w:rsidR="00743D89" w:rsidRPr="005040A4">
              <w:rPr>
                <w:sz w:val="16"/>
                <w:lang w:val="fr-FR"/>
              </w:rPr>
              <w:t>’</w:t>
            </w:r>
            <w:r w:rsidRPr="005040A4">
              <w:rPr>
                <w:sz w:val="16"/>
                <w:lang w:val="fr-FR"/>
              </w:rPr>
              <w:t xml:space="preserve">intention du personnel qui traite des informations confidentielles relatives à la propriété intellectuelle, </w:t>
            </w:r>
            <w:r w:rsidR="00743D89" w:rsidRPr="005040A4">
              <w:rPr>
                <w:sz w:val="16"/>
                <w:lang w:val="fr-FR"/>
              </w:rPr>
              <w:t>y compris</w:t>
            </w:r>
            <w:r w:rsidRPr="005040A4">
              <w:rPr>
                <w:sz w:val="16"/>
                <w:lang w:val="fr-FR"/>
              </w:rPr>
              <w:t xml:space="preserve"> leurs conjoints et les membres de leur famille proche.</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376D0B3A" w14:textId="186959A5" w:rsidR="00855109" w:rsidRPr="005040A4" w:rsidRDefault="00855109" w:rsidP="006C0481">
            <w:pPr>
              <w:spacing w:before="60" w:after="60"/>
              <w:ind w:left="57" w:right="57"/>
              <w:textAlignment w:val="baseline"/>
              <w:rPr>
                <w:rFonts w:eastAsia="Times New Roman"/>
                <w:sz w:val="16"/>
                <w:szCs w:val="16"/>
                <w:lang w:val="fr-FR"/>
              </w:rPr>
            </w:pPr>
            <w:r w:rsidRPr="005040A4">
              <w:rPr>
                <w:sz w:val="16"/>
                <w:lang w:val="fr-FR"/>
              </w:rPr>
              <w:t>Compte tenu des activités menées par le Secrétariat sur ces questions, nous considérons que cette recommandation a été mise en œuvre.</w:t>
            </w:r>
          </w:p>
        </w:tc>
        <w:tc>
          <w:tcPr>
            <w:tcW w:w="1353" w:type="dxa"/>
            <w:tcBorders>
              <w:top w:val="single" w:sz="6" w:space="0" w:color="auto"/>
              <w:left w:val="single" w:sz="6" w:space="0" w:color="auto"/>
              <w:bottom w:val="single" w:sz="6" w:space="0" w:color="auto"/>
              <w:right w:val="single" w:sz="6" w:space="0" w:color="auto"/>
            </w:tcBorders>
            <w:shd w:val="clear" w:color="auto" w:fill="auto"/>
            <w:hideMark/>
          </w:tcPr>
          <w:p w14:paraId="6D54712E" w14:textId="77777777" w:rsidR="00855109" w:rsidRPr="005040A4" w:rsidRDefault="00855109" w:rsidP="00E862E4">
            <w:pPr>
              <w:spacing w:before="60" w:after="60"/>
              <w:ind w:left="57" w:right="57"/>
              <w:textAlignment w:val="baseline"/>
              <w:rPr>
                <w:rFonts w:eastAsia="Times New Roman"/>
                <w:b/>
                <w:sz w:val="16"/>
                <w:szCs w:val="16"/>
                <w:lang w:val="fr-FR"/>
              </w:rPr>
            </w:pPr>
            <w:r w:rsidRPr="005040A4">
              <w:rPr>
                <w:b/>
                <w:sz w:val="16"/>
                <w:lang w:val="fr-FR"/>
              </w:rPr>
              <w:t>Mise en œuvre</w:t>
            </w:r>
          </w:p>
        </w:tc>
      </w:tr>
      <w:tr w:rsidR="00855109" w:rsidRPr="005040A4" w14:paraId="3CFB9438" w14:textId="77777777" w:rsidTr="006C0481">
        <w:trPr>
          <w:gridAfter w:val="1"/>
          <w:wAfter w:w="13" w:type="dxa"/>
          <w:trHeight w:val="300"/>
          <w:jc w:val="center"/>
        </w:trPr>
        <w:tc>
          <w:tcPr>
            <w:tcW w:w="823" w:type="dxa"/>
            <w:tcBorders>
              <w:top w:val="single" w:sz="6" w:space="0" w:color="auto"/>
              <w:left w:val="single" w:sz="6" w:space="0" w:color="auto"/>
              <w:bottom w:val="single" w:sz="6" w:space="0" w:color="auto"/>
              <w:right w:val="single" w:sz="6" w:space="0" w:color="auto"/>
            </w:tcBorders>
            <w:shd w:val="clear" w:color="auto" w:fill="auto"/>
            <w:hideMark/>
          </w:tcPr>
          <w:p w14:paraId="621859E5" w14:textId="5D805DDA" w:rsidR="00855109" w:rsidRPr="005040A4" w:rsidRDefault="00855109" w:rsidP="00E862E4">
            <w:pPr>
              <w:spacing w:before="60" w:after="60"/>
              <w:ind w:left="57" w:right="57"/>
              <w:textAlignment w:val="baseline"/>
              <w:rPr>
                <w:rFonts w:eastAsia="Times New Roman"/>
                <w:sz w:val="16"/>
                <w:szCs w:val="16"/>
                <w:lang w:val="fr-FR"/>
              </w:rPr>
            </w:pPr>
          </w:p>
        </w:tc>
        <w:tc>
          <w:tcPr>
            <w:tcW w:w="1437" w:type="dxa"/>
            <w:tcBorders>
              <w:top w:val="single" w:sz="6" w:space="0" w:color="auto"/>
              <w:left w:val="single" w:sz="6" w:space="0" w:color="auto"/>
              <w:bottom w:val="single" w:sz="6" w:space="0" w:color="auto"/>
              <w:right w:val="single" w:sz="6" w:space="0" w:color="auto"/>
            </w:tcBorders>
            <w:shd w:val="clear" w:color="auto" w:fill="auto"/>
            <w:hideMark/>
          </w:tcPr>
          <w:p w14:paraId="5B3D923D" w14:textId="209D69C3" w:rsidR="00855109" w:rsidRPr="005040A4" w:rsidRDefault="00855109" w:rsidP="00E862E4">
            <w:pPr>
              <w:spacing w:before="60" w:after="60"/>
              <w:ind w:left="57" w:right="57"/>
              <w:textAlignment w:val="baseline"/>
              <w:rPr>
                <w:rFonts w:eastAsia="Times New Roman"/>
                <w:sz w:val="16"/>
                <w:szCs w:val="16"/>
                <w:lang w:val="fr-FR"/>
              </w:rPr>
            </w:pPr>
            <w:r w:rsidRPr="005040A4">
              <w:rPr>
                <w:sz w:val="16"/>
                <w:lang w:val="fr-FR"/>
              </w:rPr>
              <w:t>Rapport d</w:t>
            </w:r>
            <w:r w:rsidR="00743D89" w:rsidRPr="005040A4">
              <w:rPr>
                <w:sz w:val="16"/>
                <w:lang w:val="fr-FR"/>
              </w:rPr>
              <w:t>’</w:t>
            </w:r>
            <w:r w:rsidRPr="005040A4">
              <w:rPr>
                <w:sz w:val="16"/>
                <w:lang w:val="fr-FR"/>
              </w:rPr>
              <w:t>audit</w:t>
            </w:r>
            <w:r w:rsidR="00596148" w:rsidRPr="005040A4">
              <w:rPr>
                <w:sz w:val="16"/>
                <w:lang w:val="fr-FR"/>
              </w:rPr>
              <w:t> </w:t>
            </w:r>
            <w:r w:rsidRPr="005040A4">
              <w:rPr>
                <w:sz w:val="16"/>
                <w:lang w:val="fr-FR"/>
              </w:rPr>
              <w:t>2022, recommandation n° 3</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64200526" w14:textId="34F48AFE" w:rsidR="00855109" w:rsidRPr="005040A4" w:rsidRDefault="00855109" w:rsidP="00E862E4">
            <w:pPr>
              <w:spacing w:before="60" w:after="60"/>
              <w:ind w:left="57" w:right="57"/>
              <w:textAlignment w:val="baseline"/>
              <w:rPr>
                <w:rFonts w:eastAsia="Times New Roman"/>
                <w:sz w:val="16"/>
                <w:szCs w:val="16"/>
                <w:lang w:val="fr-FR"/>
              </w:rPr>
            </w:pPr>
            <w:r w:rsidRPr="005040A4">
              <w:rPr>
                <w:sz w:val="16"/>
                <w:lang w:val="fr-FR"/>
              </w:rPr>
              <w:t>Réfléchir à la nécessité de fournir des orientations en matière de déontologie sur les conflits relatifs à la propriété intellectuelle, et à la manière d</w:t>
            </w:r>
            <w:r w:rsidR="00743D89" w:rsidRPr="005040A4">
              <w:rPr>
                <w:sz w:val="16"/>
                <w:lang w:val="fr-FR"/>
              </w:rPr>
              <w:t>’</w:t>
            </w:r>
            <w:r w:rsidRPr="005040A4">
              <w:rPr>
                <w:sz w:val="16"/>
                <w:lang w:val="fr-FR"/>
              </w:rPr>
              <w:t>intégrer ces orientations dans le programme actuel de transparence en matière de conflits.</w:t>
            </w:r>
          </w:p>
        </w:tc>
        <w:tc>
          <w:tcPr>
            <w:tcW w:w="1372" w:type="dxa"/>
            <w:tcBorders>
              <w:top w:val="single" w:sz="6" w:space="0" w:color="auto"/>
              <w:left w:val="single" w:sz="6" w:space="0" w:color="auto"/>
              <w:bottom w:val="single" w:sz="6" w:space="0" w:color="auto"/>
              <w:right w:val="single" w:sz="6" w:space="0" w:color="auto"/>
            </w:tcBorders>
            <w:shd w:val="clear" w:color="auto" w:fill="auto"/>
            <w:hideMark/>
          </w:tcPr>
          <w:p w14:paraId="3B727E96" w14:textId="248500A7" w:rsidR="00855109" w:rsidRPr="005040A4" w:rsidRDefault="00855109" w:rsidP="00E862E4">
            <w:pPr>
              <w:spacing w:before="60" w:after="60"/>
              <w:ind w:left="57" w:right="57"/>
              <w:textAlignment w:val="baseline"/>
              <w:rPr>
                <w:rFonts w:eastAsia="Times New Roman"/>
                <w:sz w:val="16"/>
                <w:szCs w:val="16"/>
                <w:lang w:val="fr-FR"/>
              </w:rPr>
            </w:pPr>
            <w:r w:rsidRPr="005040A4">
              <w:rPr>
                <w:sz w:val="16"/>
                <w:lang w:val="fr-FR"/>
              </w:rPr>
              <w:t>Approuvée</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6BB97BE5" w14:textId="311F10A9" w:rsidR="00855109" w:rsidRPr="005040A4" w:rsidRDefault="00855109" w:rsidP="006C0481">
            <w:pPr>
              <w:spacing w:before="60" w:after="60"/>
              <w:ind w:left="57" w:right="57"/>
              <w:textAlignment w:val="baseline"/>
              <w:rPr>
                <w:rFonts w:eastAsia="Times New Roman"/>
                <w:sz w:val="16"/>
                <w:szCs w:val="16"/>
                <w:lang w:val="fr-FR"/>
              </w:rPr>
            </w:pPr>
            <w:r w:rsidRPr="005040A4">
              <w:rPr>
                <w:sz w:val="16"/>
                <w:lang w:val="fr-FR"/>
              </w:rPr>
              <w:t>Outre les mesures décrites dans le commentaire n° 2 pour 2022, le Secrétariat a organisé des séances d</w:t>
            </w:r>
            <w:r w:rsidR="00743D89" w:rsidRPr="005040A4">
              <w:rPr>
                <w:sz w:val="16"/>
                <w:lang w:val="fr-FR"/>
              </w:rPr>
              <w:t>’</w:t>
            </w:r>
            <w:r w:rsidRPr="005040A4">
              <w:rPr>
                <w:sz w:val="16"/>
                <w:lang w:val="fr-FR"/>
              </w:rPr>
              <w:t>information à l</w:t>
            </w:r>
            <w:r w:rsidR="00743D89" w:rsidRPr="005040A4">
              <w:rPr>
                <w:sz w:val="16"/>
                <w:lang w:val="fr-FR"/>
              </w:rPr>
              <w:t>’</w:t>
            </w:r>
            <w:r w:rsidRPr="005040A4">
              <w:rPr>
                <w:sz w:val="16"/>
                <w:lang w:val="fr-FR"/>
              </w:rPr>
              <w:t xml:space="preserve">intention du personnel concerné et créé une nouvelle </w:t>
            </w:r>
            <w:r w:rsidR="00743D89" w:rsidRPr="005040A4">
              <w:rPr>
                <w:sz w:val="16"/>
                <w:lang w:val="fr-FR"/>
              </w:rPr>
              <w:t>page I</w:t>
            </w:r>
            <w:r w:rsidRPr="005040A4">
              <w:rPr>
                <w:sz w:val="16"/>
                <w:lang w:val="fr-FR"/>
              </w:rPr>
              <w:t>ntranet consacrée spécifiquement aux conflits réels, potentiels ou perçus liés à la propriété intellectuelle, qui comprend les politiques et directives révisées, des conseils pratiques et une foire aux questions, et renvoie au programme élargi en matière de conflits.</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45B56EA3" w14:textId="7FE1FD3B" w:rsidR="00855109" w:rsidRPr="005040A4" w:rsidRDefault="00855109" w:rsidP="006C0481">
            <w:pPr>
              <w:spacing w:before="60" w:after="60"/>
              <w:ind w:left="57" w:right="57"/>
              <w:textAlignment w:val="baseline"/>
              <w:rPr>
                <w:rFonts w:eastAsia="Times New Roman"/>
                <w:sz w:val="16"/>
                <w:szCs w:val="16"/>
                <w:lang w:val="fr-FR"/>
              </w:rPr>
            </w:pPr>
            <w:r w:rsidRPr="005040A4">
              <w:rPr>
                <w:sz w:val="16"/>
                <w:lang w:val="fr-FR"/>
              </w:rPr>
              <w:t>Nous prenons note de la réponse du Secrétariat actualisée, qui répond à la question soulevée.</w:t>
            </w:r>
          </w:p>
        </w:tc>
        <w:tc>
          <w:tcPr>
            <w:tcW w:w="1353" w:type="dxa"/>
            <w:tcBorders>
              <w:top w:val="single" w:sz="6" w:space="0" w:color="auto"/>
              <w:left w:val="single" w:sz="6" w:space="0" w:color="auto"/>
              <w:bottom w:val="single" w:sz="6" w:space="0" w:color="auto"/>
              <w:right w:val="single" w:sz="6" w:space="0" w:color="auto"/>
            </w:tcBorders>
            <w:shd w:val="clear" w:color="auto" w:fill="auto"/>
            <w:hideMark/>
          </w:tcPr>
          <w:p w14:paraId="5C622A3F" w14:textId="1AA7BE00" w:rsidR="00855109" w:rsidRPr="005040A4" w:rsidRDefault="00855109" w:rsidP="00E862E4">
            <w:pPr>
              <w:spacing w:before="60" w:after="60"/>
              <w:ind w:left="57" w:right="57"/>
              <w:textAlignment w:val="baseline"/>
              <w:rPr>
                <w:rFonts w:eastAsia="Times New Roman"/>
                <w:b/>
                <w:sz w:val="16"/>
                <w:szCs w:val="16"/>
                <w:lang w:val="fr-FR"/>
              </w:rPr>
            </w:pPr>
            <w:r w:rsidRPr="005040A4">
              <w:rPr>
                <w:b/>
                <w:sz w:val="16"/>
                <w:lang w:val="fr-FR"/>
              </w:rPr>
              <w:t>Mise en œuvre</w:t>
            </w:r>
          </w:p>
        </w:tc>
      </w:tr>
      <w:tr w:rsidR="00855109" w:rsidRPr="005040A4" w14:paraId="7F6462A8" w14:textId="77777777" w:rsidTr="006C0481">
        <w:trPr>
          <w:gridAfter w:val="1"/>
          <w:wAfter w:w="13" w:type="dxa"/>
          <w:trHeight w:val="300"/>
          <w:jc w:val="center"/>
        </w:trPr>
        <w:tc>
          <w:tcPr>
            <w:tcW w:w="823" w:type="dxa"/>
            <w:tcBorders>
              <w:top w:val="single" w:sz="6" w:space="0" w:color="auto"/>
              <w:left w:val="single" w:sz="6" w:space="0" w:color="auto"/>
              <w:bottom w:val="single" w:sz="6" w:space="0" w:color="auto"/>
              <w:right w:val="single" w:sz="6" w:space="0" w:color="auto"/>
            </w:tcBorders>
            <w:shd w:val="clear" w:color="auto" w:fill="auto"/>
            <w:hideMark/>
          </w:tcPr>
          <w:p w14:paraId="2282B9FB" w14:textId="6ECA2F5F" w:rsidR="00855109" w:rsidRPr="005040A4" w:rsidRDefault="00855109" w:rsidP="00E862E4">
            <w:pPr>
              <w:spacing w:before="60" w:after="60"/>
              <w:ind w:left="57" w:right="57"/>
              <w:textAlignment w:val="baseline"/>
              <w:rPr>
                <w:rFonts w:eastAsia="Times New Roman"/>
                <w:sz w:val="16"/>
                <w:szCs w:val="16"/>
                <w:lang w:val="fr-FR"/>
              </w:rPr>
            </w:pPr>
          </w:p>
        </w:tc>
        <w:tc>
          <w:tcPr>
            <w:tcW w:w="1437" w:type="dxa"/>
            <w:tcBorders>
              <w:top w:val="single" w:sz="6" w:space="0" w:color="auto"/>
              <w:left w:val="single" w:sz="6" w:space="0" w:color="auto"/>
              <w:bottom w:val="single" w:sz="6" w:space="0" w:color="auto"/>
              <w:right w:val="single" w:sz="6" w:space="0" w:color="auto"/>
            </w:tcBorders>
            <w:shd w:val="clear" w:color="auto" w:fill="auto"/>
            <w:hideMark/>
          </w:tcPr>
          <w:p w14:paraId="75499101" w14:textId="51F830BE" w:rsidR="00743D89" w:rsidRPr="005040A4" w:rsidRDefault="00855109" w:rsidP="00E862E4">
            <w:pPr>
              <w:spacing w:before="60" w:after="60"/>
              <w:ind w:left="57" w:right="57"/>
              <w:textAlignment w:val="baseline"/>
              <w:rPr>
                <w:sz w:val="16"/>
                <w:lang w:val="fr-FR"/>
              </w:rPr>
            </w:pPr>
            <w:r w:rsidRPr="005040A4">
              <w:rPr>
                <w:sz w:val="16"/>
                <w:lang w:val="fr-FR"/>
              </w:rPr>
              <w:t>Rapport d</w:t>
            </w:r>
            <w:r w:rsidR="00743D89" w:rsidRPr="005040A4">
              <w:rPr>
                <w:sz w:val="16"/>
                <w:lang w:val="fr-FR"/>
              </w:rPr>
              <w:t>’</w:t>
            </w:r>
            <w:r w:rsidRPr="005040A4">
              <w:rPr>
                <w:sz w:val="16"/>
                <w:lang w:val="fr-FR"/>
              </w:rPr>
              <w:t>audit 2022,</w:t>
            </w:r>
          </w:p>
          <w:p w14:paraId="1A652974" w14:textId="1D76B9FF" w:rsidR="00855109" w:rsidRPr="005040A4" w:rsidRDefault="00855109" w:rsidP="00E862E4">
            <w:pPr>
              <w:spacing w:before="60" w:after="60"/>
              <w:ind w:left="57" w:right="57"/>
              <w:textAlignment w:val="baseline"/>
              <w:rPr>
                <w:rFonts w:eastAsia="Times New Roman"/>
                <w:sz w:val="16"/>
                <w:szCs w:val="16"/>
                <w:lang w:val="fr-FR"/>
              </w:rPr>
            </w:pPr>
            <w:r w:rsidRPr="005040A4">
              <w:rPr>
                <w:sz w:val="16"/>
                <w:lang w:val="fr-FR"/>
              </w:rPr>
              <w:t>Recommandation n° 4</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35F3F7D8" w14:textId="1C995957" w:rsidR="00855109" w:rsidRPr="005040A4" w:rsidRDefault="00855109" w:rsidP="00E862E4">
            <w:pPr>
              <w:spacing w:before="60" w:after="60"/>
              <w:ind w:left="57" w:right="57"/>
              <w:textAlignment w:val="baseline"/>
              <w:rPr>
                <w:rFonts w:eastAsia="Times New Roman"/>
                <w:sz w:val="16"/>
                <w:szCs w:val="16"/>
                <w:lang w:val="fr-FR"/>
              </w:rPr>
            </w:pPr>
            <w:r w:rsidRPr="005040A4">
              <w:rPr>
                <w:sz w:val="16"/>
                <w:lang w:val="fr-FR"/>
              </w:rPr>
              <w:t>Réaliser une étude détaillée de l</w:t>
            </w:r>
            <w:r w:rsidR="00743D89" w:rsidRPr="005040A4">
              <w:rPr>
                <w:sz w:val="16"/>
                <w:lang w:val="fr-FR"/>
              </w:rPr>
              <w:t>’</w:t>
            </w:r>
            <w:r w:rsidRPr="005040A4">
              <w:rPr>
                <w:sz w:val="16"/>
                <w:lang w:val="fr-FR"/>
              </w:rPr>
              <w:t>utilisation actuelle de ses locaux afin d</w:t>
            </w:r>
            <w:r w:rsidR="00743D89" w:rsidRPr="005040A4">
              <w:rPr>
                <w:sz w:val="16"/>
                <w:lang w:val="fr-FR"/>
              </w:rPr>
              <w:t>’</w:t>
            </w:r>
            <w:r w:rsidRPr="005040A4">
              <w:rPr>
                <w:sz w:val="16"/>
                <w:lang w:val="fr-FR"/>
              </w:rPr>
              <w:t>élaborer une stratégie immobilière globale pour répondre aux besoins du siège et des bureaux extérieurs.</w:t>
            </w:r>
          </w:p>
        </w:tc>
        <w:tc>
          <w:tcPr>
            <w:tcW w:w="1372" w:type="dxa"/>
            <w:tcBorders>
              <w:top w:val="single" w:sz="6" w:space="0" w:color="auto"/>
              <w:left w:val="single" w:sz="6" w:space="0" w:color="auto"/>
              <w:bottom w:val="single" w:sz="6" w:space="0" w:color="auto"/>
              <w:right w:val="single" w:sz="6" w:space="0" w:color="auto"/>
            </w:tcBorders>
            <w:shd w:val="clear" w:color="auto" w:fill="auto"/>
            <w:hideMark/>
          </w:tcPr>
          <w:p w14:paraId="6B77F5DA" w14:textId="420515C1" w:rsidR="00855109" w:rsidRPr="005040A4" w:rsidRDefault="00855109" w:rsidP="00E862E4">
            <w:pPr>
              <w:spacing w:before="60" w:after="60"/>
              <w:ind w:left="57" w:right="57"/>
              <w:textAlignment w:val="baseline"/>
              <w:rPr>
                <w:rFonts w:eastAsia="Times New Roman"/>
                <w:sz w:val="16"/>
                <w:szCs w:val="16"/>
                <w:lang w:val="fr-FR"/>
              </w:rPr>
            </w:pPr>
            <w:r w:rsidRPr="005040A4">
              <w:rPr>
                <w:sz w:val="16"/>
                <w:lang w:val="fr-FR"/>
              </w:rPr>
              <w:t>Approuvée</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741FAAF9" w14:textId="505E2AA8" w:rsidR="00855109" w:rsidRPr="005040A4" w:rsidRDefault="00855109" w:rsidP="006C0481">
            <w:pPr>
              <w:keepLines/>
              <w:spacing w:before="60" w:after="60"/>
              <w:ind w:left="57" w:right="57"/>
              <w:textAlignment w:val="baseline"/>
              <w:rPr>
                <w:rFonts w:eastAsia="Times New Roman"/>
                <w:sz w:val="16"/>
                <w:szCs w:val="16"/>
                <w:lang w:val="fr-FR"/>
              </w:rPr>
            </w:pPr>
            <w:r w:rsidRPr="005040A4">
              <w:rPr>
                <w:sz w:val="16"/>
                <w:lang w:val="fr-FR"/>
              </w:rPr>
              <w:t>Le Secrétariat a mandaté un cabinet d</w:t>
            </w:r>
            <w:r w:rsidR="00743D89" w:rsidRPr="005040A4">
              <w:rPr>
                <w:sz w:val="16"/>
                <w:lang w:val="fr-FR"/>
              </w:rPr>
              <w:t>’</w:t>
            </w:r>
            <w:r w:rsidRPr="005040A4">
              <w:rPr>
                <w:sz w:val="16"/>
                <w:lang w:val="fr-FR"/>
              </w:rPr>
              <w:t>audit en octobre 2024 pour évaluer l</w:t>
            </w:r>
            <w:r w:rsidR="00743D89" w:rsidRPr="005040A4">
              <w:rPr>
                <w:sz w:val="16"/>
                <w:lang w:val="fr-FR"/>
              </w:rPr>
              <w:t>’</w:t>
            </w:r>
            <w:r w:rsidRPr="005040A4">
              <w:rPr>
                <w:sz w:val="16"/>
                <w:lang w:val="fr-FR"/>
              </w:rPr>
              <w:t>état de ses biens immobiliers ainsi que l</w:t>
            </w:r>
            <w:r w:rsidR="00743D89" w:rsidRPr="005040A4">
              <w:rPr>
                <w:sz w:val="16"/>
                <w:lang w:val="fr-FR"/>
              </w:rPr>
              <w:t>’</w:t>
            </w:r>
            <w:r w:rsidRPr="005040A4">
              <w:rPr>
                <w:sz w:val="16"/>
                <w:lang w:val="fr-FR"/>
              </w:rPr>
              <w:t>utilisation actuelle de l</w:t>
            </w:r>
            <w:r w:rsidR="00743D89" w:rsidRPr="005040A4">
              <w:rPr>
                <w:sz w:val="16"/>
                <w:lang w:val="fr-FR"/>
              </w:rPr>
              <w:t>’</w:t>
            </w:r>
            <w:r w:rsidRPr="005040A4">
              <w:rPr>
                <w:sz w:val="16"/>
                <w:lang w:val="fr-FR"/>
              </w:rPr>
              <w:t>espace disponible dans ses locaux.</w:t>
            </w:r>
          </w:p>
          <w:p w14:paraId="53DA5B1C" w14:textId="58205AF6" w:rsidR="00855109" w:rsidRPr="005040A4" w:rsidRDefault="00855109" w:rsidP="006C0481">
            <w:pPr>
              <w:spacing w:before="60" w:after="60"/>
              <w:ind w:left="57" w:right="57"/>
              <w:textAlignment w:val="baseline"/>
              <w:rPr>
                <w:rFonts w:eastAsia="Times New Roman"/>
                <w:sz w:val="16"/>
                <w:szCs w:val="16"/>
                <w:lang w:val="fr-FR"/>
              </w:rPr>
            </w:pPr>
            <w:r w:rsidRPr="005040A4">
              <w:rPr>
                <w:sz w:val="16"/>
                <w:lang w:val="fr-FR"/>
              </w:rPr>
              <w:t>L</w:t>
            </w:r>
            <w:r w:rsidR="00743D89" w:rsidRPr="005040A4">
              <w:rPr>
                <w:sz w:val="16"/>
                <w:lang w:val="fr-FR"/>
              </w:rPr>
              <w:t>’</w:t>
            </w:r>
            <w:r w:rsidRPr="005040A4">
              <w:rPr>
                <w:sz w:val="16"/>
                <w:lang w:val="fr-FR"/>
              </w:rPr>
              <w:t>échéance de la recommandation a été reportée au 30 </w:t>
            </w:r>
            <w:r w:rsidR="00743D89" w:rsidRPr="005040A4">
              <w:rPr>
                <w:sz w:val="16"/>
                <w:lang w:val="fr-FR"/>
              </w:rPr>
              <w:t>juin 20</w:t>
            </w:r>
            <w:r w:rsidRPr="005040A4">
              <w:rPr>
                <w:sz w:val="16"/>
                <w:lang w:val="fr-FR"/>
              </w:rPr>
              <w:t>25.</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6CA665B8" w14:textId="6C4E8501" w:rsidR="00855109" w:rsidRPr="005040A4" w:rsidRDefault="00855109" w:rsidP="006C0481">
            <w:pPr>
              <w:spacing w:before="60" w:after="60"/>
              <w:ind w:left="57" w:right="57"/>
              <w:textAlignment w:val="baseline"/>
              <w:rPr>
                <w:rFonts w:eastAsia="Times New Roman"/>
                <w:sz w:val="16"/>
                <w:szCs w:val="16"/>
                <w:lang w:val="fr-FR"/>
              </w:rPr>
            </w:pPr>
            <w:r w:rsidRPr="005040A4">
              <w:rPr>
                <w:sz w:val="16"/>
                <w:lang w:val="fr-FR"/>
              </w:rPr>
              <w:t>Nous prenons note de la date de mise en œuvre future de cette recommandation par l</w:t>
            </w:r>
            <w:r w:rsidR="00743D89" w:rsidRPr="005040A4">
              <w:rPr>
                <w:sz w:val="16"/>
                <w:lang w:val="fr-FR"/>
              </w:rPr>
              <w:t>’</w:t>
            </w:r>
            <w:r w:rsidRPr="005040A4">
              <w:rPr>
                <w:sz w:val="16"/>
                <w:lang w:val="fr-FR"/>
              </w:rPr>
              <w:t>Organisation et nous examinerons de nouveau son état d</w:t>
            </w:r>
            <w:r w:rsidR="00743D89" w:rsidRPr="005040A4">
              <w:rPr>
                <w:sz w:val="16"/>
                <w:lang w:val="fr-FR"/>
              </w:rPr>
              <w:t>’</w:t>
            </w:r>
            <w:r w:rsidRPr="005040A4">
              <w:rPr>
                <w:sz w:val="16"/>
                <w:lang w:val="fr-FR"/>
              </w:rPr>
              <w:t>avancement lors de la vérification des comptes de l</w:t>
            </w:r>
            <w:r w:rsidR="00743D89" w:rsidRPr="005040A4">
              <w:rPr>
                <w:sz w:val="16"/>
                <w:lang w:val="fr-FR"/>
              </w:rPr>
              <w:t>’</w:t>
            </w:r>
            <w:r w:rsidRPr="005040A4">
              <w:rPr>
                <w:sz w:val="16"/>
                <w:lang w:val="fr-FR"/>
              </w:rPr>
              <w:t>année prochaine.</w:t>
            </w:r>
          </w:p>
        </w:tc>
        <w:tc>
          <w:tcPr>
            <w:tcW w:w="1353" w:type="dxa"/>
            <w:tcBorders>
              <w:top w:val="single" w:sz="6" w:space="0" w:color="auto"/>
              <w:left w:val="single" w:sz="6" w:space="0" w:color="auto"/>
              <w:bottom w:val="single" w:sz="6" w:space="0" w:color="auto"/>
              <w:right w:val="single" w:sz="6" w:space="0" w:color="auto"/>
            </w:tcBorders>
            <w:shd w:val="clear" w:color="auto" w:fill="auto"/>
            <w:hideMark/>
          </w:tcPr>
          <w:p w14:paraId="46993A75" w14:textId="1B5157F3" w:rsidR="00855109" w:rsidRPr="005040A4" w:rsidRDefault="00855109" w:rsidP="00E862E4">
            <w:pPr>
              <w:spacing w:before="60" w:after="60"/>
              <w:ind w:left="57" w:right="57"/>
              <w:textAlignment w:val="baseline"/>
              <w:rPr>
                <w:rFonts w:eastAsia="Times New Roman"/>
                <w:b/>
                <w:sz w:val="16"/>
                <w:szCs w:val="16"/>
                <w:lang w:val="fr-FR"/>
              </w:rPr>
            </w:pPr>
            <w:r w:rsidRPr="005040A4">
              <w:rPr>
                <w:b/>
                <w:sz w:val="16"/>
                <w:lang w:val="fr-FR"/>
              </w:rPr>
              <w:t>Mise en œuvre</w:t>
            </w:r>
          </w:p>
        </w:tc>
      </w:tr>
      <w:tr w:rsidR="00855109" w:rsidRPr="005040A4" w14:paraId="495A273B" w14:textId="77777777" w:rsidTr="006C0481">
        <w:trPr>
          <w:gridAfter w:val="1"/>
          <w:wAfter w:w="13" w:type="dxa"/>
          <w:trHeight w:val="300"/>
          <w:jc w:val="center"/>
        </w:trPr>
        <w:tc>
          <w:tcPr>
            <w:tcW w:w="823" w:type="dxa"/>
            <w:tcBorders>
              <w:top w:val="single" w:sz="6" w:space="0" w:color="auto"/>
              <w:left w:val="single" w:sz="6" w:space="0" w:color="auto"/>
              <w:bottom w:val="single" w:sz="6" w:space="0" w:color="auto"/>
              <w:right w:val="single" w:sz="6" w:space="0" w:color="auto"/>
            </w:tcBorders>
            <w:shd w:val="clear" w:color="auto" w:fill="auto"/>
            <w:hideMark/>
          </w:tcPr>
          <w:p w14:paraId="4929C429" w14:textId="5D883124" w:rsidR="00855109" w:rsidRPr="005040A4" w:rsidRDefault="00855109" w:rsidP="00E862E4">
            <w:pPr>
              <w:spacing w:before="60" w:after="60"/>
              <w:ind w:left="57" w:right="57"/>
              <w:textAlignment w:val="baseline"/>
              <w:rPr>
                <w:rFonts w:eastAsia="Times New Roman"/>
                <w:sz w:val="16"/>
                <w:szCs w:val="16"/>
                <w:lang w:val="fr-FR"/>
              </w:rPr>
            </w:pPr>
          </w:p>
        </w:tc>
        <w:tc>
          <w:tcPr>
            <w:tcW w:w="1437" w:type="dxa"/>
            <w:tcBorders>
              <w:top w:val="single" w:sz="6" w:space="0" w:color="auto"/>
              <w:left w:val="single" w:sz="6" w:space="0" w:color="auto"/>
              <w:bottom w:val="single" w:sz="6" w:space="0" w:color="auto"/>
              <w:right w:val="single" w:sz="6" w:space="0" w:color="auto"/>
            </w:tcBorders>
            <w:shd w:val="clear" w:color="auto" w:fill="auto"/>
            <w:hideMark/>
          </w:tcPr>
          <w:p w14:paraId="781556BA" w14:textId="54389E3C" w:rsidR="00743D89" w:rsidRPr="005040A4" w:rsidRDefault="00855109" w:rsidP="00E862E4">
            <w:pPr>
              <w:spacing w:before="60" w:after="60"/>
              <w:ind w:left="57" w:right="57"/>
              <w:textAlignment w:val="baseline"/>
              <w:rPr>
                <w:sz w:val="16"/>
                <w:lang w:val="fr-FR"/>
              </w:rPr>
            </w:pPr>
            <w:r w:rsidRPr="005040A4">
              <w:rPr>
                <w:sz w:val="16"/>
                <w:lang w:val="fr-FR"/>
              </w:rPr>
              <w:t>Rapport d</w:t>
            </w:r>
            <w:r w:rsidR="00743D89" w:rsidRPr="005040A4">
              <w:rPr>
                <w:sz w:val="16"/>
                <w:lang w:val="fr-FR"/>
              </w:rPr>
              <w:t>’</w:t>
            </w:r>
            <w:r w:rsidRPr="005040A4">
              <w:rPr>
                <w:sz w:val="16"/>
                <w:lang w:val="fr-FR"/>
              </w:rPr>
              <w:t>audit 2022,</w:t>
            </w:r>
          </w:p>
          <w:p w14:paraId="483C1135" w14:textId="4CD225FE" w:rsidR="00855109" w:rsidRPr="005040A4" w:rsidRDefault="00855109" w:rsidP="00E862E4">
            <w:pPr>
              <w:spacing w:before="60" w:after="60"/>
              <w:ind w:left="57" w:right="57"/>
              <w:textAlignment w:val="baseline"/>
              <w:rPr>
                <w:rFonts w:eastAsia="Times New Roman"/>
                <w:sz w:val="16"/>
                <w:szCs w:val="16"/>
                <w:lang w:val="fr-FR"/>
              </w:rPr>
            </w:pPr>
            <w:r w:rsidRPr="005040A4">
              <w:rPr>
                <w:sz w:val="16"/>
                <w:lang w:val="fr-FR"/>
              </w:rPr>
              <w:t>Recommandation n° 5</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46EF3CF5" w14:textId="3F32AF18" w:rsidR="00855109" w:rsidRPr="006C0481" w:rsidRDefault="00855109" w:rsidP="006C0481">
            <w:pPr>
              <w:spacing w:before="60" w:after="60"/>
              <w:ind w:left="57" w:right="57"/>
              <w:textAlignment w:val="baseline"/>
              <w:rPr>
                <w:rFonts w:eastAsia="Times New Roman"/>
                <w:spacing w:val="-2"/>
                <w:sz w:val="16"/>
                <w:szCs w:val="16"/>
                <w:lang w:val="fr-FR" w:eastAsia="en-GB"/>
              </w:rPr>
            </w:pPr>
            <w:r w:rsidRPr="006C0481">
              <w:rPr>
                <w:spacing w:val="-2"/>
                <w:sz w:val="16"/>
                <w:lang w:val="fr-FR"/>
              </w:rPr>
              <w:t>Après avoir examiné ses besoins, élaborer une stratégie immobilière globale pour montrer comment son patrimoine immobilier va favoriser la prestation de services efficaces et rationnels.</w:t>
            </w:r>
          </w:p>
        </w:tc>
        <w:tc>
          <w:tcPr>
            <w:tcW w:w="1372" w:type="dxa"/>
            <w:tcBorders>
              <w:top w:val="single" w:sz="6" w:space="0" w:color="auto"/>
              <w:left w:val="single" w:sz="6" w:space="0" w:color="auto"/>
              <w:bottom w:val="single" w:sz="6" w:space="0" w:color="auto"/>
              <w:right w:val="single" w:sz="6" w:space="0" w:color="auto"/>
            </w:tcBorders>
            <w:shd w:val="clear" w:color="auto" w:fill="auto"/>
            <w:hideMark/>
          </w:tcPr>
          <w:p w14:paraId="63026F20" w14:textId="16740722" w:rsidR="00855109" w:rsidRPr="005040A4" w:rsidRDefault="00855109" w:rsidP="00E862E4">
            <w:pPr>
              <w:spacing w:before="60" w:after="60"/>
              <w:ind w:left="57" w:right="57"/>
              <w:textAlignment w:val="baseline"/>
              <w:rPr>
                <w:rFonts w:eastAsia="Times New Roman"/>
                <w:sz w:val="16"/>
                <w:szCs w:val="16"/>
                <w:lang w:val="fr-FR"/>
              </w:rPr>
            </w:pPr>
            <w:r w:rsidRPr="005040A4">
              <w:rPr>
                <w:sz w:val="16"/>
                <w:lang w:val="fr-FR"/>
              </w:rPr>
              <w:t>Approuvée</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7F3A4819" w14:textId="12049479" w:rsidR="00743D89" w:rsidRPr="005040A4" w:rsidRDefault="00855109" w:rsidP="00E862E4">
            <w:pPr>
              <w:spacing w:before="60" w:after="60"/>
              <w:ind w:left="57" w:right="57"/>
              <w:textAlignment w:val="baseline"/>
              <w:rPr>
                <w:sz w:val="16"/>
                <w:lang w:val="fr-FR"/>
              </w:rPr>
            </w:pPr>
            <w:r w:rsidRPr="005040A4">
              <w:rPr>
                <w:sz w:val="16"/>
                <w:lang w:val="fr-FR"/>
              </w:rPr>
              <w:t>Le Secrétariat a mandaté un cabinet d</w:t>
            </w:r>
            <w:r w:rsidR="00743D89" w:rsidRPr="005040A4">
              <w:rPr>
                <w:sz w:val="16"/>
                <w:lang w:val="fr-FR"/>
              </w:rPr>
              <w:t>’</w:t>
            </w:r>
            <w:r w:rsidRPr="005040A4">
              <w:rPr>
                <w:sz w:val="16"/>
                <w:lang w:val="fr-FR"/>
              </w:rPr>
              <w:t>audit en octobre 2024 pour évaluer l</w:t>
            </w:r>
            <w:r w:rsidR="00743D89" w:rsidRPr="005040A4">
              <w:rPr>
                <w:sz w:val="16"/>
                <w:lang w:val="fr-FR"/>
              </w:rPr>
              <w:t>’</w:t>
            </w:r>
            <w:r w:rsidRPr="005040A4">
              <w:rPr>
                <w:sz w:val="16"/>
                <w:lang w:val="fr-FR"/>
              </w:rPr>
              <w:t>état de ses biens immobiliers ainsi que l</w:t>
            </w:r>
            <w:r w:rsidR="00743D89" w:rsidRPr="005040A4">
              <w:rPr>
                <w:sz w:val="16"/>
                <w:lang w:val="fr-FR"/>
              </w:rPr>
              <w:t>’</w:t>
            </w:r>
            <w:r w:rsidRPr="005040A4">
              <w:rPr>
                <w:sz w:val="16"/>
                <w:lang w:val="fr-FR"/>
              </w:rPr>
              <w:t>utilisation actuelle de l</w:t>
            </w:r>
            <w:r w:rsidR="00743D89" w:rsidRPr="005040A4">
              <w:rPr>
                <w:sz w:val="16"/>
                <w:lang w:val="fr-FR"/>
              </w:rPr>
              <w:t>’</w:t>
            </w:r>
            <w:r w:rsidRPr="005040A4">
              <w:rPr>
                <w:sz w:val="16"/>
                <w:lang w:val="fr-FR"/>
              </w:rPr>
              <w:t>espace disponible dans ses locaux.</w:t>
            </w:r>
          </w:p>
          <w:p w14:paraId="68863D5E" w14:textId="3030CCBC" w:rsidR="00855109" w:rsidRPr="005040A4" w:rsidRDefault="00855109" w:rsidP="006C0481">
            <w:pPr>
              <w:spacing w:before="60" w:after="60"/>
              <w:ind w:left="57" w:right="57"/>
              <w:textAlignment w:val="baseline"/>
              <w:rPr>
                <w:rFonts w:eastAsia="Times New Roman"/>
                <w:sz w:val="16"/>
                <w:szCs w:val="16"/>
                <w:lang w:val="fr-FR"/>
              </w:rPr>
            </w:pPr>
            <w:r w:rsidRPr="005040A4">
              <w:rPr>
                <w:sz w:val="16"/>
                <w:lang w:val="fr-FR"/>
              </w:rPr>
              <w:t>La mise en œuvre a été planifiée pour le 30 juin 2025.</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2548B80A" w14:textId="5B2B0DC1" w:rsidR="00855109" w:rsidRPr="005040A4" w:rsidRDefault="00855109" w:rsidP="006C0481">
            <w:pPr>
              <w:spacing w:before="60" w:after="60"/>
              <w:ind w:left="57" w:right="57"/>
              <w:textAlignment w:val="baseline"/>
              <w:rPr>
                <w:rFonts w:eastAsia="Times New Roman"/>
                <w:sz w:val="16"/>
                <w:szCs w:val="16"/>
                <w:lang w:val="fr-FR"/>
              </w:rPr>
            </w:pPr>
            <w:r w:rsidRPr="005040A4">
              <w:rPr>
                <w:sz w:val="16"/>
                <w:lang w:val="fr-FR"/>
              </w:rPr>
              <w:t>Nous prenons note de la réponse et nous examinerons cette stratégie lorsqu</w:t>
            </w:r>
            <w:r w:rsidR="00743D89" w:rsidRPr="005040A4">
              <w:rPr>
                <w:sz w:val="16"/>
                <w:lang w:val="fr-FR"/>
              </w:rPr>
              <w:t>’</w:t>
            </w:r>
            <w:r w:rsidRPr="005040A4">
              <w:rPr>
                <w:sz w:val="16"/>
                <w:lang w:val="fr-FR"/>
              </w:rPr>
              <w:t>elle sera achevée.</w:t>
            </w:r>
          </w:p>
        </w:tc>
        <w:tc>
          <w:tcPr>
            <w:tcW w:w="1353" w:type="dxa"/>
            <w:tcBorders>
              <w:top w:val="single" w:sz="6" w:space="0" w:color="auto"/>
              <w:left w:val="single" w:sz="6" w:space="0" w:color="auto"/>
              <w:bottom w:val="single" w:sz="6" w:space="0" w:color="auto"/>
              <w:right w:val="single" w:sz="6" w:space="0" w:color="auto"/>
            </w:tcBorders>
            <w:shd w:val="clear" w:color="auto" w:fill="auto"/>
            <w:hideMark/>
          </w:tcPr>
          <w:p w14:paraId="71C90F3A" w14:textId="1DBB8D91" w:rsidR="00855109" w:rsidRPr="005040A4" w:rsidRDefault="00855109" w:rsidP="00E862E4">
            <w:pPr>
              <w:spacing w:before="60" w:after="60"/>
              <w:ind w:left="57" w:right="57"/>
              <w:textAlignment w:val="baseline"/>
              <w:rPr>
                <w:rFonts w:eastAsia="Times New Roman"/>
                <w:b/>
                <w:sz w:val="16"/>
                <w:szCs w:val="16"/>
                <w:lang w:val="fr-FR"/>
              </w:rPr>
            </w:pPr>
            <w:r w:rsidRPr="005040A4">
              <w:rPr>
                <w:b/>
                <w:sz w:val="16"/>
                <w:lang w:val="fr-FR"/>
              </w:rPr>
              <w:t>Mise en œuvre</w:t>
            </w:r>
          </w:p>
        </w:tc>
      </w:tr>
      <w:tr w:rsidR="00855109" w:rsidRPr="005040A4" w14:paraId="6DE2ECAC" w14:textId="77777777" w:rsidTr="006C0481">
        <w:trPr>
          <w:gridAfter w:val="1"/>
          <w:wAfter w:w="13" w:type="dxa"/>
          <w:trHeight w:val="300"/>
          <w:jc w:val="center"/>
        </w:trPr>
        <w:tc>
          <w:tcPr>
            <w:tcW w:w="823" w:type="dxa"/>
            <w:tcBorders>
              <w:top w:val="single" w:sz="6" w:space="0" w:color="auto"/>
              <w:left w:val="single" w:sz="6" w:space="0" w:color="auto"/>
              <w:bottom w:val="single" w:sz="6" w:space="0" w:color="auto"/>
              <w:right w:val="single" w:sz="6" w:space="0" w:color="auto"/>
            </w:tcBorders>
            <w:shd w:val="clear" w:color="auto" w:fill="auto"/>
            <w:hideMark/>
          </w:tcPr>
          <w:p w14:paraId="229FEE1C" w14:textId="77777777" w:rsidR="00855109" w:rsidRPr="005040A4" w:rsidRDefault="00855109" w:rsidP="00E862E4">
            <w:pPr>
              <w:spacing w:before="60" w:after="60"/>
              <w:ind w:left="57" w:right="57"/>
              <w:textAlignment w:val="baseline"/>
              <w:rPr>
                <w:rFonts w:eastAsia="Times New Roman"/>
                <w:sz w:val="16"/>
                <w:szCs w:val="16"/>
                <w:lang w:val="fr-FR"/>
              </w:rPr>
            </w:pPr>
            <w:r w:rsidRPr="005040A4">
              <w:rPr>
                <w:sz w:val="16"/>
                <w:lang w:val="fr-FR"/>
              </w:rPr>
              <w:t> </w:t>
            </w:r>
          </w:p>
        </w:tc>
        <w:tc>
          <w:tcPr>
            <w:tcW w:w="1437" w:type="dxa"/>
            <w:tcBorders>
              <w:top w:val="single" w:sz="6" w:space="0" w:color="auto"/>
              <w:left w:val="single" w:sz="6" w:space="0" w:color="auto"/>
              <w:bottom w:val="single" w:sz="6" w:space="0" w:color="auto"/>
              <w:right w:val="single" w:sz="6" w:space="0" w:color="auto"/>
            </w:tcBorders>
            <w:shd w:val="clear" w:color="auto" w:fill="auto"/>
            <w:hideMark/>
          </w:tcPr>
          <w:p w14:paraId="3EA9EE5E" w14:textId="0CF710CD" w:rsidR="00743D89" w:rsidRPr="005040A4" w:rsidRDefault="00855109" w:rsidP="00E862E4">
            <w:pPr>
              <w:spacing w:before="60" w:after="60"/>
              <w:ind w:left="57" w:right="57"/>
              <w:textAlignment w:val="baseline"/>
              <w:rPr>
                <w:sz w:val="16"/>
                <w:lang w:val="fr-FR"/>
              </w:rPr>
            </w:pPr>
            <w:r w:rsidRPr="005040A4">
              <w:rPr>
                <w:sz w:val="16"/>
                <w:lang w:val="fr-FR"/>
              </w:rPr>
              <w:t>Rapport d</w:t>
            </w:r>
            <w:r w:rsidR="00743D89" w:rsidRPr="005040A4">
              <w:rPr>
                <w:sz w:val="16"/>
                <w:lang w:val="fr-FR"/>
              </w:rPr>
              <w:t>’</w:t>
            </w:r>
            <w:r w:rsidRPr="005040A4">
              <w:rPr>
                <w:sz w:val="16"/>
                <w:lang w:val="fr-FR"/>
              </w:rPr>
              <w:t>audit 2022,</w:t>
            </w:r>
          </w:p>
          <w:p w14:paraId="46A89FD0" w14:textId="1B7F2CDC" w:rsidR="00855109" w:rsidRPr="005040A4" w:rsidRDefault="00855109" w:rsidP="00E862E4">
            <w:pPr>
              <w:spacing w:before="60" w:after="60"/>
              <w:ind w:left="57" w:right="57"/>
              <w:textAlignment w:val="baseline"/>
              <w:rPr>
                <w:rFonts w:eastAsia="Times New Roman"/>
                <w:sz w:val="16"/>
                <w:szCs w:val="16"/>
                <w:lang w:val="fr-FR"/>
              </w:rPr>
            </w:pPr>
            <w:r w:rsidRPr="005040A4">
              <w:rPr>
                <w:sz w:val="16"/>
                <w:lang w:val="fr-FR"/>
              </w:rPr>
              <w:t>Recommandation n° 6</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4E07C94D" w14:textId="0FE0CBF0" w:rsidR="00855109" w:rsidRPr="005040A4" w:rsidRDefault="00855109" w:rsidP="00E862E4">
            <w:pPr>
              <w:spacing w:before="60" w:after="60"/>
              <w:ind w:left="57" w:right="57"/>
              <w:textAlignment w:val="baseline"/>
              <w:rPr>
                <w:rFonts w:eastAsia="Times New Roman"/>
                <w:sz w:val="16"/>
                <w:szCs w:val="16"/>
                <w:lang w:val="fr-FR"/>
              </w:rPr>
            </w:pPr>
            <w:r w:rsidRPr="005040A4">
              <w:rPr>
                <w:sz w:val="16"/>
                <w:lang w:val="fr-FR"/>
              </w:rPr>
              <w:t>Inclure dans le rapport annuel un tableau de bord des critères de durabilité et des résultats obtenus en la matière.</w:t>
            </w:r>
          </w:p>
        </w:tc>
        <w:tc>
          <w:tcPr>
            <w:tcW w:w="1372" w:type="dxa"/>
            <w:tcBorders>
              <w:top w:val="single" w:sz="6" w:space="0" w:color="auto"/>
              <w:left w:val="single" w:sz="6" w:space="0" w:color="auto"/>
              <w:bottom w:val="single" w:sz="6" w:space="0" w:color="auto"/>
              <w:right w:val="single" w:sz="6" w:space="0" w:color="auto"/>
            </w:tcBorders>
            <w:shd w:val="clear" w:color="auto" w:fill="auto"/>
            <w:hideMark/>
          </w:tcPr>
          <w:p w14:paraId="1BC2678A" w14:textId="7C426DE7" w:rsidR="00855109" w:rsidRPr="005040A4" w:rsidRDefault="00855109" w:rsidP="00E862E4">
            <w:pPr>
              <w:spacing w:before="60" w:after="60"/>
              <w:ind w:left="57" w:right="57"/>
              <w:textAlignment w:val="baseline"/>
              <w:rPr>
                <w:rFonts w:eastAsia="Times New Roman"/>
                <w:sz w:val="16"/>
                <w:szCs w:val="16"/>
                <w:lang w:val="fr-FR"/>
              </w:rPr>
            </w:pPr>
            <w:r w:rsidRPr="005040A4">
              <w:rPr>
                <w:sz w:val="16"/>
                <w:lang w:val="fr-FR"/>
              </w:rPr>
              <w:t>Approuvée</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418E3A99" w14:textId="67059AD4" w:rsidR="00743D89" w:rsidRPr="006C0481" w:rsidRDefault="00855109" w:rsidP="00E862E4">
            <w:pPr>
              <w:spacing w:before="60" w:after="60"/>
              <w:ind w:left="57" w:right="57"/>
              <w:textAlignment w:val="baseline"/>
              <w:rPr>
                <w:spacing w:val="-2"/>
                <w:sz w:val="16"/>
                <w:lang w:val="fr-FR"/>
              </w:rPr>
            </w:pPr>
            <w:r w:rsidRPr="006C0481">
              <w:rPr>
                <w:spacing w:val="-2"/>
                <w:sz w:val="16"/>
                <w:lang w:val="fr-FR"/>
              </w:rPr>
              <w:t>À la suite de la publication, en octobre 2024, de l</w:t>
            </w:r>
            <w:r w:rsidR="00743D89" w:rsidRPr="006C0481">
              <w:rPr>
                <w:spacing w:val="-2"/>
                <w:sz w:val="16"/>
                <w:lang w:val="fr-FR"/>
              </w:rPr>
              <w:t>’</w:t>
            </w:r>
            <w:r w:rsidRPr="006C0481">
              <w:rPr>
                <w:spacing w:val="-2"/>
                <w:sz w:val="16"/>
                <w:lang w:val="fr-FR"/>
              </w:rPr>
              <w:t>exposé</w:t>
            </w:r>
            <w:r w:rsidR="00C249FA" w:rsidRPr="006C0481">
              <w:rPr>
                <w:spacing w:val="-2"/>
                <w:sz w:val="16"/>
                <w:lang w:val="fr-FR"/>
              </w:rPr>
              <w:noBreakHyphen/>
            </w:r>
            <w:r w:rsidRPr="006C0481">
              <w:rPr>
                <w:spacing w:val="-2"/>
                <w:sz w:val="16"/>
                <w:lang w:val="fr-FR"/>
              </w:rPr>
              <w:t>sondage du projet de norme du Conseil des normes comptables internationales du secteur public (IPSASB) d</w:t>
            </w:r>
            <w:r w:rsidR="00743D89" w:rsidRPr="006C0481">
              <w:rPr>
                <w:spacing w:val="-2"/>
                <w:sz w:val="16"/>
                <w:lang w:val="fr-FR"/>
              </w:rPr>
              <w:t>’</w:t>
            </w:r>
            <w:r w:rsidRPr="006C0481">
              <w:rPr>
                <w:spacing w:val="-2"/>
                <w:sz w:val="16"/>
                <w:lang w:val="fr-FR"/>
              </w:rPr>
              <w:t xml:space="preserve">information sur la durabilité intitulé </w:t>
            </w:r>
            <w:r w:rsidR="00743D89" w:rsidRPr="006C0481">
              <w:rPr>
                <w:spacing w:val="-2"/>
                <w:sz w:val="16"/>
                <w:lang w:val="fr-FR"/>
              </w:rPr>
              <w:t>“I</w:t>
            </w:r>
            <w:r w:rsidRPr="006C0481">
              <w:rPr>
                <w:spacing w:val="-2"/>
                <w:sz w:val="16"/>
                <w:lang w:val="fr-FR"/>
              </w:rPr>
              <w:t>nformations à fournir en lien avec le changement climatiqu</w:t>
            </w:r>
            <w:r w:rsidR="00743D89" w:rsidRPr="006C0481">
              <w:rPr>
                <w:spacing w:val="-2"/>
                <w:sz w:val="16"/>
                <w:lang w:val="fr-FR"/>
              </w:rPr>
              <w:t>e”</w:t>
            </w:r>
            <w:r w:rsidRPr="006C0481">
              <w:rPr>
                <w:spacing w:val="-2"/>
                <w:sz w:val="16"/>
                <w:lang w:val="fr-FR"/>
              </w:rPr>
              <w:t>, l</w:t>
            </w:r>
            <w:r w:rsidR="00743D89" w:rsidRPr="006C0481">
              <w:rPr>
                <w:spacing w:val="-2"/>
                <w:sz w:val="16"/>
                <w:lang w:val="fr-FR"/>
              </w:rPr>
              <w:t>’</w:t>
            </w:r>
            <w:r w:rsidRPr="006C0481">
              <w:rPr>
                <w:spacing w:val="-2"/>
                <w:sz w:val="16"/>
                <w:lang w:val="fr-FR"/>
              </w:rPr>
              <w:t xml:space="preserve">Organisation a participé aux discussions menées par le Réseau finances et budget des </w:t>
            </w:r>
            <w:r w:rsidR="00743D89" w:rsidRPr="006C0481">
              <w:rPr>
                <w:spacing w:val="-2"/>
                <w:sz w:val="16"/>
                <w:lang w:val="fr-FR"/>
              </w:rPr>
              <w:t>Nations Unies</w:t>
            </w:r>
            <w:r w:rsidRPr="006C0481">
              <w:rPr>
                <w:spacing w:val="-2"/>
                <w:sz w:val="16"/>
                <w:lang w:val="fr-FR"/>
              </w:rPr>
              <w:t>, qui a ensuite créé un groupe de travail chargé de formuler des observations sur l</w:t>
            </w:r>
            <w:r w:rsidR="00743D89" w:rsidRPr="006C0481">
              <w:rPr>
                <w:spacing w:val="-2"/>
                <w:sz w:val="16"/>
                <w:lang w:val="fr-FR"/>
              </w:rPr>
              <w:t>’</w:t>
            </w:r>
            <w:r w:rsidRPr="006C0481">
              <w:rPr>
                <w:spacing w:val="-2"/>
                <w:sz w:val="16"/>
                <w:lang w:val="fr-FR"/>
              </w:rPr>
              <w:t>exposé</w:t>
            </w:r>
            <w:r w:rsidR="00C249FA" w:rsidRPr="006C0481">
              <w:rPr>
                <w:spacing w:val="-2"/>
                <w:sz w:val="16"/>
                <w:lang w:val="fr-FR"/>
              </w:rPr>
              <w:noBreakHyphen/>
            </w:r>
            <w:r w:rsidRPr="006C0481">
              <w:rPr>
                <w:spacing w:val="-2"/>
                <w:sz w:val="16"/>
                <w:lang w:val="fr-FR"/>
              </w:rPr>
              <w:t>sondage.</w:t>
            </w:r>
          </w:p>
          <w:p w14:paraId="0568FE51" w14:textId="19F87F7A" w:rsidR="00743D89" w:rsidRPr="006C0481" w:rsidRDefault="00855109" w:rsidP="00E862E4">
            <w:pPr>
              <w:spacing w:before="60" w:after="60"/>
              <w:ind w:left="57" w:right="57"/>
              <w:textAlignment w:val="baseline"/>
              <w:rPr>
                <w:spacing w:val="-2"/>
                <w:sz w:val="16"/>
                <w:lang w:val="fr-FR"/>
              </w:rPr>
            </w:pPr>
            <w:r w:rsidRPr="006C0481">
              <w:rPr>
                <w:spacing w:val="-2"/>
                <w:sz w:val="16"/>
                <w:lang w:val="fr-FR"/>
              </w:rPr>
              <w:t>L</w:t>
            </w:r>
            <w:r w:rsidR="00743D89" w:rsidRPr="006C0481">
              <w:rPr>
                <w:spacing w:val="-2"/>
                <w:sz w:val="16"/>
                <w:lang w:val="fr-FR"/>
              </w:rPr>
              <w:t>’</w:t>
            </w:r>
            <w:r w:rsidRPr="006C0481">
              <w:rPr>
                <w:spacing w:val="-2"/>
                <w:sz w:val="16"/>
                <w:lang w:val="fr-FR"/>
              </w:rPr>
              <w:t>Organisation a également participé au Forum de mise en œuvre du développement durable de l</w:t>
            </w:r>
            <w:r w:rsidR="00743D89" w:rsidRPr="006C0481">
              <w:rPr>
                <w:spacing w:val="-2"/>
                <w:sz w:val="16"/>
                <w:lang w:val="fr-FR"/>
              </w:rPr>
              <w:t>’</w:t>
            </w:r>
            <w:r w:rsidRPr="006C0481">
              <w:rPr>
                <w:spacing w:val="-2"/>
                <w:sz w:val="16"/>
                <w:lang w:val="fr-FR"/>
              </w:rPr>
              <w:t>IPSASB et établi une liste de contrôle afin de mieux comprendre les exigences en matière d</w:t>
            </w:r>
            <w:r w:rsidR="00743D89" w:rsidRPr="006C0481">
              <w:rPr>
                <w:spacing w:val="-2"/>
                <w:sz w:val="16"/>
                <w:lang w:val="fr-FR"/>
              </w:rPr>
              <w:t>’</w:t>
            </w:r>
            <w:r w:rsidRPr="006C0481">
              <w:rPr>
                <w:spacing w:val="-2"/>
                <w:sz w:val="16"/>
                <w:lang w:val="fr-FR"/>
              </w:rPr>
              <w:t>information telles qu</w:t>
            </w:r>
            <w:r w:rsidR="00743D89" w:rsidRPr="006C0481">
              <w:rPr>
                <w:spacing w:val="-2"/>
                <w:sz w:val="16"/>
                <w:lang w:val="fr-FR"/>
              </w:rPr>
              <w:t>’</w:t>
            </w:r>
            <w:r w:rsidRPr="006C0481">
              <w:rPr>
                <w:spacing w:val="-2"/>
                <w:sz w:val="16"/>
                <w:lang w:val="fr-FR"/>
              </w:rPr>
              <w:t>elles sont actuellement énoncées dans l</w:t>
            </w:r>
            <w:r w:rsidR="00743D89" w:rsidRPr="006C0481">
              <w:rPr>
                <w:spacing w:val="-2"/>
                <w:sz w:val="16"/>
                <w:lang w:val="fr-FR"/>
              </w:rPr>
              <w:t>’</w:t>
            </w:r>
            <w:r w:rsidRPr="006C0481">
              <w:rPr>
                <w:spacing w:val="-2"/>
                <w:sz w:val="16"/>
                <w:lang w:val="fr-FR"/>
              </w:rPr>
              <w:t>exposé</w:t>
            </w:r>
            <w:r w:rsidR="00C249FA" w:rsidRPr="006C0481">
              <w:rPr>
                <w:spacing w:val="-2"/>
                <w:sz w:val="16"/>
                <w:lang w:val="fr-FR"/>
              </w:rPr>
              <w:noBreakHyphen/>
            </w:r>
            <w:r w:rsidRPr="006C0481">
              <w:rPr>
                <w:spacing w:val="-2"/>
                <w:sz w:val="16"/>
                <w:lang w:val="fr-FR"/>
              </w:rPr>
              <w:t>sonda</w:t>
            </w:r>
            <w:r w:rsidR="005652C9" w:rsidRPr="006C0481">
              <w:rPr>
                <w:spacing w:val="-2"/>
                <w:sz w:val="16"/>
                <w:lang w:val="fr-FR"/>
              </w:rPr>
              <w:t>ge.  La</w:t>
            </w:r>
            <w:r w:rsidRPr="006C0481">
              <w:rPr>
                <w:spacing w:val="-2"/>
                <w:sz w:val="16"/>
                <w:lang w:val="fr-FR"/>
              </w:rPr>
              <w:t xml:space="preserve"> période de consultation pour la formulation des observations sur l</w:t>
            </w:r>
            <w:r w:rsidR="00743D89" w:rsidRPr="006C0481">
              <w:rPr>
                <w:spacing w:val="-2"/>
                <w:sz w:val="16"/>
                <w:lang w:val="fr-FR"/>
              </w:rPr>
              <w:t>’</w:t>
            </w:r>
            <w:r w:rsidRPr="006C0481">
              <w:rPr>
                <w:spacing w:val="-2"/>
                <w:sz w:val="16"/>
                <w:lang w:val="fr-FR"/>
              </w:rPr>
              <w:t>exposé</w:t>
            </w:r>
            <w:r w:rsidR="00C249FA" w:rsidRPr="006C0481">
              <w:rPr>
                <w:spacing w:val="-2"/>
                <w:sz w:val="16"/>
                <w:lang w:val="fr-FR"/>
              </w:rPr>
              <w:noBreakHyphen/>
            </w:r>
            <w:r w:rsidRPr="006C0481">
              <w:rPr>
                <w:spacing w:val="-2"/>
                <w:sz w:val="16"/>
                <w:lang w:val="fr-FR"/>
              </w:rPr>
              <w:t xml:space="preserve">sondage a pris fin en février 2025. </w:t>
            </w:r>
            <w:r w:rsidR="001B7F27" w:rsidRPr="006C0481">
              <w:rPr>
                <w:spacing w:val="-2"/>
                <w:sz w:val="16"/>
                <w:lang w:val="fr-FR"/>
              </w:rPr>
              <w:t xml:space="preserve"> </w:t>
            </w:r>
            <w:r w:rsidRPr="006C0481">
              <w:rPr>
                <w:spacing w:val="-2"/>
                <w:sz w:val="16"/>
                <w:lang w:val="fr-FR"/>
              </w:rPr>
              <w:t xml:space="preserve">Les observations conjointes du système des </w:t>
            </w:r>
            <w:r w:rsidR="00743D89" w:rsidRPr="006C0481">
              <w:rPr>
                <w:spacing w:val="-2"/>
                <w:sz w:val="16"/>
                <w:lang w:val="fr-FR"/>
              </w:rPr>
              <w:t>Nations Unies</w:t>
            </w:r>
            <w:r w:rsidRPr="006C0481">
              <w:rPr>
                <w:spacing w:val="-2"/>
                <w:sz w:val="16"/>
                <w:lang w:val="fr-FR"/>
              </w:rPr>
              <w:t xml:space="preserve"> sur le projet de norme sur les Informations à fournir en lien avec le changement climatique ont été transmises à l</w:t>
            </w:r>
            <w:r w:rsidR="00743D89" w:rsidRPr="006C0481">
              <w:rPr>
                <w:spacing w:val="-2"/>
                <w:sz w:val="16"/>
                <w:lang w:val="fr-FR"/>
              </w:rPr>
              <w:t>’</w:t>
            </w:r>
            <w:r w:rsidRPr="006C0481">
              <w:rPr>
                <w:spacing w:val="-2"/>
                <w:sz w:val="16"/>
                <w:lang w:val="fr-FR"/>
              </w:rPr>
              <w:t xml:space="preserve">IPSASB en février 2025. </w:t>
            </w:r>
            <w:r w:rsidR="001B7F27" w:rsidRPr="006C0481">
              <w:rPr>
                <w:spacing w:val="-2"/>
                <w:sz w:val="16"/>
                <w:lang w:val="fr-FR"/>
              </w:rPr>
              <w:t xml:space="preserve"> </w:t>
            </w:r>
            <w:r w:rsidRPr="006C0481">
              <w:rPr>
                <w:spacing w:val="-2"/>
                <w:sz w:val="16"/>
                <w:lang w:val="fr-FR"/>
              </w:rPr>
              <w:t>Conformément au programme de travail de l</w:t>
            </w:r>
            <w:r w:rsidR="00743D89" w:rsidRPr="006C0481">
              <w:rPr>
                <w:spacing w:val="-2"/>
                <w:sz w:val="16"/>
                <w:lang w:val="fr-FR"/>
              </w:rPr>
              <w:t>’</w:t>
            </w:r>
            <w:r w:rsidRPr="006C0481">
              <w:rPr>
                <w:spacing w:val="-2"/>
                <w:sz w:val="16"/>
                <w:lang w:val="fr-FR"/>
              </w:rPr>
              <w:t xml:space="preserve">IPSASB, la norme définitive devrait être publiée vers la fin de 2025. </w:t>
            </w:r>
            <w:r w:rsidR="001B7F27" w:rsidRPr="006C0481">
              <w:rPr>
                <w:spacing w:val="-2"/>
                <w:sz w:val="16"/>
                <w:lang w:val="fr-FR"/>
              </w:rPr>
              <w:t xml:space="preserve"> </w:t>
            </w:r>
            <w:r w:rsidRPr="006C0481">
              <w:rPr>
                <w:spacing w:val="-2"/>
                <w:sz w:val="16"/>
                <w:lang w:val="fr-FR"/>
              </w:rPr>
              <w:t>L</w:t>
            </w:r>
            <w:r w:rsidR="00743D89" w:rsidRPr="006C0481">
              <w:rPr>
                <w:spacing w:val="-2"/>
                <w:sz w:val="16"/>
                <w:lang w:val="fr-FR"/>
              </w:rPr>
              <w:t>’</w:t>
            </w:r>
            <w:r w:rsidRPr="006C0481">
              <w:rPr>
                <w:spacing w:val="-2"/>
                <w:sz w:val="16"/>
                <w:lang w:val="fr-FR"/>
              </w:rPr>
              <w:t xml:space="preserve">Équipe spéciale sur les normes comptables des </w:t>
            </w:r>
            <w:r w:rsidR="00743D89" w:rsidRPr="006C0481">
              <w:rPr>
                <w:spacing w:val="-2"/>
                <w:sz w:val="16"/>
                <w:lang w:val="fr-FR"/>
              </w:rPr>
              <w:t>Nations Unies</w:t>
            </w:r>
            <w:r w:rsidRPr="006C0481">
              <w:rPr>
                <w:spacing w:val="-2"/>
                <w:sz w:val="16"/>
                <w:lang w:val="fr-FR"/>
              </w:rPr>
              <w:t xml:space="preserve"> examinera et étudiera la norme et publiera des </w:t>
            </w:r>
            <w:r w:rsidRPr="006C0481">
              <w:rPr>
                <w:spacing w:val="-2"/>
                <w:sz w:val="16"/>
                <w:lang w:val="fr-FR"/>
              </w:rPr>
              <w:lastRenderedPageBreak/>
              <w:t>directives de mise en œuvre que l</w:t>
            </w:r>
            <w:r w:rsidR="00743D89" w:rsidRPr="006C0481">
              <w:rPr>
                <w:spacing w:val="-2"/>
                <w:sz w:val="16"/>
                <w:lang w:val="fr-FR"/>
              </w:rPr>
              <w:t>’</w:t>
            </w:r>
            <w:r w:rsidRPr="006C0481">
              <w:rPr>
                <w:spacing w:val="-2"/>
                <w:sz w:val="16"/>
                <w:lang w:val="fr-FR"/>
              </w:rPr>
              <w:t xml:space="preserve">Organisation utilisera pour formuler les informations à fournir dans ses états financiers. </w:t>
            </w:r>
            <w:r w:rsidR="001B7F27" w:rsidRPr="006C0481">
              <w:rPr>
                <w:spacing w:val="-2"/>
                <w:sz w:val="16"/>
                <w:lang w:val="fr-FR"/>
              </w:rPr>
              <w:t xml:space="preserve"> </w:t>
            </w:r>
            <w:r w:rsidRPr="006C0481">
              <w:rPr>
                <w:spacing w:val="-2"/>
                <w:sz w:val="16"/>
                <w:lang w:val="fr-FR"/>
              </w:rPr>
              <w:t>L</w:t>
            </w:r>
            <w:r w:rsidR="00743D89" w:rsidRPr="006C0481">
              <w:rPr>
                <w:spacing w:val="-2"/>
                <w:sz w:val="16"/>
                <w:lang w:val="fr-FR"/>
              </w:rPr>
              <w:t>’</w:t>
            </w:r>
            <w:r w:rsidRPr="006C0481">
              <w:rPr>
                <w:spacing w:val="-2"/>
                <w:sz w:val="16"/>
                <w:lang w:val="fr-FR"/>
              </w:rPr>
              <w:t>Organisation mettra en œuvre la norme à compter de sa date d</w:t>
            </w:r>
            <w:r w:rsidR="00743D89" w:rsidRPr="006C0481">
              <w:rPr>
                <w:spacing w:val="-2"/>
                <w:sz w:val="16"/>
                <w:lang w:val="fr-FR"/>
              </w:rPr>
              <w:t>’</w:t>
            </w:r>
            <w:r w:rsidRPr="006C0481">
              <w:rPr>
                <w:spacing w:val="-2"/>
                <w:sz w:val="16"/>
                <w:lang w:val="fr-FR"/>
              </w:rPr>
              <w:t>entrée en vigueur lorsqu</w:t>
            </w:r>
            <w:r w:rsidR="00743D89" w:rsidRPr="006C0481">
              <w:rPr>
                <w:spacing w:val="-2"/>
                <w:sz w:val="16"/>
                <w:lang w:val="fr-FR"/>
              </w:rPr>
              <w:t>’</w:t>
            </w:r>
            <w:r w:rsidRPr="006C0481">
              <w:rPr>
                <w:spacing w:val="-2"/>
                <w:sz w:val="16"/>
                <w:lang w:val="fr-FR"/>
              </w:rPr>
              <w:t>elle sera publi</w:t>
            </w:r>
            <w:r w:rsidR="005652C9" w:rsidRPr="006C0481">
              <w:rPr>
                <w:spacing w:val="-2"/>
                <w:sz w:val="16"/>
                <w:lang w:val="fr-FR"/>
              </w:rPr>
              <w:t>ée.  L’a</w:t>
            </w:r>
            <w:r w:rsidRPr="006C0481">
              <w:rPr>
                <w:spacing w:val="-2"/>
                <w:sz w:val="16"/>
                <w:lang w:val="fr-FR"/>
              </w:rPr>
              <w:t>pplication de la norme attendue entraînera la mise en œuvre de la recommandation.</w:t>
            </w:r>
          </w:p>
          <w:p w14:paraId="1389433E" w14:textId="1848E69B" w:rsidR="00855109" w:rsidRPr="006C0481" w:rsidRDefault="00855109" w:rsidP="006C0481">
            <w:pPr>
              <w:spacing w:before="60" w:after="60"/>
              <w:ind w:left="57" w:right="57"/>
              <w:textAlignment w:val="baseline"/>
              <w:rPr>
                <w:rFonts w:eastAsia="Times New Roman"/>
                <w:spacing w:val="-2"/>
                <w:sz w:val="16"/>
                <w:szCs w:val="16"/>
                <w:lang w:val="fr-FR" w:eastAsia="en-GB"/>
              </w:rPr>
            </w:pPr>
            <w:r w:rsidRPr="006C0481">
              <w:rPr>
                <w:spacing w:val="-2"/>
                <w:sz w:val="16"/>
                <w:lang w:val="fr-FR"/>
              </w:rPr>
              <w:t>L</w:t>
            </w:r>
            <w:r w:rsidR="00743D89" w:rsidRPr="006C0481">
              <w:rPr>
                <w:spacing w:val="-2"/>
                <w:sz w:val="16"/>
                <w:lang w:val="fr-FR"/>
              </w:rPr>
              <w:t>’</w:t>
            </w:r>
            <w:r w:rsidRPr="006C0481">
              <w:rPr>
                <w:spacing w:val="-2"/>
                <w:sz w:val="16"/>
                <w:lang w:val="fr-FR"/>
              </w:rPr>
              <w:t>échéance de la recommandation a été reportée au 31 décembre 2025.</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71639111" w14:textId="296ACB56" w:rsidR="00743D89" w:rsidRPr="005040A4" w:rsidRDefault="00855109" w:rsidP="00E862E4">
            <w:pPr>
              <w:spacing w:before="60" w:after="60"/>
              <w:ind w:left="57" w:right="57"/>
              <w:textAlignment w:val="baseline"/>
              <w:rPr>
                <w:sz w:val="16"/>
                <w:lang w:val="fr-FR"/>
              </w:rPr>
            </w:pPr>
            <w:r w:rsidRPr="005040A4">
              <w:rPr>
                <w:sz w:val="16"/>
                <w:lang w:val="fr-FR"/>
              </w:rPr>
              <w:lastRenderedPageBreak/>
              <w:t>Nous saluons la contribution de l</w:t>
            </w:r>
            <w:r w:rsidR="00743D89" w:rsidRPr="005040A4">
              <w:rPr>
                <w:sz w:val="16"/>
                <w:lang w:val="fr-FR"/>
              </w:rPr>
              <w:t>’</w:t>
            </w:r>
            <w:r w:rsidRPr="005040A4">
              <w:rPr>
                <w:sz w:val="16"/>
                <w:lang w:val="fr-FR"/>
              </w:rPr>
              <w:t>Organisation à l</w:t>
            </w:r>
            <w:r w:rsidR="00743D89" w:rsidRPr="005040A4">
              <w:rPr>
                <w:sz w:val="16"/>
                <w:lang w:val="fr-FR"/>
              </w:rPr>
              <w:t>’</w:t>
            </w:r>
            <w:r w:rsidRPr="005040A4">
              <w:rPr>
                <w:sz w:val="16"/>
                <w:lang w:val="fr-FR"/>
              </w:rPr>
              <w:t>exposé</w:t>
            </w:r>
            <w:r w:rsidR="00C249FA" w:rsidRPr="005040A4">
              <w:rPr>
                <w:sz w:val="16"/>
                <w:lang w:val="fr-FR"/>
              </w:rPr>
              <w:noBreakHyphen/>
            </w:r>
            <w:r w:rsidRPr="005040A4">
              <w:rPr>
                <w:sz w:val="16"/>
                <w:lang w:val="fr-FR"/>
              </w:rPr>
              <w:t>sondage de la norme de l</w:t>
            </w:r>
            <w:r w:rsidR="00743D89" w:rsidRPr="005040A4">
              <w:rPr>
                <w:sz w:val="16"/>
                <w:lang w:val="fr-FR"/>
              </w:rPr>
              <w:t>’</w:t>
            </w:r>
            <w:r w:rsidRPr="005040A4">
              <w:rPr>
                <w:sz w:val="16"/>
                <w:lang w:val="fr-FR"/>
              </w:rPr>
              <w:t>IPSASB d</w:t>
            </w:r>
            <w:r w:rsidR="00743D89" w:rsidRPr="005040A4">
              <w:rPr>
                <w:sz w:val="16"/>
                <w:lang w:val="fr-FR"/>
              </w:rPr>
              <w:t>’</w:t>
            </w:r>
            <w:r w:rsidRPr="005040A4">
              <w:rPr>
                <w:sz w:val="16"/>
                <w:lang w:val="fr-FR"/>
              </w:rPr>
              <w:t>information sur la durabilité intitulé “Informations à fournir en lien avec le changement climatique” et l</w:t>
            </w:r>
            <w:r w:rsidR="00743D89" w:rsidRPr="005040A4">
              <w:rPr>
                <w:sz w:val="16"/>
                <w:lang w:val="fr-FR"/>
              </w:rPr>
              <w:t>’</w:t>
            </w:r>
            <w:r w:rsidRPr="005040A4">
              <w:rPr>
                <w:sz w:val="16"/>
                <w:lang w:val="fr-FR"/>
              </w:rPr>
              <w:t>engagement du Secrétariat à mettre en œuvre ladite norme.</w:t>
            </w:r>
          </w:p>
          <w:p w14:paraId="5EA781EE" w14:textId="266EB336" w:rsidR="00855109" w:rsidRPr="005040A4" w:rsidRDefault="00855109" w:rsidP="00E862E4">
            <w:pPr>
              <w:spacing w:before="60" w:after="60"/>
              <w:ind w:left="57" w:right="57"/>
              <w:textAlignment w:val="baseline"/>
              <w:rPr>
                <w:rFonts w:eastAsia="Times New Roman"/>
                <w:sz w:val="16"/>
                <w:szCs w:val="16"/>
                <w:lang w:val="fr-FR"/>
              </w:rPr>
            </w:pPr>
            <w:r w:rsidRPr="005040A4">
              <w:rPr>
                <w:sz w:val="16"/>
                <w:lang w:val="fr-FR"/>
              </w:rPr>
              <w:t>Nous évaluerons à nouveau l</w:t>
            </w:r>
            <w:r w:rsidR="00743D89" w:rsidRPr="005040A4">
              <w:rPr>
                <w:sz w:val="16"/>
                <w:lang w:val="fr-FR"/>
              </w:rPr>
              <w:t>’</w:t>
            </w:r>
            <w:r w:rsidRPr="005040A4">
              <w:rPr>
                <w:sz w:val="16"/>
                <w:lang w:val="fr-FR"/>
              </w:rPr>
              <w:t>état d</w:t>
            </w:r>
            <w:r w:rsidR="00743D89" w:rsidRPr="005040A4">
              <w:rPr>
                <w:sz w:val="16"/>
                <w:lang w:val="fr-FR"/>
              </w:rPr>
              <w:t>’</w:t>
            </w:r>
            <w:r w:rsidRPr="005040A4">
              <w:rPr>
                <w:sz w:val="16"/>
                <w:lang w:val="fr-FR"/>
              </w:rPr>
              <w:t>avancement de la mise en œuvre une fois que la norme aura été finalisée.</w:t>
            </w:r>
            <w:r w:rsidR="001B7F27" w:rsidRPr="005040A4">
              <w:rPr>
                <w:sz w:val="16"/>
                <w:lang w:val="fr-FR"/>
              </w:rPr>
              <w:t xml:space="preserve">  </w:t>
            </w:r>
          </w:p>
        </w:tc>
        <w:tc>
          <w:tcPr>
            <w:tcW w:w="1353" w:type="dxa"/>
            <w:tcBorders>
              <w:top w:val="single" w:sz="6" w:space="0" w:color="auto"/>
              <w:left w:val="single" w:sz="6" w:space="0" w:color="auto"/>
              <w:bottom w:val="single" w:sz="6" w:space="0" w:color="auto"/>
              <w:right w:val="single" w:sz="6" w:space="0" w:color="auto"/>
            </w:tcBorders>
            <w:shd w:val="clear" w:color="auto" w:fill="auto"/>
            <w:hideMark/>
          </w:tcPr>
          <w:p w14:paraId="5B307AC6" w14:textId="3DFC6F5C" w:rsidR="00855109" w:rsidRPr="005040A4" w:rsidRDefault="00855109" w:rsidP="00E862E4">
            <w:pPr>
              <w:spacing w:before="60" w:after="60"/>
              <w:ind w:left="57" w:right="57"/>
              <w:textAlignment w:val="baseline"/>
              <w:rPr>
                <w:rFonts w:eastAsia="Times New Roman"/>
                <w:b/>
                <w:sz w:val="16"/>
                <w:szCs w:val="16"/>
                <w:lang w:val="fr-FR"/>
              </w:rPr>
            </w:pPr>
            <w:r w:rsidRPr="005040A4">
              <w:rPr>
                <w:b/>
                <w:sz w:val="16"/>
                <w:lang w:val="fr-FR"/>
              </w:rPr>
              <w:t>Mise en œuvre</w:t>
            </w:r>
          </w:p>
        </w:tc>
      </w:tr>
      <w:tr w:rsidR="00855109" w:rsidRPr="005040A4" w14:paraId="19F4CF1F" w14:textId="77777777" w:rsidTr="006C0481">
        <w:trPr>
          <w:trHeight w:val="300"/>
          <w:jc w:val="center"/>
        </w:trPr>
        <w:tc>
          <w:tcPr>
            <w:tcW w:w="10572" w:type="dxa"/>
            <w:gridSpan w:val="8"/>
            <w:tcBorders>
              <w:top w:val="single" w:sz="6" w:space="0" w:color="auto"/>
              <w:left w:val="single" w:sz="6" w:space="0" w:color="auto"/>
              <w:bottom w:val="single" w:sz="6" w:space="0" w:color="auto"/>
              <w:right w:val="single" w:sz="6" w:space="0" w:color="auto"/>
            </w:tcBorders>
            <w:shd w:val="clear" w:color="auto" w:fill="B4C6E7"/>
            <w:hideMark/>
          </w:tcPr>
          <w:p w14:paraId="359E6E28" w14:textId="3FC3750B" w:rsidR="00855109" w:rsidRPr="005040A4" w:rsidRDefault="00855109" w:rsidP="00E862E4">
            <w:pPr>
              <w:spacing w:before="60" w:after="60"/>
              <w:ind w:left="57" w:right="57"/>
              <w:textAlignment w:val="baseline"/>
              <w:rPr>
                <w:rFonts w:eastAsia="Times New Roman"/>
                <w:sz w:val="16"/>
                <w:szCs w:val="16"/>
                <w:lang w:val="fr-FR"/>
              </w:rPr>
            </w:pPr>
            <w:r w:rsidRPr="005040A4">
              <w:rPr>
                <w:b/>
                <w:sz w:val="16"/>
                <w:lang w:val="fr-FR"/>
              </w:rPr>
              <w:t>Rapport d</w:t>
            </w:r>
            <w:r w:rsidR="00743D89" w:rsidRPr="005040A4">
              <w:rPr>
                <w:b/>
                <w:sz w:val="16"/>
                <w:lang w:val="fr-FR"/>
              </w:rPr>
              <w:t>’</w:t>
            </w:r>
            <w:r w:rsidRPr="005040A4">
              <w:rPr>
                <w:b/>
                <w:sz w:val="16"/>
                <w:lang w:val="fr-FR"/>
              </w:rPr>
              <w:t>audit pour l</w:t>
            </w:r>
            <w:r w:rsidR="00743D89" w:rsidRPr="005040A4">
              <w:rPr>
                <w:b/>
                <w:sz w:val="16"/>
                <w:lang w:val="fr-FR"/>
              </w:rPr>
              <w:t>’</w:t>
            </w:r>
            <w:r w:rsidRPr="005040A4">
              <w:rPr>
                <w:b/>
                <w:sz w:val="16"/>
                <w:lang w:val="fr-FR"/>
              </w:rPr>
              <w:t>exercice financier clos le 31 décembre 2021</w:t>
            </w:r>
          </w:p>
        </w:tc>
      </w:tr>
      <w:tr w:rsidR="00855109" w:rsidRPr="005040A4" w14:paraId="380E49A0" w14:textId="77777777" w:rsidTr="006C0481">
        <w:trPr>
          <w:gridAfter w:val="1"/>
          <w:wAfter w:w="13" w:type="dxa"/>
          <w:trHeight w:val="300"/>
          <w:jc w:val="center"/>
        </w:trPr>
        <w:tc>
          <w:tcPr>
            <w:tcW w:w="823" w:type="dxa"/>
            <w:tcBorders>
              <w:top w:val="single" w:sz="6" w:space="0" w:color="auto"/>
              <w:left w:val="single" w:sz="6" w:space="0" w:color="auto"/>
              <w:bottom w:val="single" w:sz="6" w:space="0" w:color="auto"/>
              <w:right w:val="single" w:sz="6" w:space="0" w:color="auto"/>
            </w:tcBorders>
            <w:shd w:val="clear" w:color="auto" w:fill="auto"/>
            <w:hideMark/>
          </w:tcPr>
          <w:p w14:paraId="5FBAA2E4" w14:textId="486DEB55" w:rsidR="00855109" w:rsidRPr="005040A4" w:rsidRDefault="00855109" w:rsidP="00E862E4">
            <w:pPr>
              <w:spacing w:before="60" w:after="60"/>
              <w:ind w:left="57" w:right="57"/>
              <w:textAlignment w:val="baseline"/>
              <w:rPr>
                <w:rFonts w:eastAsia="Times New Roman"/>
                <w:sz w:val="16"/>
                <w:szCs w:val="16"/>
                <w:lang w:val="fr-FR"/>
              </w:rPr>
            </w:pPr>
            <w:r w:rsidRPr="005040A4">
              <w:rPr>
                <w:sz w:val="16"/>
                <w:lang w:val="fr-FR"/>
              </w:rPr>
              <w:t>2021</w:t>
            </w:r>
          </w:p>
        </w:tc>
        <w:tc>
          <w:tcPr>
            <w:tcW w:w="1437" w:type="dxa"/>
            <w:tcBorders>
              <w:top w:val="single" w:sz="6" w:space="0" w:color="auto"/>
              <w:left w:val="single" w:sz="6" w:space="0" w:color="auto"/>
              <w:bottom w:val="single" w:sz="6" w:space="0" w:color="auto"/>
              <w:right w:val="single" w:sz="6" w:space="0" w:color="auto"/>
            </w:tcBorders>
            <w:shd w:val="clear" w:color="auto" w:fill="auto"/>
            <w:hideMark/>
          </w:tcPr>
          <w:p w14:paraId="2CABB730" w14:textId="44FED181" w:rsidR="00743D89" w:rsidRPr="005040A4" w:rsidRDefault="00855109" w:rsidP="00E862E4">
            <w:pPr>
              <w:spacing w:before="60" w:after="60"/>
              <w:ind w:left="57" w:right="57"/>
              <w:textAlignment w:val="baseline"/>
              <w:rPr>
                <w:sz w:val="16"/>
                <w:lang w:val="fr-FR"/>
              </w:rPr>
            </w:pPr>
            <w:r w:rsidRPr="005040A4">
              <w:rPr>
                <w:sz w:val="16"/>
                <w:lang w:val="fr-FR"/>
              </w:rPr>
              <w:t>Rapport d</w:t>
            </w:r>
            <w:r w:rsidR="00743D89" w:rsidRPr="005040A4">
              <w:rPr>
                <w:sz w:val="16"/>
                <w:lang w:val="fr-FR"/>
              </w:rPr>
              <w:t>’</w:t>
            </w:r>
            <w:r w:rsidRPr="005040A4">
              <w:rPr>
                <w:sz w:val="16"/>
                <w:lang w:val="fr-FR"/>
              </w:rPr>
              <w:t>audit 2021,</w:t>
            </w:r>
          </w:p>
          <w:p w14:paraId="46779D7C" w14:textId="3BE9E888" w:rsidR="00855109" w:rsidRPr="005040A4" w:rsidRDefault="00855109" w:rsidP="00E862E4">
            <w:pPr>
              <w:spacing w:before="60" w:after="60"/>
              <w:ind w:left="57" w:right="57"/>
              <w:textAlignment w:val="baseline"/>
              <w:rPr>
                <w:rFonts w:eastAsia="Times New Roman"/>
                <w:sz w:val="16"/>
                <w:szCs w:val="16"/>
                <w:lang w:val="fr-FR"/>
              </w:rPr>
            </w:pPr>
            <w:r w:rsidRPr="005040A4">
              <w:rPr>
                <w:sz w:val="16"/>
                <w:lang w:val="fr-FR"/>
              </w:rPr>
              <w:t>recommandation n° 2</w:t>
            </w:r>
          </w:p>
        </w:tc>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75E16CF2" w14:textId="36CE8596" w:rsidR="00855109" w:rsidRPr="005040A4" w:rsidRDefault="00855109" w:rsidP="00E862E4">
            <w:pPr>
              <w:spacing w:before="60" w:after="60"/>
              <w:ind w:left="57" w:right="57"/>
              <w:textAlignment w:val="baseline"/>
              <w:rPr>
                <w:rFonts w:eastAsia="Times New Roman"/>
                <w:sz w:val="16"/>
                <w:szCs w:val="16"/>
                <w:lang w:val="fr-FR"/>
              </w:rPr>
            </w:pPr>
            <w:r w:rsidRPr="005040A4">
              <w:rPr>
                <w:sz w:val="16"/>
                <w:lang w:val="fr-FR"/>
              </w:rPr>
              <w:t>S</w:t>
            </w:r>
            <w:r w:rsidR="00743D89" w:rsidRPr="005040A4">
              <w:rPr>
                <w:sz w:val="16"/>
                <w:lang w:val="fr-FR"/>
              </w:rPr>
              <w:t>’</w:t>
            </w:r>
            <w:r w:rsidRPr="005040A4">
              <w:rPr>
                <w:sz w:val="16"/>
                <w:lang w:val="fr-FR"/>
              </w:rPr>
              <w:t>assurer qu</w:t>
            </w:r>
            <w:r w:rsidR="00743D89" w:rsidRPr="005040A4">
              <w:rPr>
                <w:sz w:val="16"/>
                <w:lang w:val="fr-FR"/>
              </w:rPr>
              <w:t>’</w:t>
            </w:r>
            <w:r w:rsidRPr="005040A4">
              <w:rPr>
                <w:sz w:val="16"/>
                <w:lang w:val="fr-FR"/>
              </w:rPr>
              <w:t>elle élabore une approche et une stratégie globales pour développer et déployer l</w:t>
            </w:r>
            <w:r w:rsidR="00743D89" w:rsidRPr="005040A4">
              <w:rPr>
                <w:sz w:val="16"/>
                <w:lang w:val="fr-FR"/>
              </w:rPr>
              <w:t>’</w:t>
            </w:r>
            <w:r w:rsidRPr="005040A4">
              <w:rPr>
                <w:sz w:val="16"/>
                <w:lang w:val="fr-FR"/>
              </w:rPr>
              <w:t>analyse des données, qui répond aux besoins de tous les utilisateurs au sein de l</w:t>
            </w:r>
            <w:r w:rsidR="00743D89" w:rsidRPr="005040A4">
              <w:rPr>
                <w:sz w:val="16"/>
                <w:lang w:val="fr-FR"/>
              </w:rPr>
              <w:t>’</w:t>
            </w:r>
            <w:r w:rsidRPr="005040A4">
              <w:rPr>
                <w:sz w:val="16"/>
                <w:lang w:val="fr-FR"/>
              </w:rPr>
              <w:t>Organisation et crée des synergies en matière de formation et de soutien.</w:t>
            </w:r>
          </w:p>
        </w:tc>
        <w:tc>
          <w:tcPr>
            <w:tcW w:w="1372" w:type="dxa"/>
            <w:tcBorders>
              <w:top w:val="single" w:sz="6" w:space="0" w:color="auto"/>
              <w:left w:val="single" w:sz="6" w:space="0" w:color="auto"/>
              <w:bottom w:val="single" w:sz="6" w:space="0" w:color="auto"/>
              <w:right w:val="single" w:sz="6" w:space="0" w:color="auto"/>
            </w:tcBorders>
            <w:shd w:val="clear" w:color="auto" w:fill="auto"/>
            <w:hideMark/>
          </w:tcPr>
          <w:p w14:paraId="76D16F43" w14:textId="127E9070" w:rsidR="00743D89" w:rsidRPr="006C0481" w:rsidRDefault="00855109" w:rsidP="00E862E4">
            <w:pPr>
              <w:spacing w:before="60" w:after="60"/>
              <w:ind w:left="57" w:right="57"/>
              <w:textAlignment w:val="baseline"/>
              <w:rPr>
                <w:spacing w:val="-2"/>
                <w:sz w:val="16"/>
                <w:lang w:val="fr-FR"/>
              </w:rPr>
            </w:pPr>
            <w:r w:rsidRPr="006C0481">
              <w:rPr>
                <w:spacing w:val="-2"/>
                <w:sz w:val="16"/>
                <w:lang w:val="fr-FR"/>
              </w:rPr>
              <w:t>La recommandation a été acceptée et un plan initial a été établi pour mettre en œuvre l</w:t>
            </w:r>
            <w:r w:rsidR="00743D89" w:rsidRPr="006C0481">
              <w:rPr>
                <w:spacing w:val="-2"/>
                <w:sz w:val="16"/>
                <w:lang w:val="fr-FR"/>
              </w:rPr>
              <w:t>’</w:t>
            </w:r>
            <w:r w:rsidRPr="006C0481">
              <w:rPr>
                <w:spacing w:val="-2"/>
                <w:sz w:val="16"/>
                <w:lang w:val="fr-FR"/>
              </w:rPr>
              <w:t xml:space="preserve">analyse des données </w:t>
            </w:r>
            <w:r w:rsidR="00743D89" w:rsidRPr="006C0481">
              <w:rPr>
                <w:spacing w:val="-2"/>
                <w:sz w:val="16"/>
                <w:lang w:val="fr-FR"/>
              </w:rPr>
              <w:t>en 2022</w:t>
            </w:r>
            <w:r w:rsidRPr="006C0481">
              <w:rPr>
                <w:spacing w:val="-2"/>
                <w:sz w:val="16"/>
                <w:lang w:val="fr-FR"/>
              </w:rPr>
              <w:t xml:space="preserve"> et 2023 lors du déploiement de l</w:t>
            </w:r>
            <w:r w:rsidR="00743D89" w:rsidRPr="006C0481">
              <w:rPr>
                <w:spacing w:val="-2"/>
                <w:sz w:val="16"/>
                <w:lang w:val="fr-FR"/>
              </w:rPr>
              <w:t>’</w:t>
            </w:r>
            <w:r w:rsidRPr="006C0481">
              <w:rPr>
                <w:spacing w:val="-2"/>
                <w:sz w:val="16"/>
                <w:lang w:val="fr-FR"/>
              </w:rPr>
              <w:t>analyse des données, conformément à la stratégie et à la feuille de route.</w:t>
            </w:r>
          </w:p>
          <w:p w14:paraId="4BC430EA" w14:textId="60C84132" w:rsidR="00743D89" w:rsidRPr="006C0481" w:rsidRDefault="00855109" w:rsidP="00E862E4">
            <w:pPr>
              <w:spacing w:before="60" w:after="60"/>
              <w:ind w:left="57" w:right="57"/>
              <w:textAlignment w:val="baseline"/>
              <w:rPr>
                <w:spacing w:val="-2"/>
                <w:sz w:val="16"/>
                <w:lang w:val="fr-FR"/>
              </w:rPr>
            </w:pPr>
            <w:r w:rsidRPr="006C0481">
              <w:rPr>
                <w:spacing w:val="-2"/>
                <w:sz w:val="16"/>
                <w:lang w:val="fr-FR"/>
              </w:rPr>
              <w:t>La stratégie s</w:t>
            </w:r>
            <w:r w:rsidR="00743D89" w:rsidRPr="006C0481">
              <w:rPr>
                <w:spacing w:val="-2"/>
                <w:sz w:val="16"/>
                <w:lang w:val="fr-FR"/>
              </w:rPr>
              <w:t>’</w:t>
            </w:r>
            <w:r w:rsidRPr="006C0481">
              <w:rPr>
                <w:spacing w:val="-2"/>
                <w:sz w:val="16"/>
                <w:lang w:val="fr-FR"/>
              </w:rPr>
              <w:t>accompagne du développement d</w:t>
            </w:r>
            <w:r w:rsidR="00743D89" w:rsidRPr="006C0481">
              <w:rPr>
                <w:spacing w:val="-2"/>
                <w:sz w:val="16"/>
                <w:lang w:val="fr-FR"/>
              </w:rPr>
              <w:t>’</w:t>
            </w:r>
            <w:r w:rsidRPr="006C0481">
              <w:rPr>
                <w:spacing w:val="-2"/>
                <w:sz w:val="16"/>
                <w:lang w:val="fr-FR"/>
              </w:rPr>
              <w:t>outils d</w:t>
            </w:r>
            <w:r w:rsidR="00743D89" w:rsidRPr="006C0481">
              <w:rPr>
                <w:spacing w:val="-2"/>
                <w:sz w:val="16"/>
                <w:lang w:val="fr-FR"/>
              </w:rPr>
              <w:t>’</w:t>
            </w:r>
            <w:r w:rsidRPr="006C0481">
              <w:rPr>
                <w:spacing w:val="-2"/>
                <w:sz w:val="16"/>
                <w:lang w:val="fr-FR"/>
              </w:rPr>
              <w:t>analyse qui seront utilisés dans toute l</w:t>
            </w:r>
            <w:r w:rsidR="00743D89" w:rsidRPr="006C0481">
              <w:rPr>
                <w:spacing w:val="-2"/>
                <w:sz w:val="16"/>
                <w:lang w:val="fr-FR"/>
              </w:rPr>
              <w:t>’</w:t>
            </w:r>
            <w:r w:rsidRPr="006C0481">
              <w:rPr>
                <w:spacing w:val="-2"/>
                <w:sz w:val="16"/>
                <w:lang w:val="fr-FR"/>
              </w:rPr>
              <w:t>Organisation, notamment pour les activités d</w:t>
            </w:r>
            <w:r w:rsidR="00743D89" w:rsidRPr="006C0481">
              <w:rPr>
                <w:spacing w:val="-2"/>
                <w:sz w:val="16"/>
                <w:lang w:val="fr-FR"/>
              </w:rPr>
              <w:t>’</w:t>
            </w:r>
            <w:r w:rsidRPr="006C0481">
              <w:rPr>
                <w:spacing w:val="-2"/>
                <w:sz w:val="16"/>
                <w:lang w:val="fr-FR"/>
              </w:rPr>
              <w:t>achat (Division des achats et des voyages), la gestion des ressources humaines (Département de la gestion des ressources humaines) et les finances (Département de la planification des programmes et des finances).</w:t>
            </w:r>
          </w:p>
          <w:p w14:paraId="02C8B027" w14:textId="55286481" w:rsidR="00855109" w:rsidRPr="006C0481" w:rsidRDefault="00855109" w:rsidP="006C0481">
            <w:pPr>
              <w:spacing w:before="60" w:after="60"/>
              <w:ind w:left="57" w:right="57"/>
              <w:textAlignment w:val="baseline"/>
              <w:rPr>
                <w:rFonts w:eastAsia="Times New Roman"/>
                <w:sz w:val="16"/>
                <w:szCs w:val="16"/>
                <w:lang w:val="fr-FR"/>
              </w:rPr>
            </w:pPr>
            <w:r w:rsidRPr="006C0481">
              <w:rPr>
                <w:sz w:val="16"/>
                <w:lang w:val="fr-FR"/>
              </w:rPr>
              <w:t>En outre, des discussions sont en cours avec la Division de la supervision interne (DSI) pour créer des synergi</w:t>
            </w:r>
            <w:r w:rsidR="005652C9" w:rsidRPr="006C0481">
              <w:rPr>
                <w:sz w:val="16"/>
                <w:lang w:val="fr-FR"/>
              </w:rPr>
              <w:t>es.  La</w:t>
            </w:r>
            <w:r w:rsidRPr="006C0481">
              <w:rPr>
                <w:sz w:val="16"/>
                <w:lang w:val="fr-FR"/>
              </w:rPr>
              <w:t> DSI effectue également des audits continus dont les résultats sont communiqués à la direction.</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1537B3A9" w14:textId="2F12D10F" w:rsidR="00743D89" w:rsidRPr="005040A4" w:rsidRDefault="00855109" w:rsidP="00E862E4">
            <w:pPr>
              <w:spacing w:before="60" w:after="60"/>
              <w:ind w:left="57" w:right="57"/>
              <w:textAlignment w:val="baseline"/>
              <w:rPr>
                <w:sz w:val="16"/>
                <w:lang w:val="fr-FR"/>
              </w:rPr>
            </w:pPr>
            <w:r w:rsidRPr="005040A4">
              <w:rPr>
                <w:sz w:val="16"/>
                <w:lang w:val="fr-FR"/>
              </w:rPr>
              <w:t>Une approche et une stratégie globales en matière d</w:t>
            </w:r>
            <w:r w:rsidR="00743D89" w:rsidRPr="005040A4">
              <w:rPr>
                <w:sz w:val="16"/>
                <w:lang w:val="fr-FR"/>
              </w:rPr>
              <w:t>’</w:t>
            </w:r>
            <w:r w:rsidRPr="005040A4">
              <w:rPr>
                <w:sz w:val="16"/>
                <w:lang w:val="fr-FR"/>
              </w:rPr>
              <w:t>analyse des données pour les fonctions de deuxième ligne ont été approuvées.</w:t>
            </w:r>
            <w:r w:rsidR="00596148" w:rsidRPr="005040A4">
              <w:rPr>
                <w:sz w:val="16"/>
                <w:lang w:val="fr-FR"/>
              </w:rPr>
              <w:t xml:space="preserve">  </w:t>
            </w:r>
            <w:r w:rsidRPr="005040A4">
              <w:rPr>
                <w:sz w:val="16"/>
                <w:lang w:val="fr-FR"/>
              </w:rPr>
              <w:t>Cette stratégie englobe les données de l</w:t>
            </w:r>
            <w:r w:rsidR="00743D89" w:rsidRPr="005040A4">
              <w:rPr>
                <w:sz w:val="16"/>
                <w:lang w:val="fr-FR"/>
              </w:rPr>
              <w:t>’</w:t>
            </w:r>
            <w:r w:rsidRPr="005040A4">
              <w:rPr>
                <w:sz w:val="16"/>
                <w:lang w:val="fr-FR"/>
              </w:rPr>
              <w:t>ensemble de l</w:t>
            </w:r>
            <w:r w:rsidR="00743D89" w:rsidRPr="005040A4">
              <w:rPr>
                <w:sz w:val="16"/>
                <w:lang w:val="fr-FR"/>
              </w:rPr>
              <w:t>’</w:t>
            </w:r>
            <w:r w:rsidRPr="005040A4">
              <w:rPr>
                <w:sz w:val="16"/>
                <w:lang w:val="fr-FR"/>
              </w:rPr>
              <w:t xml:space="preserve">Organisation, </w:t>
            </w:r>
            <w:r w:rsidR="00743D89" w:rsidRPr="005040A4">
              <w:rPr>
                <w:sz w:val="16"/>
                <w:lang w:val="fr-FR"/>
              </w:rPr>
              <w:t>y compris</w:t>
            </w:r>
            <w:r w:rsidRPr="005040A4">
              <w:rPr>
                <w:sz w:val="16"/>
                <w:lang w:val="fr-FR"/>
              </w:rPr>
              <w:t xml:space="preserve"> les systèmes ERP financiers, budgétaires et des ressources humaines (RH), ainsi que la gestion des risques, le recrutement de ressources humaines et la Division de la supervision interne. </w:t>
            </w:r>
          </w:p>
          <w:p w14:paraId="74DB721E" w14:textId="54A6E998" w:rsidR="00743D89" w:rsidRPr="005040A4" w:rsidRDefault="00855109" w:rsidP="00E862E4">
            <w:pPr>
              <w:spacing w:before="60" w:after="60"/>
              <w:ind w:left="57" w:right="57"/>
              <w:textAlignment w:val="baseline"/>
              <w:rPr>
                <w:sz w:val="16"/>
                <w:lang w:val="fr-FR"/>
              </w:rPr>
            </w:pPr>
            <w:r w:rsidRPr="005040A4">
              <w:rPr>
                <w:sz w:val="16"/>
                <w:lang w:val="fr-FR"/>
              </w:rPr>
              <w:t>La première phase de mise en œuvre s</w:t>
            </w:r>
            <w:r w:rsidR="00743D89" w:rsidRPr="005040A4">
              <w:rPr>
                <w:sz w:val="16"/>
                <w:lang w:val="fr-FR"/>
              </w:rPr>
              <w:t>’</w:t>
            </w:r>
            <w:r w:rsidRPr="005040A4">
              <w:rPr>
                <w:sz w:val="16"/>
                <w:lang w:val="fr-FR"/>
              </w:rPr>
              <w:t>est traduite par la mise en place d</w:t>
            </w:r>
            <w:r w:rsidR="00743D89" w:rsidRPr="005040A4">
              <w:rPr>
                <w:sz w:val="16"/>
                <w:lang w:val="fr-FR"/>
              </w:rPr>
              <w:t>’</w:t>
            </w:r>
            <w:r w:rsidRPr="005040A4">
              <w:rPr>
                <w:sz w:val="16"/>
                <w:lang w:val="fr-FR"/>
              </w:rPr>
              <w:t>une nouvelle plateforme de données, regroupant les données des services financiers, des ressources humaines, des achats et du budget, ainsi qu</w:t>
            </w:r>
            <w:r w:rsidR="00743D89" w:rsidRPr="005040A4">
              <w:rPr>
                <w:sz w:val="16"/>
                <w:lang w:val="fr-FR"/>
              </w:rPr>
              <w:t>’</w:t>
            </w:r>
            <w:r w:rsidRPr="005040A4">
              <w:rPr>
                <w:sz w:val="16"/>
                <w:lang w:val="fr-FR"/>
              </w:rPr>
              <w:t>une interface de visualisation.  En ce qui concerne l</w:t>
            </w:r>
            <w:r w:rsidR="00743D89" w:rsidRPr="005040A4">
              <w:rPr>
                <w:sz w:val="16"/>
                <w:lang w:val="fr-FR"/>
              </w:rPr>
              <w:t>’</w:t>
            </w:r>
            <w:r w:rsidRPr="005040A4">
              <w:rPr>
                <w:sz w:val="16"/>
                <w:lang w:val="fr-FR"/>
              </w:rPr>
              <w:t>objectif de 20 analyses visant à valider le système d</w:t>
            </w:r>
            <w:r w:rsidR="00743D89" w:rsidRPr="005040A4">
              <w:rPr>
                <w:sz w:val="16"/>
                <w:lang w:val="fr-FR"/>
              </w:rPr>
              <w:t>’</w:t>
            </w:r>
            <w:r w:rsidRPr="005040A4">
              <w:rPr>
                <w:sz w:val="16"/>
                <w:lang w:val="fr-FR"/>
              </w:rPr>
              <w:t>ici à la fin de 2024, 53 analyses sont en cours de production. </w:t>
            </w:r>
          </w:p>
          <w:p w14:paraId="77D4361E" w14:textId="3033FAC7" w:rsidR="00855109" w:rsidRPr="005040A4" w:rsidRDefault="00855109" w:rsidP="006C0481">
            <w:pPr>
              <w:spacing w:before="60" w:after="60"/>
              <w:ind w:left="57" w:right="57"/>
              <w:textAlignment w:val="baseline"/>
              <w:rPr>
                <w:rFonts w:eastAsia="Times New Roman"/>
                <w:sz w:val="16"/>
                <w:szCs w:val="16"/>
                <w:lang w:val="fr-FR"/>
              </w:rPr>
            </w:pPr>
            <w:r w:rsidRPr="005040A4">
              <w:rPr>
                <w:sz w:val="16"/>
                <w:lang w:val="fr-FR"/>
              </w:rPr>
              <w:t>Le développement d</w:t>
            </w:r>
            <w:r w:rsidR="00743D89" w:rsidRPr="005040A4">
              <w:rPr>
                <w:sz w:val="16"/>
                <w:lang w:val="fr-FR"/>
              </w:rPr>
              <w:t>’</w:t>
            </w:r>
            <w:r w:rsidRPr="005040A4">
              <w:rPr>
                <w:sz w:val="16"/>
                <w:lang w:val="fr-FR"/>
              </w:rPr>
              <w:t>analyses à l</w:t>
            </w:r>
            <w:r w:rsidR="00743D89" w:rsidRPr="005040A4">
              <w:rPr>
                <w:sz w:val="16"/>
                <w:lang w:val="fr-FR"/>
              </w:rPr>
              <w:t>’</w:t>
            </w:r>
            <w:r w:rsidRPr="005040A4">
              <w:rPr>
                <w:sz w:val="16"/>
                <w:lang w:val="fr-FR"/>
              </w:rPr>
              <w:t>échelle de l</w:t>
            </w:r>
            <w:r w:rsidR="00743D89" w:rsidRPr="005040A4">
              <w:rPr>
                <w:sz w:val="16"/>
                <w:lang w:val="fr-FR"/>
              </w:rPr>
              <w:t>’</w:t>
            </w:r>
            <w:r w:rsidRPr="005040A4">
              <w:rPr>
                <w:sz w:val="16"/>
                <w:lang w:val="fr-FR"/>
              </w:rPr>
              <w:t>Organisation est une initiative en cours, qui devrait se poursuivre au cours des années à venir afin de répondre aux besoins de tous les utilisateurs au sein de l</w:t>
            </w:r>
            <w:r w:rsidR="00743D89" w:rsidRPr="005040A4">
              <w:rPr>
                <w:sz w:val="16"/>
                <w:lang w:val="fr-FR"/>
              </w:rPr>
              <w:t>’</w:t>
            </w:r>
            <w:r w:rsidRPr="005040A4">
              <w:rPr>
                <w:sz w:val="16"/>
                <w:lang w:val="fr-FR"/>
              </w:rPr>
              <w:t>Organisation et de créer des synergies en matière de formation et de soutien.</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3AD29A52" w14:textId="713126CF" w:rsidR="00743D89" w:rsidRPr="005040A4" w:rsidRDefault="00855109" w:rsidP="00E862E4">
            <w:pPr>
              <w:spacing w:before="60" w:after="60"/>
              <w:ind w:left="57" w:right="57"/>
              <w:textAlignment w:val="baseline"/>
              <w:rPr>
                <w:sz w:val="16"/>
                <w:lang w:val="fr-FR"/>
              </w:rPr>
            </w:pPr>
            <w:r w:rsidRPr="005040A4">
              <w:rPr>
                <w:sz w:val="16"/>
                <w:lang w:val="fr-FR"/>
              </w:rPr>
              <w:t>Nous saluons les efforts déployés par l</w:t>
            </w:r>
            <w:r w:rsidR="00743D89" w:rsidRPr="005040A4">
              <w:rPr>
                <w:sz w:val="16"/>
                <w:lang w:val="fr-FR"/>
              </w:rPr>
              <w:t>’</w:t>
            </w:r>
            <w:r w:rsidRPr="005040A4">
              <w:rPr>
                <w:sz w:val="16"/>
                <w:lang w:val="fr-FR"/>
              </w:rPr>
              <w:t>Organisation pour élaborer une approche et une stratégie globales visant à développer et à déployer des analyses de données qui répondent aux besoins de tous les utilisateurs au sein de l</w:t>
            </w:r>
            <w:r w:rsidR="00743D89" w:rsidRPr="005040A4">
              <w:rPr>
                <w:sz w:val="16"/>
                <w:lang w:val="fr-FR"/>
              </w:rPr>
              <w:t>’</w:t>
            </w:r>
            <w:r w:rsidRPr="005040A4">
              <w:rPr>
                <w:sz w:val="16"/>
                <w:lang w:val="fr-FR"/>
              </w:rPr>
              <w:t>Organisation.</w:t>
            </w:r>
          </w:p>
          <w:p w14:paraId="12CB36C1" w14:textId="0060BFE3" w:rsidR="00855109" w:rsidRPr="005040A4" w:rsidRDefault="00855109" w:rsidP="00E862E4">
            <w:pPr>
              <w:spacing w:before="60" w:after="60"/>
              <w:ind w:left="57" w:right="57"/>
              <w:textAlignment w:val="baseline"/>
              <w:rPr>
                <w:rFonts w:eastAsia="Times New Roman"/>
                <w:sz w:val="16"/>
                <w:szCs w:val="16"/>
                <w:lang w:val="fr-FR"/>
              </w:rPr>
            </w:pPr>
            <w:r w:rsidRPr="005040A4">
              <w:rPr>
                <w:sz w:val="16"/>
                <w:lang w:val="fr-FR"/>
              </w:rPr>
              <w:t>Nous concluons que la recommandation est pleinement mise en œuvre.</w:t>
            </w:r>
            <w:r w:rsidR="001B7F27" w:rsidRPr="005040A4">
              <w:rPr>
                <w:sz w:val="16"/>
                <w:lang w:val="fr-FR"/>
              </w:rPr>
              <w:t xml:space="preserve">  </w:t>
            </w:r>
          </w:p>
        </w:tc>
        <w:tc>
          <w:tcPr>
            <w:tcW w:w="1353" w:type="dxa"/>
            <w:tcBorders>
              <w:top w:val="single" w:sz="6" w:space="0" w:color="auto"/>
              <w:left w:val="single" w:sz="6" w:space="0" w:color="auto"/>
              <w:bottom w:val="single" w:sz="6" w:space="0" w:color="auto"/>
              <w:right w:val="single" w:sz="6" w:space="0" w:color="auto"/>
            </w:tcBorders>
            <w:shd w:val="clear" w:color="auto" w:fill="auto"/>
            <w:hideMark/>
          </w:tcPr>
          <w:p w14:paraId="1900356D" w14:textId="2BE7A482" w:rsidR="00855109" w:rsidRPr="005040A4" w:rsidRDefault="00855109" w:rsidP="00E862E4">
            <w:pPr>
              <w:spacing w:before="60" w:after="60"/>
              <w:ind w:left="57" w:right="57"/>
              <w:textAlignment w:val="baseline"/>
              <w:rPr>
                <w:rFonts w:eastAsia="Times New Roman"/>
                <w:sz w:val="16"/>
                <w:szCs w:val="16"/>
                <w:lang w:val="fr-FR"/>
              </w:rPr>
            </w:pPr>
            <w:r w:rsidRPr="005040A4">
              <w:rPr>
                <w:b/>
                <w:sz w:val="16"/>
                <w:lang w:val="fr-FR"/>
              </w:rPr>
              <w:t>Mise en œuvre</w:t>
            </w:r>
          </w:p>
        </w:tc>
      </w:tr>
    </w:tbl>
    <w:p w14:paraId="172B4D5A" w14:textId="77777777" w:rsidR="00855109" w:rsidRPr="006C0481" w:rsidRDefault="00855109" w:rsidP="00687B89">
      <w:pPr>
        <w:rPr>
          <w:sz w:val="16"/>
          <w:szCs w:val="14"/>
          <w:lang w:val="fr-FR"/>
        </w:rPr>
      </w:pPr>
    </w:p>
    <w:p w14:paraId="43E62482" w14:textId="77777777" w:rsidR="00687B89" w:rsidRPr="006C0481" w:rsidRDefault="00687B89" w:rsidP="00687B89">
      <w:pPr>
        <w:rPr>
          <w:sz w:val="16"/>
          <w:szCs w:val="14"/>
          <w:lang w:val="fr-FR"/>
        </w:rPr>
        <w:sectPr w:rsidR="00687B89" w:rsidRPr="006C0481" w:rsidSect="005040A4">
          <w:headerReference w:type="default" r:id="rId22"/>
          <w:headerReference w:type="first" r:id="rId23"/>
          <w:endnotePr>
            <w:numFmt w:val="decimal"/>
          </w:endnotePr>
          <w:pgSz w:w="11907" w:h="16840" w:orient="landscape" w:code="9"/>
          <w:pgMar w:top="567" w:right="1134" w:bottom="1418" w:left="1418" w:header="510" w:footer="1021" w:gutter="0"/>
          <w:pgNumType w:start="1"/>
          <w:cols w:space="720"/>
          <w:titlePg/>
          <w:docGrid w:linePitch="299"/>
        </w:sectPr>
      </w:pPr>
    </w:p>
    <w:p w14:paraId="7632A4C0" w14:textId="3EA697A2" w:rsidR="00855109" w:rsidRPr="003F52D7" w:rsidRDefault="00855109" w:rsidP="003F52D7">
      <w:pPr>
        <w:spacing w:before="360" w:after="360"/>
        <w:rPr>
          <w:b/>
          <w:bCs/>
          <w:sz w:val="28"/>
          <w:szCs w:val="28"/>
        </w:rPr>
      </w:pPr>
      <w:r w:rsidRPr="003F52D7">
        <w:rPr>
          <w:b/>
          <w:bCs/>
          <w:sz w:val="28"/>
          <w:szCs w:val="28"/>
        </w:rPr>
        <w:lastRenderedPageBreak/>
        <w:t>Annexe </w:t>
      </w:r>
      <w:r w:rsidR="006C0481">
        <w:rPr>
          <w:b/>
          <w:bCs/>
          <w:sz w:val="28"/>
          <w:szCs w:val="28"/>
        </w:rPr>
        <w:t>II</w:t>
      </w:r>
      <w:r w:rsidRPr="003F52D7">
        <w:rPr>
          <w:b/>
          <w:bCs/>
          <w:sz w:val="28"/>
          <w:szCs w:val="28"/>
        </w:rPr>
        <w:t xml:space="preserve">. </w:t>
      </w:r>
      <w:r w:rsidR="001B7F27" w:rsidRPr="003F52D7">
        <w:rPr>
          <w:b/>
          <w:bCs/>
          <w:sz w:val="28"/>
          <w:szCs w:val="28"/>
        </w:rPr>
        <w:t xml:space="preserve"> </w:t>
      </w:r>
      <w:r w:rsidRPr="003F52D7">
        <w:rPr>
          <w:b/>
          <w:bCs/>
          <w:sz w:val="28"/>
          <w:szCs w:val="28"/>
        </w:rPr>
        <w:t>Liste des sigles</w:t>
      </w:r>
    </w:p>
    <w:tbl>
      <w:tblPr>
        <w:tblStyle w:val="TableGrid"/>
        <w:tblW w:w="9498" w:type="dxa"/>
        <w:tblLook w:val="04A0" w:firstRow="1" w:lastRow="0" w:firstColumn="1" w:lastColumn="0" w:noHBand="0" w:noVBand="1"/>
      </w:tblPr>
      <w:tblGrid>
        <w:gridCol w:w="1560"/>
        <w:gridCol w:w="339"/>
        <w:gridCol w:w="7599"/>
      </w:tblGrid>
      <w:tr w:rsidR="006C0481" w:rsidRPr="006C0481" w14:paraId="1A94B641" w14:textId="77777777" w:rsidTr="00307F40">
        <w:tc>
          <w:tcPr>
            <w:tcW w:w="1560" w:type="dxa"/>
            <w:tcBorders>
              <w:top w:val="none" w:sz="4" w:space="0" w:color="000000"/>
              <w:left w:val="none" w:sz="4" w:space="0" w:color="000000"/>
              <w:bottom w:val="none" w:sz="4" w:space="0" w:color="000000"/>
              <w:right w:val="none" w:sz="4" w:space="0" w:color="000000"/>
            </w:tcBorders>
            <w:shd w:val="clear" w:color="auto" w:fill="auto"/>
          </w:tcPr>
          <w:p w14:paraId="655138D6" w14:textId="54A59BB0" w:rsidR="006C0481" w:rsidRPr="006C0481" w:rsidRDefault="006C0481" w:rsidP="00E862E4">
            <w:pPr>
              <w:spacing w:after="81"/>
              <w:rPr>
                <w:rFonts w:eastAsiaTheme="majorEastAsia"/>
              </w:rPr>
            </w:pPr>
            <w:r w:rsidRPr="006C0481">
              <w:t>AIMS</w:t>
            </w:r>
          </w:p>
        </w:tc>
        <w:tc>
          <w:tcPr>
            <w:tcW w:w="339" w:type="dxa"/>
            <w:tcBorders>
              <w:top w:val="none" w:sz="4" w:space="0" w:color="000000"/>
              <w:left w:val="none" w:sz="4" w:space="0" w:color="000000"/>
              <w:bottom w:val="none" w:sz="4" w:space="0" w:color="000000"/>
              <w:right w:val="none" w:sz="4" w:space="0" w:color="000000"/>
            </w:tcBorders>
            <w:shd w:val="clear" w:color="auto" w:fill="auto"/>
          </w:tcPr>
          <w:p w14:paraId="77FE685E" w14:textId="77777777" w:rsidR="006C0481" w:rsidRPr="006C0481" w:rsidRDefault="006C0481" w:rsidP="00E862E4">
            <w:pPr>
              <w:spacing w:after="81"/>
              <w:rPr>
                <w:rFonts w:eastAsiaTheme="majorEastAsia"/>
              </w:rPr>
            </w:pPr>
            <w:r w:rsidRPr="006C0481">
              <w:t> :</w:t>
            </w:r>
          </w:p>
        </w:tc>
        <w:tc>
          <w:tcPr>
            <w:tcW w:w="7599" w:type="dxa"/>
            <w:tcBorders>
              <w:top w:val="none" w:sz="4" w:space="0" w:color="000000"/>
              <w:left w:val="none" w:sz="4" w:space="0" w:color="000000"/>
              <w:bottom w:val="none" w:sz="4" w:space="0" w:color="000000"/>
              <w:right w:val="none" w:sz="4" w:space="0" w:color="000000"/>
            </w:tcBorders>
            <w:shd w:val="clear" w:color="auto" w:fill="auto"/>
          </w:tcPr>
          <w:p w14:paraId="75F6DD4C" w14:textId="2DC75F73" w:rsidR="006C0481" w:rsidRPr="006C0481" w:rsidRDefault="006C0481" w:rsidP="00E862E4">
            <w:pPr>
              <w:spacing w:after="81"/>
              <w:rPr>
                <w:rFonts w:eastAsia="Times New Roman"/>
              </w:rPr>
            </w:pPr>
            <w:r>
              <w:t>S</w:t>
            </w:r>
            <w:r w:rsidRPr="006C0481">
              <w:t>ystème de gestion administrative intégrée</w:t>
            </w:r>
          </w:p>
        </w:tc>
      </w:tr>
      <w:tr w:rsidR="006C0481" w:rsidRPr="006C0481" w14:paraId="6DB36534" w14:textId="77777777" w:rsidTr="00307F40">
        <w:tc>
          <w:tcPr>
            <w:tcW w:w="1560" w:type="dxa"/>
            <w:tcBorders>
              <w:top w:val="none" w:sz="4" w:space="0" w:color="000000"/>
              <w:left w:val="none" w:sz="4" w:space="0" w:color="000000"/>
              <w:bottom w:val="none" w:sz="4" w:space="0" w:color="000000"/>
              <w:right w:val="none" w:sz="4" w:space="0" w:color="000000"/>
            </w:tcBorders>
            <w:shd w:val="clear" w:color="auto" w:fill="auto"/>
          </w:tcPr>
          <w:p w14:paraId="5620A903" w14:textId="77777777" w:rsidR="006C0481" w:rsidRPr="006C0481" w:rsidRDefault="006C0481" w:rsidP="00E862E4">
            <w:pPr>
              <w:spacing w:after="81"/>
              <w:rPr>
                <w:rFonts w:eastAsiaTheme="majorEastAsia"/>
              </w:rPr>
            </w:pPr>
            <w:r w:rsidRPr="006C0481">
              <w:t>AMCS</w:t>
            </w:r>
          </w:p>
        </w:tc>
        <w:tc>
          <w:tcPr>
            <w:tcW w:w="339" w:type="dxa"/>
            <w:tcBorders>
              <w:top w:val="none" w:sz="4" w:space="0" w:color="000000"/>
              <w:left w:val="none" w:sz="4" w:space="0" w:color="000000"/>
              <w:bottom w:val="none" w:sz="4" w:space="0" w:color="000000"/>
              <w:right w:val="none" w:sz="4" w:space="0" w:color="000000"/>
            </w:tcBorders>
            <w:shd w:val="clear" w:color="auto" w:fill="auto"/>
          </w:tcPr>
          <w:p w14:paraId="3E00CA48" w14:textId="77777777" w:rsidR="006C0481" w:rsidRPr="006C0481" w:rsidRDefault="006C0481" w:rsidP="00E862E4">
            <w:pPr>
              <w:spacing w:after="81"/>
              <w:rPr>
                <w:rFonts w:eastAsiaTheme="majorEastAsia"/>
              </w:rPr>
            </w:pPr>
            <w:r w:rsidRPr="006C0481">
              <w:t> :</w:t>
            </w:r>
          </w:p>
        </w:tc>
        <w:tc>
          <w:tcPr>
            <w:tcW w:w="7599" w:type="dxa"/>
            <w:tcBorders>
              <w:top w:val="none" w:sz="4" w:space="0" w:color="000000"/>
              <w:left w:val="none" w:sz="4" w:space="0" w:color="000000"/>
              <w:bottom w:val="none" w:sz="4" w:space="0" w:color="000000"/>
              <w:right w:val="none" w:sz="4" w:space="0" w:color="000000"/>
            </w:tcBorders>
            <w:shd w:val="clear" w:color="auto" w:fill="auto"/>
          </w:tcPr>
          <w:p w14:paraId="3F5CFF1A" w14:textId="77777777" w:rsidR="006C0481" w:rsidRPr="006C0481" w:rsidRDefault="006C0481" w:rsidP="00E862E4">
            <w:pPr>
              <w:spacing w:after="81"/>
            </w:pPr>
            <w:r w:rsidRPr="006C0481">
              <w:t xml:space="preserve">Assurance maladie après cessation de service </w:t>
            </w:r>
          </w:p>
        </w:tc>
      </w:tr>
      <w:tr w:rsidR="006C0481" w:rsidRPr="006C0481" w14:paraId="12BA2494" w14:textId="77777777" w:rsidTr="00307F40">
        <w:tc>
          <w:tcPr>
            <w:tcW w:w="1560" w:type="dxa"/>
            <w:tcBorders>
              <w:top w:val="none" w:sz="4" w:space="0" w:color="000000"/>
              <w:left w:val="none" w:sz="4" w:space="0" w:color="000000"/>
              <w:bottom w:val="none" w:sz="4" w:space="0" w:color="000000"/>
              <w:right w:val="none" w:sz="4" w:space="0" w:color="000000"/>
            </w:tcBorders>
            <w:shd w:val="clear" w:color="auto" w:fill="auto"/>
          </w:tcPr>
          <w:p w14:paraId="163E7727" w14:textId="77777777" w:rsidR="006C0481" w:rsidRPr="006C0481" w:rsidRDefault="006C0481" w:rsidP="00E862E4">
            <w:pPr>
              <w:spacing w:after="81"/>
              <w:rPr>
                <w:rFonts w:eastAsiaTheme="majorEastAsia"/>
              </w:rPr>
            </w:pPr>
            <w:r w:rsidRPr="006C0481">
              <w:t>ATAC</w:t>
            </w:r>
          </w:p>
        </w:tc>
        <w:tc>
          <w:tcPr>
            <w:tcW w:w="339" w:type="dxa"/>
            <w:tcBorders>
              <w:top w:val="none" w:sz="4" w:space="0" w:color="000000"/>
              <w:left w:val="none" w:sz="4" w:space="0" w:color="000000"/>
              <w:bottom w:val="none" w:sz="4" w:space="0" w:color="000000"/>
              <w:right w:val="none" w:sz="4" w:space="0" w:color="000000"/>
            </w:tcBorders>
            <w:shd w:val="clear" w:color="auto" w:fill="auto"/>
          </w:tcPr>
          <w:p w14:paraId="756DBF00" w14:textId="77777777" w:rsidR="006C0481" w:rsidRPr="006C0481" w:rsidRDefault="006C0481" w:rsidP="00E862E4">
            <w:pPr>
              <w:spacing w:after="81"/>
              <w:rPr>
                <w:rFonts w:eastAsiaTheme="majorEastAsia"/>
              </w:rPr>
            </w:pPr>
            <w:r w:rsidRPr="006C0481">
              <w:t> :</w:t>
            </w:r>
          </w:p>
        </w:tc>
        <w:tc>
          <w:tcPr>
            <w:tcW w:w="7599" w:type="dxa"/>
            <w:tcBorders>
              <w:top w:val="none" w:sz="4" w:space="0" w:color="000000"/>
              <w:left w:val="none" w:sz="4" w:space="0" w:color="000000"/>
              <w:bottom w:val="none" w:sz="4" w:space="0" w:color="000000"/>
              <w:right w:val="none" w:sz="4" w:space="0" w:color="000000"/>
            </w:tcBorders>
            <w:shd w:val="clear" w:color="auto" w:fill="auto"/>
          </w:tcPr>
          <w:p w14:paraId="0E4546CF" w14:textId="77777777" w:rsidR="006C0481" w:rsidRPr="006C0481" w:rsidRDefault="006C0481" w:rsidP="00E862E4">
            <w:pPr>
              <w:spacing w:after="81"/>
              <w:rPr>
                <w:rFonts w:eastAsiaTheme="majorEastAsia"/>
              </w:rPr>
            </w:pPr>
            <w:r w:rsidRPr="006C0481">
              <w:rPr>
                <w:rStyle w:val="normaltextrun"/>
              </w:rPr>
              <w:t xml:space="preserve">Centre d’application des technologies de pointe </w:t>
            </w:r>
          </w:p>
        </w:tc>
      </w:tr>
      <w:tr w:rsidR="006C0481" w:rsidRPr="006C0481" w14:paraId="7A65EE9A" w14:textId="77777777" w:rsidTr="00307F40">
        <w:tc>
          <w:tcPr>
            <w:tcW w:w="1560" w:type="dxa"/>
            <w:tcBorders>
              <w:top w:val="none" w:sz="4" w:space="0" w:color="000000"/>
              <w:left w:val="none" w:sz="4" w:space="0" w:color="000000"/>
              <w:bottom w:val="none" w:sz="4" w:space="0" w:color="000000"/>
              <w:right w:val="none" w:sz="4" w:space="0" w:color="000000"/>
            </w:tcBorders>
            <w:shd w:val="clear" w:color="auto" w:fill="auto"/>
          </w:tcPr>
          <w:p w14:paraId="0A1A1025" w14:textId="77777777" w:rsidR="006C0481" w:rsidRPr="006C0481" w:rsidRDefault="006C0481" w:rsidP="00E862E4">
            <w:pPr>
              <w:spacing w:after="81"/>
              <w:rPr>
                <w:rFonts w:eastAsiaTheme="majorEastAsia"/>
              </w:rPr>
            </w:pPr>
            <w:r w:rsidRPr="006C0481">
              <w:t>BPK</w:t>
            </w:r>
          </w:p>
        </w:tc>
        <w:tc>
          <w:tcPr>
            <w:tcW w:w="339" w:type="dxa"/>
            <w:tcBorders>
              <w:top w:val="none" w:sz="4" w:space="0" w:color="000000"/>
              <w:left w:val="none" w:sz="4" w:space="0" w:color="000000"/>
              <w:bottom w:val="none" w:sz="4" w:space="0" w:color="000000"/>
              <w:right w:val="none" w:sz="4" w:space="0" w:color="000000"/>
            </w:tcBorders>
            <w:shd w:val="clear" w:color="auto" w:fill="auto"/>
          </w:tcPr>
          <w:p w14:paraId="24EA0EC5" w14:textId="77777777" w:rsidR="006C0481" w:rsidRPr="006C0481" w:rsidRDefault="006C0481" w:rsidP="00E862E4">
            <w:pPr>
              <w:spacing w:after="81"/>
              <w:rPr>
                <w:rFonts w:eastAsiaTheme="majorEastAsia"/>
              </w:rPr>
            </w:pPr>
            <w:r w:rsidRPr="006C0481">
              <w:t> :</w:t>
            </w:r>
          </w:p>
        </w:tc>
        <w:tc>
          <w:tcPr>
            <w:tcW w:w="7599" w:type="dxa"/>
            <w:tcBorders>
              <w:top w:val="none" w:sz="4" w:space="0" w:color="000000"/>
              <w:left w:val="none" w:sz="4" w:space="0" w:color="000000"/>
              <w:bottom w:val="none" w:sz="4" w:space="0" w:color="000000"/>
              <w:right w:val="none" w:sz="4" w:space="0" w:color="000000"/>
            </w:tcBorders>
            <w:shd w:val="clear" w:color="auto" w:fill="auto"/>
          </w:tcPr>
          <w:p w14:paraId="42455F4D" w14:textId="77777777" w:rsidR="006C0481" w:rsidRPr="006C0481" w:rsidRDefault="006C0481" w:rsidP="00E862E4">
            <w:pPr>
              <w:spacing w:after="81"/>
              <w:rPr>
                <w:rFonts w:eastAsiaTheme="majorEastAsia"/>
              </w:rPr>
            </w:pPr>
            <w:r w:rsidRPr="006C0481">
              <w:t>Badan Pemeriksa Keuangan (Commission d’audit de la République d’Indonésie)</w:t>
            </w:r>
          </w:p>
        </w:tc>
      </w:tr>
      <w:tr w:rsidR="006C0481" w:rsidRPr="006C0481" w14:paraId="2D174885" w14:textId="77777777" w:rsidTr="00307F40">
        <w:tc>
          <w:tcPr>
            <w:tcW w:w="1560" w:type="dxa"/>
            <w:tcBorders>
              <w:top w:val="none" w:sz="4" w:space="0" w:color="000000"/>
              <w:left w:val="none" w:sz="4" w:space="0" w:color="000000"/>
              <w:bottom w:val="none" w:sz="4" w:space="0" w:color="000000"/>
              <w:right w:val="none" w:sz="4" w:space="0" w:color="000000"/>
            </w:tcBorders>
          </w:tcPr>
          <w:p w14:paraId="24B7323F" w14:textId="77777777" w:rsidR="006C0481" w:rsidRPr="006C0481" w:rsidRDefault="006C0481" w:rsidP="00E862E4">
            <w:pPr>
              <w:spacing w:after="81"/>
              <w:rPr>
                <w:rFonts w:eastAsiaTheme="majorEastAsia"/>
              </w:rPr>
            </w:pPr>
            <w:r w:rsidRPr="006C0481">
              <w:t>DSI</w:t>
            </w:r>
          </w:p>
        </w:tc>
        <w:tc>
          <w:tcPr>
            <w:tcW w:w="339" w:type="dxa"/>
            <w:tcBorders>
              <w:top w:val="none" w:sz="4" w:space="0" w:color="000000"/>
              <w:left w:val="none" w:sz="4" w:space="0" w:color="000000"/>
              <w:bottom w:val="none" w:sz="4" w:space="0" w:color="000000"/>
              <w:right w:val="none" w:sz="4" w:space="0" w:color="000000"/>
            </w:tcBorders>
          </w:tcPr>
          <w:p w14:paraId="230F515D" w14:textId="77777777" w:rsidR="006C0481" w:rsidRPr="006C0481" w:rsidRDefault="006C0481" w:rsidP="00E862E4">
            <w:pPr>
              <w:spacing w:after="81"/>
              <w:rPr>
                <w:rFonts w:eastAsiaTheme="majorEastAsia"/>
              </w:rPr>
            </w:pPr>
            <w:r w:rsidRPr="006C0481">
              <w:t> :</w:t>
            </w:r>
          </w:p>
        </w:tc>
        <w:tc>
          <w:tcPr>
            <w:tcW w:w="7599" w:type="dxa"/>
            <w:tcBorders>
              <w:top w:val="none" w:sz="4" w:space="0" w:color="000000"/>
              <w:left w:val="none" w:sz="4" w:space="0" w:color="000000"/>
              <w:bottom w:val="none" w:sz="4" w:space="0" w:color="000000"/>
              <w:right w:val="none" w:sz="4" w:space="0" w:color="000000"/>
            </w:tcBorders>
          </w:tcPr>
          <w:p w14:paraId="1DB11249" w14:textId="77777777" w:rsidR="006C0481" w:rsidRPr="006C0481" w:rsidRDefault="006C0481" w:rsidP="00E862E4">
            <w:pPr>
              <w:spacing w:after="81"/>
              <w:rPr>
                <w:rFonts w:eastAsia="Times New Roman"/>
              </w:rPr>
            </w:pPr>
            <w:r w:rsidRPr="006C0481">
              <w:t>Division de la supervision interne</w:t>
            </w:r>
          </w:p>
        </w:tc>
      </w:tr>
      <w:tr w:rsidR="006C0481" w:rsidRPr="006C0481" w14:paraId="158F2561" w14:textId="77777777" w:rsidTr="00307F40">
        <w:tc>
          <w:tcPr>
            <w:tcW w:w="1560" w:type="dxa"/>
            <w:tcBorders>
              <w:top w:val="none" w:sz="4" w:space="0" w:color="000000"/>
              <w:left w:val="none" w:sz="4" w:space="0" w:color="000000"/>
              <w:bottom w:val="none" w:sz="4" w:space="0" w:color="000000"/>
              <w:right w:val="none" w:sz="4" w:space="0" w:color="000000"/>
            </w:tcBorders>
            <w:shd w:val="clear" w:color="auto" w:fill="auto"/>
          </w:tcPr>
          <w:p w14:paraId="7145F386" w14:textId="77777777" w:rsidR="006C0481" w:rsidRPr="006C0481" w:rsidRDefault="006C0481" w:rsidP="00E862E4">
            <w:pPr>
              <w:spacing w:after="81"/>
              <w:rPr>
                <w:rFonts w:eastAsiaTheme="majorEastAsia"/>
              </w:rPr>
            </w:pPr>
            <w:r w:rsidRPr="006C0481">
              <w:t>ERP</w:t>
            </w:r>
          </w:p>
        </w:tc>
        <w:tc>
          <w:tcPr>
            <w:tcW w:w="339" w:type="dxa"/>
            <w:tcBorders>
              <w:top w:val="none" w:sz="4" w:space="0" w:color="000000"/>
              <w:left w:val="none" w:sz="4" w:space="0" w:color="000000"/>
              <w:bottom w:val="none" w:sz="4" w:space="0" w:color="000000"/>
              <w:right w:val="none" w:sz="4" w:space="0" w:color="000000"/>
            </w:tcBorders>
            <w:shd w:val="clear" w:color="auto" w:fill="auto"/>
          </w:tcPr>
          <w:p w14:paraId="239C5A63" w14:textId="77777777" w:rsidR="006C0481" w:rsidRPr="006C0481" w:rsidRDefault="006C0481" w:rsidP="00E862E4">
            <w:pPr>
              <w:spacing w:after="81"/>
              <w:rPr>
                <w:rFonts w:eastAsiaTheme="majorEastAsia"/>
              </w:rPr>
            </w:pPr>
            <w:r w:rsidRPr="006C0481">
              <w:t> :</w:t>
            </w:r>
          </w:p>
        </w:tc>
        <w:tc>
          <w:tcPr>
            <w:tcW w:w="7599" w:type="dxa"/>
            <w:tcBorders>
              <w:top w:val="none" w:sz="4" w:space="0" w:color="000000"/>
              <w:left w:val="none" w:sz="4" w:space="0" w:color="000000"/>
              <w:bottom w:val="none" w:sz="4" w:space="0" w:color="000000"/>
              <w:right w:val="none" w:sz="4" w:space="0" w:color="000000"/>
            </w:tcBorders>
            <w:shd w:val="clear" w:color="auto" w:fill="auto"/>
          </w:tcPr>
          <w:p w14:paraId="4044416F" w14:textId="77777777" w:rsidR="006C0481" w:rsidRPr="006C0481" w:rsidRDefault="006C0481" w:rsidP="00E862E4">
            <w:pPr>
              <w:spacing w:after="81"/>
              <w:rPr>
                <w:rFonts w:eastAsia="Times New Roman"/>
              </w:rPr>
            </w:pPr>
            <w:r w:rsidRPr="006C0481">
              <w:t>Planification des ressources de l’Organisation</w:t>
            </w:r>
          </w:p>
        </w:tc>
      </w:tr>
      <w:tr w:rsidR="006C0481" w:rsidRPr="006C0481" w14:paraId="29D50193" w14:textId="77777777" w:rsidTr="00307F40">
        <w:tc>
          <w:tcPr>
            <w:tcW w:w="1560" w:type="dxa"/>
            <w:tcBorders>
              <w:top w:val="none" w:sz="4" w:space="0" w:color="000000"/>
              <w:left w:val="none" w:sz="4" w:space="0" w:color="000000"/>
              <w:bottom w:val="none" w:sz="4" w:space="0" w:color="000000"/>
              <w:right w:val="none" w:sz="4" w:space="0" w:color="000000"/>
            </w:tcBorders>
            <w:shd w:val="clear" w:color="auto" w:fill="auto"/>
          </w:tcPr>
          <w:p w14:paraId="71551102" w14:textId="77777777" w:rsidR="006C0481" w:rsidRPr="006C0481" w:rsidRDefault="006C0481" w:rsidP="00E862E4">
            <w:pPr>
              <w:spacing w:after="81"/>
              <w:rPr>
                <w:rFonts w:eastAsiaTheme="majorEastAsia"/>
              </w:rPr>
            </w:pPr>
            <w:r w:rsidRPr="006C0481">
              <w:t>IA</w:t>
            </w:r>
          </w:p>
        </w:tc>
        <w:tc>
          <w:tcPr>
            <w:tcW w:w="339" w:type="dxa"/>
            <w:tcBorders>
              <w:top w:val="none" w:sz="4" w:space="0" w:color="000000"/>
              <w:left w:val="none" w:sz="4" w:space="0" w:color="000000"/>
              <w:bottom w:val="none" w:sz="4" w:space="0" w:color="000000"/>
              <w:right w:val="none" w:sz="4" w:space="0" w:color="000000"/>
            </w:tcBorders>
            <w:shd w:val="clear" w:color="auto" w:fill="auto"/>
          </w:tcPr>
          <w:p w14:paraId="677A6A31" w14:textId="77777777" w:rsidR="006C0481" w:rsidRPr="006C0481" w:rsidRDefault="006C0481" w:rsidP="00E862E4">
            <w:pPr>
              <w:spacing w:after="81"/>
              <w:rPr>
                <w:rFonts w:eastAsiaTheme="majorEastAsia"/>
              </w:rPr>
            </w:pPr>
            <w:r w:rsidRPr="006C0481">
              <w:t> :</w:t>
            </w:r>
          </w:p>
        </w:tc>
        <w:tc>
          <w:tcPr>
            <w:tcW w:w="7599" w:type="dxa"/>
            <w:tcBorders>
              <w:top w:val="none" w:sz="4" w:space="0" w:color="000000"/>
              <w:left w:val="none" w:sz="4" w:space="0" w:color="000000"/>
              <w:bottom w:val="none" w:sz="4" w:space="0" w:color="000000"/>
              <w:right w:val="none" w:sz="4" w:space="0" w:color="000000"/>
            </w:tcBorders>
            <w:shd w:val="clear" w:color="auto" w:fill="auto"/>
          </w:tcPr>
          <w:p w14:paraId="5E48CC5D" w14:textId="77777777" w:rsidR="006C0481" w:rsidRPr="006C0481" w:rsidRDefault="006C0481" w:rsidP="00E862E4">
            <w:pPr>
              <w:spacing w:after="81"/>
              <w:rPr>
                <w:rFonts w:eastAsia="Times New Roman"/>
              </w:rPr>
            </w:pPr>
            <w:r w:rsidRPr="006C0481">
              <w:rPr>
                <w:rStyle w:val="normaltextrun"/>
              </w:rPr>
              <w:t>Intelligence artificielle</w:t>
            </w:r>
          </w:p>
        </w:tc>
      </w:tr>
      <w:tr w:rsidR="006C0481" w:rsidRPr="006C0481" w14:paraId="1BE6B2C7" w14:textId="77777777" w:rsidTr="00307F40">
        <w:tc>
          <w:tcPr>
            <w:tcW w:w="1560" w:type="dxa"/>
            <w:tcBorders>
              <w:top w:val="none" w:sz="4" w:space="0" w:color="000000"/>
              <w:left w:val="none" w:sz="4" w:space="0" w:color="000000"/>
              <w:bottom w:val="none" w:sz="4" w:space="0" w:color="000000"/>
              <w:right w:val="none" w:sz="4" w:space="0" w:color="000000"/>
            </w:tcBorders>
          </w:tcPr>
          <w:p w14:paraId="6BAA2C8E" w14:textId="77777777" w:rsidR="006C0481" w:rsidRPr="006C0481" w:rsidRDefault="006C0481" w:rsidP="00E862E4">
            <w:pPr>
              <w:spacing w:after="81"/>
              <w:rPr>
                <w:rFonts w:eastAsiaTheme="majorEastAsia"/>
              </w:rPr>
            </w:pPr>
            <w:r w:rsidRPr="006C0481">
              <w:t>IPSAS</w:t>
            </w:r>
          </w:p>
        </w:tc>
        <w:tc>
          <w:tcPr>
            <w:tcW w:w="339" w:type="dxa"/>
            <w:tcBorders>
              <w:top w:val="none" w:sz="4" w:space="0" w:color="000000"/>
              <w:left w:val="none" w:sz="4" w:space="0" w:color="000000"/>
              <w:bottom w:val="none" w:sz="4" w:space="0" w:color="000000"/>
              <w:right w:val="none" w:sz="4" w:space="0" w:color="000000"/>
            </w:tcBorders>
          </w:tcPr>
          <w:p w14:paraId="7A7C40B7" w14:textId="77777777" w:rsidR="006C0481" w:rsidRPr="006C0481" w:rsidRDefault="006C0481" w:rsidP="00E862E4">
            <w:pPr>
              <w:spacing w:after="81"/>
              <w:rPr>
                <w:rFonts w:eastAsiaTheme="majorEastAsia"/>
              </w:rPr>
            </w:pPr>
            <w:r w:rsidRPr="006C0481">
              <w:t> :</w:t>
            </w:r>
          </w:p>
        </w:tc>
        <w:tc>
          <w:tcPr>
            <w:tcW w:w="7599" w:type="dxa"/>
            <w:tcBorders>
              <w:top w:val="none" w:sz="4" w:space="0" w:color="000000"/>
              <w:left w:val="none" w:sz="4" w:space="0" w:color="000000"/>
              <w:bottom w:val="none" w:sz="4" w:space="0" w:color="000000"/>
              <w:right w:val="none" w:sz="4" w:space="0" w:color="000000"/>
            </w:tcBorders>
          </w:tcPr>
          <w:p w14:paraId="0BCB9383" w14:textId="77777777" w:rsidR="006C0481" w:rsidRPr="006C0481" w:rsidRDefault="006C0481" w:rsidP="00E862E4">
            <w:pPr>
              <w:spacing w:after="81"/>
              <w:rPr>
                <w:rFonts w:eastAsiaTheme="majorEastAsia"/>
              </w:rPr>
            </w:pPr>
            <w:r w:rsidRPr="006C0481">
              <w:t>Normes comptables internationales pour le secteur public</w:t>
            </w:r>
          </w:p>
        </w:tc>
      </w:tr>
      <w:tr w:rsidR="006C0481" w:rsidRPr="006C0481" w14:paraId="2A193DB2" w14:textId="77777777" w:rsidTr="00307F40">
        <w:tc>
          <w:tcPr>
            <w:tcW w:w="1560" w:type="dxa"/>
            <w:tcBorders>
              <w:top w:val="none" w:sz="4" w:space="0" w:color="000000"/>
              <w:left w:val="none" w:sz="4" w:space="0" w:color="000000"/>
              <w:bottom w:val="none" w:sz="4" w:space="0" w:color="000000"/>
              <w:right w:val="none" w:sz="4" w:space="0" w:color="000000"/>
            </w:tcBorders>
          </w:tcPr>
          <w:p w14:paraId="7C6539E1" w14:textId="77777777" w:rsidR="006C0481" w:rsidRPr="006C0481" w:rsidRDefault="006C0481" w:rsidP="00E862E4">
            <w:pPr>
              <w:spacing w:after="81"/>
              <w:rPr>
                <w:rFonts w:eastAsiaTheme="majorEastAsia"/>
              </w:rPr>
            </w:pPr>
            <w:r w:rsidRPr="006C0481">
              <w:t>IPSASB</w:t>
            </w:r>
          </w:p>
        </w:tc>
        <w:tc>
          <w:tcPr>
            <w:tcW w:w="339" w:type="dxa"/>
            <w:tcBorders>
              <w:top w:val="none" w:sz="4" w:space="0" w:color="000000"/>
              <w:left w:val="none" w:sz="4" w:space="0" w:color="000000"/>
              <w:bottom w:val="none" w:sz="4" w:space="0" w:color="000000"/>
              <w:right w:val="none" w:sz="4" w:space="0" w:color="000000"/>
            </w:tcBorders>
          </w:tcPr>
          <w:p w14:paraId="526A78C7" w14:textId="77777777" w:rsidR="006C0481" w:rsidRPr="006C0481" w:rsidRDefault="006C0481" w:rsidP="00E862E4">
            <w:pPr>
              <w:spacing w:after="81"/>
              <w:rPr>
                <w:rFonts w:eastAsiaTheme="majorEastAsia"/>
              </w:rPr>
            </w:pPr>
            <w:r w:rsidRPr="006C0481">
              <w:t> :</w:t>
            </w:r>
          </w:p>
        </w:tc>
        <w:tc>
          <w:tcPr>
            <w:tcW w:w="7599" w:type="dxa"/>
            <w:tcBorders>
              <w:top w:val="none" w:sz="4" w:space="0" w:color="000000"/>
              <w:left w:val="none" w:sz="4" w:space="0" w:color="000000"/>
              <w:bottom w:val="none" w:sz="4" w:space="0" w:color="000000"/>
              <w:right w:val="none" w:sz="4" w:space="0" w:color="000000"/>
            </w:tcBorders>
          </w:tcPr>
          <w:p w14:paraId="59A856DD" w14:textId="77777777" w:rsidR="006C0481" w:rsidRPr="006C0481" w:rsidRDefault="006C0481" w:rsidP="00E862E4">
            <w:pPr>
              <w:spacing w:after="81"/>
              <w:rPr>
                <w:rFonts w:eastAsia="Times New Roman"/>
              </w:rPr>
            </w:pPr>
            <w:r w:rsidRPr="006C0481">
              <w:t>Conseil des normes comptables internationales du secteur public</w:t>
            </w:r>
          </w:p>
        </w:tc>
      </w:tr>
      <w:tr w:rsidR="006C0481" w:rsidRPr="006C0481" w14:paraId="15255718" w14:textId="77777777" w:rsidTr="00307F40">
        <w:tc>
          <w:tcPr>
            <w:tcW w:w="1560" w:type="dxa"/>
            <w:tcBorders>
              <w:top w:val="none" w:sz="4" w:space="0" w:color="000000"/>
              <w:left w:val="none" w:sz="4" w:space="0" w:color="000000"/>
              <w:bottom w:val="none" w:sz="4" w:space="0" w:color="000000"/>
              <w:right w:val="none" w:sz="4" w:space="0" w:color="000000"/>
            </w:tcBorders>
          </w:tcPr>
          <w:p w14:paraId="25608E3D" w14:textId="77777777" w:rsidR="006C0481" w:rsidRPr="006C0481" w:rsidRDefault="006C0481" w:rsidP="00E862E4">
            <w:pPr>
              <w:spacing w:after="81"/>
              <w:rPr>
                <w:rFonts w:eastAsiaTheme="majorEastAsia"/>
              </w:rPr>
            </w:pPr>
            <w:r w:rsidRPr="006C0481">
              <w:t>ISA</w:t>
            </w:r>
          </w:p>
        </w:tc>
        <w:tc>
          <w:tcPr>
            <w:tcW w:w="339" w:type="dxa"/>
            <w:tcBorders>
              <w:top w:val="none" w:sz="4" w:space="0" w:color="000000"/>
              <w:left w:val="none" w:sz="4" w:space="0" w:color="000000"/>
              <w:bottom w:val="none" w:sz="4" w:space="0" w:color="000000"/>
              <w:right w:val="none" w:sz="4" w:space="0" w:color="000000"/>
            </w:tcBorders>
          </w:tcPr>
          <w:p w14:paraId="043D72F6" w14:textId="77777777" w:rsidR="006C0481" w:rsidRPr="006C0481" w:rsidRDefault="006C0481" w:rsidP="00E862E4">
            <w:pPr>
              <w:spacing w:after="81"/>
              <w:rPr>
                <w:rFonts w:eastAsiaTheme="majorEastAsia"/>
              </w:rPr>
            </w:pPr>
            <w:r w:rsidRPr="006C0481">
              <w:t> :</w:t>
            </w:r>
          </w:p>
        </w:tc>
        <w:tc>
          <w:tcPr>
            <w:tcW w:w="7599" w:type="dxa"/>
            <w:tcBorders>
              <w:top w:val="none" w:sz="4" w:space="0" w:color="000000"/>
              <w:left w:val="none" w:sz="4" w:space="0" w:color="000000"/>
              <w:bottom w:val="none" w:sz="4" w:space="0" w:color="000000"/>
              <w:right w:val="none" w:sz="4" w:space="0" w:color="000000"/>
            </w:tcBorders>
          </w:tcPr>
          <w:p w14:paraId="446FEEB4" w14:textId="77777777" w:rsidR="006C0481" w:rsidRPr="006C0481" w:rsidRDefault="006C0481" w:rsidP="00E862E4">
            <w:pPr>
              <w:spacing w:after="81"/>
              <w:rPr>
                <w:rFonts w:eastAsiaTheme="majorEastAsia"/>
              </w:rPr>
            </w:pPr>
            <w:r w:rsidRPr="006C0481">
              <w:t>Normes internationales d’audit</w:t>
            </w:r>
          </w:p>
        </w:tc>
      </w:tr>
      <w:tr w:rsidR="006C0481" w:rsidRPr="006C0481" w14:paraId="7B577834" w14:textId="77777777" w:rsidTr="00307F40">
        <w:tc>
          <w:tcPr>
            <w:tcW w:w="1560" w:type="dxa"/>
            <w:tcBorders>
              <w:top w:val="none" w:sz="4" w:space="0" w:color="000000"/>
              <w:left w:val="none" w:sz="4" w:space="0" w:color="000000"/>
              <w:bottom w:val="none" w:sz="4" w:space="0" w:color="000000"/>
              <w:right w:val="none" w:sz="4" w:space="0" w:color="000000"/>
            </w:tcBorders>
          </w:tcPr>
          <w:p w14:paraId="548AF62E" w14:textId="77777777" w:rsidR="006C0481" w:rsidRPr="006C0481" w:rsidRDefault="006C0481" w:rsidP="00E862E4">
            <w:pPr>
              <w:spacing w:after="81"/>
              <w:rPr>
                <w:rFonts w:eastAsiaTheme="majorEastAsia"/>
              </w:rPr>
            </w:pPr>
            <w:r w:rsidRPr="006C0481">
              <w:t>ISSAI</w:t>
            </w:r>
          </w:p>
        </w:tc>
        <w:tc>
          <w:tcPr>
            <w:tcW w:w="339" w:type="dxa"/>
            <w:tcBorders>
              <w:top w:val="none" w:sz="4" w:space="0" w:color="000000"/>
              <w:left w:val="none" w:sz="4" w:space="0" w:color="000000"/>
              <w:bottom w:val="none" w:sz="4" w:space="0" w:color="000000"/>
              <w:right w:val="none" w:sz="4" w:space="0" w:color="000000"/>
            </w:tcBorders>
          </w:tcPr>
          <w:p w14:paraId="721320F8" w14:textId="77777777" w:rsidR="006C0481" w:rsidRPr="006C0481" w:rsidRDefault="006C0481" w:rsidP="00E862E4">
            <w:pPr>
              <w:spacing w:after="81"/>
              <w:rPr>
                <w:rFonts w:eastAsiaTheme="majorEastAsia"/>
              </w:rPr>
            </w:pPr>
            <w:r w:rsidRPr="006C0481">
              <w:t> :</w:t>
            </w:r>
          </w:p>
        </w:tc>
        <w:tc>
          <w:tcPr>
            <w:tcW w:w="7599" w:type="dxa"/>
            <w:tcBorders>
              <w:top w:val="none" w:sz="4" w:space="0" w:color="000000"/>
              <w:left w:val="none" w:sz="4" w:space="0" w:color="000000"/>
              <w:bottom w:val="none" w:sz="4" w:space="0" w:color="000000"/>
              <w:right w:val="none" w:sz="4" w:space="0" w:color="000000"/>
            </w:tcBorders>
          </w:tcPr>
          <w:p w14:paraId="62E4B743" w14:textId="77777777" w:rsidR="006C0481" w:rsidRPr="006C0481" w:rsidRDefault="006C0481" w:rsidP="00E862E4">
            <w:pPr>
              <w:jc w:val="both"/>
            </w:pPr>
            <w:r w:rsidRPr="006C0481">
              <w:t>Normes internationales des institutions supérieures de contrôle des finances publiques</w:t>
            </w:r>
          </w:p>
        </w:tc>
      </w:tr>
      <w:tr w:rsidR="006C0481" w:rsidRPr="006C0481" w14:paraId="6C8D82A5" w14:textId="77777777" w:rsidTr="00307F40">
        <w:tc>
          <w:tcPr>
            <w:tcW w:w="1560" w:type="dxa"/>
            <w:tcBorders>
              <w:top w:val="none" w:sz="4" w:space="0" w:color="000000"/>
              <w:left w:val="none" w:sz="4" w:space="0" w:color="000000"/>
              <w:bottom w:val="none" w:sz="4" w:space="0" w:color="000000"/>
              <w:right w:val="none" w:sz="4" w:space="0" w:color="000000"/>
            </w:tcBorders>
          </w:tcPr>
          <w:p w14:paraId="65AB4E30" w14:textId="77777777" w:rsidR="006C0481" w:rsidRPr="006C0481" w:rsidRDefault="006C0481" w:rsidP="00E862E4">
            <w:pPr>
              <w:spacing w:after="81"/>
              <w:rPr>
                <w:rFonts w:eastAsiaTheme="majorEastAsia"/>
              </w:rPr>
            </w:pPr>
            <w:r w:rsidRPr="006C0481">
              <w:t>OCIS</w:t>
            </w:r>
          </w:p>
        </w:tc>
        <w:tc>
          <w:tcPr>
            <w:tcW w:w="339" w:type="dxa"/>
            <w:tcBorders>
              <w:top w:val="none" w:sz="4" w:space="0" w:color="000000"/>
              <w:left w:val="none" w:sz="4" w:space="0" w:color="000000"/>
              <w:bottom w:val="none" w:sz="4" w:space="0" w:color="000000"/>
              <w:right w:val="none" w:sz="4" w:space="0" w:color="000000"/>
            </w:tcBorders>
          </w:tcPr>
          <w:p w14:paraId="77E36578" w14:textId="77777777" w:rsidR="006C0481" w:rsidRPr="006C0481" w:rsidRDefault="006C0481" w:rsidP="00E862E4">
            <w:pPr>
              <w:spacing w:after="81"/>
              <w:rPr>
                <w:rFonts w:eastAsiaTheme="majorEastAsia"/>
              </w:rPr>
            </w:pPr>
            <w:r w:rsidRPr="006C0481">
              <w:t> :</w:t>
            </w:r>
          </w:p>
        </w:tc>
        <w:tc>
          <w:tcPr>
            <w:tcW w:w="7599" w:type="dxa"/>
            <w:tcBorders>
              <w:top w:val="none" w:sz="4" w:space="0" w:color="000000"/>
              <w:left w:val="none" w:sz="4" w:space="0" w:color="000000"/>
              <w:bottom w:val="none" w:sz="4" w:space="0" w:color="000000"/>
              <w:right w:val="none" w:sz="4" w:space="0" w:color="000000"/>
            </w:tcBorders>
          </w:tcPr>
          <w:p w14:paraId="69B8AB38" w14:textId="77777777" w:rsidR="006C0481" w:rsidRPr="006C0481" w:rsidRDefault="006C0481" w:rsidP="00E862E4">
            <w:pPr>
              <w:spacing w:after="81"/>
              <w:rPr>
                <w:rFonts w:eastAsiaTheme="majorEastAsia"/>
              </w:rPr>
            </w:pPr>
            <w:r w:rsidRPr="006C0481">
              <w:t xml:space="preserve">Organe consultatif indépendant de surveillance </w:t>
            </w:r>
          </w:p>
        </w:tc>
      </w:tr>
      <w:tr w:rsidR="006C0481" w:rsidRPr="006C0481" w14:paraId="144CC35A" w14:textId="77777777" w:rsidTr="00307F40">
        <w:tc>
          <w:tcPr>
            <w:tcW w:w="1560" w:type="dxa"/>
            <w:tcBorders>
              <w:top w:val="none" w:sz="4" w:space="0" w:color="000000"/>
              <w:left w:val="none" w:sz="4" w:space="0" w:color="000000"/>
              <w:bottom w:val="none" w:sz="4" w:space="0" w:color="000000"/>
              <w:right w:val="none" w:sz="4" w:space="0" w:color="000000"/>
            </w:tcBorders>
          </w:tcPr>
          <w:p w14:paraId="0BD9E516" w14:textId="77777777" w:rsidR="006C0481" w:rsidRPr="006C0481" w:rsidRDefault="006C0481" w:rsidP="00687B89">
            <w:pPr>
              <w:spacing w:after="81"/>
              <w:rPr>
                <w:rFonts w:eastAsiaTheme="majorEastAsia"/>
              </w:rPr>
            </w:pPr>
            <w:r w:rsidRPr="006C0481">
              <w:t>OMPI</w:t>
            </w:r>
          </w:p>
        </w:tc>
        <w:tc>
          <w:tcPr>
            <w:tcW w:w="339" w:type="dxa"/>
            <w:tcBorders>
              <w:top w:val="none" w:sz="4" w:space="0" w:color="000000"/>
              <w:left w:val="none" w:sz="4" w:space="0" w:color="000000"/>
              <w:bottom w:val="none" w:sz="4" w:space="0" w:color="000000"/>
              <w:right w:val="none" w:sz="4" w:space="0" w:color="000000"/>
            </w:tcBorders>
          </w:tcPr>
          <w:p w14:paraId="41363B42" w14:textId="77777777" w:rsidR="006C0481" w:rsidRPr="006C0481" w:rsidRDefault="006C0481" w:rsidP="00687B89">
            <w:pPr>
              <w:spacing w:after="81"/>
              <w:rPr>
                <w:rFonts w:eastAsiaTheme="majorEastAsia"/>
              </w:rPr>
            </w:pPr>
            <w:r w:rsidRPr="006C0481">
              <w:t> :</w:t>
            </w:r>
          </w:p>
        </w:tc>
        <w:tc>
          <w:tcPr>
            <w:tcW w:w="7599" w:type="dxa"/>
            <w:tcBorders>
              <w:top w:val="none" w:sz="4" w:space="0" w:color="000000"/>
              <w:left w:val="none" w:sz="4" w:space="0" w:color="000000"/>
              <w:bottom w:val="none" w:sz="4" w:space="0" w:color="000000"/>
              <w:right w:val="none" w:sz="4" w:space="0" w:color="000000"/>
            </w:tcBorders>
          </w:tcPr>
          <w:p w14:paraId="588C2AA4" w14:textId="77777777" w:rsidR="006C0481" w:rsidRPr="006C0481" w:rsidRDefault="006C0481" w:rsidP="00687B89">
            <w:pPr>
              <w:spacing w:after="81"/>
              <w:rPr>
                <w:rFonts w:eastAsia="Times New Roman"/>
              </w:rPr>
            </w:pPr>
            <w:r w:rsidRPr="006C0481">
              <w:t xml:space="preserve">Organisation Mondiale de la Propriété Intellectuelle </w:t>
            </w:r>
          </w:p>
        </w:tc>
      </w:tr>
      <w:tr w:rsidR="006C0481" w:rsidRPr="006C0481" w14:paraId="1B835A5C" w14:textId="77777777" w:rsidTr="00307F40">
        <w:tc>
          <w:tcPr>
            <w:tcW w:w="1560" w:type="dxa"/>
            <w:tcBorders>
              <w:top w:val="none" w:sz="4" w:space="0" w:color="000000"/>
              <w:left w:val="none" w:sz="4" w:space="0" w:color="000000"/>
              <w:bottom w:val="none" w:sz="4" w:space="0" w:color="000000"/>
              <w:right w:val="none" w:sz="4" w:space="0" w:color="000000"/>
            </w:tcBorders>
          </w:tcPr>
          <w:p w14:paraId="5FEF0B24" w14:textId="77777777" w:rsidR="006C0481" w:rsidRPr="006C0481" w:rsidRDefault="006C0481" w:rsidP="00687B89">
            <w:pPr>
              <w:spacing w:after="81"/>
              <w:rPr>
                <w:rFonts w:eastAsiaTheme="majorEastAsia"/>
              </w:rPr>
            </w:pPr>
            <w:r w:rsidRPr="006C0481">
              <w:t>ONU</w:t>
            </w:r>
          </w:p>
        </w:tc>
        <w:tc>
          <w:tcPr>
            <w:tcW w:w="339" w:type="dxa"/>
            <w:tcBorders>
              <w:top w:val="none" w:sz="4" w:space="0" w:color="000000"/>
              <w:left w:val="none" w:sz="4" w:space="0" w:color="000000"/>
              <w:bottom w:val="none" w:sz="4" w:space="0" w:color="000000"/>
              <w:right w:val="none" w:sz="4" w:space="0" w:color="000000"/>
            </w:tcBorders>
          </w:tcPr>
          <w:p w14:paraId="708B4DCD" w14:textId="77777777" w:rsidR="006C0481" w:rsidRPr="006C0481" w:rsidRDefault="006C0481" w:rsidP="00687B89">
            <w:pPr>
              <w:spacing w:after="81"/>
              <w:rPr>
                <w:rFonts w:eastAsiaTheme="majorEastAsia"/>
              </w:rPr>
            </w:pPr>
            <w:r w:rsidRPr="006C0481">
              <w:t> :</w:t>
            </w:r>
          </w:p>
        </w:tc>
        <w:tc>
          <w:tcPr>
            <w:tcW w:w="7599" w:type="dxa"/>
            <w:tcBorders>
              <w:top w:val="none" w:sz="4" w:space="0" w:color="000000"/>
              <w:left w:val="none" w:sz="4" w:space="0" w:color="000000"/>
              <w:bottom w:val="none" w:sz="4" w:space="0" w:color="000000"/>
              <w:right w:val="none" w:sz="4" w:space="0" w:color="000000"/>
            </w:tcBorders>
          </w:tcPr>
          <w:p w14:paraId="2B3496A1" w14:textId="77777777" w:rsidR="006C0481" w:rsidRPr="006C0481" w:rsidRDefault="006C0481" w:rsidP="00687B89">
            <w:pPr>
              <w:spacing w:after="81"/>
              <w:rPr>
                <w:rFonts w:eastAsia="Times New Roman"/>
              </w:rPr>
            </w:pPr>
            <w:r w:rsidRPr="006C0481">
              <w:t>Organisation des Nations Unies</w:t>
            </w:r>
          </w:p>
        </w:tc>
      </w:tr>
      <w:tr w:rsidR="006C0481" w:rsidRPr="006C0481" w14:paraId="3542D3AE" w14:textId="77777777" w:rsidTr="00307F40">
        <w:tc>
          <w:tcPr>
            <w:tcW w:w="1560" w:type="dxa"/>
            <w:tcBorders>
              <w:top w:val="none" w:sz="4" w:space="0" w:color="000000"/>
              <w:left w:val="none" w:sz="4" w:space="0" w:color="000000"/>
              <w:bottom w:val="none" w:sz="4" w:space="0" w:color="000000"/>
              <w:right w:val="none" w:sz="4" w:space="0" w:color="000000"/>
            </w:tcBorders>
          </w:tcPr>
          <w:p w14:paraId="192E33EC" w14:textId="77777777" w:rsidR="006C0481" w:rsidRPr="006C0481" w:rsidRDefault="006C0481" w:rsidP="00E862E4">
            <w:pPr>
              <w:spacing w:after="81"/>
              <w:rPr>
                <w:rFonts w:eastAsia="Times New Roman"/>
              </w:rPr>
            </w:pPr>
            <w:r w:rsidRPr="006C0481">
              <w:t>PCT</w:t>
            </w:r>
          </w:p>
        </w:tc>
        <w:tc>
          <w:tcPr>
            <w:tcW w:w="339" w:type="dxa"/>
            <w:tcBorders>
              <w:top w:val="none" w:sz="4" w:space="0" w:color="000000"/>
              <w:left w:val="none" w:sz="4" w:space="0" w:color="000000"/>
              <w:bottom w:val="none" w:sz="4" w:space="0" w:color="000000"/>
              <w:right w:val="none" w:sz="4" w:space="0" w:color="000000"/>
            </w:tcBorders>
          </w:tcPr>
          <w:p w14:paraId="1C8A9690" w14:textId="77777777" w:rsidR="006C0481" w:rsidRPr="006C0481" w:rsidRDefault="006C0481" w:rsidP="00E862E4">
            <w:pPr>
              <w:spacing w:after="81"/>
              <w:rPr>
                <w:rFonts w:eastAsiaTheme="majorEastAsia"/>
              </w:rPr>
            </w:pPr>
            <w:r w:rsidRPr="006C0481">
              <w:t> :</w:t>
            </w:r>
          </w:p>
        </w:tc>
        <w:tc>
          <w:tcPr>
            <w:tcW w:w="7599" w:type="dxa"/>
            <w:tcBorders>
              <w:top w:val="none" w:sz="4" w:space="0" w:color="000000"/>
              <w:left w:val="none" w:sz="4" w:space="0" w:color="000000"/>
              <w:bottom w:val="none" w:sz="4" w:space="0" w:color="000000"/>
              <w:right w:val="none" w:sz="4" w:space="0" w:color="000000"/>
            </w:tcBorders>
          </w:tcPr>
          <w:p w14:paraId="0BBEE423" w14:textId="77777777" w:rsidR="006C0481" w:rsidRPr="006C0481" w:rsidRDefault="006C0481" w:rsidP="00E862E4">
            <w:pPr>
              <w:spacing w:after="81"/>
            </w:pPr>
            <w:r w:rsidRPr="006C0481">
              <w:t>Traité de coopération en matière de brevets</w:t>
            </w:r>
          </w:p>
        </w:tc>
      </w:tr>
      <w:tr w:rsidR="006C0481" w:rsidRPr="006C0481" w14:paraId="194D4220" w14:textId="77777777" w:rsidTr="00307F40">
        <w:tc>
          <w:tcPr>
            <w:tcW w:w="1560" w:type="dxa"/>
            <w:tcBorders>
              <w:top w:val="none" w:sz="4" w:space="0" w:color="000000"/>
              <w:left w:val="none" w:sz="4" w:space="0" w:color="000000"/>
              <w:bottom w:val="none" w:sz="4" w:space="0" w:color="000000"/>
              <w:right w:val="none" w:sz="4" w:space="0" w:color="000000"/>
            </w:tcBorders>
          </w:tcPr>
          <w:p w14:paraId="5FBF8031" w14:textId="77777777" w:rsidR="006C0481" w:rsidRPr="006C0481" w:rsidRDefault="006C0481" w:rsidP="00687B89">
            <w:pPr>
              <w:spacing w:after="81"/>
              <w:rPr>
                <w:rFonts w:eastAsiaTheme="majorEastAsia"/>
              </w:rPr>
            </w:pPr>
            <w:r w:rsidRPr="006C0481">
              <w:t>PME</w:t>
            </w:r>
          </w:p>
        </w:tc>
        <w:tc>
          <w:tcPr>
            <w:tcW w:w="339" w:type="dxa"/>
            <w:tcBorders>
              <w:top w:val="none" w:sz="4" w:space="0" w:color="000000"/>
              <w:left w:val="none" w:sz="4" w:space="0" w:color="000000"/>
              <w:bottom w:val="none" w:sz="4" w:space="0" w:color="000000"/>
              <w:right w:val="none" w:sz="4" w:space="0" w:color="000000"/>
            </w:tcBorders>
          </w:tcPr>
          <w:p w14:paraId="50A5CAAA" w14:textId="77777777" w:rsidR="006C0481" w:rsidRPr="006C0481" w:rsidRDefault="006C0481" w:rsidP="00687B89">
            <w:pPr>
              <w:spacing w:after="81"/>
              <w:rPr>
                <w:rFonts w:eastAsiaTheme="majorEastAsia"/>
              </w:rPr>
            </w:pPr>
            <w:r w:rsidRPr="006C0481">
              <w:t> :</w:t>
            </w:r>
          </w:p>
        </w:tc>
        <w:tc>
          <w:tcPr>
            <w:tcW w:w="7599" w:type="dxa"/>
            <w:tcBorders>
              <w:top w:val="none" w:sz="4" w:space="0" w:color="000000"/>
              <w:left w:val="none" w:sz="4" w:space="0" w:color="000000"/>
              <w:bottom w:val="none" w:sz="4" w:space="0" w:color="000000"/>
              <w:right w:val="none" w:sz="4" w:space="0" w:color="000000"/>
            </w:tcBorders>
          </w:tcPr>
          <w:p w14:paraId="035CC70F" w14:textId="77777777" w:rsidR="006C0481" w:rsidRPr="006C0481" w:rsidRDefault="006C0481" w:rsidP="00687B89">
            <w:pPr>
              <w:spacing w:after="81"/>
              <w:rPr>
                <w:rFonts w:eastAsia="Times New Roman"/>
              </w:rPr>
            </w:pPr>
            <w:r w:rsidRPr="006C0481">
              <w:t>Petites et moyennes entreprises</w:t>
            </w:r>
          </w:p>
        </w:tc>
      </w:tr>
      <w:tr w:rsidR="006C0481" w:rsidRPr="006C0481" w14:paraId="1A85F53A" w14:textId="77777777" w:rsidTr="00307F40">
        <w:tc>
          <w:tcPr>
            <w:tcW w:w="1560" w:type="dxa"/>
            <w:tcBorders>
              <w:top w:val="none" w:sz="4" w:space="0" w:color="000000"/>
              <w:left w:val="none" w:sz="4" w:space="0" w:color="000000"/>
              <w:bottom w:val="none" w:sz="4" w:space="0" w:color="000000"/>
              <w:right w:val="none" w:sz="4" w:space="0" w:color="000000"/>
            </w:tcBorders>
          </w:tcPr>
          <w:p w14:paraId="13CE6CDB" w14:textId="705291C4" w:rsidR="006C0481" w:rsidRPr="006C0481" w:rsidRDefault="006C0481" w:rsidP="00E862E4">
            <w:pPr>
              <w:spacing w:after="81"/>
              <w:rPr>
                <w:rFonts w:eastAsia="Times New Roman"/>
              </w:rPr>
            </w:pPr>
            <w:r w:rsidRPr="006C0481">
              <w:t>PSMT</w:t>
            </w:r>
          </w:p>
        </w:tc>
        <w:tc>
          <w:tcPr>
            <w:tcW w:w="339" w:type="dxa"/>
            <w:tcBorders>
              <w:top w:val="none" w:sz="4" w:space="0" w:color="000000"/>
              <w:left w:val="none" w:sz="4" w:space="0" w:color="000000"/>
              <w:bottom w:val="none" w:sz="4" w:space="0" w:color="000000"/>
              <w:right w:val="none" w:sz="4" w:space="0" w:color="000000"/>
            </w:tcBorders>
          </w:tcPr>
          <w:p w14:paraId="7132D4D0" w14:textId="77777777" w:rsidR="006C0481" w:rsidRPr="006C0481" w:rsidRDefault="006C0481" w:rsidP="00E862E4">
            <w:pPr>
              <w:spacing w:after="81"/>
              <w:rPr>
                <w:rFonts w:eastAsiaTheme="majorEastAsia"/>
              </w:rPr>
            </w:pPr>
            <w:r w:rsidRPr="006C0481">
              <w:t> :</w:t>
            </w:r>
          </w:p>
        </w:tc>
        <w:tc>
          <w:tcPr>
            <w:tcW w:w="7599" w:type="dxa"/>
            <w:tcBorders>
              <w:top w:val="none" w:sz="4" w:space="0" w:color="000000"/>
              <w:left w:val="none" w:sz="4" w:space="0" w:color="000000"/>
              <w:bottom w:val="none" w:sz="4" w:space="0" w:color="000000"/>
              <w:right w:val="none" w:sz="4" w:space="0" w:color="000000"/>
            </w:tcBorders>
          </w:tcPr>
          <w:p w14:paraId="461B25CD" w14:textId="77777777" w:rsidR="006C0481" w:rsidRPr="006C0481" w:rsidRDefault="006C0481" w:rsidP="00E862E4">
            <w:pPr>
              <w:spacing w:after="81"/>
              <w:rPr>
                <w:rFonts w:eastAsia="Times New Roman"/>
              </w:rPr>
            </w:pPr>
            <w:r w:rsidRPr="006C0481">
              <w:t xml:space="preserve">Plan stratégique à moyen terme </w:t>
            </w:r>
          </w:p>
        </w:tc>
      </w:tr>
      <w:tr w:rsidR="006C0481" w:rsidRPr="006C0481" w14:paraId="21B597BF" w14:textId="77777777" w:rsidTr="00307F40">
        <w:tc>
          <w:tcPr>
            <w:tcW w:w="1560" w:type="dxa"/>
            <w:tcBorders>
              <w:top w:val="none" w:sz="4" w:space="0" w:color="000000"/>
              <w:left w:val="none" w:sz="4" w:space="0" w:color="000000"/>
              <w:bottom w:val="none" w:sz="4" w:space="0" w:color="000000"/>
              <w:right w:val="none" w:sz="4" w:space="0" w:color="000000"/>
            </w:tcBorders>
            <w:shd w:val="clear" w:color="auto" w:fill="auto"/>
          </w:tcPr>
          <w:p w14:paraId="3B22A3A8" w14:textId="77777777" w:rsidR="006C0481" w:rsidRPr="006C0481" w:rsidRDefault="006C0481" w:rsidP="00E862E4">
            <w:pPr>
              <w:spacing w:after="81"/>
              <w:rPr>
                <w:rFonts w:eastAsia="Times New Roman"/>
              </w:rPr>
            </w:pPr>
            <w:r w:rsidRPr="006C0481">
              <w:t>RH</w:t>
            </w:r>
          </w:p>
        </w:tc>
        <w:tc>
          <w:tcPr>
            <w:tcW w:w="339" w:type="dxa"/>
            <w:tcBorders>
              <w:top w:val="none" w:sz="4" w:space="0" w:color="000000"/>
              <w:left w:val="none" w:sz="4" w:space="0" w:color="000000"/>
              <w:bottom w:val="none" w:sz="4" w:space="0" w:color="000000"/>
              <w:right w:val="none" w:sz="4" w:space="0" w:color="000000"/>
            </w:tcBorders>
            <w:shd w:val="clear" w:color="auto" w:fill="auto"/>
          </w:tcPr>
          <w:p w14:paraId="3AED3E05" w14:textId="77777777" w:rsidR="006C0481" w:rsidRPr="006C0481" w:rsidRDefault="006C0481" w:rsidP="00E862E4">
            <w:pPr>
              <w:spacing w:after="81"/>
              <w:rPr>
                <w:rFonts w:eastAsiaTheme="majorEastAsia"/>
              </w:rPr>
            </w:pPr>
            <w:r w:rsidRPr="006C0481">
              <w:t> :</w:t>
            </w:r>
          </w:p>
        </w:tc>
        <w:tc>
          <w:tcPr>
            <w:tcW w:w="7599" w:type="dxa"/>
            <w:tcBorders>
              <w:top w:val="none" w:sz="4" w:space="0" w:color="000000"/>
              <w:left w:val="none" w:sz="4" w:space="0" w:color="000000"/>
              <w:bottom w:val="none" w:sz="4" w:space="0" w:color="000000"/>
              <w:right w:val="none" w:sz="4" w:space="0" w:color="000000"/>
            </w:tcBorders>
            <w:shd w:val="clear" w:color="auto" w:fill="auto"/>
          </w:tcPr>
          <w:p w14:paraId="3A71256D" w14:textId="77777777" w:rsidR="006C0481" w:rsidRPr="006C0481" w:rsidRDefault="006C0481" w:rsidP="00E862E4">
            <w:pPr>
              <w:spacing w:after="81"/>
              <w:rPr>
                <w:rFonts w:eastAsia="Times New Roman"/>
              </w:rPr>
            </w:pPr>
            <w:r w:rsidRPr="006C0481">
              <w:t>Ressources humaines</w:t>
            </w:r>
          </w:p>
        </w:tc>
      </w:tr>
      <w:tr w:rsidR="006C0481" w:rsidRPr="006C0481" w14:paraId="7E47C354" w14:textId="77777777" w:rsidTr="00307F40">
        <w:tc>
          <w:tcPr>
            <w:tcW w:w="1560" w:type="dxa"/>
            <w:tcBorders>
              <w:top w:val="none" w:sz="4" w:space="0" w:color="000000"/>
              <w:left w:val="none" w:sz="4" w:space="0" w:color="000000"/>
              <w:bottom w:val="none" w:sz="4" w:space="0" w:color="000000"/>
              <w:right w:val="none" w:sz="4" w:space="0" w:color="000000"/>
            </w:tcBorders>
          </w:tcPr>
          <w:p w14:paraId="4E8B495C" w14:textId="77777777" w:rsidR="006C0481" w:rsidRPr="006C0481" w:rsidRDefault="006C0481" w:rsidP="00687B89">
            <w:pPr>
              <w:spacing w:after="81"/>
              <w:rPr>
                <w:rFonts w:eastAsiaTheme="majorEastAsia"/>
              </w:rPr>
            </w:pPr>
            <w:r w:rsidRPr="006C0481">
              <w:t>SMART</w:t>
            </w:r>
          </w:p>
        </w:tc>
        <w:tc>
          <w:tcPr>
            <w:tcW w:w="339" w:type="dxa"/>
            <w:tcBorders>
              <w:top w:val="none" w:sz="4" w:space="0" w:color="000000"/>
              <w:left w:val="none" w:sz="4" w:space="0" w:color="000000"/>
              <w:bottom w:val="none" w:sz="4" w:space="0" w:color="000000"/>
              <w:right w:val="none" w:sz="4" w:space="0" w:color="000000"/>
            </w:tcBorders>
          </w:tcPr>
          <w:p w14:paraId="508A397E" w14:textId="77777777" w:rsidR="006C0481" w:rsidRPr="006C0481" w:rsidRDefault="006C0481" w:rsidP="00687B89">
            <w:pPr>
              <w:spacing w:after="81"/>
              <w:rPr>
                <w:rFonts w:eastAsiaTheme="majorEastAsia"/>
              </w:rPr>
            </w:pPr>
            <w:r w:rsidRPr="006C0481">
              <w:t> :</w:t>
            </w:r>
          </w:p>
        </w:tc>
        <w:tc>
          <w:tcPr>
            <w:tcW w:w="7599" w:type="dxa"/>
            <w:tcBorders>
              <w:top w:val="none" w:sz="4" w:space="0" w:color="000000"/>
              <w:left w:val="none" w:sz="4" w:space="0" w:color="000000"/>
              <w:bottom w:val="none" w:sz="4" w:space="0" w:color="000000"/>
              <w:right w:val="none" w:sz="4" w:space="0" w:color="000000"/>
            </w:tcBorders>
          </w:tcPr>
          <w:p w14:paraId="61CC8644" w14:textId="77777777" w:rsidR="006C0481" w:rsidRPr="006C0481" w:rsidRDefault="006C0481" w:rsidP="00687B89">
            <w:pPr>
              <w:spacing w:after="81"/>
              <w:rPr>
                <w:rFonts w:eastAsiaTheme="majorEastAsia"/>
              </w:rPr>
            </w:pPr>
            <w:r w:rsidRPr="006C0481">
              <w:rPr>
                <w:rStyle w:val="normaltextrun"/>
              </w:rPr>
              <w:t>Précis, mesurable, réaliste, pertinent et assorti de délais</w:t>
            </w:r>
            <w:r w:rsidRPr="006C0481">
              <w:t xml:space="preserve"> </w:t>
            </w:r>
          </w:p>
        </w:tc>
      </w:tr>
    </w:tbl>
    <w:p w14:paraId="3E55E51F" w14:textId="71C8B637" w:rsidR="000F5E56" w:rsidRPr="005040A4" w:rsidRDefault="00855109" w:rsidP="00687B89">
      <w:pPr>
        <w:pStyle w:val="Endofdocument-Annex"/>
        <w:rPr>
          <w:szCs w:val="22"/>
        </w:rPr>
      </w:pPr>
      <w:r w:rsidRPr="005040A4">
        <w:t>[Fin du document]</w:t>
      </w:r>
    </w:p>
    <w:sectPr w:rsidR="000F5E56" w:rsidRPr="005040A4" w:rsidSect="00C249FA">
      <w:headerReference w:type="first" r:id="rId24"/>
      <w:endnotePr>
        <w:numFmt w:val="decimal"/>
      </w:endnotePr>
      <w:pgSz w:w="11907" w:h="16840" w:orient="landscape"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A3CB2" w14:textId="77777777" w:rsidR="00855109" w:rsidRDefault="00855109">
      <w:r>
        <w:separator/>
      </w:r>
    </w:p>
  </w:endnote>
  <w:endnote w:type="continuationSeparator" w:id="0">
    <w:p w14:paraId="32E8B45C" w14:textId="77777777" w:rsidR="00855109" w:rsidRPr="009D30E6" w:rsidRDefault="00855109" w:rsidP="00D45252">
      <w:pPr>
        <w:rPr>
          <w:sz w:val="17"/>
          <w:szCs w:val="17"/>
        </w:rPr>
      </w:pPr>
      <w:r w:rsidRPr="009D30E6">
        <w:rPr>
          <w:sz w:val="17"/>
          <w:szCs w:val="17"/>
        </w:rPr>
        <w:separator/>
      </w:r>
    </w:p>
    <w:p w14:paraId="245BFD73" w14:textId="77777777" w:rsidR="00855109" w:rsidRPr="009D30E6" w:rsidRDefault="00855109" w:rsidP="00D45252">
      <w:pPr>
        <w:spacing w:after="60"/>
        <w:rPr>
          <w:sz w:val="17"/>
          <w:szCs w:val="17"/>
        </w:rPr>
      </w:pPr>
      <w:r w:rsidRPr="009D30E6">
        <w:rPr>
          <w:sz w:val="17"/>
          <w:szCs w:val="17"/>
        </w:rPr>
        <w:t>[Suite de la note de la page précédente]</w:t>
      </w:r>
    </w:p>
  </w:endnote>
  <w:endnote w:type="continuationNotice" w:id="1">
    <w:p w14:paraId="1F6787CE" w14:textId="77777777" w:rsidR="00855109" w:rsidRPr="009D30E6" w:rsidRDefault="00855109"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0E53" w14:textId="77777777" w:rsidR="00596148" w:rsidRDefault="00596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DF3E4" w14:textId="77777777" w:rsidR="00596148" w:rsidRDefault="005961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4CC65" w14:textId="77777777" w:rsidR="00596148" w:rsidRDefault="00596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8BCD3" w14:textId="77777777" w:rsidR="00855109" w:rsidRDefault="00855109">
      <w:r>
        <w:separator/>
      </w:r>
    </w:p>
  </w:footnote>
  <w:footnote w:type="continuationSeparator" w:id="0">
    <w:p w14:paraId="5B7F892F" w14:textId="77777777" w:rsidR="00855109" w:rsidRDefault="00855109" w:rsidP="007461F1">
      <w:r>
        <w:separator/>
      </w:r>
    </w:p>
    <w:p w14:paraId="46BEA438" w14:textId="77777777" w:rsidR="00855109" w:rsidRPr="009D30E6" w:rsidRDefault="00855109" w:rsidP="007461F1">
      <w:pPr>
        <w:spacing w:after="60"/>
        <w:rPr>
          <w:sz w:val="17"/>
          <w:szCs w:val="17"/>
        </w:rPr>
      </w:pPr>
      <w:r w:rsidRPr="009D30E6">
        <w:rPr>
          <w:sz w:val="17"/>
          <w:szCs w:val="17"/>
        </w:rPr>
        <w:t>[Suite de la note de la page précédente]</w:t>
      </w:r>
    </w:p>
  </w:footnote>
  <w:footnote w:type="continuationNotice" w:id="1">
    <w:p w14:paraId="3FA847E9" w14:textId="77777777" w:rsidR="00855109" w:rsidRPr="009D30E6" w:rsidRDefault="00855109"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B7A1" w14:textId="77777777" w:rsidR="00596148" w:rsidRDefault="0059614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A92B" w14:textId="77777777" w:rsidR="005040A4" w:rsidRDefault="005040A4" w:rsidP="005040A4">
    <w:pPr>
      <w:pStyle w:val="Header"/>
      <w:jc w:val="right"/>
      <w:rPr>
        <w:lang w:val="fr-FR"/>
      </w:rPr>
    </w:pPr>
    <w:r>
      <w:rPr>
        <w:lang w:val="fr-FR"/>
      </w:rPr>
      <w:t>WO/PBC/39/4</w:t>
    </w:r>
  </w:p>
  <w:p w14:paraId="403F9796" w14:textId="01FCEDF0" w:rsidR="005040A4" w:rsidRPr="005040A4" w:rsidRDefault="005040A4" w:rsidP="005040A4">
    <w:pPr>
      <w:pStyle w:val="Header"/>
      <w:spacing w:after="480"/>
      <w:jc w:val="right"/>
      <w:rPr>
        <w:lang w:val="fr-FR"/>
      </w:rPr>
    </w:pPr>
    <w:r>
      <w:rPr>
        <w:lang w:val="fr-FR"/>
      </w:rPr>
      <w:t>Annexe I, page </w:t>
    </w:r>
    <w:r w:rsidRPr="005040A4">
      <w:rPr>
        <w:lang w:val="fr-FR"/>
      </w:rPr>
      <w:fldChar w:fldCharType="begin"/>
    </w:r>
    <w:r w:rsidRPr="005040A4">
      <w:rPr>
        <w:lang w:val="fr-FR"/>
      </w:rPr>
      <w:instrText xml:space="preserve"> PAGE   \* MERGEFORMAT </w:instrText>
    </w:r>
    <w:r w:rsidRPr="005040A4">
      <w:rPr>
        <w:lang w:val="fr-FR"/>
      </w:rPr>
      <w:fldChar w:fldCharType="separate"/>
    </w:r>
    <w:r>
      <w:rPr>
        <w:lang w:val="fr-FR"/>
      </w:rPr>
      <w:t>5</w:t>
    </w:r>
    <w:r w:rsidRPr="005040A4">
      <w:rPr>
        <w:noProof/>
        <w:lang w:val="fr-F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4AA3" w14:textId="77777777" w:rsidR="005040A4" w:rsidRDefault="005040A4" w:rsidP="005040A4">
    <w:pPr>
      <w:pStyle w:val="Header"/>
      <w:jc w:val="right"/>
      <w:rPr>
        <w:lang w:val="fr-FR"/>
      </w:rPr>
    </w:pPr>
    <w:r>
      <w:rPr>
        <w:lang w:val="fr-FR"/>
      </w:rPr>
      <w:t>WO/PBC/39/4</w:t>
    </w:r>
  </w:p>
  <w:p w14:paraId="11E92EFA" w14:textId="3ED75380" w:rsidR="005040A4" w:rsidRPr="005040A4" w:rsidRDefault="005040A4" w:rsidP="005040A4">
    <w:pPr>
      <w:pStyle w:val="Header"/>
      <w:spacing w:after="480"/>
      <w:jc w:val="right"/>
      <w:rPr>
        <w:lang w:val="fr-FR"/>
      </w:rPr>
    </w:pPr>
    <w:r>
      <w:rPr>
        <w:lang w:val="fr-FR"/>
      </w:rPr>
      <w:t>ANNEXE I</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CEF0" w14:textId="77777777" w:rsidR="005040A4" w:rsidRDefault="005040A4" w:rsidP="005040A4">
    <w:pPr>
      <w:pStyle w:val="Header"/>
      <w:jc w:val="right"/>
      <w:rPr>
        <w:lang w:val="fr-FR"/>
      </w:rPr>
    </w:pPr>
    <w:r>
      <w:rPr>
        <w:lang w:val="fr-FR"/>
      </w:rPr>
      <w:t>WO/PBC/39/4</w:t>
    </w:r>
  </w:p>
  <w:p w14:paraId="08A29BCA" w14:textId="613F5C9D" w:rsidR="005040A4" w:rsidRPr="005040A4" w:rsidRDefault="005040A4" w:rsidP="005040A4">
    <w:pPr>
      <w:pStyle w:val="Header"/>
      <w:spacing w:after="480"/>
      <w:jc w:val="right"/>
      <w:rPr>
        <w:lang w:val="fr-FR"/>
      </w:rPr>
    </w:pPr>
    <w:r>
      <w:rPr>
        <w:lang w:val="fr-FR"/>
      </w:rPr>
      <w:t>ANNEXE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BBCD" w14:textId="59FC5335" w:rsidR="00F16975" w:rsidRDefault="00855109" w:rsidP="00477D6B">
    <w:pPr>
      <w:jc w:val="right"/>
    </w:pPr>
    <w:bookmarkStart w:id="5" w:name="Code2"/>
    <w:bookmarkEnd w:id="5"/>
    <w:r>
      <w:t>A/66/6</w:t>
    </w:r>
  </w:p>
  <w:p w14:paraId="5EA67911" w14:textId="291EDEA0" w:rsidR="00F16975" w:rsidRDefault="00F16975" w:rsidP="00477D6B">
    <w:pPr>
      <w:jc w:val="right"/>
    </w:pPr>
    <w:r>
      <w:t>page</w:t>
    </w:r>
    <w:r w:rsidR="00596148">
      <w:t> </w:t>
    </w:r>
    <w:r>
      <w:fldChar w:fldCharType="begin"/>
    </w:r>
    <w:r>
      <w:instrText xml:space="preserve"> PAGE  \* MERGEFORMAT </w:instrText>
    </w:r>
    <w:r>
      <w:fldChar w:fldCharType="separate"/>
    </w:r>
    <w:r w:rsidR="004F4E31">
      <w:rPr>
        <w:noProof/>
      </w:rPr>
      <w:t>2</w:t>
    </w:r>
    <w:r>
      <w:fldChar w:fldCharType="end"/>
    </w:r>
  </w:p>
  <w:p w14:paraId="337F79F6" w14:textId="77777777" w:rsidR="00F16975" w:rsidRDefault="00F16975" w:rsidP="00477D6B">
    <w:pPr>
      <w:jc w:val="right"/>
    </w:pPr>
  </w:p>
  <w:p w14:paraId="3C76A4B7" w14:textId="77777777" w:rsidR="004F4E31" w:rsidRDefault="004F4E3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B1D3" w14:textId="77777777" w:rsidR="00596148" w:rsidRDefault="005961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489CE" w14:textId="77777777" w:rsidR="00743D89" w:rsidRPr="0091649C" w:rsidRDefault="00743D89" w:rsidP="00477D6B">
    <w:pPr>
      <w:jc w:val="right"/>
    </w:pPr>
    <w:r>
      <w:t>WO/PBC/39/4</w:t>
    </w:r>
  </w:p>
  <w:p w14:paraId="08A7761C" w14:textId="7053E1D6" w:rsidR="00743D89" w:rsidRPr="0091649C" w:rsidRDefault="00743D89" w:rsidP="00477D6B">
    <w:pPr>
      <w:jc w:val="right"/>
    </w:pPr>
    <w:r w:rsidRPr="0091649C">
      <w:t>page</w:t>
    </w:r>
    <w:r w:rsidR="00596148">
      <w:t> </w:t>
    </w:r>
    <w:r w:rsidRPr="0091649C">
      <w:fldChar w:fldCharType="begin"/>
    </w:r>
    <w:r w:rsidRPr="0091649C">
      <w:instrText xml:space="preserve"> PAGE  \* MERGEFORMAT </w:instrText>
    </w:r>
    <w:r w:rsidRPr="0091649C">
      <w:fldChar w:fldCharType="separate"/>
    </w:r>
    <w:r w:rsidRPr="0091649C">
      <w:t>2</w:t>
    </w:r>
    <w:r w:rsidRPr="0091649C">
      <w:fldChar w:fldCharType="end"/>
    </w:r>
  </w:p>
  <w:p w14:paraId="1B6AD495" w14:textId="77777777" w:rsidR="00743D89" w:rsidRPr="0091649C" w:rsidRDefault="00743D89" w:rsidP="00477D6B">
    <w:pPr>
      <w:jc w:val="right"/>
    </w:pPr>
  </w:p>
  <w:p w14:paraId="6C6A2BBF" w14:textId="77777777" w:rsidR="00743D89" w:rsidRPr="0091649C" w:rsidRDefault="00743D89"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C651" w14:textId="77777777" w:rsidR="005040A4" w:rsidRDefault="005040A4" w:rsidP="005040A4">
    <w:pPr>
      <w:jc w:val="center"/>
      <w:rPr>
        <w:rFonts w:ascii="Times New Roman" w:hAnsi="Times New Roman"/>
        <w:b/>
      </w:rPr>
    </w:pPr>
    <w:r>
      <w:rPr>
        <w:noProof/>
        <w:lang w:val="en-US"/>
      </w:rPr>
      <w:drawing>
        <wp:anchor distT="0" distB="0" distL="114300" distR="114300" simplePos="0" relativeHeight="251659264" behindDoc="0" locked="0" layoutInCell="1" allowOverlap="1" wp14:anchorId="6A7E338A" wp14:editId="068C2A2D">
          <wp:simplePos x="0" y="0"/>
          <wp:positionH relativeFrom="margin">
            <wp:align>center</wp:align>
          </wp:positionH>
          <wp:positionV relativeFrom="paragraph">
            <wp:posOffset>-164134</wp:posOffset>
          </wp:positionV>
          <wp:extent cx="826770" cy="847191"/>
          <wp:effectExtent l="0" t="0" r="0" b="0"/>
          <wp:wrapNone/>
          <wp:docPr id="730135689" name="Picture 730135689" descr="A golden eagle with a shield and a red and white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olden eagle with a shield and a red and white shield&#10;&#10;AI-generated content may be incorrect."/>
                  <pic:cNvPicPr>
                    <a:picLocks noChangeAspect="1"/>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826770" cy="847191"/>
                  </a:xfrm>
                  <a:prstGeom prst="rect">
                    <a:avLst/>
                  </a:prstGeom>
                </pic:spPr>
              </pic:pic>
            </a:graphicData>
          </a:graphic>
          <wp14:sizeRelH relativeFrom="margin">
            <wp14:pctWidth>0</wp14:pctWidth>
          </wp14:sizeRelH>
          <wp14:sizeRelV relativeFrom="margin">
            <wp14:pctHeight>0</wp14:pctHeight>
          </wp14:sizeRelV>
        </wp:anchor>
      </w:drawing>
    </w:r>
  </w:p>
  <w:p w14:paraId="33350351" w14:textId="77777777" w:rsidR="005040A4" w:rsidRDefault="005040A4" w:rsidP="005040A4">
    <w:pPr>
      <w:jc w:val="center"/>
      <w:rPr>
        <w:rFonts w:ascii="Times New Roman" w:hAnsi="Times New Roman"/>
        <w:b/>
      </w:rPr>
    </w:pPr>
  </w:p>
  <w:p w14:paraId="13CD17DD" w14:textId="77777777" w:rsidR="005040A4" w:rsidRPr="00A12879" w:rsidRDefault="005040A4" w:rsidP="005040A4">
    <w:pPr>
      <w:jc w:val="center"/>
      <w:rPr>
        <w:rFonts w:ascii="Times New Roman" w:hAnsi="Times New Roman"/>
        <w:b/>
      </w:rPr>
    </w:pPr>
  </w:p>
  <w:p w14:paraId="3E19402B" w14:textId="77777777" w:rsidR="005040A4" w:rsidRPr="00A12879" w:rsidRDefault="005040A4" w:rsidP="005040A4">
    <w:pPr>
      <w:jc w:val="center"/>
      <w:rPr>
        <w:rFonts w:ascii="Times New Roman" w:hAnsi="Times New Roman"/>
        <w:b/>
      </w:rPr>
    </w:pPr>
  </w:p>
  <w:p w14:paraId="69BF8504" w14:textId="4581FE35" w:rsidR="005040A4" w:rsidRPr="005040A4" w:rsidRDefault="005040A4" w:rsidP="005040A4">
    <w:pPr>
      <w:spacing w:before="240"/>
      <w:jc w:val="center"/>
      <w:rPr>
        <w:b/>
        <w:caps/>
      </w:rPr>
    </w:pPr>
    <w:r w:rsidRPr="005040A4">
      <w:rPr>
        <w:b/>
        <w:caps/>
      </w:rPr>
      <w:t>Président de la Commission d’audit</w:t>
    </w:r>
  </w:p>
  <w:p w14:paraId="735ECAA9" w14:textId="1816D7B5" w:rsidR="005040A4" w:rsidRPr="005040A4" w:rsidRDefault="005040A4" w:rsidP="005040A4">
    <w:pPr>
      <w:spacing w:after="480"/>
      <w:jc w:val="center"/>
      <w:rPr>
        <w:b/>
        <w:caps/>
      </w:rPr>
    </w:pPr>
    <w:r w:rsidRPr="005040A4">
      <w:rPr>
        <w:b/>
        <w:caps/>
      </w:rPr>
      <w:t>de la République d’Indonésie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8D56" w14:textId="356E2871" w:rsidR="005040A4" w:rsidRDefault="005040A4" w:rsidP="005040A4">
    <w:pPr>
      <w:pStyle w:val="Header"/>
      <w:jc w:val="right"/>
      <w:rPr>
        <w:lang w:val="fr-FR"/>
      </w:rPr>
    </w:pPr>
    <w:r>
      <w:rPr>
        <w:lang w:val="fr-FR"/>
      </w:rPr>
      <w:t>WO/PBC/39/4</w:t>
    </w:r>
  </w:p>
  <w:p w14:paraId="7F1513BD" w14:textId="31514C12" w:rsidR="005040A4" w:rsidRPr="005040A4" w:rsidRDefault="005040A4" w:rsidP="005040A4">
    <w:pPr>
      <w:pStyle w:val="Header"/>
      <w:spacing w:after="480"/>
      <w:jc w:val="right"/>
      <w:rPr>
        <w:lang w:val="fr-FR"/>
      </w:rPr>
    </w:pPr>
    <w:r>
      <w:rPr>
        <w:lang w:val="fr-FR"/>
      </w:rPr>
      <w:t>page </w:t>
    </w:r>
    <w:r w:rsidRPr="005040A4">
      <w:rPr>
        <w:lang w:val="fr-FR"/>
      </w:rPr>
      <w:fldChar w:fldCharType="begin"/>
    </w:r>
    <w:r w:rsidRPr="005040A4">
      <w:rPr>
        <w:lang w:val="fr-FR"/>
      </w:rPr>
      <w:instrText xml:space="preserve"> PAGE   \* MERGEFORMAT </w:instrText>
    </w:r>
    <w:r w:rsidRPr="005040A4">
      <w:rPr>
        <w:lang w:val="fr-FR"/>
      </w:rPr>
      <w:fldChar w:fldCharType="separate"/>
    </w:r>
    <w:r w:rsidRPr="005040A4">
      <w:rPr>
        <w:noProof/>
        <w:lang w:val="fr-FR"/>
      </w:rPr>
      <w:t>1</w:t>
    </w:r>
    <w:r w:rsidRPr="005040A4">
      <w:rPr>
        <w:noProof/>
        <w:lang w:val="fr-FR"/>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712A" w14:textId="77777777" w:rsidR="005040A4" w:rsidRDefault="005040A4" w:rsidP="005040A4">
    <w:pPr>
      <w:pStyle w:val="Header"/>
      <w:jc w:val="right"/>
      <w:rPr>
        <w:lang w:val="fr-FR"/>
      </w:rPr>
    </w:pPr>
    <w:r>
      <w:rPr>
        <w:lang w:val="fr-FR"/>
      </w:rPr>
      <w:t>WO/PBC/39/4</w:t>
    </w:r>
  </w:p>
  <w:p w14:paraId="4D61426E" w14:textId="77777777" w:rsidR="005040A4" w:rsidRPr="005040A4" w:rsidRDefault="005040A4" w:rsidP="005040A4">
    <w:pPr>
      <w:pStyle w:val="Header"/>
      <w:spacing w:after="480"/>
      <w:jc w:val="right"/>
      <w:rPr>
        <w:lang w:val="fr-FR"/>
      </w:rPr>
    </w:pPr>
    <w:r>
      <w:rPr>
        <w:lang w:val="fr-FR"/>
      </w:rPr>
      <w:t>page </w:t>
    </w:r>
    <w:r w:rsidRPr="005040A4">
      <w:rPr>
        <w:lang w:val="fr-FR"/>
      </w:rPr>
      <w:fldChar w:fldCharType="begin"/>
    </w:r>
    <w:r w:rsidRPr="005040A4">
      <w:rPr>
        <w:lang w:val="fr-FR"/>
      </w:rPr>
      <w:instrText xml:space="preserve"> PAGE   \* MERGEFORMAT </w:instrText>
    </w:r>
    <w:r w:rsidRPr="005040A4">
      <w:rPr>
        <w:lang w:val="fr-FR"/>
      </w:rPr>
      <w:fldChar w:fldCharType="separate"/>
    </w:r>
    <w:r>
      <w:rPr>
        <w:lang w:val="fr-FR"/>
      </w:rPr>
      <w:t>5</w:t>
    </w:r>
    <w:r w:rsidRPr="005040A4">
      <w:rPr>
        <w:noProof/>
        <w:lang w:val="fr-F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3F1C" w14:textId="77777777" w:rsidR="005040A4" w:rsidRDefault="005040A4" w:rsidP="005040A4">
    <w:pPr>
      <w:jc w:val="center"/>
      <w:rPr>
        <w:rFonts w:ascii="Times New Roman" w:hAnsi="Times New Roman"/>
        <w:b/>
      </w:rPr>
    </w:pPr>
    <w:r>
      <w:rPr>
        <w:noProof/>
        <w:lang w:val="en-US"/>
      </w:rPr>
      <w:drawing>
        <wp:anchor distT="0" distB="0" distL="114300" distR="114300" simplePos="0" relativeHeight="251661312" behindDoc="0" locked="0" layoutInCell="1" allowOverlap="1" wp14:anchorId="08516596" wp14:editId="35B2D5AE">
          <wp:simplePos x="0" y="0"/>
          <wp:positionH relativeFrom="margin">
            <wp:align>center</wp:align>
          </wp:positionH>
          <wp:positionV relativeFrom="paragraph">
            <wp:posOffset>-164134</wp:posOffset>
          </wp:positionV>
          <wp:extent cx="826770" cy="847191"/>
          <wp:effectExtent l="0" t="0" r="0" b="0"/>
          <wp:wrapNone/>
          <wp:docPr id="714755940" name="Picture 714755940" descr="A golden eagle with a shield and a red and white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olden eagle with a shield and a red and white shield&#10;&#10;AI-generated content may be incorrect."/>
                  <pic:cNvPicPr>
                    <a:picLocks noChangeAspect="1"/>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826770" cy="847191"/>
                  </a:xfrm>
                  <a:prstGeom prst="rect">
                    <a:avLst/>
                  </a:prstGeom>
                </pic:spPr>
              </pic:pic>
            </a:graphicData>
          </a:graphic>
          <wp14:sizeRelH relativeFrom="margin">
            <wp14:pctWidth>0</wp14:pctWidth>
          </wp14:sizeRelH>
          <wp14:sizeRelV relativeFrom="margin">
            <wp14:pctHeight>0</wp14:pctHeight>
          </wp14:sizeRelV>
        </wp:anchor>
      </w:drawing>
    </w:r>
  </w:p>
  <w:p w14:paraId="481BCB0C" w14:textId="77777777" w:rsidR="005040A4" w:rsidRDefault="005040A4" w:rsidP="005040A4">
    <w:pPr>
      <w:jc w:val="center"/>
      <w:rPr>
        <w:rFonts w:ascii="Times New Roman" w:hAnsi="Times New Roman"/>
        <w:b/>
      </w:rPr>
    </w:pPr>
  </w:p>
  <w:p w14:paraId="6D4955D6" w14:textId="77777777" w:rsidR="005040A4" w:rsidRPr="00A12879" w:rsidRDefault="005040A4" w:rsidP="005040A4">
    <w:pPr>
      <w:jc w:val="center"/>
      <w:rPr>
        <w:rFonts w:ascii="Times New Roman" w:hAnsi="Times New Roman"/>
        <w:b/>
      </w:rPr>
    </w:pPr>
  </w:p>
  <w:p w14:paraId="316EE1B6" w14:textId="77777777" w:rsidR="005040A4" w:rsidRPr="00A12879" w:rsidRDefault="005040A4" w:rsidP="005040A4">
    <w:pPr>
      <w:jc w:val="center"/>
      <w:rPr>
        <w:rFonts w:ascii="Times New Roman" w:hAnsi="Times New Roman"/>
        <w:b/>
      </w:rPr>
    </w:pPr>
  </w:p>
  <w:p w14:paraId="789BB3E6" w14:textId="144EF90F" w:rsidR="005040A4" w:rsidRPr="005040A4" w:rsidRDefault="005040A4" w:rsidP="009E613B">
    <w:pPr>
      <w:spacing w:before="240" w:after="480"/>
      <w:jc w:val="center"/>
      <w:rPr>
        <w:b/>
        <w:caps/>
      </w:rPr>
    </w:pPr>
    <w:r>
      <w:rPr>
        <w:b/>
        <w:caps/>
      </w:rPr>
      <w:t>C</w:t>
    </w:r>
    <w:r w:rsidRPr="005040A4">
      <w:rPr>
        <w:b/>
        <w:caps/>
      </w:rPr>
      <w:t>ommission d’audit</w:t>
    </w:r>
    <w:r w:rsidR="009E613B">
      <w:rPr>
        <w:b/>
        <w:caps/>
      </w:rPr>
      <w:t xml:space="preserve"> </w:t>
    </w:r>
    <w:r w:rsidRPr="005040A4">
      <w:rPr>
        <w:b/>
        <w:caps/>
      </w:rPr>
      <w:t>de la République d’Indonésie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9ABB" w14:textId="77777777" w:rsidR="005040A4" w:rsidRDefault="005040A4" w:rsidP="005040A4">
    <w:pPr>
      <w:pStyle w:val="Header"/>
      <w:jc w:val="right"/>
      <w:rPr>
        <w:lang w:val="fr-FR"/>
      </w:rPr>
    </w:pPr>
    <w:r>
      <w:rPr>
        <w:lang w:val="fr-FR"/>
      </w:rPr>
      <w:t>WO/PBC/39/4</w:t>
    </w:r>
  </w:p>
  <w:p w14:paraId="56CABDEA" w14:textId="77777777" w:rsidR="005040A4" w:rsidRPr="005040A4" w:rsidRDefault="005040A4" w:rsidP="005040A4">
    <w:pPr>
      <w:pStyle w:val="Header"/>
      <w:spacing w:after="480"/>
      <w:jc w:val="right"/>
      <w:rPr>
        <w:lang w:val="fr-FR"/>
      </w:rPr>
    </w:pPr>
    <w:r>
      <w:rPr>
        <w:lang w:val="fr-FR"/>
      </w:rPr>
      <w:t>page </w:t>
    </w:r>
    <w:r w:rsidRPr="005040A4">
      <w:rPr>
        <w:lang w:val="fr-FR"/>
      </w:rPr>
      <w:fldChar w:fldCharType="begin"/>
    </w:r>
    <w:r w:rsidRPr="005040A4">
      <w:rPr>
        <w:lang w:val="fr-FR"/>
      </w:rPr>
      <w:instrText xml:space="preserve"> PAGE   \* MERGEFORMAT </w:instrText>
    </w:r>
    <w:r w:rsidRPr="005040A4">
      <w:rPr>
        <w:lang w:val="fr-FR"/>
      </w:rPr>
      <w:fldChar w:fldCharType="separate"/>
    </w:r>
    <w:r>
      <w:rPr>
        <w:lang w:val="fr-FR"/>
      </w:rPr>
      <w:t>8</w:t>
    </w:r>
    <w:r w:rsidRPr="005040A4">
      <w:rPr>
        <w:noProof/>
        <w:lang w:val="fr-F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0684EE7"/>
    <w:multiLevelType w:val="hybridMultilevel"/>
    <w:tmpl w:val="38E63DCE"/>
    <w:lvl w:ilvl="0" w:tplc="3809000F">
      <w:start w:val="1"/>
      <w:numFmt w:val="decimal"/>
      <w:lvlText w:val="%1."/>
      <w:lvlJc w:val="left"/>
      <w:pPr>
        <w:ind w:left="786" w:hanging="360"/>
      </w:pPr>
      <w:rPr>
        <w:rFonts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2" w15:restartNumberingAfterBreak="0">
    <w:nsid w:val="06494D78"/>
    <w:multiLevelType w:val="hybridMultilevel"/>
    <w:tmpl w:val="7E0621EA"/>
    <w:lvl w:ilvl="0" w:tplc="987E91AC">
      <w:start w:val="1"/>
      <w:numFmt w:val="decimal"/>
      <w:pStyle w:val="ListParagraph"/>
      <w:lvlText w:val="%1."/>
      <w:lvlJc w:val="left"/>
      <w:pPr>
        <w:ind w:left="228" w:hanging="360"/>
      </w:pPr>
      <w:rPr>
        <w:rFonts w:ascii="Arial" w:hAnsi="Arial" w:cs="Arial" w:hint="default"/>
        <w:b w:val="0"/>
        <w:bCs/>
        <w:color w:val="000000" w:themeColor="text1"/>
        <w:sz w:val="22"/>
        <w:szCs w:val="22"/>
      </w:rPr>
    </w:lvl>
    <w:lvl w:ilvl="1" w:tplc="08090019">
      <w:start w:val="1"/>
      <w:numFmt w:val="lowerLetter"/>
      <w:lvlText w:val="%2."/>
      <w:lvlJc w:val="left"/>
      <w:pPr>
        <w:ind w:left="948" w:hanging="360"/>
      </w:pPr>
    </w:lvl>
    <w:lvl w:ilvl="2" w:tplc="0809001B" w:tentative="1">
      <w:start w:val="1"/>
      <w:numFmt w:val="lowerRoman"/>
      <w:lvlText w:val="%3."/>
      <w:lvlJc w:val="right"/>
      <w:pPr>
        <w:ind w:left="1668" w:hanging="180"/>
      </w:pPr>
    </w:lvl>
    <w:lvl w:ilvl="3" w:tplc="0809000F" w:tentative="1">
      <w:start w:val="1"/>
      <w:numFmt w:val="decimal"/>
      <w:lvlText w:val="%4."/>
      <w:lvlJc w:val="left"/>
      <w:pPr>
        <w:ind w:left="2388" w:hanging="360"/>
      </w:pPr>
    </w:lvl>
    <w:lvl w:ilvl="4" w:tplc="08090019" w:tentative="1">
      <w:start w:val="1"/>
      <w:numFmt w:val="lowerLetter"/>
      <w:lvlText w:val="%5."/>
      <w:lvlJc w:val="left"/>
      <w:pPr>
        <w:ind w:left="3108" w:hanging="360"/>
      </w:pPr>
    </w:lvl>
    <w:lvl w:ilvl="5" w:tplc="0809001B" w:tentative="1">
      <w:start w:val="1"/>
      <w:numFmt w:val="lowerRoman"/>
      <w:lvlText w:val="%6."/>
      <w:lvlJc w:val="right"/>
      <w:pPr>
        <w:ind w:left="3828" w:hanging="180"/>
      </w:pPr>
    </w:lvl>
    <w:lvl w:ilvl="6" w:tplc="0809000F" w:tentative="1">
      <w:start w:val="1"/>
      <w:numFmt w:val="decimal"/>
      <w:lvlText w:val="%7."/>
      <w:lvlJc w:val="left"/>
      <w:pPr>
        <w:ind w:left="4548" w:hanging="360"/>
      </w:pPr>
    </w:lvl>
    <w:lvl w:ilvl="7" w:tplc="08090019" w:tentative="1">
      <w:start w:val="1"/>
      <w:numFmt w:val="lowerLetter"/>
      <w:lvlText w:val="%8."/>
      <w:lvlJc w:val="left"/>
      <w:pPr>
        <w:ind w:left="5268" w:hanging="360"/>
      </w:pPr>
    </w:lvl>
    <w:lvl w:ilvl="8" w:tplc="0809001B" w:tentative="1">
      <w:start w:val="1"/>
      <w:numFmt w:val="lowerRoman"/>
      <w:lvlText w:val="%9."/>
      <w:lvlJc w:val="right"/>
      <w:pPr>
        <w:ind w:left="5988" w:hanging="180"/>
      </w:pPr>
    </w:lvl>
  </w:abstractNum>
  <w:abstractNum w:abstractNumId="3" w15:restartNumberingAfterBreak="0">
    <w:nsid w:val="06AC135B"/>
    <w:multiLevelType w:val="hybridMultilevel"/>
    <w:tmpl w:val="E37EFAC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9314C35"/>
    <w:multiLevelType w:val="hybridMultilevel"/>
    <w:tmpl w:val="CFB26772"/>
    <w:lvl w:ilvl="0" w:tplc="F49A3F6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305F4"/>
    <w:multiLevelType w:val="hybridMultilevel"/>
    <w:tmpl w:val="3E68820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0D065E21"/>
    <w:multiLevelType w:val="hybridMultilevel"/>
    <w:tmpl w:val="B5A02EB4"/>
    <w:lvl w:ilvl="0" w:tplc="0D92E8F8">
      <w:start w:val="1"/>
      <w:numFmt w:val="decimal"/>
      <w:lvlText w:val="%1."/>
      <w:lvlJc w:val="left"/>
      <w:pPr>
        <w:ind w:left="136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10467783"/>
    <w:multiLevelType w:val="hybridMultilevel"/>
    <w:tmpl w:val="745EA8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8A055D"/>
    <w:multiLevelType w:val="hybridMultilevel"/>
    <w:tmpl w:val="3DB83090"/>
    <w:lvl w:ilvl="0" w:tplc="EAB826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FA469E"/>
    <w:multiLevelType w:val="hybridMultilevel"/>
    <w:tmpl w:val="334C732E"/>
    <w:lvl w:ilvl="0" w:tplc="8F761A24">
      <w:start w:val="1"/>
      <w:numFmt w:val="upperLetter"/>
      <w:lvlText w:val="%1."/>
      <w:lvlJc w:val="left"/>
      <w:pPr>
        <w:ind w:left="720" w:hanging="360"/>
      </w:pPr>
      <w:rPr>
        <w:rFonts w:cstheme="maj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CD033C"/>
    <w:multiLevelType w:val="hybridMultilevel"/>
    <w:tmpl w:val="6E0E8D68"/>
    <w:lvl w:ilvl="0" w:tplc="38090001">
      <w:start w:val="1"/>
      <w:numFmt w:val="bullet"/>
      <w:lvlText w:val=""/>
      <w:lvlJc w:val="left"/>
      <w:pPr>
        <w:ind w:left="1011" w:hanging="360"/>
      </w:pPr>
      <w:rPr>
        <w:rFonts w:ascii="Symbol" w:hAnsi="Symbol" w:hint="default"/>
      </w:rPr>
    </w:lvl>
    <w:lvl w:ilvl="1" w:tplc="38090003" w:tentative="1">
      <w:start w:val="1"/>
      <w:numFmt w:val="bullet"/>
      <w:lvlText w:val="o"/>
      <w:lvlJc w:val="left"/>
      <w:pPr>
        <w:ind w:left="1731" w:hanging="360"/>
      </w:pPr>
      <w:rPr>
        <w:rFonts w:ascii="Courier New" w:hAnsi="Courier New" w:cs="Courier New" w:hint="default"/>
      </w:rPr>
    </w:lvl>
    <w:lvl w:ilvl="2" w:tplc="38090005" w:tentative="1">
      <w:start w:val="1"/>
      <w:numFmt w:val="bullet"/>
      <w:lvlText w:val=""/>
      <w:lvlJc w:val="left"/>
      <w:pPr>
        <w:ind w:left="2451" w:hanging="360"/>
      </w:pPr>
      <w:rPr>
        <w:rFonts w:ascii="Wingdings" w:hAnsi="Wingdings" w:hint="default"/>
      </w:rPr>
    </w:lvl>
    <w:lvl w:ilvl="3" w:tplc="38090001" w:tentative="1">
      <w:start w:val="1"/>
      <w:numFmt w:val="bullet"/>
      <w:lvlText w:val=""/>
      <w:lvlJc w:val="left"/>
      <w:pPr>
        <w:ind w:left="3171" w:hanging="360"/>
      </w:pPr>
      <w:rPr>
        <w:rFonts w:ascii="Symbol" w:hAnsi="Symbol" w:hint="default"/>
      </w:rPr>
    </w:lvl>
    <w:lvl w:ilvl="4" w:tplc="38090003" w:tentative="1">
      <w:start w:val="1"/>
      <w:numFmt w:val="bullet"/>
      <w:lvlText w:val="o"/>
      <w:lvlJc w:val="left"/>
      <w:pPr>
        <w:ind w:left="3891" w:hanging="360"/>
      </w:pPr>
      <w:rPr>
        <w:rFonts w:ascii="Courier New" w:hAnsi="Courier New" w:cs="Courier New" w:hint="default"/>
      </w:rPr>
    </w:lvl>
    <w:lvl w:ilvl="5" w:tplc="38090005" w:tentative="1">
      <w:start w:val="1"/>
      <w:numFmt w:val="bullet"/>
      <w:lvlText w:val=""/>
      <w:lvlJc w:val="left"/>
      <w:pPr>
        <w:ind w:left="4611" w:hanging="360"/>
      </w:pPr>
      <w:rPr>
        <w:rFonts w:ascii="Wingdings" w:hAnsi="Wingdings" w:hint="default"/>
      </w:rPr>
    </w:lvl>
    <w:lvl w:ilvl="6" w:tplc="38090001" w:tentative="1">
      <w:start w:val="1"/>
      <w:numFmt w:val="bullet"/>
      <w:lvlText w:val=""/>
      <w:lvlJc w:val="left"/>
      <w:pPr>
        <w:ind w:left="5331" w:hanging="360"/>
      </w:pPr>
      <w:rPr>
        <w:rFonts w:ascii="Symbol" w:hAnsi="Symbol" w:hint="default"/>
      </w:rPr>
    </w:lvl>
    <w:lvl w:ilvl="7" w:tplc="38090003" w:tentative="1">
      <w:start w:val="1"/>
      <w:numFmt w:val="bullet"/>
      <w:lvlText w:val="o"/>
      <w:lvlJc w:val="left"/>
      <w:pPr>
        <w:ind w:left="6051" w:hanging="360"/>
      </w:pPr>
      <w:rPr>
        <w:rFonts w:ascii="Courier New" w:hAnsi="Courier New" w:cs="Courier New" w:hint="default"/>
      </w:rPr>
    </w:lvl>
    <w:lvl w:ilvl="8" w:tplc="38090005" w:tentative="1">
      <w:start w:val="1"/>
      <w:numFmt w:val="bullet"/>
      <w:lvlText w:val=""/>
      <w:lvlJc w:val="left"/>
      <w:pPr>
        <w:ind w:left="6771" w:hanging="360"/>
      </w:pPr>
      <w:rPr>
        <w:rFonts w:ascii="Wingdings" w:hAnsi="Wingdings" w:hint="default"/>
      </w:r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3D72240"/>
    <w:multiLevelType w:val="hybridMultilevel"/>
    <w:tmpl w:val="5D82C6EE"/>
    <w:lvl w:ilvl="0" w:tplc="4A24CF8C">
      <w:start w:val="1"/>
      <w:numFmt w:val="bullet"/>
      <w:lvlText w:val=""/>
      <w:lvlJc w:val="left"/>
      <w:pPr>
        <w:ind w:left="1440" w:hanging="360"/>
      </w:pPr>
      <w:rPr>
        <w:rFonts w:ascii="Symbol" w:hAnsi="Symbol"/>
      </w:rPr>
    </w:lvl>
    <w:lvl w:ilvl="1" w:tplc="E79876DC">
      <w:start w:val="1"/>
      <w:numFmt w:val="bullet"/>
      <w:lvlText w:val=""/>
      <w:lvlJc w:val="left"/>
      <w:pPr>
        <w:ind w:left="1440" w:hanging="360"/>
      </w:pPr>
      <w:rPr>
        <w:rFonts w:ascii="Symbol" w:hAnsi="Symbol"/>
      </w:rPr>
    </w:lvl>
    <w:lvl w:ilvl="2" w:tplc="3AEA9E14">
      <w:start w:val="1"/>
      <w:numFmt w:val="bullet"/>
      <w:lvlText w:val=""/>
      <w:lvlJc w:val="left"/>
      <w:pPr>
        <w:ind w:left="1440" w:hanging="360"/>
      </w:pPr>
      <w:rPr>
        <w:rFonts w:ascii="Symbol" w:hAnsi="Symbol"/>
      </w:rPr>
    </w:lvl>
    <w:lvl w:ilvl="3" w:tplc="CC44D370">
      <w:start w:val="1"/>
      <w:numFmt w:val="bullet"/>
      <w:lvlText w:val=""/>
      <w:lvlJc w:val="left"/>
      <w:pPr>
        <w:ind w:left="1440" w:hanging="360"/>
      </w:pPr>
      <w:rPr>
        <w:rFonts w:ascii="Symbol" w:hAnsi="Symbol"/>
      </w:rPr>
    </w:lvl>
    <w:lvl w:ilvl="4" w:tplc="1C425F06">
      <w:start w:val="1"/>
      <w:numFmt w:val="bullet"/>
      <w:lvlText w:val=""/>
      <w:lvlJc w:val="left"/>
      <w:pPr>
        <w:ind w:left="1440" w:hanging="360"/>
      </w:pPr>
      <w:rPr>
        <w:rFonts w:ascii="Symbol" w:hAnsi="Symbol"/>
      </w:rPr>
    </w:lvl>
    <w:lvl w:ilvl="5" w:tplc="CA2230A0">
      <w:start w:val="1"/>
      <w:numFmt w:val="bullet"/>
      <w:lvlText w:val=""/>
      <w:lvlJc w:val="left"/>
      <w:pPr>
        <w:ind w:left="1440" w:hanging="360"/>
      </w:pPr>
      <w:rPr>
        <w:rFonts w:ascii="Symbol" w:hAnsi="Symbol"/>
      </w:rPr>
    </w:lvl>
    <w:lvl w:ilvl="6" w:tplc="E4E6E29C">
      <w:start w:val="1"/>
      <w:numFmt w:val="bullet"/>
      <w:lvlText w:val=""/>
      <w:lvlJc w:val="left"/>
      <w:pPr>
        <w:ind w:left="1440" w:hanging="360"/>
      </w:pPr>
      <w:rPr>
        <w:rFonts w:ascii="Symbol" w:hAnsi="Symbol"/>
      </w:rPr>
    </w:lvl>
    <w:lvl w:ilvl="7" w:tplc="F858CCD0">
      <w:start w:val="1"/>
      <w:numFmt w:val="bullet"/>
      <w:lvlText w:val=""/>
      <w:lvlJc w:val="left"/>
      <w:pPr>
        <w:ind w:left="1440" w:hanging="360"/>
      </w:pPr>
      <w:rPr>
        <w:rFonts w:ascii="Symbol" w:hAnsi="Symbol"/>
      </w:rPr>
    </w:lvl>
    <w:lvl w:ilvl="8" w:tplc="F0A0E430">
      <w:start w:val="1"/>
      <w:numFmt w:val="bullet"/>
      <w:lvlText w:val=""/>
      <w:lvlJc w:val="left"/>
      <w:pPr>
        <w:ind w:left="1440" w:hanging="360"/>
      </w:pPr>
      <w:rPr>
        <w:rFonts w:ascii="Symbol" w:hAnsi="Symbol"/>
      </w:rPr>
    </w:lvl>
  </w:abstractNum>
  <w:abstractNum w:abstractNumId="15" w15:restartNumberingAfterBreak="0">
    <w:nsid w:val="2525285D"/>
    <w:multiLevelType w:val="hybridMultilevel"/>
    <w:tmpl w:val="49709F5E"/>
    <w:lvl w:ilvl="0" w:tplc="3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EC0EC5"/>
    <w:multiLevelType w:val="hybridMultilevel"/>
    <w:tmpl w:val="22987A4A"/>
    <w:lvl w:ilvl="0" w:tplc="DE40B736">
      <w:start w:val="1"/>
      <w:numFmt w:val="upperLetter"/>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B0EF0"/>
    <w:multiLevelType w:val="hybridMultilevel"/>
    <w:tmpl w:val="0FFA41DA"/>
    <w:lvl w:ilvl="0" w:tplc="CD6AD1B0">
      <w:start w:val="1"/>
      <w:numFmt w:val="decimal"/>
      <w:lvlText w:val="%1."/>
      <w:lvlJc w:val="left"/>
      <w:pPr>
        <w:ind w:left="644" w:hanging="360"/>
      </w:pPr>
      <w:rPr>
        <w:rFonts w:ascii="Times New Roman" w:eastAsia="Times New Roman" w:hAnsi="Times New Roman" w:cs="Times New Roman" w:hint="default"/>
        <w:b w:val="0"/>
        <w:i w:val="0"/>
        <w:strike w:val="0"/>
        <w:color w:val="auto"/>
        <w:sz w:val="22"/>
      </w:rPr>
    </w:lvl>
    <w:lvl w:ilvl="1" w:tplc="70668AB4">
      <w:start w:val="1"/>
      <w:numFmt w:val="bullet"/>
      <w:lvlText w:val="●"/>
      <w:lvlJc w:val="left"/>
      <w:pPr>
        <w:ind w:left="924" w:hanging="360"/>
      </w:pPr>
      <w:rPr>
        <w:rFonts w:ascii="Noto Sans Symbols" w:eastAsia="Noto Sans Symbols" w:hAnsi="Noto Sans Symbols" w:cs="Noto Sans Symbols" w:hint="default"/>
      </w:rPr>
    </w:lvl>
    <w:lvl w:ilvl="2" w:tplc="B60A3E34">
      <w:start w:val="1"/>
      <w:numFmt w:val="lowerRoman"/>
      <w:lvlText w:val="%3."/>
      <w:lvlJc w:val="right"/>
      <w:pPr>
        <w:ind w:left="1644" w:hanging="180"/>
      </w:pPr>
      <w:rPr>
        <w:rFonts w:hint="default"/>
      </w:rPr>
    </w:lvl>
    <w:lvl w:ilvl="3" w:tplc="AFE2E6C8">
      <w:start w:val="1"/>
      <w:numFmt w:val="decimal"/>
      <w:lvlText w:val="%4."/>
      <w:lvlJc w:val="left"/>
      <w:pPr>
        <w:ind w:left="2364" w:hanging="360"/>
      </w:pPr>
      <w:rPr>
        <w:rFonts w:hint="default"/>
      </w:rPr>
    </w:lvl>
    <w:lvl w:ilvl="4" w:tplc="057E151E">
      <w:start w:val="1"/>
      <w:numFmt w:val="lowerLetter"/>
      <w:lvlText w:val="%5."/>
      <w:lvlJc w:val="left"/>
      <w:pPr>
        <w:ind w:left="3084" w:hanging="360"/>
      </w:pPr>
      <w:rPr>
        <w:rFonts w:hint="default"/>
        <w:b w:val="0"/>
        <w:bCs/>
      </w:rPr>
    </w:lvl>
    <w:lvl w:ilvl="5" w:tplc="A0E289E0">
      <w:start w:val="1"/>
      <w:numFmt w:val="lowerRoman"/>
      <w:lvlText w:val="%6."/>
      <w:lvlJc w:val="right"/>
      <w:pPr>
        <w:ind w:left="3804" w:hanging="180"/>
      </w:pPr>
      <w:rPr>
        <w:rFonts w:hint="default"/>
      </w:rPr>
    </w:lvl>
    <w:lvl w:ilvl="6" w:tplc="EB3C17C6">
      <w:start w:val="1"/>
      <w:numFmt w:val="decimal"/>
      <w:lvlText w:val="%7."/>
      <w:lvlJc w:val="left"/>
      <w:pPr>
        <w:ind w:left="4524" w:hanging="360"/>
      </w:pPr>
      <w:rPr>
        <w:rFonts w:hint="default"/>
      </w:rPr>
    </w:lvl>
    <w:lvl w:ilvl="7" w:tplc="656C6AD4">
      <w:start w:val="1"/>
      <w:numFmt w:val="lowerLetter"/>
      <w:lvlText w:val="%8."/>
      <w:lvlJc w:val="left"/>
      <w:pPr>
        <w:ind w:left="5244" w:hanging="360"/>
      </w:pPr>
      <w:rPr>
        <w:rFonts w:hint="default"/>
      </w:rPr>
    </w:lvl>
    <w:lvl w:ilvl="8" w:tplc="E2184E9E">
      <w:start w:val="1"/>
      <w:numFmt w:val="lowerRoman"/>
      <w:lvlText w:val="%9."/>
      <w:lvlJc w:val="right"/>
      <w:pPr>
        <w:ind w:left="5964" w:hanging="180"/>
      </w:pPr>
      <w:rPr>
        <w:rFonts w:hint="default"/>
      </w:rPr>
    </w:lvl>
  </w:abstractNum>
  <w:abstractNum w:abstractNumId="18" w15:restartNumberingAfterBreak="0">
    <w:nsid w:val="365E67C8"/>
    <w:multiLevelType w:val="hybridMultilevel"/>
    <w:tmpl w:val="E6AAAD52"/>
    <w:lvl w:ilvl="0" w:tplc="D3423AB0">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7C95141"/>
    <w:multiLevelType w:val="multilevel"/>
    <w:tmpl w:val="86A4E1F8"/>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3B3C1A71"/>
    <w:multiLevelType w:val="hybridMultilevel"/>
    <w:tmpl w:val="81D0AABE"/>
    <w:lvl w:ilvl="0" w:tplc="DF1E324E">
      <w:start w:val="1"/>
      <w:numFmt w:val="lowerLetter"/>
      <w:lvlText w:val="%1."/>
      <w:lvlJc w:val="left"/>
      <w:pPr>
        <w:ind w:left="785" w:hanging="360"/>
      </w:pPr>
      <w:rPr>
        <w:rFonts w:hint="default"/>
        <w:b/>
        <w:bCs/>
        <w:sz w:val="22"/>
        <w:szCs w:val="22"/>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1" w15:restartNumberingAfterBreak="0">
    <w:nsid w:val="3C874715"/>
    <w:multiLevelType w:val="hybridMultilevel"/>
    <w:tmpl w:val="592C743A"/>
    <w:lvl w:ilvl="0" w:tplc="31C249EE">
      <w:start w:val="1"/>
      <w:numFmt w:val="bullet"/>
      <w:lvlText w:val=""/>
      <w:lvlJc w:val="left"/>
      <w:pPr>
        <w:ind w:left="1440" w:hanging="360"/>
      </w:pPr>
      <w:rPr>
        <w:rFonts w:ascii="Symbol" w:hAnsi="Symbol"/>
      </w:rPr>
    </w:lvl>
    <w:lvl w:ilvl="1" w:tplc="B1D6D826">
      <w:start w:val="1"/>
      <w:numFmt w:val="bullet"/>
      <w:lvlText w:val=""/>
      <w:lvlJc w:val="left"/>
      <w:pPr>
        <w:ind w:left="1440" w:hanging="360"/>
      </w:pPr>
      <w:rPr>
        <w:rFonts w:ascii="Symbol" w:hAnsi="Symbol"/>
      </w:rPr>
    </w:lvl>
    <w:lvl w:ilvl="2" w:tplc="BC746722">
      <w:start w:val="1"/>
      <w:numFmt w:val="bullet"/>
      <w:lvlText w:val=""/>
      <w:lvlJc w:val="left"/>
      <w:pPr>
        <w:ind w:left="1440" w:hanging="360"/>
      </w:pPr>
      <w:rPr>
        <w:rFonts w:ascii="Symbol" w:hAnsi="Symbol"/>
      </w:rPr>
    </w:lvl>
    <w:lvl w:ilvl="3" w:tplc="1B8299C2">
      <w:start w:val="1"/>
      <w:numFmt w:val="bullet"/>
      <w:lvlText w:val=""/>
      <w:lvlJc w:val="left"/>
      <w:pPr>
        <w:ind w:left="1440" w:hanging="360"/>
      </w:pPr>
      <w:rPr>
        <w:rFonts w:ascii="Symbol" w:hAnsi="Symbol"/>
      </w:rPr>
    </w:lvl>
    <w:lvl w:ilvl="4" w:tplc="26587622">
      <w:start w:val="1"/>
      <w:numFmt w:val="bullet"/>
      <w:lvlText w:val=""/>
      <w:lvlJc w:val="left"/>
      <w:pPr>
        <w:ind w:left="1440" w:hanging="360"/>
      </w:pPr>
      <w:rPr>
        <w:rFonts w:ascii="Symbol" w:hAnsi="Symbol"/>
      </w:rPr>
    </w:lvl>
    <w:lvl w:ilvl="5" w:tplc="6C3A691E">
      <w:start w:val="1"/>
      <w:numFmt w:val="bullet"/>
      <w:lvlText w:val=""/>
      <w:lvlJc w:val="left"/>
      <w:pPr>
        <w:ind w:left="1440" w:hanging="360"/>
      </w:pPr>
      <w:rPr>
        <w:rFonts w:ascii="Symbol" w:hAnsi="Symbol"/>
      </w:rPr>
    </w:lvl>
    <w:lvl w:ilvl="6" w:tplc="2F82DF6C">
      <w:start w:val="1"/>
      <w:numFmt w:val="bullet"/>
      <w:lvlText w:val=""/>
      <w:lvlJc w:val="left"/>
      <w:pPr>
        <w:ind w:left="1440" w:hanging="360"/>
      </w:pPr>
      <w:rPr>
        <w:rFonts w:ascii="Symbol" w:hAnsi="Symbol"/>
      </w:rPr>
    </w:lvl>
    <w:lvl w:ilvl="7" w:tplc="BD749D04">
      <w:start w:val="1"/>
      <w:numFmt w:val="bullet"/>
      <w:lvlText w:val=""/>
      <w:lvlJc w:val="left"/>
      <w:pPr>
        <w:ind w:left="1440" w:hanging="360"/>
      </w:pPr>
      <w:rPr>
        <w:rFonts w:ascii="Symbol" w:hAnsi="Symbol"/>
      </w:rPr>
    </w:lvl>
    <w:lvl w:ilvl="8" w:tplc="0E981D50">
      <w:start w:val="1"/>
      <w:numFmt w:val="bullet"/>
      <w:lvlText w:val=""/>
      <w:lvlJc w:val="left"/>
      <w:pPr>
        <w:ind w:left="1440" w:hanging="360"/>
      </w:pPr>
      <w:rPr>
        <w:rFonts w:ascii="Symbol" w:hAnsi="Symbol"/>
      </w:rPr>
    </w:lvl>
  </w:abstractNum>
  <w:abstractNum w:abstractNumId="2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AC53C52"/>
    <w:multiLevelType w:val="hybridMultilevel"/>
    <w:tmpl w:val="DF4AAC8C"/>
    <w:lvl w:ilvl="0" w:tplc="3809000F">
      <w:start w:val="1"/>
      <w:numFmt w:val="decimal"/>
      <w:lvlText w:val="%1."/>
      <w:lvlJc w:val="left"/>
      <w:pPr>
        <w:ind w:left="786" w:hanging="360"/>
      </w:pPr>
      <w:rPr>
        <w:rFonts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EF7FA0"/>
    <w:multiLevelType w:val="hybridMultilevel"/>
    <w:tmpl w:val="A5008D1E"/>
    <w:lvl w:ilvl="0" w:tplc="38090019">
      <w:start w:val="1"/>
      <w:numFmt w:val="lowerLetter"/>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6" w15:restartNumberingAfterBreak="0">
    <w:nsid w:val="57AA58C5"/>
    <w:multiLevelType w:val="multilevel"/>
    <w:tmpl w:val="95D6CCB0"/>
    <w:lvl w:ilvl="0">
      <w:start w:val="1"/>
      <w:numFmt w:val="lowerLetter"/>
      <w:lvlText w:val="%1."/>
      <w:lvlJc w:val="left"/>
      <w:pPr>
        <w:tabs>
          <w:tab w:val="num" w:pos="786"/>
        </w:tabs>
        <w:ind w:left="786" w:hanging="360"/>
      </w:pPr>
      <w:rPr>
        <w:rFonts w:ascii="Arial" w:hAnsi="Arial" w:cs="Arial" w:hint="default"/>
        <w:b w:val="0"/>
        <w:bCs w:val="0"/>
        <w:sz w:val="22"/>
        <w:szCs w:val="22"/>
      </w:rPr>
    </w:lvl>
    <w:lvl w:ilvl="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7" w15:restartNumberingAfterBreak="0">
    <w:nsid w:val="593D4F7A"/>
    <w:multiLevelType w:val="hybridMultilevel"/>
    <w:tmpl w:val="717868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4D3D61"/>
    <w:multiLevelType w:val="hybridMultilevel"/>
    <w:tmpl w:val="E396B4B0"/>
    <w:lvl w:ilvl="0" w:tplc="39D29950">
      <w:start w:val="1"/>
      <w:numFmt w:val="decimal"/>
      <w:lvlText w:val="%1."/>
      <w:lvlJc w:val="left"/>
      <w:pPr>
        <w:ind w:left="360" w:hanging="360"/>
      </w:pPr>
      <w:rPr>
        <w:sz w:val="24"/>
        <w:szCs w:val="24"/>
      </w:rPr>
    </w:lvl>
    <w:lvl w:ilvl="1" w:tplc="0D92E8F8">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E7D57D5"/>
    <w:multiLevelType w:val="hybridMultilevel"/>
    <w:tmpl w:val="FFFFFFFF"/>
    <w:lvl w:ilvl="0" w:tplc="0B923172">
      <w:start w:val="1"/>
      <w:numFmt w:val="decimal"/>
      <w:lvlText w:val="%1."/>
      <w:lvlJc w:val="left"/>
      <w:pPr>
        <w:ind w:left="1080" w:hanging="360"/>
      </w:pPr>
    </w:lvl>
    <w:lvl w:ilvl="1" w:tplc="649AEE68">
      <w:start w:val="1"/>
      <w:numFmt w:val="lowerLetter"/>
      <w:lvlText w:val="%2."/>
      <w:lvlJc w:val="left"/>
      <w:pPr>
        <w:ind w:left="1800" w:hanging="360"/>
      </w:pPr>
    </w:lvl>
    <w:lvl w:ilvl="2" w:tplc="B204B348">
      <w:start w:val="1"/>
      <w:numFmt w:val="lowerRoman"/>
      <w:lvlText w:val="%3."/>
      <w:lvlJc w:val="right"/>
      <w:pPr>
        <w:ind w:left="2520" w:hanging="180"/>
      </w:pPr>
    </w:lvl>
    <w:lvl w:ilvl="3" w:tplc="525273B0">
      <w:start w:val="1"/>
      <w:numFmt w:val="decimal"/>
      <w:lvlText w:val="%4."/>
      <w:lvlJc w:val="left"/>
      <w:pPr>
        <w:ind w:left="3240" w:hanging="360"/>
      </w:pPr>
    </w:lvl>
    <w:lvl w:ilvl="4" w:tplc="A4BC2A30">
      <w:start w:val="1"/>
      <w:numFmt w:val="lowerLetter"/>
      <w:lvlText w:val="%5."/>
      <w:lvlJc w:val="left"/>
      <w:pPr>
        <w:ind w:left="3960" w:hanging="360"/>
      </w:pPr>
    </w:lvl>
    <w:lvl w:ilvl="5" w:tplc="C5721EA6">
      <w:start w:val="1"/>
      <w:numFmt w:val="lowerRoman"/>
      <w:lvlText w:val="%6."/>
      <w:lvlJc w:val="right"/>
      <w:pPr>
        <w:ind w:left="4680" w:hanging="180"/>
      </w:pPr>
    </w:lvl>
    <w:lvl w:ilvl="6" w:tplc="48BA6B5C">
      <w:start w:val="1"/>
      <w:numFmt w:val="decimal"/>
      <w:lvlText w:val="%7."/>
      <w:lvlJc w:val="left"/>
      <w:pPr>
        <w:ind w:left="5400" w:hanging="360"/>
      </w:pPr>
    </w:lvl>
    <w:lvl w:ilvl="7" w:tplc="3B7C7F44">
      <w:start w:val="1"/>
      <w:numFmt w:val="lowerLetter"/>
      <w:lvlText w:val="%8."/>
      <w:lvlJc w:val="left"/>
      <w:pPr>
        <w:ind w:left="6120" w:hanging="360"/>
      </w:pPr>
    </w:lvl>
    <w:lvl w:ilvl="8" w:tplc="DB7A8B9E">
      <w:start w:val="1"/>
      <w:numFmt w:val="lowerRoman"/>
      <w:lvlText w:val="%9."/>
      <w:lvlJc w:val="right"/>
      <w:pPr>
        <w:ind w:left="6840" w:hanging="180"/>
      </w:pPr>
    </w:lvl>
  </w:abstractNum>
  <w:abstractNum w:abstractNumId="30" w15:restartNumberingAfterBreak="0">
    <w:nsid w:val="628D6F70"/>
    <w:multiLevelType w:val="hybridMultilevel"/>
    <w:tmpl w:val="FFFFFFFF"/>
    <w:lvl w:ilvl="0" w:tplc="FE1876C4">
      <w:start w:val="1"/>
      <w:numFmt w:val="bullet"/>
      <w:lvlText w:val=""/>
      <w:lvlJc w:val="left"/>
      <w:pPr>
        <w:ind w:left="786" w:hanging="360"/>
      </w:pPr>
      <w:rPr>
        <w:rFonts w:ascii="Symbol" w:hAnsi="Symbol" w:hint="default"/>
      </w:rPr>
    </w:lvl>
    <w:lvl w:ilvl="1" w:tplc="E1C49B34">
      <w:start w:val="1"/>
      <w:numFmt w:val="bullet"/>
      <w:lvlText w:val="o"/>
      <w:lvlJc w:val="left"/>
      <w:pPr>
        <w:ind w:left="1506" w:hanging="360"/>
      </w:pPr>
      <w:rPr>
        <w:rFonts w:ascii="Courier New" w:hAnsi="Courier New" w:hint="default"/>
      </w:rPr>
    </w:lvl>
    <w:lvl w:ilvl="2" w:tplc="7FF20838">
      <w:start w:val="1"/>
      <w:numFmt w:val="bullet"/>
      <w:lvlText w:val=""/>
      <w:lvlJc w:val="left"/>
      <w:pPr>
        <w:ind w:left="2226" w:hanging="360"/>
      </w:pPr>
      <w:rPr>
        <w:rFonts w:ascii="Wingdings" w:hAnsi="Wingdings" w:hint="default"/>
      </w:rPr>
    </w:lvl>
    <w:lvl w:ilvl="3" w:tplc="85AA5200">
      <w:start w:val="1"/>
      <w:numFmt w:val="bullet"/>
      <w:lvlText w:val=""/>
      <w:lvlJc w:val="left"/>
      <w:pPr>
        <w:ind w:left="2946" w:hanging="360"/>
      </w:pPr>
      <w:rPr>
        <w:rFonts w:ascii="Symbol" w:hAnsi="Symbol" w:hint="default"/>
      </w:rPr>
    </w:lvl>
    <w:lvl w:ilvl="4" w:tplc="20E45276">
      <w:start w:val="1"/>
      <w:numFmt w:val="bullet"/>
      <w:lvlText w:val="o"/>
      <w:lvlJc w:val="left"/>
      <w:pPr>
        <w:ind w:left="3666" w:hanging="360"/>
      </w:pPr>
      <w:rPr>
        <w:rFonts w:ascii="Courier New" w:hAnsi="Courier New" w:hint="default"/>
      </w:rPr>
    </w:lvl>
    <w:lvl w:ilvl="5" w:tplc="10E2349A">
      <w:start w:val="1"/>
      <w:numFmt w:val="bullet"/>
      <w:lvlText w:val=""/>
      <w:lvlJc w:val="left"/>
      <w:pPr>
        <w:ind w:left="4386" w:hanging="360"/>
      </w:pPr>
      <w:rPr>
        <w:rFonts w:ascii="Wingdings" w:hAnsi="Wingdings" w:hint="default"/>
      </w:rPr>
    </w:lvl>
    <w:lvl w:ilvl="6" w:tplc="86A4D9A4">
      <w:start w:val="1"/>
      <w:numFmt w:val="bullet"/>
      <w:lvlText w:val=""/>
      <w:lvlJc w:val="left"/>
      <w:pPr>
        <w:ind w:left="5106" w:hanging="360"/>
      </w:pPr>
      <w:rPr>
        <w:rFonts w:ascii="Symbol" w:hAnsi="Symbol" w:hint="default"/>
      </w:rPr>
    </w:lvl>
    <w:lvl w:ilvl="7" w:tplc="1B222B7C">
      <w:start w:val="1"/>
      <w:numFmt w:val="bullet"/>
      <w:lvlText w:val="o"/>
      <w:lvlJc w:val="left"/>
      <w:pPr>
        <w:ind w:left="5826" w:hanging="360"/>
      </w:pPr>
      <w:rPr>
        <w:rFonts w:ascii="Courier New" w:hAnsi="Courier New" w:hint="default"/>
      </w:rPr>
    </w:lvl>
    <w:lvl w:ilvl="8" w:tplc="B26A2A24">
      <w:start w:val="1"/>
      <w:numFmt w:val="bullet"/>
      <w:lvlText w:val=""/>
      <w:lvlJc w:val="left"/>
      <w:pPr>
        <w:ind w:left="6546" w:hanging="360"/>
      </w:pPr>
      <w:rPr>
        <w:rFonts w:ascii="Wingdings" w:hAnsi="Wingdings" w:hint="default"/>
      </w:rPr>
    </w:lvl>
  </w:abstractNum>
  <w:abstractNum w:abstractNumId="31" w15:restartNumberingAfterBreak="0">
    <w:nsid w:val="63A212FF"/>
    <w:multiLevelType w:val="hybridMultilevel"/>
    <w:tmpl w:val="CBAC2748"/>
    <w:lvl w:ilvl="0" w:tplc="656C6A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FC6351"/>
    <w:multiLevelType w:val="hybridMultilevel"/>
    <w:tmpl w:val="E68C393C"/>
    <w:lvl w:ilvl="0" w:tplc="656C6AD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752F26"/>
    <w:multiLevelType w:val="hybridMultilevel"/>
    <w:tmpl w:val="5C22154C"/>
    <w:lvl w:ilvl="0" w:tplc="04090015">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7B5D60"/>
    <w:multiLevelType w:val="hybridMultilevel"/>
    <w:tmpl w:val="D278E8A4"/>
    <w:lvl w:ilvl="0" w:tplc="38090019">
      <w:start w:val="1"/>
      <w:numFmt w:val="lowerLetter"/>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5" w15:restartNumberingAfterBreak="0">
    <w:nsid w:val="7399771D"/>
    <w:multiLevelType w:val="hybridMultilevel"/>
    <w:tmpl w:val="DF405A9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15:restartNumberingAfterBreak="0">
    <w:nsid w:val="78BC134E"/>
    <w:multiLevelType w:val="hybridMultilevel"/>
    <w:tmpl w:val="A5008D1E"/>
    <w:lvl w:ilvl="0" w:tplc="38090019">
      <w:start w:val="1"/>
      <w:numFmt w:val="lowerLetter"/>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7" w15:restartNumberingAfterBreak="0">
    <w:nsid w:val="7B47151B"/>
    <w:multiLevelType w:val="hybridMultilevel"/>
    <w:tmpl w:val="49709F5E"/>
    <w:lvl w:ilvl="0" w:tplc="3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E8C0C34"/>
    <w:multiLevelType w:val="hybridMultilevel"/>
    <w:tmpl w:val="1B42F740"/>
    <w:lvl w:ilvl="0" w:tplc="15C6A78A">
      <w:start w:val="1"/>
      <w:numFmt w:val="upperLetter"/>
      <w:pStyle w:val="HeaderSatu"/>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4238924">
    <w:abstractNumId w:val="12"/>
  </w:num>
  <w:num w:numId="2" w16cid:durableId="302345202">
    <w:abstractNumId w:val="22"/>
  </w:num>
  <w:num w:numId="3" w16cid:durableId="2100177298">
    <w:abstractNumId w:val="0"/>
  </w:num>
  <w:num w:numId="4" w16cid:durableId="800996051">
    <w:abstractNumId w:val="24"/>
  </w:num>
  <w:num w:numId="5" w16cid:durableId="1819884291">
    <w:abstractNumId w:val="4"/>
  </w:num>
  <w:num w:numId="6" w16cid:durableId="875629458">
    <w:abstractNumId w:val="13"/>
  </w:num>
  <w:num w:numId="7" w16cid:durableId="1486513262">
    <w:abstractNumId w:val="9"/>
  </w:num>
  <w:num w:numId="8" w16cid:durableId="868957329">
    <w:abstractNumId w:val="38"/>
  </w:num>
  <w:num w:numId="9" w16cid:durableId="98137295">
    <w:abstractNumId w:val="2"/>
  </w:num>
  <w:num w:numId="10" w16cid:durableId="52513559">
    <w:abstractNumId w:val="18"/>
  </w:num>
  <w:num w:numId="11" w16cid:durableId="2316945">
    <w:abstractNumId w:val="6"/>
  </w:num>
  <w:num w:numId="12" w16cid:durableId="230508752">
    <w:abstractNumId w:val="30"/>
  </w:num>
  <w:num w:numId="13" w16cid:durableId="2059892543">
    <w:abstractNumId w:val="7"/>
  </w:num>
  <w:num w:numId="14" w16cid:durableId="575092815">
    <w:abstractNumId w:val="19"/>
  </w:num>
  <w:num w:numId="15" w16cid:durableId="133373504">
    <w:abstractNumId w:val="23"/>
  </w:num>
  <w:num w:numId="16" w16cid:durableId="708382304">
    <w:abstractNumId w:val="1"/>
  </w:num>
  <w:num w:numId="17" w16cid:durableId="1549995325">
    <w:abstractNumId w:val="26"/>
  </w:num>
  <w:num w:numId="18" w16cid:durableId="866144157">
    <w:abstractNumId w:val="5"/>
  </w:num>
  <w:num w:numId="19" w16cid:durableId="1998269212">
    <w:abstractNumId w:val="28"/>
  </w:num>
  <w:num w:numId="20" w16cid:durableId="452595863">
    <w:abstractNumId w:val="15"/>
  </w:num>
  <w:num w:numId="21" w16cid:durableId="472674117">
    <w:abstractNumId w:val="36"/>
  </w:num>
  <w:num w:numId="22" w16cid:durableId="161166677">
    <w:abstractNumId w:val="27"/>
  </w:num>
  <w:num w:numId="23" w16cid:durableId="2081050072">
    <w:abstractNumId w:val="37"/>
  </w:num>
  <w:num w:numId="24" w16cid:durableId="1143697658">
    <w:abstractNumId w:val="20"/>
  </w:num>
  <w:num w:numId="25" w16cid:durableId="146439792">
    <w:abstractNumId w:val="25"/>
  </w:num>
  <w:num w:numId="26" w16cid:durableId="1727336906">
    <w:abstractNumId w:val="34"/>
  </w:num>
  <w:num w:numId="27" w16cid:durableId="2106261603">
    <w:abstractNumId w:val="29"/>
  </w:num>
  <w:num w:numId="28" w16cid:durableId="169805846">
    <w:abstractNumId w:val="10"/>
  </w:num>
  <w:num w:numId="29" w16cid:durableId="875773336">
    <w:abstractNumId w:val="8"/>
  </w:num>
  <w:num w:numId="30" w16cid:durableId="885529826">
    <w:abstractNumId w:val="33"/>
  </w:num>
  <w:num w:numId="31" w16cid:durableId="4670225">
    <w:abstractNumId w:val="32"/>
  </w:num>
  <w:num w:numId="32" w16cid:durableId="275526785">
    <w:abstractNumId w:val="31"/>
  </w:num>
  <w:num w:numId="33" w16cid:durableId="95028396">
    <w:abstractNumId w:val="17"/>
  </w:num>
  <w:num w:numId="34" w16cid:durableId="150830683">
    <w:abstractNumId w:val="35"/>
  </w:num>
  <w:num w:numId="35" w16cid:durableId="1699701823">
    <w:abstractNumId w:val="11"/>
  </w:num>
  <w:num w:numId="36" w16cid:durableId="1060253835">
    <w:abstractNumId w:val="3"/>
  </w:num>
  <w:num w:numId="37" w16cid:durableId="1222251804">
    <w:abstractNumId w:val="14"/>
  </w:num>
  <w:num w:numId="38" w16cid:durableId="1773667436">
    <w:abstractNumId w:val="21"/>
  </w:num>
  <w:num w:numId="39" w16cid:durableId="14135042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16048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09"/>
    <w:rsid w:val="000057BC"/>
    <w:rsid w:val="00011B7D"/>
    <w:rsid w:val="0001533B"/>
    <w:rsid w:val="00075432"/>
    <w:rsid w:val="000F5E56"/>
    <w:rsid w:val="00112E34"/>
    <w:rsid w:val="001362EE"/>
    <w:rsid w:val="001773DE"/>
    <w:rsid w:val="001832A6"/>
    <w:rsid w:val="00195C6E"/>
    <w:rsid w:val="001B266A"/>
    <w:rsid w:val="001B2926"/>
    <w:rsid w:val="001B7F27"/>
    <w:rsid w:val="001D3D56"/>
    <w:rsid w:val="00206809"/>
    <w:rsid w:val="00210096"/>
    <w:rsid w:val="00240654"/>
    <w:rsid w:val="002427DF"/>
    <w:rsid w:val="00262CF0"/>
    <w:rsid w:val="002634C4"/>
    <w:rsid w:val="00265E59"/>
    <w:rsid w:val="0029379C"/>
    <w:rsid w:val="002D4918"/>
    <w:rsid w:val="002E182B"/>
    <w:rsid w:val="002E4D1A"/>
    <w:rsid w:val="002F16BC"/>
    <w:rsid w:val="002F4E68"/>
    <w:rsid w:val="00307F40"/>
    <w:rsid w:val="00315FCA"/>
    <w:rsid w:val="00327509"/>
    <w:rsid w:val="003845C1"/>
    <w:rsid w:val="003A1BCD"/>
    <w:rsid w:val="003F52D7"/>
    <w:rsid w:val="004008A2"/>
    <w:rsid w:val="004025DF"/>
    <w:rsid w:val="00423E3E"/>
    <w:rsid w:val="00427AF4"/>
    <w:rsid w:val="004647DA"/>
    <w:rsid w:val="004658F1"/>
    <w:rsid w:val="00471D28"/>
    <w:rsid w:val="00477D6B"/>
    <w:rsid w:val="004D6471"/>
    <w:rsid w:val="004F2284"/>
    <w:rsid w:val="004F4E31"/>
    <w:rsid w:val="005040A4"/>
    <w:rsid w:val="00510669"/>
    <w:rsid w:val="00525B63"/>
    <w:rsid w:val="00547476"/>
    <w:rsid w:val="00561DB8"/>
    <w:rsid w:val="00562692"/>
    <w:rsid w:val="005652C9"/>
    <w:rsid w:val="00565F5B"/>
    <w:rsid w:val="005676BA"/>
    <w:rsid w:val="00567A4C"/>
    <w:rsid w:val="005908BF"/>
    <w:rsid w:val="00596148"/>
    <w:rsid w:val="005B5D43"/>
    <w:rsid w:val="005E6516"/>
    <w:rsid w:val="00605827"/>
    <w:rsid w:val="00606A8C"/>
    <w:rsid w:val="00663D09"/>
    <w:rsid w:val="006752A7"/>
    <w:rsid w:val="00676936"/>
    <w:rsid w:val="00687B89"/>
    <w:rsid w:val="006B0DB5"/>
    <w:rsid w:val="006B3229"/>
    <w:rsid w:val="006C0481"/>
    <w:rsid w:val="006E4243"/>
    <w:rsid w:val="00715B40"/>
    <w:rsid w:val="00743D89"/>
    <w:rsid w:val="007461F1"/>
    <w:rsid w:val="00790DC1"/>
    <w:rsid w:val="007A0DF0"/>
    <w:rsid w:val="007B2215"/>
    <w:rsid w:val="007D3443"/>
    <w:rsid w:val="007D6961"/>
    <w:rsid w:val="007F07CB"/>
    <w:rsid w:val="00810CEF"/>
    <w:rsid w:val="0081208D"/>
    <w:rsid w:val="00842A13"/>
    <w:rsid w:val="00855109"/>
    <w:rsid w:val="00891FB4"/>
    <w:rsid w:val="008B2CC1"/>
    <w:rsid w:val="008E7930"/>
    <w:rsid w:val="0090349F"/>
    <w:rsid w:val="0090731E"/>
    <w:rsid w:val="009134A0"/>
    <w:rsid w:val="00966A22"/>
    <w:rsid w:val="00974CD6"/>
    <w:rsid w:val="009C240D"/>
    <w:rsid w:val="009D30E6"/>
    <w:rsid w:val="009E3F6F"/>
    <w:rsid w:val="009E613B"/>
    <w:rsid w:val="009F499F"/>
    <w:rsid w:val="00A02BD3"/>
    <w:rsid w:val="00A10318"/>
    <w:rsid w:val="00A759E4"/>
    <w:rsid w:val="00A7656D"/>
    <w:rsid w:val="00A95F8F"/>
    <w:rsid w:val="00AA1F20"/>
    <w:rsid w:val="00AA342B"/>
    <w:rsid w:val="00AB7D15"/>
    <w:rsid w:val="00AC0AE4"/>
    <w:rsid w:val="00AD61DB"/>
    <w:rsid w:val="00B2298A"/>
    <w:rsid w:val="00B60949"/>
    <w:rsid w:val="00B8239B"/>
    <w:rsid w:val="00B87BCF"/>
    <w:rsid w:val="00BA62D4"/>
    <w:rsid w:val="00C249FA"/>
    <w:rsid w:val="00C3552C"/>
    <w:rsid w:val="00C40E15"/>
    <w:rsid w:val="00C63BC9"/>
    <w:rsid w:val="00C66173"/>
    <w:rsid w:val="00C664C8"/>
    <w:rsid w:val="00C728D1"/>
    <w:rsid w:val="00C76A79"/>
    <w:rsid w:val="00C90090"/>
    <w:rsid w:val="00CA15F5"/>
    <w:rsid w:val="00CF0460"/>
    <w:rsid w:val="00D45252"/>
    <w:rsid w:val="00D71B4D"/>
    <w:rsid w:val="00D75692"/>
    <w:rsid w:val="00D75C1E"/>
    <w:rsid w:val="00D93D55"/>
    <w:rsid w:val="00DB0349"/>
    <w:rsid w:val="00DD6A16"/>
    <w:rsid w:val="00E0091A"/>
    <w:rsid w:val="00E11ECE"/>
    <w:rsid w:val="00E203AA"/>
    <w:rsid w:val="00E238BC"/>
    <w:rsid w:val="00E527A5"/>
    <w:rsid w:val="00E64624"/>
    <w:rsid w:val="00E76456"/>
    <w:rsid w:val="00E862E4"/>
    <w:rsid w:val="00EB69D3"/>
    <w:rsid w:val="00EE25A6"/>
    <w:rsid w:val="00EE71CB"/>
    <w:rsid w:val="00F16975"/>
    <w:rsid w:val="00F66152"/>
    <w:rsid w:val="00F66968"/>
    <w:rsid w:val="00F86621"/>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C1811"/>
  <w15:docId w15:val="{86A48D9C-BFA0-47E8-9F46-3660A34A2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B40"/>
    <w:rPr>
      <w:rFonts w:ascii="Arial" w:eastAsia="SimSun" w:hAnsi="Arial" w:cs="Arial"/>
      <w:sz w:val="22"/>
      <w:lang w:eastAsia="zh-CN"/>
    </w:rPr>
  </w:style>
  <w:style w:type="paragraph" w:styleId="Heading1">
    <w:name w:val="heading 1"/>
    <w:basedOn w:val="Normal"/>
    <w:next w:val="Normal"/>
    <w:link w:val="Heading1Char"/>
    <w:uiPriority w:val="9"/>
    <w:qFormat/>
    <w:rsid w:val="002E182B"/>
    <w:pPr>
      <w:spacing w:after="360"/>
      <w:outlineLvl w:val="0"/>
    </w:pPr>
    <w:rPr>
      <w:b/>
      <w:bCs/>
      <w:color w:val="0F4761"/>
      <w:sz w:val="56"/>
      <w:szCs w:val="18"/>
      <w:lang w:val="fr-FR"/>
    </w:rPr>
  </w:style>
  <w:style w:type="paragraph" w:styleId="Heading2">
    <w:name w:val="heading 2"/>
    <w:basedOn w:val="Normal"/>
    <w:next w:val="Normal"/>
    <w:link w:val="Heading2Char"/>
    <w:uiPriority w:val="9"/>
    <w:qFormat/>
    <w:rsid w:val="009E613B"/>
    <w:pPr>
      <w:keepNext/>
      <w:spacing w:before="360" w:after="360"/>
      <w:jc w:val="center"/>
      <w:outlineLvl w:val="1"/>
    </w:pPr>
    <w:rPr>
      <w:b/>
      <w:iCs/>
      <w:sz w:val="28"/>
      <w:szCs w:val="28"/>
      <w:lang w:val="fr-FR"/>
    </w:rPr>
  </w:style>
  <w:style w:type="paragraph" w:styleId="Heading3">
    <w:name w:val="heading 3"/>
    <w:basedOn w:val="Normal"/>
    <w:next w:val="Normal"/>
    <w:link w:val="Heading3Char"/>
    <w:uiPriority w:val="9"/>
    <w:qFormat/>
    <w:rsid w:val="00AB7D15"/>
    <w:pPr>
      <w:keepNext/>
      <w:numPr>
        <w:numId w:val="40"/>
      </w:numPr>
      <w:tabs>
        <w:tab w:val="left" w:pos="567"/>
      </w:tabs>
      <w:spacing w:before="240" w:after="60"/>
      <w:ind w:left="567" w:hanging="567"/>
      <w:outlineLvl w:val="2"/>
    </w:pPr>
    <w:rPr>
      <w:b/>
      <w:sz w:val="28"/>
      <w:szCs w:val="28"/>
      <w:lang w:val="fr-FR"/>
    </w:rPr>
  </w:style>
  <w:style w:type="paragraph" w:styleId="Heading4">
    <w:name w:val="heading 4"/>
    <w:basedOn w:val="Heading2"/>
    <w:next w:val="Normal"/>
    <w:link w:val="Heading4Char"/>
    <w:uiPriority w:val="9"/>
    <w:qFormat/>
    <w:rsid w:val="000057BC"/>
    <w:pPr>
      <w:spacing w:before="240" w:after="120"/>
      <w:ind w:left="567"/>
      <w:jc w:val="left"/>
      <w:outlineLvl w:val="3"/>
    </w:pPr>
    <w:rPr>
      <w:sz w:val="24"/>
      <w:szCs w:val="24"/>
    </w:rPr>
  </w:style>
  <w:style w:type="paragraph" w:styleId="Heading5">
    <w:name w:val="heading 5"/>
    <w:basedOn w:val="Normal"/>
    <w:next w:val="Normal"/>
    <w:link w:val="Heading5Char"/>
    <w:uiPriority w:val="9"/>
    <w:unhideWhenUsed/>
    <w:qFormat/>
    <w:rsid w:val="00606A8C"/>
    <w:pPr>
      <w:spacing w:before="240" w:after="120"/>
      <w:ind w:left="567"/>
      <w:outlineLvl w:val="4"/>
    </w:pPr>
    <w:rPr>
      <w:b/>
      <w:bCs/>
      <w:i/>
      <w:iCs/>
      <w:sz w:val="24"/>
      <w:szCs w:val="22"/>
    </w:rPr>
  </w:style>
  <w:style w:type="paragraph" w:styleId="Heading6">
    <w:name w:val="heading 6"/>
    <w:basedOn w:val="Normal"/>
    <w:next w:val="Normal"/>
    <w:link w:val="Heading6Char"/>
    <w:uiPriority w:val="9"/>
    <w:unhideWhenUsed/>
    <w:qFormat/>
    <w:rsid w:val="00663D09"/>
    <w:pPr>
      <w:spacing w:after="60"/>
      <w:ind w:left="567"/>
      <w:outlineLvl w:val="5"/>
    </w:pPr>
    <w:rPr>
      <w:b/>
      <w:bCs/>
      <w:i/>
      <w:iCs/>
    </w:rPr>
  </w:style>
  <w:style w:type="paragraph" w:styleId="Heading7">
    <w:name w:val="heading 7"/>
    <w:basedOn w:val="Normal"/>
    <w:next w:val="Normal"/>
    <w:link w:val="Heading7Char"/>
    <w:uiPriority w:val="9"/>
    <w:semiHidden/>
    <w:unhideWhenUsed/>
    <w:qFormat/>
    <w:rsid w:val="00855109"/>
    <w:pPr>
      <w:keepNext/>
      <w:keepLines/>
      <w:spacing w:before="40" w:line="280" w:lineRule="exact"/>
      <w:outlineLvl w:val="6"/>
    </w:pPr>
    <w:rPr>
      <w:rFonts w:asciiTheme="minorHAnsi" w:eastAsiaTheme="majorEastAsia" w:hAnsiTheme="minorHAnsi" w:cstheme="majorBidi"/>
      <w:color w:val="595959" w:themeColor="text1" w:themeTint="A6"/>
      <w:kern w:val="2"/>
      <w:sz w:val="24"/>
      <w:szCs w:val="24"/>
      <w:lang w:val="fr-FR" w:eastAsia="en-US"/>
      <w14:ligatures w14:val="standardContextual"/>
    </w:rPr>
  </w:style>
  <w:style w:type="paragraph" w:styleId="Heading8">
    <w:name w:val="heading 8"/>
    <w:basedOn w:val="Normal"/>
    <w:next w:val="Normal"/>
    <w:link w:val="Heading8Char"/>
    <w:uiPriority w:val="9"/>
    <w:semiHidden/>
    <w:unhideWhenUsed/>
    <w:qFormat/>
    <w:rsid w:val="00855109"/>
    <w:pPr>
      <w:keepNext/>
      <w:keepLines/>
      <w:spacing w:line="280" w:lineRule="exact"/>
      <w:outlineLvl w:val="7"/>
    </w:pPr>
    <w:rPr>
      <w:rFonts w:asciiTheme="minorHAnsi" w:eastAsiaTheme="majorEastAsia" w:hAnsiTheme="minorHAnsi" w:cstheme="majorBidi"/>
      <w:i/>
      <w:iCs/>
      <w:color w:val="272727" w:themeColor="text1" w:themeTint="D8"/>
      <w:kern w:val="2"/>
      <w:sz w:val="24"/>
      <w:szCs w:val="24"/>
      <w:lang w:val="fr-FR" w:eastAsia="en-US"/>
      <w14:ligatures w14:val="standardContextual"/>
    </w:rPr>
  </w:style>
  <w:style w:type="paragraph" w:styleId="Heading9">
    <w:name w:val="heading 9"/>
    <w:basedOn w:val="Normal"/>
    <w:next w:val="Normal"/>
    <w:link w:val="Heading9Char"/>
    <w:uiPriority w:val="9"/>
    <w:semiHidden/>
    <w:unhideWhenUsed/>
    <w:qFormat/>
    <w:rsid w:val="00855109"/>
    <w:pPr>
      <w:keepNext/>
      <w:keepLines/>
      <w:spacing w:line="280" w:lineRule="exact"/>
      <w:outlineLvl w:val="8"/>
    </w:pPr>
    <w:rPr>
      <w:rFonts w:asciiTheme="minorHAnsi" w:eastAsiaTheme="majorEastAsia" w:hAnsiTheme="minorHAnsi" w:cstheme="majorBidi"/>
      <w:color w:val="272727" w:themeColor="text1" w:themeTint="D8"/>
      <w:kern w:val="2"/>
      <w:sz w:val="24"/>
      <w:szCs w:val="24"/>
      <w:lang w:val="fr-FR"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uiPriority w:val="35"/>
    <w:qFormat/>
    <w:rsid w:val="004025DF"/>
    <w:rPr>
      <w:b/>
      <w:bCs/>
      <w:sz w:val="18"/>
    </w:rPr>
  </w:style>
  <w:style w:type="paragraph" w:styleId="CommentText">
    <w:name w:val="annotation text"/>
    <w:basedOn w:val="Normal"/>
    <w:link w:val="CommentTextChar1"/>
    <w:uiPriority w:val="99"/>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855109"/>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rsid w:val="004025DF"/>
    <w:pPr>
      <w:ind w:left="5250"/>
    </w:pPr>
  </w:style>
  <w:style w:type="character" w:customStyle="1" w:styleId="Heading5Char">
    <w:name w:val="Heading 5 Char"/>
    <w:basedOn w:val="DefaultParagraphFont"/>
    <w:link w:val="Heading5"/>
    <w:uiPriority w:val="9"/>
    <w:rsid w:val="00606A8C"/>
    <w:rPr>
      <w:rFonts w:ascii="Arial" w:eastAsia="SimSun" w:hAnsi="Arial" w:cs="Arial"/>
      <w:b/>
      <w:bCs/>
      <w:i/>
      <w:iCs/>
      <w:sz w:val="24"/>
      <w:szCs w:val="22"/>
      <w:lang w:eastAsia="zh-CN"/>
    </w:rPr>
  </w:style>
  <w:style w:type="character" w:customStyle="1" w:styleId="Heading6Char">
    <w:name w:val="Heading 6 Char"/>
    <w:basedOn w:val="DefaultParagraphFont"/>
    <w:link w:val="Heading6"/>
    <w:uiPriority w:val="9"/>
    <w:rsid w:val="00663D09"/>
    <w:rPr>
      <w:rFonts w:ascii="Arial" w:eastAsia="SimSun" w:hAnsi="Arial" w:cs="Arial"/>
      <w:b/>
      <w:bCs/>
      <w:i/>
      <w:iCs/>
      <w:sz w:val="22"/>
      <w:lang w:eastAsia="zh-CN"/>
    </w:rPr>
  </w:style>
  <w:style w:type="character" w:customStyle="1" w:styleId="Heading7Char">
    <w:name w:val="Heading 7 Char"/>
    <w:basedOn w:val="DefaultParagraphFont"/>
    <w:link w:val="Heading7"/>
    <w:uiPriority w:val="9"/>
    <w:semiHidden/>
    <w:rsid w:val="00855109"/>
    <w:rPr>
      <w:rFonts w:asciiTheme="minorHAnsi" w:eastAsiaTheme="majorEastAsia" w:hAnsiTheme="minorHAnsi" w:cstheme="majorBidi"/>
      <w:color w:val="595959" w:themeColor="text1" w:themeTint="A6"/>
      <w:kern w:val="2"/>
      <w:sz w:val="24"/>
      <w:szCs w:val="24"/>
      <w:lang w:val="fr-FR" w:eastAsia="en-US"/>
      <w14:ligatures w14:val="standardContextual"/>
    </w:rPr>
  </w:style>
  <w:style w:type="character" w:customStyle="1" w:styleId="Heading8Char">
    <w:name w:val="Heading 8 Char"/>
    <w:basedOn w:val="DefaultParagraphFont"/>
    <w:link w:val="Heading8"/>
    <w:uiPriority w:val="9"/>
    <w:semiHidden/>
    <w:rsid w:val="00855109"/>
    <w:rPr>
      <w:rFonts w:asciiTheme="minorHAnsi" w:eastAsiaTheme="majorEastAsia" w:hAnsiTheme="minorHAnsi" w:cstheme="majorBidi"/>
      <w:i/>
      <w:iCs/>
      <w:color w:val="272727" w:themeColor="text1" w:themeTint="D8"/>
      <w:kern w:val="2"/>
      <w:sz w:val="24"/>
      <w:szCs w:val="24"/>
      <w:lang w:val="fr-FR" w:eastAsia="en-US"/>
      <w14:ligatures w14:val="standardContextual"/>
    </w:rPr>
  </w:style>
  <w:style w:type="character" w:customStyle="1" w:styleId="Heading9Char">
    <w:name w:val="Heading 9 Char"/>
    <w:basedOn w:val="DefaultParagraphFont"/>
    <w:link w:val="Heading9"/>
    <w:uiPriority w:val="9"/>
    <w:semiHidden/>
    <w:rsid w:val="00855109"/>
    <w:rPr>
      <w:rFonts w:asciiTheme="minorHAnsi" w:eastAsiaTheme="majorEastAsia" w:hAnsiTheme="minorHAnsi" w:cstheme="majorBidi"/>
      <w:color w:val="272727" w:themeColor="text1" w:themeTint="D8"/>
      <w:kern w:val="2"/>
      <w:sz w:val="24"/>
      <w:szCs w:val="24"/>
      <w:lang w:val="fr-FR" w:eastAsia="en-US"/>
      <w14:ligatures w14:val="standardContextual"/>
    </w:rPr>
  </w:style>
  <w:style w:type="character" w:customStyle="1" w:styleId="Heading1Char">
    <w:name w:val="Heading 1 Char"/>
    <w:basedOn w:val="DefaultParagraphFont"/>
    <w:link w:val="Heading1"/>
    <w:uiPriority w:val="9"/>
    <w:rsid w:val="002E182B"/>
    <w:rPr>
      <w:rFonts w:ascii="Arial" w:eastAsia="SimSun" w:hAnsi="Arial" w:cs="Arial"/>
      <w:b/>
      <w:bCs/>
      <w:color w:val="0F4761"/>
      <w:sz w:val="56"/>
      <w:szCs w:val="18"/>
      <w:lang w:val="fr-FR" w:eastAsia="zh-CN"/>
    </w:rPr>
  </w:style>
  <w:style w:type="character" w:customStyle="1" w:styleId="Heading2Char">
    <w:name w:val="Heading 2 Char"/>
    <w:basedOn w:val="DefaultParagraphFont"/>
    <w:link w:val="Heading2"/>
    <w:uiPriority w:val="9"/>
    <w:rsid w:val="009E613B"/>
    <w:rPr>
      <w:rFonts w:ascii="Arial" w:eastAsia="SimSun" w:hAnsi="Arial" w:cs="Arial"/>
      <w:b/>
      <w:iCs/>
      <w:sz w:val="28"/>
      <w:szCs w:val="28"/>
      <w:lang w:val="fr-FR" w:eastAsia="zh-CN"/>
    </w:rPr>
  </w:style>
  <w:style w:type="character" w:customStyle="1" w:styleId="Heading3Char">
    <w:name w:val="Heading 3 Char"/>
    <w:basedOn w:val="DefaultParagraphFont"/>
    <w:link w:val="Heading3"/>
    <w:uiPriority w:val="9"/>
    <w:rsid w:val="00AB7D15"/>
    <w:rPr>
      <w:rFonts w:ascii="Arial" w:eastAsia="SimSun" w:hAnsi="Arial" w:cs="Arial"/>
      <w:b/>
      <w:sz w:val="28"/>
      <w:szCs w:val="28"/>
      <w:lang w:val="fr-FR" w:eastAsia="zh-CN"/>
    </w:rPr>
  </w:style>
  <w:style w:type="character" w:customStyle="1" w:styleId="Heading4Char">
    <w:name w:val="Heading 4 Char"/>
    <w:basedOn w:val="DefaultParagraphFont"/>
    <w:link w:val="Heading4"/>
    <w:uiPriority w:val="9"/>
    <w:rsid w:val="000057BC"/>
    <w:rPr>
      <w:rFonts w:ascii="Arial" w:eastAsia="SimSun" w:hAnsi="Arial" w:cs="Arial"/>
      <w:b/>
      <w:iCs/>
      <w:sz w:val="24"/>
      <w:szCs w:val="24"/>
      <w:lang w:val="fr-FR" w:eastAsia="zh-CN"/>
    </w:rPr>
  </w:style>
  <w:style w:type="paragraph" w:styleId="Title">
    <w:name w:val="Title"/>
    <w:basedOn w:val="Normal"/>
    <w:next w:val="Normal"/>
    <w:link w:val="TitleChar"/>
    <w:uiPriority w:val="10"/>
    <w:qFormat/>
    <w:rsid w:val="00855109"/>
    <w:pPr>
      <w:spacing w:after="80"/>
      <w:contextualSpacing/>
    </w:pPr>
    <w:rPr>
      <w:rFonts w:asciiTheme="majorHAnsi" w:eastAsiaTheme="majorEastAsia" w:hAnsiTheme="majorHAnsi" w:cstheme="majorBidi"/>
      <w:spacing w:val="-10"/>
      <w:kern w:val="28"/>
      <w:sz w:val="56"/>
      <w:szCs w:val="56"/>
      <w:lang w:val="fr-FR" w:eastAsia="en-US"/>
      <w14:ligatures w14:val="standardContextual"/>
    </w:rPr>
  </w:style>
  <w:style w:type="character" w:customStyle="1" w:styleId="TitleChar">
    <w:name w:val="Title Char"/>
    <w:basedOn w:val="DefaultParagraphFont"/>
    <w:link w:val="Title"/>
    <w:uiPriority w:val="10"/>
    <w:rsid w:val="00855109"/>
    <w:rPr>
      <w:rFonts w:asciiTheme="majorHAnsi" w:eastAsiaTheme="majorEastAsia" w:hAnsiTheme="majorHAnsi" w:cstheme="majorBidi"/>
      <w:spacing w:val="-10"/>
      <w:kern w:val="28"/>
      <w:sz w:val="56"/>
      <w:szCs w:val="56"/>
      <w:lang w:val="fr-FR" w:eastAsia="en-US"/>
      <w14:ligatures w14:val="standardContextual"/>
    </w:rPr>
  </w:style>
  <w:style w:type="paragraph" w:styleId="Subtitle">
    <w:name w:val="Subtitle"/>
    <w:basedOn w:val="Normal"/>
    <w:next w:val="Normal"/>
    <w:link w:val="SubtitleChar"/>
    <w:uiPriority w:val="11"/>
    <w:qFormat/>
    <w:rsid w:val="00855109"/>
    <w:pPr>
      <w:numPr>
        <w:ilvl w:val="1"/>
      </w:numPr>
      <w:spacing w:after="120" w:line="280" w:lineRule="exact"/>
    </w:pPr>
    <w:rPr>
      <w:rFonts w:asciiTheme="minorHAnsi" w:eastAsiaTheme="majorEastAsia" w:hAnsiTheme="minorHAnsi" w:cstheme="majorBidi"/>
      <w:color w:val="595959" w:themeColor="text1" w:themeTint="A6"/>
      <w:spacing w:val="15"/>
      <w:kern w:val="2"/>
      <w:sz w:val="28"/>
      <w:szCs w:val="28"/>
      <w:lang w:val="fr-FR" w:eastAsia="en-US"/>
      <w14:ligatures w14:val="standardContextual"/>
    </w:rPr>
  </w:style>
  <w:style w:type="character" w:customStyle="1" w:styleId="SubtitleChar">
    <w:name w:val="Subtitle Char"/>
    <w:basedOn w:val="DefaultParagraphFont"/>
    <w:link w:val="Subtitle"/>
    <w:uiPriority w:val="11"/>
    <w:rsid w:val="00855109"/>
    <w:rPr>
      <w:rFonts w:asciiTheme="minorHAnsi" w:eastAsiaTheme="majorEastAsia" w:hAnsiTheme="minorHAnsi" w:cstheme="majorBidi"/>
      <w:color w:val="595959" w:themeColor="text1" w:themeTint="A6"/>
      <w:spacing w:val="15"/>
      <w:kern w:val="2"/>
      <w:sz w:val="28"/>
      <w:szCs w:val="28"/>
      <w:lang w:val="fr-FR" w:eastAsia="en-US"/>
      <w14:ligatures w14:val="standardContextual"/>
    </w:rPr>
  </w:style>
  <w:style w:type="paragraph" w:styleId="Quote">
    <w:name w:val="Quote"/>
    <w:basedOn w:val="Normal"/>
    <w:next w:val="Normal"/>
    <w:link w:val="QuoteChar"/>
    <w:uiPriority w:val="29"/>
    <w:qFormat/>
    <w:rsid w:val="00855109"/>
    <w:pPr>
      <w:spacing w:before="160" w:after="120" w:line="280" w:lineRule="exact"/>
      <w:jc w:val="center"/>
    </w:pPr>
    <w:rPr>
      <w:rFonts w:asciiTheme="minorHAnsi" w:eastAsiaTheme="minorHAnsi" w:hAnsiTheme="minorHAnsi" w:cstheme="minorBidi"/>
      <w:i/>
      <w:iCs/>
      <w:color w:val="404040" w:themeColor="text1" w:themeTint="BF"/>
      <w:kern w:val="2"/>
      <w:sz w:val="24"/>
      <w:szCs w:val="24"/>
      <w:lang w:val="fr-FR" w:eastAsia="en-US"/>
      <w14:ligatures w14:val="standardContextual"/>
    </w:rPr>
  </w:style>
  <w:style w:type="character" w:customStyle="1" w:styleId="QuoteChar">
    <w:name w:val="Quote Char"/>
    <w:basedOn w:val="DefaultParagraphFont"/>
    <w:link w:val="Quote"/>
    <w:uiPriority w:val="29"/>
    <w:rsid w:val="00855109"/>
    <w:rPr>
      <w:rFonts w:asciiTheme="minorHAnsi" w:eastAsiaTheme="minorHAnsi" w:hAnsiTheme="minorHAnsi" w:cstheme="minorBidi"/>
      <w:i/>
      <w:iCs/>
      <w:color w:val="404040" w:themeColor="text1" w:themeTint="BF"/>
      <w:kern w:val="2"/>
      <w:sz w:val="24"/>
      <w:szCs w:val="24"/>
      <w:lang w:val="fr-FR" w:eastAsia="en-US"/>
      <w14:ligatures w14:val="standardContextual"/>
    </w:rPr>
  </w:style>
  <w:style w:type="paragraph" w:styleId="ListParagraph">
    <w:name w:val="List Paragraph"/>
    <w:aliases w:val="Audit Paragraph,kepala"/>
    <w:basedOn w:val="Normal"/>
    <w:link w:val="ListParagraphChar"/>
    <w:uiPriority w:val="34"/>
    <w:qFormat/>
    <w:rsid w:val="000057BC"/>
    <w:pPr>
      <w:numPr>
        <w:numId w:val="9"/>
      </w:numPr>
      <w:tabs>
        <w:tab w:val="left" w:pos="1134"/>
      </w:tabs>
      <w:spacing w:after="120" w:line="280" w:lineRule="exact"/>
      <w:ind w:left="1134" w:hanging="567"/>
      <w:jc w:val="both"/>
    </w:pPr>
    <w:rPr>
      <w:rFonts w:eastAsiaTheme="minorHAnsi"/>
      <w:kern w:val="2"/>
      <w:szCs w:val="22"/>
      <w:lang w:val="fr-FR" w:eastAsia="en-US"/>
      <w14:ligatures w14:val="standardContextual"/>
    </w:rPr>
  </w:style>
  <w:style w:type="character" w:styleId="IntenseEmphasis">
    <w:name w:val="Intense Emphasis"/>
    <w:basedOn w:val="DefaultParagraphFont"/>
    <w:uiPriority w:val="21"/>
    <w:qFormat/>
    <w:rsid w:val="00855109"/>
    <w:rPr>
      <w:i/>
      <w:iCs/>
      <w:color w:val="365F91" w:themeColor="accent1" w:themeShade="BF"/>
    </w:rPr>
  </w:style>
  <w:style w:type="paragraph" w:styleId="IntenseQuote">
    <w:name w:val="Intense Quote"/>
    <w:basedOn w:val="Normal"/>
    <w:next w:val="Normal"/>
    <w:link w:val="IntenseQuoteChar"/>
    <w:uiPriority w:val="30"/>
    <w:qFormat/>
    <w:rsid w:val="00855109"/>
    <w:pPr>
      <w:pBdr>
        <w:top w:val="single" w:sz="4" w:space="10" w:color="365F91" w:themeColor="accent1" w:themeShade="BF"/>
        <w:bottom w:val="single" w:sz="4" w:space="10" w:color="365F91" w:themeColor="accent1" w:themeShade="BF"/>
      </w:pBdr>
      <w:spacing w:before="360" w:after="360" w:line="280" w:lineRule="exact"/>
      <w:ind w:left="864" w:right="864"/>
      <w:jc w:val="center"/>
    </w:pPr>
    <w:rPr>
      <w:rFonts w:asciiTheme="minorHAnsi" w:eastAsiaTheme="minorHAnsi" w:hAnsiTheme="minorHAnsi" w:cstheme="minorBidi"/>
      <w:i/>
      <w:iCs/>
      <w:color w:val="365F91" w:themeColor="accent1" w:themeShade="BF"/>
      <w:kern w:val="2"/>
      <w:sz w:val="24"/>
      <w:szCs w:val="24"/>
      <w:lang w:val="fr-FR" w:eastAsia="en-US"/>
      <w14:ligatures w14:val="standardContextual"/>
    </w:rPr>
  </w:style>
  <w:style w:type="character" w:customStyle="1" w:styleId="IntenseQuoteChar">
    <w:name w:val="Intense Quote Char"/>
    <w:basedOn w:val="DefaultParagraphFont"/>
    <w:link w:val="IntenseQuote"/>
    <w:uiPriority w:val="30"/>
    <w:rsid w:val="00855109"/>
    <w:rPr>
      <w:rFonts w:asciiTheme="minorHAnsi" w:eastAsiaTheme="minorHAnsi" w:hAnsiTheme="minorHAnsi" w:cstheme="minorBidi"/>
      <w:i/>
      <w:iCs/>
      <w:color w:val="365F91" w:themeColor="accent1" w:themeShade="BF"/>
      <w:kern w:val="2"/>
      <w:sz w:val="24"/>
      <w:szCs w:val="24"/>
      <w:lang w:val="fr-FR" w:eastAsia="en-US"/>
      <w14:ligatures w14:val="standardContextual"/>
    </w:rPr>
  </w:style>
  <w:style w:type="character" w:styleId="IntenseReference">
    <w:name w:val="Intense Reference"/>
    <w:basedOn w:val="DefaultParagraphFont"/>
    <w:uiPriority w:val="32"/>
    <w:qFormat/>
    <w:rsid w:val="00855109"/>
    <w:rPr>
      <w:b/>
      <w:bCs/>
      <w:smallCaps/>
      <w:color w:val="365F91" w:themeColor="accent1" w:themeShade="BF"/>
      <w:spacing w:val="5"/>
    </w:rPr>
  </w:style>
  <w:style w:type="table" w:styleId="TableGrid">
    <w:name w:val="Table Grid"/>
    <w:basedOn w:val="TableNormal"/>
    <w:uiPriority w:val="39"/>
    <w:rsid w:val="00855109"/>
    <w:rPr>
      <w:rFonts w:asciiTheme="minorHAnsi" w:eastAsiaTheme="minorHAnsi" w:hAnsiTheme="minorHAnsi" w:cstheme="minorBid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55109"/>
    <w:pPr>
      <w:spacing w:before="100" w:beforeAutospacing="1" w:after="100" w:afterAutospacing="1"/>
    </w:pPr>
    <w:rPr>
      <w:rFonts w:ascii="Times New Roman" w:eastAsia="Times New Roman" w:hAnsi="Times New Roman" w:cs="Times New Roman"/>
      <w:sz w:val="24"/>
      <w:szCs w:val="24"/>
      <w:lang w:val="fr-FR" w:eastAsia="en-GB"/>
    </w:rPr>
  </w:style>
  <w:style w:type="character" w:customStyle="1" w:styleId="normaltextrun">
    <w:name w:val="normaltextrun"/>
    <w:basedOn w:val="DefaultParagraphFont"/>
    <w:rsid w:val="00855109"/>
  </w:style>
  <w:style w:type="character" w:customStyle="1" w:styleId="eop">
    <w:name w:val="eop"/>
    <w:basedOn w:val="DefaultParagraphFont"/>
    <w:rsid w:val="00855109"/>
  </w:style>
  <w:style w:type="paragraph" w:customStyle="1" w:styleId="HeaderSatu">
    <w:name w:val="Header Satu"/>
    <w:basedOn w:val="ListParagraph"/>
    <w:qFormat/>
    <w:rsid w:val="00855109"/>
    <w:pPr>
      <w:numPr>
        <w:numId w:val="8"/>
      </w:numPr>
      <w:tabs>
        <w:tab w:val="num" w:pos="360"/>
      </w:tabs>
      <w:ind w:left="360"/>
    </w:pPr>
    <w:rPr>
      <w:rFonts w:ascii="Times New Roman" w:hAnsi="Times New Roman" w:cs="Times New Roman"/>
      <w:b/>
      <w:bCs/>
    </w:rPr>
  </w:style>
  <w:style w:type="paragraph" w:customStyle="1" w:styleId="HeaderDua">
    <w:name w:val="Header Dua"/>
    <w:basedOn w:val="ListParagraph"/>
    <w:qFormat/>
    <w:rsid w:val="00855109"/>
    <w:pPr>
      <w:ind w:left="0"/>
    </w:pPr>
    <w:rPr>
      <w:rFonts w:ascii="Times New Roman" w:hAnsi="Times New Roman" w:cs="Times New Roman"/>
      <w:b/>
    </w:rPr>
  </w:style>
  <w:style w:type="paragraph" w:customStyle="1" w:styleId="HeaderTiga">
    <w:name w:val="Header Tiga"/>
    <w:basedOn w:val="Normal"/>
    <w:qFormat/>
    <w:rsid w:val="00855109"/>
    <w:pPr>
      <w:spacing w:after="120" w:line="280" w:lineRule="exact"/>
    </w:pPr>
    <w:rPr>
      <w:rFonts w:ascii="Times New Roman" w:eastAsiaTheme="minorHAnsi" w:hAnsi="Times New Roman" w:cs="Times New Roman"/>
      <w:b/>
      <w:bCs/>
      <w:i/>
      <w:iCs/>
      <w:kern w:val="2"/>
      <w:szCs w:val="22"/>
      <w:lang w:val="fr-FR" w:eastAsia="en-US"/>
      <w14:ligatures w14:val="standardContextual"/>
    </w:rPr>
  </w:style>
  <w:style w:type="paragraph" w:styleId="Revision">
    <w:name w:val="Revision"/>
    <w:hidden/>
    <w:uiPriority w:val="99"/>
    <w:semiHidden/>
    <w:rsid w:val="00855109"/>
    <w:rPr>
      <w:rFonts w:asciiTheme="minorHAnsi" w:eastAsiaTheme="minorHAnsi" w:hAnsiTheme="minorHAnsi" w:cstheme="minorBidi"/>
      <w:kern w:val="2"/>
      <w:sz w:val="24"/>
      <w:szCs w:val="24"/>
      <w:lang w:val="fr-FR" w:eastAsia="en-US"/>
      <w14:ligatures w14:val="standardContextual"/>
    </w:rPr>
  </w:style>
  <w:style w:type="character" w:customStyle="1" w:styleId="ListParagraphChar">
    <w:name w:val="List Paragraph Char"/>
    <w:aliases w:val="Audit Paragraph Char,kepala Char"/>
    <w:basedOn w:val="DefaultParagraphFont"/>
    <w:link w:val="ListParagraph"/>
    <w:uiPriority w:val="34"/>
    <w:qFormat/>
    <w:rsid w:val="000057BC"/>
    <w:rPr>
      <w:rFonts w:ascii="Arial" w:eastAsiaTheme="minorHAnsi" w:hAnsi="Arial" w:cs="Arial"/>
      <w:kern w:val="2"/>
      <w:sz w:val="22"/>
      <w:szCs w:val="22"/>
      <w:lang w:val="fr-FR" w:eastAsia="en-US"/>
      <w14:ligatures w14:val="standardContextual"/>
    </w:rPr>
  </w:style>
  <w:style w:type="paragraph" w:styleId="TOC3">
    <w:name w:val="toc 3"/>
    <w:basedOn w:val="Normal"/>
    <w:next w:val="Normal"/>
    <w:uiPriority w:val="39"/>
    <w:unhideWhenUsed/>
    <w:qFormat/>
    <w:rsid w:val="00565F5B"/>
    <w:pPr>
      <w:tabs>
        <w:tab w:val="left" w:pos="567"/>
        <w:tab w:val="right" w:leader="dot" w:pos="9072"/>
      </w:tabs>
      <w:spacing w:before="60" w:after="60" w:line="280" w:lineRule="exact"/>
      <w:ind w:left="1134" w:right="851" w:hanging="567"/>
    </w:pPr>
    <w:rPr>
      <w:rFonts w:eastAsiaTheme="minorHAnsi" w:cstheme="minorBidi"/>
      <w:b/>
      <w:color w:val="000000" w:themeColor="text1"/>
      <w:kern w:val="2"/>
      <w:lang w:val="fr-FR" w:eastAsia="en-US"/>
      <w14:ligatures w14:val="standardContextual"/>
    </w:rPr>
  </w:style>
  <w:style w:type="table" w:styleId="GridTable2">
    <w:name w:val="Grid Table 2"/>
    <w:basedOn w:val="TableNormal"/>
    <w:uiPriority w:val="47"/>
    <w:rsid w:val="00855109"/>
    <w:rPr>
      <w:rFonts w:asciiTheme="minorHAnsi" w:eastAsiaTheme="minorHAnsi" w:hAnsiTheme="minorHAnsi" w:cstheme="minorBidi"/>
      <w:kern w:val="2"/>
      <w:sz w:val="24"/>
      <w:szCs w:val="24"/>
      <w:lang w:val="fr-FR" w:eastAsia="en-US"/>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55109"/>
    <w:rPr>
      <w:rFonts w:asciiTheme="minorHAnsi" w:eastAsiaTheme="minorHAnsi" w:hAnsiTheme="minorHAnsi" w:cstheme="minorBidi"/>
      <w:kern w:val="2"/>
      <w:sz w:val="24"/>
      <w:szCs w:val="24"/>
      <w:lang w:val="fr-FR"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
    <w:name w:val="List Table 1 Light"/>
    <w:basedOn w:val="TableNormal"/>
    <w:uiPriority w:val="46"/>
    <w:rsid w:val="00855109"/>
    <w:rPr>
      <w:rFonts w:asciiTheme="minorHAnsi" w:eastAsiaTheme="minorHAnsi" w:hAnsiTheme="minorHAnsi" w:cstheme="minorBidi"/>
      <w:kern w:val="2"/>
      <w:sz w:val="24"/>
      <w:szCs w:val="24"/>
      <w:lang w:val="fr-FR" w:eastAsia="en-US"/>
      <w14:ligatures w14:val="standardContextu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55109"/>
    <w:rPr>
      <w:rFonts w:asciiTheme="minorHAnsi" w:eastAsiaTheme="minorHAnsi" w:hAnsiTheme="minorHAnsi" w:cstheme="minorBidi"/>
      <w:kern w:val="2"/>
      <w:sz w:val="24"/>
      <w:szCs w:val="24"/>
      <w:lang w:val="fr-FR" w:eastAsia="en-US"/>
      <w14:ligatures w14:val="standardContextua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4">
    <w:name w:val="List Table 1 Light Accent 4"/>
    <w:basedOn w:val="TableNormal"/>
    <w:uiPriority w:val="46"/>
    <w:rsid w:val="00855109"/>
    <w:rPr>
      <w:rFonts w:asciiTheme="minorHAnsi" w:eastAsiaTheme="minorHAnsi" w:hAnsiTheme="minorHAnsi" w:cstheme="minorBidi"/>
      <w:kern w:val="2"/>
      <w:sz w:val="24"/>
      <w:szCs w:val="24"/>
      <w:lang w:val="fr-FR" w:eastAsia="en-US"/>
      <w14:ligatures w14:val="standardContextual"/>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
    <w:name w:val="List Table 6 Colorful"/>
    <w:basedOn w:val="TableNormal"/>
    <w:uiPriority w:val="51"/>
    <w:rsid w:val="00855109"/>
    <w:rPr>
      <w:rFonts w:asciiTheme="minorHAnsi" w:eastAsiaTheme="minorHAnsi" w:hAnsiTheme="minorHAnsi" w:cstheme="minorBidi"/>
      <w:color w:val="000000" w:themeColor="text1"/>
      <w:kern w:val="2"/>
      <w:sz w:val="24"/>
      <w:szCs w:val="24"/>
      <w:lang w:val="fr-FR" w:eastAsia="en-US"/>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855109"/>
    <w:pPr>
      <w:spacing w:before="100" w:beforeAutospacing="1" w:after="100" w:afterAutospacing="1"/>
    </w:pPr>
    <w:rPr>
      <w:rFonts w:ascii="Times New Roman" w:eastAsia="Times New Roman" w:hAnsi="Times New Roman" w:cs="Times New Roman"/>
      <w:sz w:val="24"/>
      <w:szCs w:val="24"/>
      <w:lang w:val="fr-FR" w:eastAsia="en-US"/>
    </w:rPr>
  </w:style>
  <w:style w:type="paragraph" w:styleId="BalloonText">
    <w:name w:val="Balloon Text"/>
    <w:basedOn w:val="Normal"/>
    <w:link w:val="BalloonTextChar"/>
    <w:uiPriority w:val="99"/>
    <w:semiHidden/>
    <w:unhideWhenUsed/>
    <w:rsid w:val="00855109"/>
    <w:rPr>
      <w:rFonts w:ascii="Segoe UI" w:eastAsiaTheme="minorHAnsi" w:hAnsi="Segoe UI" w:cs="Segoe UI"/>
      <w:kern w:val="2"/>
      <w:sz w:val="18"/>
      <w:szCs w:val="18"/>
      <w:lang w:val="fr-FR" w:eastAsia="en-US"/>
      <w14:ligatures w14:val="standardContextual"/>
    </w:rPr>
  </w:style>
  <w:style w:type="character" w:customStyle="1" w:styleId="BalloonTextChar">
    <w:name w:val="Balloon Text Char"/>
    <w:basedOn w:val="DefaultParagraphFont"/>
    <w:link w:val="BalloonText"/>
    <w:uiPriority w:val="99"/>
    <w:semiHidden/>
    <w:rsid w:val="00855109"/>
    <w:rPr>
      <w:rFonts w:ascii="Segoe UI" w:eastAsiaTheme="minorHAnsi" w:hAnsi="Segoe UI" w:cs="Segoe UI"/>
      <w:kern w:val="2"/>
      <w:sz w:val="18"/>
      <w:szCs w:val="18"/>
      <w:lang w:val="fr-FR" w:eastAsia="en-US"/>
      <w14:ligatures w14:val="standardContextual"/>
    </w:rPr>
  </w:style>
  <w:style w:type="paragraph" w:styleId="TOCHeading">
    <w:name w:val="TOC Heading"/>
    <w:basedOn w:val="Heading1"/>
    <w:next w:val="Normal"/>
    <w:uiPriority w:val="39"/>
    <w:unhideWhenUsed/>
    <w:qFormat/>
    <w:rsid w:val="00855109"/>
    <w:pPr>
      <w:keepLines/>
      <w:spacing w:before="480" w:after="0" w:line="276" w:lineRule="auto"/>
      <w:outlineLvl w:val="9"/>
    </w:pPr>
    <w:rPr>
      <w:rFonts w:ascii="Times New Roman" w:eastAsiaTheme="majorEastAsia" w:hAnsi="Times New Roman" w:cstheme="majorBidi"/>
      <w:b w:val="0"/>
      <w:caps/>
      <w:color w:val="000000" w:themeColor="text1"/>
      <w:sz w:val="28"/>
      <w:szCs w:val="28"/>
      <w:lang w:eastAsia="en-US"/>
    </w:rPr>
  </w:style>
  <w:style w:type="paragraph" w:styleId="TOC1">
    <w:name w:val="toc 1"/>
    <w:basedOn w:val="Normal"/>
    <w:next w:val="Normal"/>
    <w:autoRedefine/>
    <w:uiPriority w:val="39"/>
    <w:unhideWhenUsed/>
    <w:rsid w:val="00565F5B"/>
    <w:pPr>
      <w:tabs>
        <w:tab w:val="left" w:pos="1134"/>
        <w:tab w:val="right" w:leader="dot" w:pos="9072"/>
      </w:tabs>
      <w:spacing w:before="60" w:after="60" w:line="280" w:lineRule="exact"/>
      <w:ind w:left="567"/>
      <w:jc w:val="both"/>
    </w:pPr>
    <w:rPr>
      <w:rFonts w:eastAsiaTheme="minorHAnsi" w:cs="Times New Roman"/>
      <w:b/>
      <w:bCs/>
      <w:iCs/>
      <w:noProof/>
      <w:kern w:val="2"/>
      <w:szCs w:val="22"/>
      <w:lang w:val="fr-FR" w:eastAsia="en-US"/>
      <w14:ligatures w14:val="standardContextual"/>
    </w:rPr>
  </w:style>
  <w:style w:type="paragraph" w:styleId="TOC2">
    <w:name w:val="toc 2"/>
    <w:basedOn w:val="Normal"/>
    <w:next w:val="Normal"/>
    <w:autoRedefine/>
    <w:uiPriority w:val="39"/>
    <w:unhideWhenUsed/>
    <w:rsid w:val="00565F5B"/>
    <w:pPr>
      <w:tabs>
        <w:tab w:val="right" w:leader="dot" w:pos="9072"/>
      </w:tabs>
      <w:spacing w:before="60" w:after="60" w:line="280" w:lineRule="exact"/>
      <w:ind w:left="567"/>
    </w:pPr>
    <w:rPr>
      <w:rFonts w:eastAsiaTheme="minorHAnsi"/>
      <w:b/>
      <w:bCs/>
      <w:noProof/>
      <w:color w:val="000000" w:themeColor="text1"/>
      <w:kern w:val="2"/>
      <w:lang w:val="fr-FR" w:eastAsia="en-US"/>
      <w14:ligatures w14:val="standardContextual"/>
    </w:rPr>
  </w:style>
  <w:style w:type="character" w:styleId="Hyperlink">
    <w:name w:val="Hyperlink"/>
    <w:basedOn w:val="DefaultParagraphFont"/>
    <w:uiPriority w:val="99"/>
    <w:unhideWhenUsed/>
    <w:rsid w:val="00855109"/>
    <w:rPr>
      <w:color w:val="0000FF" w:themeColor="hyperlink"/>
      <w:u w:val="single"/>
    </w:rPr>
  </w:style>
  <w:style w:type="paragraph" w:styleId="TOC4">
    <w:name w:val="toc 4"/>
    <w:basedOn w:val="Normal"/>
    <w:next w:val="Normal"/>
    <w:autoRedefine/>
    <w:uiPriority w:val="39"/>
    <w:unhideWhenUsed/>
    <w:rsid w:val="00565F5B"/>
    <w:pPr>
      <w:tabs>
        <w:tab w:val="right" w:leader="dot" w:pos="9072"/>
      </w:tabs>
      <w:ind w:left="1418"/>
    </w:pPr>
    <w:rPr>
      <w:rFonts w:eastAsiaTheme="minorHAnsi" w:cstheme="minorBidi"/>
      <w:kern w:val="2"/>
      <w:lang w:val="fr-FR" w:eastAsia="en-US"/>
      <w14:ligatures w14:val="standardContextual"/>
    </w:rPr>
  </w:style>
  <w:style w:type="paragraph" w:styleId="TOC5">
    <w:name w:val="toc 5"/>
    <w:basedOn w:val="Normal"/>
    <w:next w:val="Normal"/>
    <w:autoRedefine/>
    <w:uiPriority w:val="39"/>
    <w:unhideWhenUsed/>
    <w:rsid w:val="00565F5B"/>
    <w:pPr>
      <w:tabs>
        <w:tab w:val="right" w:leader="dot" w:pos="9072"/>
        <w:tab w:val="right" w:leader="dot" w:pos="9345"/>
      </w:tabs>
      <w:ind w:left="1985" w:right="851"/>
    </w:pPr>
    <w:rPr>
      <w:rFonts w:eastAsiaTheme="minorHAnsi" w:cstheme="minorBidi"/>
      <w:i/>
      <w:kern w:val="2"/>
      <w:lang w:val="fr-FR" w:eastAsia="en-US"/>
      <w14:ligatures w14:val="standardContextual"/>
    </w:rPr>
  </w:style>
  <w:style w:type="paragraph" w:styleId="TOC6">
    <w:name w:val="toc 6"/>
    <w:basedOn w:val="Normal"/>
    <w:next w:val="Normal"/>
    <w:autoRedefine/>
    <w:uiPriority w:val="39"/>
    <w:semiHidden/>
    <w:unhideWhenUsed/>
    <w:rsid w:val="00855109"/>
    <w:pPr>
      <w:spacing w:line="280" w:lineRule="exact"/>
      <w:ind w:left="1200"/>
    </w:pPr>
    <w:rPr>
      <w:rFonts w:asciiTheme="minorHAnsi" w:eastAsiaTheme="minorHAnsi" w:hAnsiTheme="minorHAnsi" w:cstheme="minorBidi"/>
      <w:kern w:val="2"/>
      <w:sz w:val="20"/>
      <w:lang w:val="fr-FR" w:eastAsia="en-US"/>
      <w14:ligatures w14:val="standardContextual"/>
    </w:rPr>
  </w:style>
  <w:style w:type="paragraph" w:styleId="TOC7">
    <w:name w:val="toc 7"/>
    <w:basedOn w:val="Normal"/>
    <w:next w:val="Normal"/>
    <w:autoRedefine/>
    <w:uiPriority w:val="39"/>
    <w:semiHidden/>
    <w:unhideWhenUsed/>
    <w:rsid w:val="00855109"/>
    <w:pPr>
      <w:spacing w:line="280" w:lineRule="exact"/>
      <w:ind w:left="1440"/>
    </w:pPr>
    <w:rPr>
      <w:rFonts w:asciiTheme="minorHAnsi" w:eastAsiaTheme="minorHAnsi" w:hAnsiTheme="minorHAnsi" w:cstheme="minorBidi"/>
      <w:kern w:val="2"/>
      <w:sz w:val="20"/>
      <w:lang w:val="fr-FR" w:eastAsia="en-US"/>
      <w14:ligatures w14:val="standardContextual"/>
    </w:rPr>
  </w:style>
  <w:style w:type="paragraph" w:styleId="TOC8">
    <w:name w:val="toc 8"/>
    <w:basedOn w:val="Normal"/>
    <w:next w:val="Normal"/>
    <w:autoRedefine/>
    <w:uiPriority w:val="39"/>
    <w:semiHidden/>
    <w:unhideWhenUsed/>
    <w:rsid w:val="00855109"/>
    <w:pPr>
      <w:spacing w:line="280" w:lineRule="exact"/>
      <w:ind w:left="1680"/>
    </w:pPr>
    <w:rPr>
      <w:rFonts w:asciiTheme="minorHAnsi" w:eastAsiaTheme="minorHAnsi" w:hAnsiTheme="minorHAnsi" w:cstheme="minorBidi"/>
      <w:kern w:val="2"/>
      <w:sz w:val="20"/>
      <w:lang w:val="fr-FR" w:eastAsia="en-US"/>
      <w14:ligatures w14:val="standardContextual"/>
    </w:rPr>
  </w:style>
  <w:style w:type="paragraph" w:styleId="TOC9">
    <w:name w:val="toc 9"/>
    <w:basedOn w:val="Normal"/>
    <w:next w:val="Normal"/>
    <w:autoRedefine/>
    <w:uiPriority w:val="39"/>
    <w:semiHidden/>
    <w:unhideWhenUsed/>
    <w:rsid w:val="00855109"/>
    <w:pPr>
      <w:spacing w:line="280" w:lineRule="exact"/>
      <w:ind w:left="1920"/>
    </w:pPr>
    <w:rPr>
      <w:rFonts w:asciiTheme="minorHAnsi" w:eastAsiaTheme="minorHAnsi" w:hAnsiTheme="minorHAnsi" w:cstheme="minorBidi"/>
      <w:kern w:val="2"/>
      <w:sz w:val="20"/>
      <w:lang w:val="fr-FR" w:eastAsia="en-US"/>
      <w14:ligatures w14:val="standardContextual"/>
    </w:rPr>
  </w:style>
  <w:style w:type="paragraph" w:styleId="TableofFigures">
    <w:name w:val="table of figures"/>
    <w:basedOn w:val="Normal"/>
    <w:next w:val="Normal"/>
    <w:uiPriority w:val="99"/>
    <w:unhideWhenUsed/>
    <w:rsid w:val="00855109"/>
    <w:pPr>
      <w:spacing w:line="280" w:lineRule="exact"/>
    </w:pPr>
    <w:rPr>
      <w:rFonts w:ascii="Times New Roman" w:eastAsiaTheme="minorHAnsi" w:hAnsi="Times New Roman" w:cstheme="minorBidi"/>
      <w:color w:val="000000" w:themeColor="text1"/>
      <w:kern w:val="2"/>
      <w:szCs w:val="24"/>
      <w:lang w:val="fr-FR" w:eastAsia="en-US"/>
      <w14:ligatures w14:val="standardContextual"/>
    </w:rPr>
  </w:style>
  <w:style w:type="character" w:customStyle="1" w:styleId="HeaderChar">
    <w:name w:val="Header Char"/>
    <w:basedOn w:val="DefaultParagraphFont"/>
    <w:link w:val="Header"/>
    <w:uiPriority w:val="99"/>
    <w:rsid w:val="00855109"/>
    <w:rPr>
      <w:rFonts w:ascii="Arial" w:eastAsia="SimSun" w:hAnsi="Arial" w:cs="Arial"/>
      <w:sz w:val="22"/>
      <w:lang w:eastAsia="zh-CN"/>
    </w:rPr>
  </w:style>
  <w:style w:type="character" w:customStyle="1" w:styleId="FooterChar">
    <w:name w:val="Footer Char"/>
    <w:basedOn w:val="DefaultParagraphFont"/>
    <w:link w:val="Footer"/>
    <w:uiPriority w:val="99"/>
    <w:rsid w:val="00855109"/>
    <w:rPr>
      <w:rFonts w:ascii="Arial" w:eastAsia="SimSun" w:hAnsi="Arial" w:cs="Arial"/>
      <w:sz w:val="22"/>
      <w:lang w:eastAsia="zh-CN"/>
    </w:rPr>
  </w:style>
  <w:style w:type="character" w:styleId="PageNumber">
    <w:name w:val="page number"/>
    <w:basedOn w:val="DefaultParagraphFont"/>
    <w:uiPriority w:val="99"/>
    <w:semiHidden/>
    <w:unhideWhenUsed/>
    <w:rsid w:val="00855109"/>
  </w:style>
  <w:style w:type="character" w:styleId="FollowedHyperlink">
    <w:name w:val="FollowedHyperlink"/>
    <w:basedOn w:val="DefaultParagraphFont"/>
    <w:uiPriority w:val="99"/>
    <w:semiHidden/>
    <w:unhideWhenUsed/>
    <w:rsid w:val="00855109"/>
    <w:rPr>
      <w:color w:val="800080" w:themeColor="followedHyperlink"/>
      <w:u w:val="single"/>
    </w:rPr>
  </w:style>
  <w:style w:type="character" w:styleId="CommentReference">
    <w:name w:val="annotation reference"/>
    <w:basedOn w:val="DefaultParagraphFont"/>
    <w:uiPriority w:val="99"/>
    <w:semiHidden/>
    <w:unhideWhenUsed/>
    <w:rsid w:val="00855109"/>
    <w:rPr>
      <w:sz w:val="16"/>
      <w:szCs w:val="16"/>
    </w:rPr>
  </w:style>
  <w:style w:type="character" w:customStyle="1" w:styleId="CommentTextChar">
    <w:name w:val="Comment Text Char"/>
    <w:basedOn w:val="DefaultParagraphFont"/>
    <w:uiPriority w:val="99"/>
    <w:rsid w:val="00855109"/>
    <w:rPr>
      <w:sz w:val="20"/>
      <w:szCs w:val="20"/>
    </w:rPr>
  </w:style>
  <w:style w:type="paragraph" w:styleId="CommentSubject">
    <w:name w:val="annotation subject"/>
    <w:basedOn w:val="CommentText"/>
    <w:next w:val="CommentText"/>
    <w:link w:val="CommentSubjectChar"/>
    <w:uiPriority w:val="99"/>
    <w:semiHidden/>
    <w:unhideWhenUsed/>
    <w:rsid w:val="00855109"/>
    <w:pPr>
      <w:spacing w:after="120"/>
    </w:pPr>
    <w:rPr>
      <w:rFonts w:asciiTheme="minorHAnsi" w:eastAsiaTheme="minorHAnsi" w:hAnsiTheme="minorHAnsi" w:cstheme="minorBidi"/>
      <w:b/>
      <w:bCs/>
      <w:kern w:val="2"/>
      <w:sz w:val="20"/>
      <w:lang w:val="fr-FR" w:eastAsia="en-US"/>
      <w14:ligatures w14:val="standardContextual"/>
    </w:rPr>
  </w:style>
  <w:style w:type="character" w:customStyle="1" w:styleId="CommentTextChar1">
    <w:name w:val="Comment Text Char1"/>
    <w:basedOn w:val="DefaultParagraphFont"/>
    <w:link w:val="CommentText"/>
    <w:uiPriority w:val="99"/>
    <w:rsid w:val="00855109"/>
    <w:rPr>
      <w:rFonts w:ascii="Arial" w:eastAsia="SimSun" w:hAnsi="Arial" w:cs="Arial"/>
      <w:sz w:val="18"/>
      <w:lang w:eastAsia="zh-CN"/>
    </w:rPr>
  </w:style>
  <w:style w:type="character" w:customStyle="1" w:styleId="CommentSubjectChar">
    <w:name w:val="Comment Subject Char"/>
    <w:basedOn w:val="CommentTextChar1"/>
    <w:link w:val="CommentSubject"/>
    <w:uiPriority w:val="99"/>
    <w:semiHidden/>
    <w:rsid w:val="00855109"/>
    <w:rPr>
      <w:rFonts w:asciiTheme="minorHAnsi" w:eastAsiaTheme="minorHAnsi" w:hAnsiTheme="minorHAnsi" w:cstheme="minorBidi"/>
      <w:b/>
      <w:bCs/>
      <w:kern w:val="2"/>
      <w:sz w:val="18"/>
      <w:lang w:val="fr-FR" w:eastAsia="en-US"/>
      <w14:ligatures w14:val="standardContextual"/>
    </w:rPr>
  </w:style>
  <w:style w:type="character" w:styleId="SubtleReference">
    <w:name w:val="Subtle Reference"/>
    <w:basedOn w:val="DefaultParagraphFont"/>
    <w:uiPriority w:val="31"/>
    <w:qFormat/>
    <w:rsid w:val="00855109"/>
    <w:rPr>
      <w:smallCaps/>
      <w:color w:val="595959" w:themeColor="text1" w:themeTint="A6"/>
      <w:u w:val="none" w:color="7F7F7F" w:themeColor="text1" w:themeTint="8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66 (F).dotm</Template>
  <TotalTime>38</TotalTime>
  <Pages>42</Pages>
  <Words>13607</Words>
  <Characters>81270</Characters>
  <Application>Microsoft Office Word</Application>
  <DocSecurity>0</DocSecurity>
  <Lines>677</Lines>
  <Paragraphs>189</Paragraphs>
  <ScaleCrop>false</ScaleCrop>
  <HeadingPairs>
    <vt:vector size="2" baseType="variant">
      <vt:variant>
        <vt:lpstr>Title</vt:lpstr>
      </vt:variant>
      <vt:variant>
        <vt:i4>1</vt:i4>
      </vt:variant>
    </vt:vector>
  </HeadingPairs>
  <TitlesOfParts>
    <vt:vector size="1" baseType="lpstr">
      <vt:lpstr>A/66/6</vt:lpstr>
    </vt:vector>
  </TitlesOfParts>
  <Company>WIPO</Company>
  <LinksUpToDate>false</LinksUpToDate>
  <CharactersWithSpaces>94688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A/66/6</dc:title>
  <dc:subject>WO/PBC/39/4</dc:subject>
  <dc:creator>WIPO</dc:creator>
  <cp:keywords>FOR OFFICIAL USE ONLY</cp:keywords>
  <cp:lastModifiedBy>RUSSO Antonella</cp:lastModifiedBy>
  <cp:revision>7</cp:revision>
  <cp:lastPrinted>2025-06-11T15:43:00Z</cp:lastPrinted>
  <dcterms:created xsi:type="dcterms:W3CDTF">2025-05-26T15:04:00Z</dcterms:created>
  <dcterms:modified xsi:type="dcterms:W3CDTF">2025-06-11T15:43:00Z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ies>
</file>