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E4C00" w:rsidRDefault="00DB0349" w:rsidP="007115E7">
      <w:pPr>
        <w:spacing w:after="120"/>
        <w:jc w:val="right"/>
        <w:rPr>
          <w:lang w:val="fr-FR"/>
        </w:rPr>
      </w:pPr>
      <w:bookmarkStart w:id="0" w:name="_GoBack"/>
      <w:bookmarkEnd w:id="0"/>
      <w:r w:rsidRPr="001E4C00">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E4C0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BA69E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E4C00" w:rsidRDefault="00F66968" w:rsidP="007115E7">
      <w:pPr>
        <w:jc w:val="right"/>
        <w:rPr>
          <w:rFonts w:ascii="Arial Black" w:hAnsi="Arial Black"/>
          <w:caps/>
          <w:sz w:val="15"/>
          <w:szCs w:val="15"/>
          <w:lang w:val="fr-FR"/>
        </w:rPr>
      </w:pPr>
      <w:r w:rsidRPr="001E4C00">
        <w:rPr>
          <w:rFonts w:ascii="Arial Black" w:hAnsi="Arial Black"/>
          <w:caps/>
          <w:sz w:val="15"/>
          <w:szCs w:val="15"/>
          <w:lang w:val="fr-FR"/>
        </w:rPr>
        <w:t>A/64/</w:t>
      </w:r>
      <w:bookmarkStart w:id="1" w:name="Code"/>
      <w:r w:rsidR="001957C8" w:rsidRPr="001E4C00">
        <w:rPr>
          <w:rFonts w:ascii="Arial Black" w:hAnsi="Arial Black"/>
          <w:caps/>
          <w:sz w:val="15"/>
          <w:szCs w:val="15"/>
          <w:lang w:val="fr-FR"/>
        </w:rPr>
        <w:t>8</w:t>
      </w:r>
    </w:p>
    <w:bookmarkEnd w:id="1"/>
    <w:p w:rsidR="008B2CC1" w:rsidRPr="001E4C00" w:rsidRDefault="00DB0349" w:rsidP="007115E7">
      <w:pPr>
        <w:jc w:val="right"/>
        <w:rPr>
          <w:rFonts w:ascii="Arial Black" w:hAnsi="Arial Black"/>
          <w:caps/>
          <w:sz w:val="15"/>
          <w:szCs w:val="15"/>
          <w:lang w:val="fr-FR"/>
        </w:rPr>
      </w:pPr>
      <w:r w:rsidRPr="001E4C00">
        <w:rPr>
          <w:rFonts w:ascii="Arial Black" w:hAnsi="Arial Black"/>
          <w:caps/>
          <w:sz w:val="15"/>
          <w:szCs w:val="15"/>
          <w:lang w:val="fr-FR"/>
        </w:rPr>
        <w:t>Original</w:t>
      </w:r>
      <w:r w:rsidR="008F70DE" w:rsidRPr="001E4C00">
        <w:rPr>
          <w:rFonts w:ascii="Arial Black" w:hAnsi="Arial Black"/>
          <w:caps/>
          <w:sz w:val="15"/>
          <w:szCs w:val="15"/>
          <w:lang w:val="fr-FR"/>
        </w:rPr>
        <w:t> :</w:t>
      </w:r>
      <w:r w:rsidRPr="001E4C00">
        <w:rPr>
          <w:rFonts w:ascii="Arial Black" w:hAnsi="Arial Black"/>
          <w:caps/>
          <w:sz w:val="15"/>
          <w:szCs w:val="15"/>
          <w:lang w:val="fr-FR"/>
        </w:rPr>
        <w:t xml:space="preserve"> </w:t>
      </w:r>
      <w:bookmarkStart w:id="2" w:name="Original"/>
      <w:r w:rsidR="001957C8" w:rsidRPr="001E4C00">
        <w:rPr>
          <w:rFonts w:ascii="Arial Black" w:hAnsi="Arial Black"/>
          <w:caps/>
          <w:sz w:val="15"/>
          <w:szCs w:val="15"/>
          <w:lang w:val="fr-FR"/>
        </w:rPr>
        <w:t>anglais</w:t>
      </w:r>
    </w:p>
    <w:bookmarkEnd w:id="2"/>
    <w:p w:rsidR="008B2CC1" w:rsidRPr="001E4C00" w:rsidRDefault="00533097" w:rsidP="007115E7">
      <w:pPr>
        <w:spacing w:after="1200"/>
        <w:jc w:val="right"/>
        <w:rPr>
          <w:rFonts w:ascii="Arial Black" w:hAnsi="Arial Black"/>
          <w:caps/>
          <w:sz w:val="15"/>
          <w:szCs w:val="15"/>
          <w:lang w:val="fr-FR"/>
        </w:rPr>
      </w:pPr>
      <w:r w:rsidRPr="001E4C00">
        <w:rPr>
          <w:rFonts w:ascii="Arial Black" w:hAnsi="Arial Black"/>
          <w:caps/>
          <w:sz w:val="15"/>
          <w:szCs w:val="15"/>
          <w:lang w:val="fr-FR"/>
        </w:rPr>
        <w:t>D</w:t>
      </w:r>
      <w:r w:rsidR="00DB0349" w:rsidRPr="001E4C00">
        <w:rPr>
          <w:rFonts w:ascii="Arial Black" w:hAnsi="Arial Black"/>
          <w:caps/>
          <w:sz w:val="15"/>
          <w:szCs w:val="15"/>
          <w:lang w:val="fr-FR"/>
        </w:rPr>
        <w:t>ate</w:t>
      </w:r>
      <w:r w:rsidR="008F70DE" w:rsidRPr="001E4C00">
        <w:rPr>
          <w:rFonts w:ascii="Arial Black" w:hAnsi="Arial Black"/>
          <w:caps/>
          <w:sz w:val="15"/>
          <w:szCs w:val="15"/>
          <w:lang w:val="fr-FR"/>
        </w:rPr>
        <w:t> :</w:t>
      </w:r>
      <w:r w:rsidR="00DB0349" w:rsidRPr="001E4C00">
        <w:rPr>
          <w:rFonts w:ascii="Arial Black" w:hAnsi="Arial Black"/>
          <w:caps/>
          <w:sz w:val="15"/>
          <w:szCs w:val="15"/>
          <w:lang w:val="fr-FR"/>
        </w:rPr>
        <w:t xml:space="preserve"> </w:t>
      </w:r>
      <w:bookmarkStart w:id="3" w:name="Date"/>
      <w:r w:rsidR="001957C8" w:rsidRPr="001E4C00">
        <w:rPr>
          <w:rFonts w:ascii="Arial Black" w:hAnsi="Arial Black"/>
          <w:caps/>
          <w:sz w:val="15"/>
          <w:szCs w:val="15"/>
          <w:lang w:val="fr-FR"/>
        </w:rPr>
        <w:t>7 juin 2023</w:t>
      </w:r>
    </w:p>
    <w:bookmarkEnd w:id="3"/>
    <w:p w:rsidR="00C40E15" w:rsidRPr="001E4C00" w:rsidRDefault="00F66968" w:rsidP="007115E7">
      <w:pPr>
        <w:spacing w:after="600"/>
        <w:rPr>
          <w:b/>
          <w:sz w:val="28"/>
          <w:szCs w:val="28"/>
          <w:lang w:val="fr-FR"/>
        </w:rPr>
      </w:pPr>
      <w:r w:rsidRPr="001E4C00">
        <w:rPr>
          <w:b/>
          <w:sz w:val="28"/>
          <w:szCs w:val="28"/>
          <w:lang w:val="fr-FR"/>
        </w:rPr>
        <w:t>Assemblées des États membres de l</w:t>
      </w:r>
      <w:r w:rsidR="008F70DE" w:rsidRPr="001E4C00">
        <w:rPr>
          <w:b/>
          <w:sz w:val="28"/>
          <w:szCs w:val="28"/>
          <w:lang w:val="fr-FR"/>
        </w:rPr>
        <w:t>’</w:t>
      </w:r>
      <w:r w:rsidRPr="001E4C00">
        <w:rPr>
          <w:b/>
          <w:sz w:val="28"/>
          <w:szCs w:val="28"/>
          <w:lang w:val="fr-FR"/>
        </w:rPr>
        <w:t>OMPI</w:t>
      </w:r>
    </w:p>
    <w:p w:rsidR="008B2CC1" w:rsidRPr="001E4C00" w:rsidRDefault="00F66968" w:rsidP="007115E7">
      <w:pPr>
        <w:rPr>
          <w:b/>
          <w:sz w:val="24"/>
          <w:szCs w:val="24"/>
          <w:lang w:val="fr-FR"/>
        </w:rPr>
      </w:pPr>
      <w:r w:rsidRPr="001E4C00">
        <w:rPr>
          <w:b/>
          <w:sz w:val="24"/>
          <w:szCs w:val="24"/>
          <w:lang w:val="fr-FR"/>
        </w:rPr>
        <w:t>Soixante</w:t>
      </w:r>
      <w:r w:rsidR="0091158D">
        <w:rPr>
          <w:b/>
          <w:sz w:val="24"/>
          <w:szCs w:val="24"/>
          <w:lang w:val="fr-FR"/>
        </w:rPr>
        <w:noBreakHyphen/>
      </w:r>
      <w:r w:rsidRPr="001E4C00">
        <w:rPr>
          <w:b/>
          <w:sz w:val="24"/>
          <w:szCs w:val="24"/>
          <w:lang w:val="fr-FR"/>
        </w:rPr>
        <w:t>quatrième série de réunions</w:t>
      </w:r>
    </w:p>
    <w:p w:rsidR="008B2CC1" w:rsidRPr="001E4C00" w:rsidRDefault="00F66968" w:rsidP="007115E7">
      <w:pPr>
        <w:spacing w:after="720"/>
        <w:rPr>
          <w:b/>
          <w:sz w:val="24"/>
          <w:szCs w:val="24"/>
          <w:lang w:val="fr-FR"/>
        </w:rPr>
      </w:pPr>
      <w:r w:rsidRPr="001E4C00">
        <w:rPr>
          <w:b/>
          <w:sz w:val="24"/>
          <w:szCs w:val="24"/>
          <w:lang w:val="fr-FR"/>
        </w:rPr>
        <w:t>Genève, 6 – 1</w:t>
      </w:r>
      <w:r w:rsidR="008F70DE" w:rsidRPr="001E4C00">
        <w:rPr>
          <w:b/>
          <w:sz w:val="24"/>
          <w:szCs w:val="24"/>
          <w:lang w:val="fr-FR"/>
        </w:rPr>
        <w:t>4 juillet 20</w:t>
      </w:r>
      <w:r w:rsidRPr="001E4C00">
        <w:rPr>
          <w:b/>
          <w:sz w:val="24"/>
          <w:szCs w:val="24"/>
          <w:lang w:val="fr-FR"/>
        </w:rPr>
        <w:t>23</w:t>
      </w:r>
    </w:p>
    <w:p w:rsidR="008B2CC1" w:rsidRPr="001E4C00" w:rsidRDefault="001957C8" w:rsidP="007115E7">
      <w:pPr>
        <w:spacing w:after="360"/>
        <w:rPr>
          <w:caps/>
          <w:sz w:val="24"/>
          <w:lang w:val="fr-FR"/>
        </w:rPr>
      </w:pPr>
      <w:bookmarkStart w:id="4" w:name="TitleOfDoc"/>
      <w:r w:rsidRPr="001E4C00">
        <w:rPr>
          <w:caps/>
          <w:sz w:val="24"/>
          <w:lang w:val="fr-FR"/>
        </w:rPr>
        <w:t>Rapport sur l</w:t>
      </w:r>
      <w:r w:rsidR="008F70DE" w:rsidRPr="001E4C00">
        <w:rPr>
          <w:caps/>
          <w:sz w:val="24"/>
          <w:lang w:val="fr-FR"/>
        </w:rPr>
        <w:t>’</w:t>
      </w:r>
      <w:r w:rsidR="008A3FE2" w:rsidRPr="001E4C00">
        <w:rPr>
          <w:caps/>
          <w:sz w:val="24"/>
          <w:lang w:val="fr-FR"/>
        </w:rPr>
        <w:t xml:space="preserve">assistance et </w:t>
      </w:r>
      <w:r w:rsidR="00004F3D" w:rsidRPr="001E4C00">
        <w:rPr>
          <w:caps/>
          <w:sz w:val="24"/>
          <w:lang w:val="fr-FR"/>
        </w:rPr>
        <w:t>l</w:t>
      </w:r>
      <w:r w:rsidR="008F70DE" w:rsidRPr="001E4C00">
        <w:rPr>
          <w:caps/>
          <w:sz w:val="24"/>
          <w:lang w:val="fr-FR"/>
        </w:rPr>
        <w:t>’</w:t>
      </w:r>
      <w:r w:rsidR="008A3FE2" w:rsidRPr="001E4C00">
        <w:rPr>
          <w:caps/>
          <w:sz w:val="24"/>
          <w:lang w:val="fr-FR"/>
        </w:rPr>
        <w:t>appui au s</w:t>
      </w:r>
      <w:r w:rsidRPr="001E4C00">
        <w:rPr>
          <w:caps/>
          <w:sz w:val="24"/>
          <w:lang w:val="fr-FR"/>
        </w:rPr>
        <w:t>ecteur de l</w:t>
      </w:r>
      <w:r w:rsidR="008F70DE" w:rsidRPr="001E4C00">
        <w:rPr>
          <w:caps/>
          <w:sz w:val="24"/>
          <w:lang w:val="fr-FR"/>
        </w:rPr>
        <w:t>’</w:t>
      </w:r>
      <w:r w:rsidR="008A3FE2" w:rsidRPr="001E4C00">
        <w:rPr>
          <w:caps/>
          <w:sz w:val="24"/>
          <w:lang w:val="fr-FR"/>
        </w:rPr>
        <w:t>innovation et de </w:t>
      </w:r>
      <w:r w:rsidRPr="001E4C00">
        <w:rPr>
          <w:caps/>
          <w:sz w:val="24"/>
          <w:lang w:val="fr-FR"/>
        </w:rPr>
        <w:t xml:space="preserve">la créativité et au système de la </w:t>
      </w:r>
      <w:r w:rsidR="008A3FE2" w:rsidRPr="001E4C00">
        <w:rPr>
          <w:caps/>
          <w:sz w:val="24"/>
          <w:lang w:val="fr-FR"/>
        </w:rPr>
        <w:t>propriété intellectuelle de </w:t>
      </w:r>
      <w:r w:rsidRPr="001E4C00">
        <w:rPr>
          <w:caps/>
          <w:sz w:val="24"/>
          <w:lang w:val="fr-FR"/>
        </w:rPr>
        <w:t>l</w:t>
      </w:r>
      <w:r w:rsidR="008F70DE" w:rsidRPr="001E4C00">
        <w:rPr>
          <w:caps/>
          <w:sz w:val="24"/>
          <w:lang w:val="fr-FR"/>
        </w:rPr>
        <w:t>’</w:t>
      </w:r>
      <w:r w:rsidRPr="001E4C00">
        <w:rPr>
          <w:caps/>
          <w:sz w:val="24"/>
          <w:lang w:val="fr-FR"/>
        </w:rPr>
        <w:t>Ukraine</w:t>
      </w:r>
    </w:p>
    <w:p w:rsidR="00525B63" w:rsidRPr="001E4C00" w:rsidRDefault="001957C8" w:rsidP="007115E7">
      <w:pPr>
        <w:spacing w:after="960"/>
        <w:rPr>
          <w:lang w:val="fr-FR"/>
        </w:rPr>
      </w:pPr>
      <w:bookmarkStart w:id="5" w:name="Prepared"/>
      <w:bookmarkEnd w:id="4"/>
      <w:proofErr w:type="gramStart"/>
      <w:r w:rsidRPr="001E4C00">
        <w:rPr>
          <w:i/>
          <w:lang w:val="fr-FR"/>
        </w:rPr>
        <w:t>établi</w:t>
      </w:r>
      <w:proofErr w:type="gramEnd"/>
      <w:r w:rsidRPr="001E4C00">
        <w:rPr>
          <w:i/>
          <w:lang w:val="fr-FR"/>
        </w:rPr>
        <w:t xml:space="preserve"> par le Secrétariat</w:t>
      </w:r>
    </w:p>
    <w:bookmarkEnd w:id="5"/>
    <w:p w:rsidR="001957C8" w:rsidRPr="001E4C00" w:rsidRDefault="001957C8" w:rsidP="007115E7">
      <w:pPr>
        <w:rPr>
          <w:lang w:val="fr-FR"/>
        </w:rPr>
      </w:pPr>
      <w:r w:rsidRPr="001E4C00">
        <w:rPr>
          <w:lang w:val="fr-FR"/>
        </w:rPr>
        <w:br w:type="page"/>
      </w:r>
    </w:p>
    <w:p w:rsidR="001957C8" w:rsidRPr="001E4C00" w:rsidRDefault="007B671D" w:rsidP="007B671D">
      <w:pPr>
        <w:tabs>
          <w:tab w:val="left" w:pos="567"/>
        </w:tabs>
        <w:spacing w:before="240" w:after="240"/>
        <w:ind w:left="567" w:hanging="567"/>
        <w:rPr>
          <w:b/>
          <w:caps/>
          <w:lang w:val="fr-FR"/>
        </w:rPr>
      </w:pPr>
      <w:r w:rsidRPr="001E4C00">
        <w:rPr>
          <w:b/>
          <w:caps/>
          <w:lang w:val="fr-FR"/>
        </w:rPr>
        <w:lastRenderedPageBreak/>
        <w:t>1.</w:t>
      </w:r>
      <w:r w:rsidRPr="001E4C00">
        <w:rPr>
          <w:b/>
          <w:caps/>
          <w:lang w:val="fr-FR"/>
        </w:rPr>
        <w:tab/>
        <w:t>Résumé</w:t>
      </w:r>
    </w:p>
    <w:p w:rsidR="001957C8" w:rsidRPr="001E4C00" w:rsidRDefault="001957C8" w:rsidP="007115E7">
      <w:pPr>
        <w:tabs>
          <w:tab w:val="left" w:pos="567"/>
          <w:tab w:val="left" w:pos="1134"/>
          <w:tab w:val="left" w:pos="1701"/>
        </w:tabs>
        <w:ind w:left="1134" w:hanging="594"/>
        <w:rPr>
          <w:rFonts w:eastAsia="Times New Roman"/>
          <w:szCs w:val="22"/>
          <w:lang w:val="fr-FR"/>
        </w:rPr>
      </w:pPr>
      <w:r w:rsidRPr="001E4C00">
        <w:rPr>
          <w:lang w:val="fr-FR"/>
        </w:rPr>
        <w:t>1.1.</w:t>
      </w:r>
      <w:r w:rsidRPr="001E4C00">
        <w:rPr>
          <w:lang w:val="fr-FR"/>
        </w:rPr>
        <w:tab/>
        <w:t>Introduction</w:t>
      </w:r>
    </w:p>
    <w:p w:rsidR="001957C8" w:rsidRPr="001E4C00" w:rsidRDefault="001957C8" w:rsidP="007115E7">
      <w:pPr>
        <w:tabs>
          <w:tab w:val="left" w:pos="567"/>
          <w:tab w:val="left" w:pos="1134"/>
          <w:tab w:val="left" w:pos="1701"/>
        </w:tabs>
        <w:ind w:left="1134" w:hanging="594"/>
        <w:rPr>
          <w:rFonts w:eastAsia="Times New Roman"/>
          <w:szCs w:val="22"/>
          <w:lang w:val="fr-FR"/>
        </w:rPr>
      </w:pPr>
      <w:r w:rsidRPr="001E4C00">
        <w:rPr>
          <w:lang w:val="fr-FR"/>
        </w:rPr>
        <w:t>1.2.</w:t>
      </w:r>
      <w:r w:rsidRPr="001E4C00">
        <w:rPr>
          <w:lang w:val="fr-FR"/>
        </w:rPr>
        <w:tab/>
        <w:t>Récapitulatif</w:t>
      </w:r>
    </w:p>
    <w:p w:rsidR="001957C8" w:rsidRPr="001E4C00" w:rsidRDefault="007B671D" w:rsidP="007B671D">
      <w:pPr>
        <w:tabs>
          <w:tab w:val="left" w:pos="567"/>
        </w:tabs>
        <w:spacing w:before="240" w:after="240"/>
        <w:ind w:left="567" w:hanging="567"/>
        <w:rPr>
          <w:b/>
          <w:caps/>
          <w:lang w:val="fr-FR"/>
        </w:rPr>
      </w:pPr>
      <w:r w:rsidRPr="001E4C00">
        <w:rPr>
          <w:b/>
          <w:caps/>
          <w:lang w:val="fr-FR"/>
        </w:rPr>
        <w:t>2.</w:t>
      </w:r>
      <w:r w:rsidRPr="001E4C00">
        <w:rPr>
          <w:b/>
          <w:caps/>
          <w:lang w:val="fr-FR"/>
        </w:rPr>
        <w:tab/>
        <w:t>Évaluation de l</w:t>
      </w:r>
      <w:r w:rsidR="008F70DE" w:rsidRPr="001E4C00">
        <w:rPr>
          <w:b/>
          <w:caps/>
          <w:lang w:val="fr-FR"/>
        </w:rPr>
        <w:t>’</w:t>
      </w:r>
      <w:r w:rsidRPr="001E4C00">
        <w:rPr>
          <w:b/>
          <w:caps/>
          <w:lang w:val="fr-FR"/>
        </w:rPr>
        <w:t>impact de la guerre sur le secteur et l</w:t>
      </w:r>
      <w:r w:rsidR="008F70DE" w:rsidRPr="001E4C00">
        <w:rPr>
          <w:b/>
          <w:caps/>
          <w:lang w:val="fr-FR"/>
        </w:rPr>
        <w:t>’</w:t>
      </w:r>
      <w:r w:rsidRPr="001E4C00">
        <w:rPr>
          <w:b/>
          <w:caps/>
          <w:lang w:val="fr-FR"/>
        </w:rPr>
        <w:t>écosystème de l</w:t>
      </w:r>
      <w:r w:rsidR="008F70DE" w:rsidRPr="001E4C00">
        <w:rPr>
          <w:b/>
          <w:caps/>
          <w:lang w:val="fr-FR"/>
        </w:rPr>
        <w:t>’</w:t>
      </w:r>
      <w:r w:rsidRPr="001E4C00">
        <w:rPr>
          <w:b/>
          <w:caps/>
          <w:lang w:val="fr-FR"/>
        </w:rPr>
        <w:t>innovation et de la créativité en Ukraine</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2.1.</w:t>
      </w:r>
      <w:r w:rsidRPr="001E4C00">
        <w:rPr>
          <w:lang w:val="fr-FR"/>
        </w:rPr>
        <w:tab/>
        <w:t>Récapitulatif</w:t>
      </w:r>
    </w:p>
    <w:p w:rsidR="001957C8" w:rsidRPr="001E4C00" w:rsidRDefault="001957C8" w:rsidP="007115E7">
      <w:pPr>
        <w:tabs>
          <w:tab w:val="left" w:pos="567"/>
          <w:tab w:val="left" w:pos="1134"/>
          <w:tab w:val="left" w:pos="1701"/>
        </w:tabs>
        <w:ind w:left="1134" w:hanging="567"/>
        <w:rPr>
          <w:lang w:val="fr-FR"/>
        </w:rPr>
      </w:pPr>
      <w:r w:rsidRPr="001E4C00">
        <w:rPr>
          <w:lang w:val="fr-FR"/>
        </w:rPr>
        <w:t>2.2.</w:t>
      </w:r>
      <w:r w:rsidRPr="001E4C00">
        <w:rPr>
          <w:lang w:val="fr-FR"/>
        </w:rPr>
        <w:tab/>
        <w:t>Méthodologie</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2.3.</w:t>
      </w:r>
      <w:r w:rsidRPr="001E4C00">
        <w:rPr>
          <w:lang w:val="fr-FR"/>
        </w:rPr>
        <w:tab/>
        <w:t>Établissements d</w:t>
      </w:r>
      <w:r w:rsidR="008F70DE" w:rsidRPr="001E4C00">
        <w:rPr>
          <w:lang w:val="fr-FR"/>
        </w:rPr>
        <w:t>’</w:t>
      </w:r>
      <w:r w:rsidRPr="001E4C00">
        <w:rPr>
          <w:lang w:val="fr-FR"/>
        </w:rPr>
        <w:t>enseignement, instituts de recherche et institutions culturelles</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2.4.</w:t>
      </w:r>
      <w:r w:rsidRPr="001E4C00">
        <w:rPr>
          <w:lang w:val="fr-FR"/>
        </w:rPr>
        <w:tab/>
        <w:t>Secteur et écosystème de l</w:t>
      </w:r>
      <w:r w:rsidR="008F70DE" w:rsidRPr="001E4C00">
        <w:rPr>
          <w:lang w:val="fr-FR"/>
        </w:rPr>
        <w:t>’</w:t>
      </w:r>
      <w:r w:rsidRPr="001E4C00">
        <w:rPr>
          <w:lang w:val="fr-FR"/>
        </w:rPr>
        <w:t>innovation et de la création</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2.5.</w:t>
      </w:r>
      <w:r w:rsidRPr="001E4C00">
        <w:rPr>
          <w:lang w:val="fr-FR"/>
        </w:rPr>
        <w:tab/>
        <w:t>Parties prenantes responsables de la protection et de l</w:t>
      </w:r>
      <w:r w:rsidR="008F70DE" w:rsidRPr="001E4C00">
        <w:rPr>
          <w:lang w:val="fr-FR"/>
        </w:rPr>
        <w:t>’</w:t>
      </w:r>
      <w:r w:rsidRPr="001E4C00">
        <w:rPr>
          <w:lang w:val="fr-FR"/>
        </w:rPr>
        <w:t>application de la propriété intellectuelle</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2.6.</w:t>
      </w:r>
      <w:r w:rsidRPr="001E4C00">
        <w:rPr>
          <w:lang w:val="fr-FR"/>
        </w:rPr>
        <w:tab/>
        <w:t xml:space="preserve">Tendances récentes </w:t>
      </w:r>
      <w:r w:rsidR="00FE23C4" w:rsidRPr="001E4C00">
        <w:rPr>
          <w:lang w:val="fr-FR"/>
        </w:rPr>
        <w:t xml:space="preserve">en matière </w:t>
      </w:r>
      <w:r w:rsidRPr="001E4C00">
        <w:rPr>
          <w:lang w:val="fr-FR"/>
        </w:rPr>
        <w:t xml:space="preserve">de dépôts internationaux </w:t>
      </w:r>
      <w:r w:rsidR="00FE23C4" w:rsidRPr="001E4C00">
        <w:rPr>
          <w:lang w:val="fr-FR"/>
        </w:rPr>
        <w:t>au titre d</w:t>
      </w:r>
      <w:r w:rsidRPr="001E4C00">
        <w:rPr>
          <w:lang w:val="fr-FR"/>
        </w:rPr>
        <w:t xml:space="preserve">es systèmes du PCT, de Madrid et de </w:t>
      </w:r>
      <w:r w:rsidR="008F70DE" w:rsidRPr="001E4C00">
        <w:rPr>
          <w:lang w:val="fr-FR"/>
        </w:rPr>
        <w:t>La Haye</w:t>
      </w:r>
      <w:r w:rsidRPr="001E4C00">
        <w:rPr>
          <w:lang w:val="fr-FR"/>
        </w:rPr>
        <w:t xml:space="preserve"> </w:t>
      </w:r>
      <w:r w:rsidR="00FE23C4" w:rsidRPr="001E4C00">
        <w:rPr>
          <w:lang w:val="fr-FR"/>
        </w:rPr>
        <w:t xml:space="preserve">en ce qui </w:t>
      </w:r>
      <w:r w:rsidRPr="001E4C00">
        <w:rPr>
          <w:lang w:val="fr-FR"/>
        </w:rPr>
        <w:t>concern</w:t>
      </w:r>
      <w:r w:rsidR="00FE23C4" w:rsidRPr="001E4C00">
        <w:rPr>
          <w:lang w:val="fr-FR"/>
        </w:rPr>
        <w:t xml:space="preserve">e </w:t>
      </w:r>
      <w:r w:rsidRPr="001E4C00">
        <w:rPr>
          <w:lang w:val="fr-FR"/>
        </w:rPr>
        <w:t>l</w:t>
      </w:r>
      <w:r w:rsidR="008F70DE" w:rsidRPr="001E4C00">
        <w:rPr>
          <w:lang w:val="fr-FR"/>
        </w:rPr>
        <w:t>’</w:t>
      </w:r>
      <w:r w:rsidRPr="001E4C00">
        <w:rPr>
          <w:lang w:val="fr-FR"/>
        </w:rPr>
        <w:t>Ukraine</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2.6.1.</w:t>
      </w:r>
      <w:r w:rsidRPr="001E4C00">
        <w:rPr>
          <w:lang w:val="fr-FR"/>
        </w:rPr>
        <w:tab/>
        <w:t>Traité de coopération en matière de brevets</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2.6.2.</w:t>
      </w:r>
      <w:r w:rsidRPr="001E4C00">
        <w:rPr>
          <w:lang w:val="fr-FR"/>
        </w:rPr>
        <w:tab/>
        <w:t>Système de Madrid</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2.6.3.</w:t>
      </w:r>
      <w:r w:rsidRPr="001E4C00">
        <w:rPr>
          <w:lang w:val="fr-FR"/>
        </w:rPr>
        <w:tab/>
        <w:t xml:space="preserve">Système de </w:t>
      </w:r>
      <w:r w:rsidR="008F70DE" w:rsidRPr="001E4C00">
        <w:rPr>
          <w:lang w:val="fr-FR"/>
        </w:rPr>
        <w:t>La Haye</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2.7.</w:t>
      </w:r>
      <w:r w:rsidRPr="001E4C00">
        <w:rPr>
          <w:lang w:val="fr-FR"/>
        </w:rPr>
        <w:tab/>
        <w:t>Politiques et stratégies gouvernementales en matière de propriété intellectuelle, d</w:t>
      </w:r>
      <w:r w:rsidR="008F70DE" w:rsidRPr="001E4C00">
        <w:rPr>
          <w:lang w:val="fr-FR"/>
        </w:rPr>
        <w:t>’</w:t>
      </w:r>
      <w:r w:rsidRPr="001E4C00">
        <w:rPr>
          <w:lang w:val="fr-FR"/>
        </w:rPr>
        <w:t>innovation et de créativité</w:t>
      </w:r>
    </w:p>
    <w:p w:rsidR="001957C8" w:rsidRPr="001E4C00" w:rsidRDefault="007B671D" w:rsidP="007B671D">
      <w:pPr>
        <w:tabs>
          <w:tab w:val="left" w:pos="567"/>
        </w:tabs>
        <w:spacing w:before="240" w:after="240"/>
        <w:ind w:left="567" w:hanging="567"/>
        <w:rPr>
          <w:b/>
          <w:caps/>
          <w:lang w:val="fr-FR"/>
        </w:rPr>
      </w:pPr>
      <w:r w:rsidRPr="001E4C00">
        <w:rPr>
          <w:b/>
          <w:caps/>
          <w:lang w:val="fr-FR"/>
        </w:rPr>
        <w:t>3.</w:t>
      </w:r>
      <w:r w:rsidRPr="001E4C00">
        <w:rPr>
          <w:b/>
          <w:caps/>
          <w:lang w:val="fr-FR"/>
        </w:rPr>
        <w:tab/>
        <w:t>Consultations avec l</w:t>
      </w:r>
      <w:r w:rsidR="008F70DE" w:rsidRPr="001E4C00">
        <w:rPr>
          <w:b/>
          <w:caps/>
          <w:lang w:val="fr-FR"/>
        </w:rPr>
        <w:t>’</w:t>
      </w:r>
      <w:r w:rsidRPr="001E4C00">
        <w:rPr>
          <w:b/>
          <w:caps/>
          <w:lang w:val="fr-FR"/>
        </w:rPr>
        <w:t>Ukraine sur ses besoins particuliers en ce qui concerne son secteur et son écosystème de l</w:t>
      </w:r>
      <w:r w:rsidR="008F70DE" w:rsidRPr="001E4C00">
        <w:rPr>
          <w:b/>
          <w:caps/>
          <w:lang w:val="fr-FR"/>
        </w:rPr>
        <w:t>’</w:t>
      </w:r>
      <w:r w:rsidRPr="001E4C00">
        <w:rPr>
          <w:b/>
          <w:caps/>
          <w:lang w:val="fr-FR"/>
        </w:rPr>
        <w:t>innovation et de la créativité</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3.1.</w:t>
      </w:r>
      <w:r w:rsidRPr="001E4C00">
        <w:rPr>
          <w:lang w:val="fr-FR"/>
        </w:rPr>
        <w:tab/>
        <w:t>Récapitulatif</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3.2.</w:t>
      </w:r>
      <w:r w:rsidRPr="001E4C00">
        <w:rPr>
          <w:lang w:val="fr-FR"/>
        </w:rPr>
        <w:tab/>
        <w:t>Consultations avec les parties prenantes du secteur de l</w:t>
      </w:r>
      <w:r w:rsidR="008F70DE" w:rsidRPr="001E4C00">
        <w:rPr>
          <w:lang w:val="fr-FR"/>
        </w:rPr>
        <w:t>’</w:t>
      </w:r>
      <w:r w:rsidRPr="001E4C00">
        <w:rPr>
          <w:lang w:val="fr-FR"/>
        </w:rPr>
        <w:t>innovation et de la créati</w:t>
      </w:r>
      <w:r w:rsidR="00FE23C4" w:rsidRPr="001E4C00">
        <w:rPr>
          <w:lang w:val="fr-FR"/>
        </w:rPr>
        <w:t>vité</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3.3.</w:t>
      </w:r>
      <w:r w:rsidRPr="001E4C00">
        <w:rPr>
          <w:lang w:val="fr-FR"/>
        </w:rPr>
        <w:tab/>
        <w:t>Consultations avec le Gouvernement ukrainien et les offices de propriété intellectuelle</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3.3.1.</w:t>
      </w:r>
      <w:r w:rsidRPr="001E4C00">
        <w:rPr>
          <w:lang w:val="fr-FR"/>
        </w:rPr>
        <w:tab/>
        <w:t>Réformes institutionnelles en Ukraine</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3.3.2.</w:t>
      </w:r>
      <w:r w:rsidRPr="001E4C00">
        <w:rPr>
          <w:lang w:val="fr-FR"/>
        </w:rPr>
        <w:tab/>
        <w:t xml:space="preserve">Consultations avec le Ministère </w:t>
      </w:r>
      <w:r w:rsidR="00FE23C4" w:rsidRPr="001E4C00">
        <w:rPr>
          <w:lang w:val="fr-FR"/>
        </w:rPr>
        <w:t xml:space="preserve">ukrainien </w:t>
      </w:r>
      <w:r w:rsidRPr="001E4C00">
        <w:rPr>
          <w:lang w:val="fr-FR"/>
        </w:rPr>
        <w:t>de l</w:t>
      </w:r>
      <w:r w:rsidR="008F70DE" w:rsidRPr="001E4C00">
        <w:rPr>
          <w:lang w:val="fr-FR"/>
        </w:rPr>
        <w:t>’</w:t>
      </w:r>
      <w:r w:rsidRPr="001E4C00">
        <w:rPr>
          <w:lang w:val="fr-FR"/>
        </w:rPr>
        <w:t>économie</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3.3.3.</w:t>
      </w:r>
      <w:r w:rsidRPr="001E4C00">
        <w:rPr>
          <w:lang w:val="fr-FR"/>
        </w:rPr>
        <w:tab/>
        <w:t xml:space="preserve">Consultations avec </w:t>
      </w:r>
      <w:proofErr w:type="spellStart"/>
      <w:r w:rsidRPr="001E4C00">
        <w:rPr>
          <w:lang w:val="fr-FR"/>
        </w:rPr>
        <w:t>Ukrpatent</w:t>
      </w:r>
      <w:proofErr w:type="spellEnd"/>
      <w:r w:rsidRPr="001E4C00">
        <w:rPr>
          <w:lang w:val="fr-FR"/>
        </w:rPr>
        <w:t xml:space="preserve"> et UANIPIO</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3.4.</w:t>
      </w:r>
      <w:r w:rsidRPr="001E4C00">
        <w:rPr>
          <w:lang w:val="fr-FR"/>
        </w:rPr>
        <w:tab/>
        <w:t>Consultations avec les CATI</w:t>
      </w:r>
    </w:p>
    <w:p w:rsidR="001957C8" w:rsidRPr="001E4C00" w:rsidRDefault="007B671D" w:rsidP="007B671D">
      <w:pPr>
        <w:tabs>
          <w:tab w:val="left" w:pos="567"/>
        </w:tabs>
        <w:spacing w:before="240" w:after="240"/>
        <w:ind w:left="567" w:hanging="567"/>
        <w:rPr>
          <w:b/>
          <w:caps/>
          <w:lang w:val="fr-FR"/>
        </w:rPr>
      </w:pPr>
      <w:r w:rsidRPr="001E4C00">
        <w:rPr>
          <w:b/>
          <w:caps/>
          <w:lang w:val="fr-FR"/>
        </w:rPr>
        <w:t>4.</w:t>
      </w:r>
      <w:r w:rsidRPr="001E4C00">
        <w:rPr>
          <w:b/>
          <w:caps/>
          <w:lang w:val="fr-FR"/>
        </w:rPr>
        <w:tab/>
        <w:t>Aide à l</w:t>
      </w:r>
      <w:r w:rsidR="008F70DE" w:rsidRPr="001E4C00">
        <w:rPr>
          <w:b/>
          <w:caps/>
          <w:lang w:val="fr-FR"/>
        </w:rPr>
        <w:t>’</w:t>
      </w:r>
      <w:r w:rsidRPr="001E4C00">
        <w:rPr>
          <w:b/>
          <w:caps/>
          <w:lang w:val="fr-FR"/>
        </w:rPr>
        <w:t>Ukraine pour la restauration et la reconstruction de son secteur et de son écosystème</w:t>
      </w:r>
      <w:r w:rsidR="00FE23C4" w:rsidRPr="001E4C00">
        <w:rPr>
          <w:b/>
          <w:caps/>
          <w:lang w:val="fr-FR"/>
        </w:rPr>
        <w:t xml:space="preserve"> de la propriété intellectuelle</w:t>
      </w:r>
    </w:p>
    <w:p w:rsidR="001957C8" w:rsidRPr="001E4C00" w:rsidRDefault="001957C8" w:rsidP="007115E7">
      <w:pPr>
        <w:tabs>
          <w:tab w:val="left" w:pos="567"/>
          <w:tab w:val="left" w:pos="1134"/>
          <w:tab w:val="left" w:pos="1701"/>
        </w:tabs>
        <w:ind w:left="1134" w:hanging="567"/>
        <w:rPr>
          <w:lang w:val="fr-FR"/>
        </w:rPr>
      </w:pPr>
      <w:r w:rsidRPr="001E4C00">
        <w:rPr>
          <w:lang w:val="fr-FR"/>
        </w:rPr>
        <w:t>4.1.</w:t>
      </w:r>
      <w:r w:rsidRPr="001E4C00">
        <w:rPr>
          <w:lang w:val="fr-FR"/>
        </w:rPr>
        <w:tab/>
        <w:t>Récapitulatif</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4.2.</w:t>
      </w:r>
      <w:r w:rsidRPr="001E4C00">
        <w:rPr>
          <w:lang w:val="fr-FR"/>
        </w:rPr>
        <w:tab/>
      </w:r>
      <w:r w:rsidR="00FE23C4" w:rsidRPr="001E4C00">
        <w:rPr>
          <w:lang w:val="fr-FR"/>
        </w:rPr>
        <w:t>Fourniture d</w:t>
      </w:r>
      <w:r w:rsidR="008F70DE" w:rsidRPr="001E4C00">
        <w:rPr>
          <w:lang w:val="fr-FR"/>
        </w:rPr>
        <w:t>’</w:t>
      </w:r>
      <w:r w:rsidR="00FE23C4" w:rsidRPr="001E4C00">
        <w:rPr>
          <w:lang w:val="fr-FR"/>
        </w:rPr>
        <w:t>un accè</w:t>
      </w:r>
      <w:r w:rsidRPr="001E4C00">
        <w:rPr>
          <w:lang w:val="fr-FR"/>
        </w:rPr>
        <w:t>s à l</w:t>
      </w:r>
      <w:r w:rsidR="008F70DE" w:rsidRPr="001E4C00">
        <w:rPr>
          <w:lang w:val="fr-FR"/>
        </w:rPr>
        <w:t>’</w:t>
      </w:r>
      <w:r w:rsidRPr="001E4C00">
        <w:rPr>
          <w:lang w:val="fr-FR"/>
        </w:rPr>
        <w:t>information</w:t>
      </w:r>
      <w:r w:rsidR="00FE23C4" w:rsidRPr="001E4C00">
        <w:rPr>
          <w:lang w:val="fr-FR"/>
        </w:rPr>
        <w:t xml:space="preserve"> et aux</w:t>
      </w:r>
      <w:r w:rsidRPr="001E4C00">
        <w:rPr>
          <w:lang w:val="fr-FR"/>
        </w:rPr>
        <w:t xml:space="preserve"> technologie</w:t>
      </w:r>
      <w:r w:rsidR="00FE23C4" w:rsidRPr="001E4C00">
        <w:rPr>
          <w:lang w:val="fr-FR"/>
        </w:rPr>
        <w:t>s</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4.2.1.</w:t>
      </w:r>
      <w:r w:rsidRPr="001E4C00">
        <w:rPr>
          <w:lang w:val="fr-FR"/>
        </w:rPr>
        <w:tab/>
        <w:t>Accès aux services de l</w:t>
      </w:r>
      <w:r w:rsidR="008F70DE" w:rsidRPr="001E4C00">
        <w:rPr>
          <w:lang w:val="fr-FR"/>
        </w:rPr>
        <w:t>’</w:t>
      </w:r>
      <w:r w:rsidRPr="001E4C00">
        <w:rPr>
          <w:lang w:val="fr-FR"/>
        </w:rPr>
        <w:t>OMPI</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4.2.2.</w:t>
      </w:r>
      <w:r w:rsidRPr="001E4C00">
        <w:rPr>
          <w:lang w:val="fr-FR"/>
        </w:rPr>
        <w:tab/>
        <w:t xml:space="preserve">Accès </w:t>
      </w:r>
      <w:r w:rsidR="00FE23C4" w:rsidRPr="001E4C00">
        <w:rPr>
          <w:lang w:val="fr-FR"/>
        </w:rPr>
        <w:t>aux données de</w:t>
      </w:r>
      <w:r w:rsidRPr="001E4C00">
        <w:rPr>
          <w:lang w:val="fr-FR"/>
        </w:rPr>
        <w:t xml:space="preserve"> brevets et</w:t>
      </w:r>
      <w:r w:rsidR="00FE23C4" w:rsidRPr="001E4C00">
        <w:rPr>
          <w:lang w:val="fr-FR"/>
        </w:rPr>
        <w:t xml:space="preserve"> à la littérature</w:t>
      </w:r>
      <w:r w:rsidRPr="001E4C00">
        <w:rPr>
          <w:lang w:val="fr-FR"/>
        </w:rPr>
        <w:t xml:space="preserve"> non</w:t>
      </w:r>
      <w:r w:rsidR="0091158D">
        <w:rPr>
          <w:lang w:val="fr-FR"/>
        </w:rPr>
        <w:noBreakHyphen/>
      </w:r>
      <w:r w:rsidRPr="001E4C00">
        <w:rPr>
          <w:lang w:val="fr-FR"/>
        </w:rPr>
        <w:t>brevet</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4.2.3.</w:t>
      </w:r>
      <w:r w:rsidRPr="001E4C00">
        <w:rPr>
          <w:lang w:val="fr-FR"/>
        </w:rPr>
        <w:tab/>
        <w:t>Accès pour les personnes ayant des difficultés de lecture des textes imprimés</w:t>
      </w:r>
    </w:p>
    <w:p w:rsidR="001957C8" w:rsidRPr="001E4C00" w:rsidRDefault="001957C8" w:rsidP="007115E7">
      <w:pPr>
        <w:tabs>
          <w:tab w:val="left" w:pos="567"/>
          <w:tab w:val="left" w:pos="1134"/>
          <w:tab w:val="left" w:pos="1701"/>
        </w:tabs>
        <w:ind w:left="1134" w:hanging="567"/>
        <w:rPr>
          <w:lang w:val="fr-FR"/>
        </w:rPr>
      </w:pPr>
      <w:r w:rsidRPr="001E4C00">
        <w:rPr>
          <w:lang w:val="fr-FR"/>
        </w:rPr>
        <w:t>4.3.</w:t>
      </w:r>
      <w:r w:rsidRPr="001E4C00">
        <w:rPr>
          <w:lang w:val="fr-FR"/>
        </w:rPr>
        <w:tab/>
      </w:r>
      <w:r w:rsidR="00FE23C4" w:rsidRPr="001E4C00">
        <w:rPr>
          <w:lang w:val="fr-FR"/>
        </w:rPr>
        <w:t>Fourniture de c</w:t>
      </w:r>
      <w:r w:rsidRPr="001E4C00">
        <w:rPr>
          <w:lang w:val="fr-FR"/>
        </w:rPr>
        <w:t>onseils politiques et législatifs</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4.4.</w:t>
      </w:r>
      <w:r w:rsidRPr="001E4C00">
        <w:rPr>
          <w:lang w:val="fr-FR"/>
        </w:rPr>
        <w:tab/>
        <w:t>Soutien au développement commercial de l</w:t>
      </w:r>
      <w:r w:rsidR="008F70DE" w:rsidRPr="001E4C00">
        <w:rPr>
          <w:lang w:val="fr-FR"/>
        </w:rPr>
        <w:t>’</w:t>
      </w:r>
      <w:r w:rsidRPr="001E4C00">
        <w:rPr>
          <w:lang w:val="fr-FR"/>
        </w:rPr>
        <w:t>office de propriété intellectuelle</w:t>
      </w:r>
    </w:p>
    <w:p w:rsidR="001957C8" w:rsidRPr="001E4C00" w:rsidRDefault="00FE23C4" w:rsidP="007115E7">
      <w:pPr>
        <w:tabs>
          <w:tab w:val="left" w:pos="567"/>
          <w:tab w:val="left" w:pos="1134"/>
          <w:tab w:val="left" w:pos="1701"/>
        </w:tabs>
        <w:ind w:left="1134" w:hanging="567"/>
        <w:rPr>
          <w:rFonts w:eastAsia="Times New Roman"/>
          <w:szCs w:val="22"/>
          <w:lang w:val="fr-FR"/>
        </w:rPr>
      </w:pPr>
      <w:r w:rsidRPr="001E4C00">
        <w:rPr>
          <w:lang w:val="fr-FR"/>
        </w:rPr>
        <w:t>4.5.</w:t>
      </w:r>
      <w:r w:rsidRPr="001E4C00">
        <w:rPr>
          <w:lang w:val="fr-FR"/>
        </w:rPr>
        <w:tab/>
        <w:t>Soutien à l</w:t>
      </w:r>
      <w:r w:rsidR="008F70DE" w:rsidRPr="001E4C00">
        <w:rPr>
          <w:lang w:val="fr-FR"/>
        </w:rPr>
        <w:t>’</w:t>
      </w:r>
      <w:r w:rsidRPr="001E4C00">
        <w:rPr>
          <w:lang w:val="fr-FR"/>
        </w:rPr>
        <w:t>I</w:t>
      </w:r>
      <w:r w:rsidR="001957C8" w:rsidRPr="001E4C00">
        <w:rPr>
          <w:lang w:val="fr-FR"/>
        </w:rPr>
        <w:t>nstitut de formation à la propriété intellectuelle</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4.6.</w:t>
      </w:r>
      <w:r w:rsidRPr="001E4C00">
        <w:rPr>
          <w:lang w:val="fr-FR"/>
        </w:rPr>
        <w:tab/>
        <w:t>Appui aux autorités chargées de l</w:t>
      </w:r>
      <w:r w:rsidR="008F70DE" w:rsidRPr="001E4C00">
        <w:rPr>
          <w:lang w:val="fr-FR"/>
        </w:rPr>
        <w:t>’</w:t>
      </w:r>
      <w:r w:rsidRPr="001E4C00">
        <w:rPr>
          <w:lang w:val="fr-FR"/>
        </w:rPr>
        <w:t>application des droits de propriété intellectuelle</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4.7.</w:t>
      </w:r>
      <w:r w:rsidRPr="001E4C00">
        <w:rPr>
          <w:lang w:val="fr-FR"/>
        </w:rPr>
        <w:tab/>
        <w:t>Soutien à la politique de règlement extrajudiciaire des litiges et à la sensibilisation</w:t>
      </w:r>
    </w:p>
    <w:p w:rsidR="001957C8" w:rsidRPr="001E4C00" w:rsidRDefault="001957C8" w:rsidP="007115E7">
      <w:pPr>
        <w:tabs>
          <w:tab w:val="left" w:pos="567"/>
          <w:tab w:val="left" w:pos="1134"/>
          <w:tab w:val="left" w:pos="1701"/>
        </w:tabs>
        <w:ind w:left="1134" w:hanging="567"/>
        <w:rPr>
          <w:lang w:val="fr-FR"/>
        </w:rPr>
      </w:pPr>
      <w:r w:rsidRPr="001E4C00">
        <w:rPr>
          <w:lang w:val="fr-FR"/>
        </w:rPr>
        <w:t>4.8.</w:t>
      </w:r>
      <w:r w:rsidRPr="001E4C00">
        <w:rPr>
          <w:lang w:val="fr-FR"/>
        </w:rPr>
        <w:tab/>
        <w:t xml:space="preserve">Soutien </w:t>
      </w:r>
      <w:r w:rsidR="00FE23C4" w:rsidRPr="001E4C00">
        <w:rPr>
          <w:lang w:val="fr-FR"/>
        </w:rPr>
        <w:t xml:space="preserve">et assistance </w:t>
      </w:r>
      <w:r w:rsidRPr="001E4C00">
        <w:rPr>
          <w:lang w:val="fr-FR"/>
        </w:rPr>
        <w:t>aux institutions gouvernementales, aux PME, aux créateurs et aux inventeurs en matière d</w:t>
      </w:r>
      <w:r w:rsidR="00FE23C4" w:rsidRPr="001E4C00">
        <w:rPr>
          <w:lang w:val="fr-FR"/>
        </w:rPr>
        <w:t>e recensement</w:t>
      </w:r>
      <w:r w:rsidRPr="001E4C00">
        <w:rPr>
          <w:lang w:val="fr-FR"/>
        </w:rPr>
        <w:t>, d</w:t>
      </w:r>
      <w:r w:rsidR="008F70DE" w:rsidRPr="001E4C00">
        <w:rPr>
          <w:lang w:val="fr-FR"/>
        </w:rPr>
        <w:t>’</w:t>
      </w:r>
      <w:r w:rsidR="00FE23C4" w:rsidRPr="001E4C00">
        <w:rPr>
          <w:lang w:val="fr-FR"/>
        </w:rPr>
        <w:t>évaluation</w:t>
      </w:r>
      <w:r w:rsidRPr="001E4C00">
        <w:rPr>
          <w:lang w:val="fr-FR"/>
        </w:rPr>
        <w:t xml:space="preserve"> et d</w:t>
      </w:r>
      <w:r w:rsidR="008F70DE" w:rsidRPr="001E4C00">
        <w:rPr>
          <w:lang w:val="fr-FR"/>
        </w:rPr>
        <w:t>’</w:t>
      </w:r>
      <w:r w:rsidRPr="001E4C00">
        <w:rPr>
          <w:lang w:val="fr-FR"/>
        </w:rPr>
        <w:t>exploitation de leur propriété intellectuelle</w:t>
      </w:r>
    </w:p>
    <w:p w:rsidR="001957C8" w:rsidRPr="001E4C00" w:rsidRDefault="001957C8" w:rsidP="007115E7">
      <w:pPr>
        <w:tabs>
          <w:tab w:val="left" w:pos="567"/>
          <w:tab w:val="left" w:pos="1134"/>
          <w:tab w:val="left" w:pos="1843"/>
        </w:tabs>
        <w:ind w:left="1843" w:hanging="709"/>
        <w:rPr>
          <w:lang w:val="fr-FR"/>
        </w:rPr>
      </w:pPr>
      <w:r w:rsidRPr="001E4C00">
        <w:rPr>
          <w:lang w:val="fr-FR"/>
        </w:rPr>
        <w:t>4.</w:t>
      </w:r>
      <w:r w:rsidR="00C96297" w:rsidRPr="001E4C00">
        <w:rPr>
          <w:lang w:val="fr-FR"/>
        </w:rPr>
        <w:t>8</w:t>
      </w:r>
      <w:r w:rsidRPr="001E4C00">
        <w:rPr>
          <w:lang w:val="fr-FR"/>
        </w:rPr>
        <w:t>.1.</w:t>
      </w:r>
      <w:r w:rsidRPr="001E4C00">
        <w:rPr>
          <w:lang w:val="fr-FR"/>
        </w:rPr>
        <w:tab/>
        <w:t>Traduction et adaptation des outils de soutien aux PME et aux jeunes entreprises</w:t>
      </w:r>
    </w:p>
    <w:p w:rsidR="001957C8" w:rsidRPr="001E4C00" w:rsidRDefault="00C96297" w:rsidP="007115E7">
      <w:pPr>
        <w:tabs>
          <w:tab w:val="left" w:pos="567"/>
          <w:tab w:val="left" w:pos="1134"/>
          <w:tab w:val="left" w:pos="1843"/>
        </w:tabs>
        <w:ind w:left="1843" w:hanging="709"/>
        <w:rPr>
          <w:lang w:val="fr-FR"/>
        </w:rPr>
      </w:pPr>
      <w:r w:rsidRPr="001E4C00">
        <w:rPr>
          <w:lang w:val="fr-FR"/>
        </w:rPr>
        <w:lastRenderedPageBreak/>
        <w:t>4.8</w:t>
      </w:r>
      <w:r w:rsidR="001957C8" w:rsidRPr="001E4C00">
        <w:rPr>
          <w:lang w:val="fr-FR"/>
        </w:rPr>
        <w:t>.2.</w:t>
      </w:r>
      <w:r w:rsidR="001957C8" w:rsidRPr="001E4C00">
        <w:rPr>
          <w:lang w:val="fr-FR"/>
        </w:rPr>
        <w:tab/>
        <w:t xml:space="preserve">Projets </w:t>
      </w:r>
      <w:r w:rsidR="00FE23C4" w:rsidRPr="001E4C00">
        <w:rPr>
          <w:lang w:val="fr-FR"/>
        </w:rPr>
        <w:t>relatif</w:t>
      </w:r>
      <w:r w:rsidR="001957C8" w:rsidRPr="001E4C00">
        <w:rPr>
          <w:lang w:val="fr-FR"/>
        </w:rPr>
        <w:t>s</w:t>
      </w:r>
      <w:r w:rsidR="00FE23C4" w:rsidRPr="001E4C00">
        <w:rPr>
          <w:lang w:val="fr-FR"/>
        </w:rPr>
        <w:t xml:space="preserve"> à</w:t>
      </w:r>
      <w:r w:rsidR="001957C8" w:rsidRPr="001E4C00">
        <w:rPr>
          <w:lang w:val="fr-FR"/>
        </w:rPr>
        <w:t xml:space="preserve"> l</w:t>
      </w:r>
      <w:r w:rsidR="008F70DE" w:rsidRPr="001E4C00">
        <w:rPr>
          <w:lang w:val="fr-FR"/>
        </w:rPr>
        <w:t>’</w:t>
      </w:r>
      <w:r w:rsidR="001957C8" w:rsidRPr="001E4C00">
        <w:rPr>
          <w:lang w:val="fr-FR"/>
        </w:rPr>
        <w:t xml:space="preserve">accès et </w:t>
      </w:r>
      <w:r w:rsidR="00FE23C4" w:rsidRPr="001E4C00">
        <w:rPr>
          <w:lang w:val="fr-FR"/>
        </w:rPr>
        <w:t xml:space="preserve">à </w:t>
      </w:r>
      <w:r w:rsidR="001957C8" w:rsidRPr="001E4C00">
        <w:rPr>
          <w:lang w:val="fr-FR"/>
        </w:rPr>
        <w:t>l</w:t>
      </w:r>
      <w:r w:rsidR="008F70DE" w:rsidRPr="001E4C00">
        <w:rPr>
          <w:lang w:val="fr-FR"/>
        </w:rPr>
        <w:t>’</w:t>
      </w:r>
      <w:r w:rsidR="001957C8" w:rsidRPr="001E4C00">
        <w:rPr>
          <w:lang w:val="fr-FR"/>
        </w:rPr>
        <w:t xml:space="preserve">utilisation des actifs de propriété intellectuelle </w:t>
      </w:r>
      <w:r w:rsidR="00FE23C4" w:rsidRPr="001E4C00">
        <w:rPr>
          <w:lang w:val="fr-FR"/>
        </w:rPr>
        <w:t>cr</w:t>
      </w:r>
      <w:r w:rsidR="001957C8" w:rsidRPr="001E4C00">
        <w:rPr>
          <w:lang w:val="fr-FR"/>
        </w:rPr>
        <w:t>é</w:t>
      </w:r>
      <w:r w:rsidR="00FE23C4" w:rsidRPr="001E4C00">
        <w:rPr>
          <w:lang w:val="fr-FR"/>
        </w:rPr>
        <w:t>é</w:t>
      </w:r>
      <w:r w:rsidR="001957C8" w:rsidRPr="001E4C00">
        <w:rPr>
          <w:lang w:val="fr-FR"/>
        </w:rPr>
        <w:t>s</w:t>
      </w:r>
      <w:r w:rsidR="00FE23C4" w:rsidRPr="001E4C00">
        <w:rPr>
          <w:lang w:val="fr-FR"/>
        </w:rPr>
        <w:t xml:space="preserve"> ou </w:t>
      </w:r>
      <w:r w:rsidR="001957C8" w:rsidRPr="001E4C00">
        <w:rPr>
          <w:lang w:val="fr-FR"/>
        </w:rPr>
        <w:t>financés par les pouvoirs publics</w:t>
      </w:r>
    </w:p>
    <w:p w:rsidR="001957C8" w:rsidRPr="001E4C00" w:rsidRDefault="001957C8" w:rsidP="007115E7">
      <w:pPr>
        <w:tabs>
          <w:tab w:val="left" w:pos="567"/>
          <w:tab w:val="left" w:pos="1134"/>
          <w:tab w:val="left" w:pos="1843"/>
        </w:tabs>
        <w:ind w:left="1843" w:hanging="709"/>
        <w:rPr>
          <w:lang w:val="fr-FR"/>
        </w:rPr>
      </w:pPr>
      <w:r w:rsidRPr="001E4C00">
        <w:rPr>
          <w:lang w:val="fr-FR"/>
        </w:rPr>
        <w:t>4.</w:t>
      </w:r>
      <w:r w:rsidR="00C96297" w:rsidRPr="001E4C00">
        <w:rPr>
          <w:lang w:val="fr-FR"/>
        </w:rPr>
        <w:t>8</w:t>
      </w:r>
      <w:r w:rsidRPr="001E4C00">
        <w:rPr>
          <w:lang w:val="fr-FR"/>
        </w:rPr>
        <w:t>.3.</w:t>
      </w:r>
      <w:r w:rsidRPr="001E4C00">
        <w:rPr>
          <w:lang w:val="fr-FR"/>
        </w:rPr>
        <w:tab/>
        <w:t>Programme d</w:t>
      </w:r>
      <w:r w:rsidR="008F70DE" w:rsidRPr="001E4C00">
        <w:rPr>
          <w:lang w:val="fr-FR"/>
        </w:rPr>
        <w:t>’</w:t>
      </w:r>
      <w:r w:rsidRPr="001E4C00">
        <w:rPr>
          <w:lang w:val="fr-FR"/>
        </w:rPr>
        <w:t>aide aux inventeurs</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4.9.</w:t>
      </w:r>
      <w:r w:rsidRPr="001E4C00">
        <w:rPr>
          <w:lang w:val="fr-FR"/>
        </w:rPr>
        <w:tab/>
      </w:r>
      <w:r w:rsidR="00FE23C4" w:rsidRPr="001E4C00">
        <w:rPr>
          <w:lang w:val="fr-FR"/>
        </w:rPr>
        <w:t>R</w:t>
      </w:r>
      <w:r w:rsidRPr="001E4C00">
        <w:rPr>
          <w:lang w:val="fr-FR"/>
        </w:rPr>
        <w:t>enforcement des capacités par l</w:t>
      </w:r>
      <w:r w:rsidR="008F70DE" w:rsidRPr="001E4C00">
        <w:rPr>
          <w:lang w:val="fr-FR"/>
        </w:rPr>
        <w:t>’</w:t>
      </w:r>
      <w:r w:rsidR="00FE23C4" w:rsidRPr="001E4C00">
        <w:rPr>
          <w:lang w:val="fr-FR"/>
        </w:rPr>
        <w:t>intermédiaire</w:t>
      </w:r>
      <w:r w:rsidRPr="001E4C00">
        <w:rPr>
          <w:lang w:val="fr-FR"/>
        </w:rPr>
        <w:t xml:space="preserve"> de projets, de programmes de formation et d</w:t>
      </w:r>
      <w:r w:rsidR="008F70DE" w:rsidRPr="001E4C00">
        <w:rPr>
          <w:lang w:val="fr-FR"/>
        </w:rPr>
        <w:t>’</w:t>
      </w:r>
      <w:r w:rsidRPr="001E4C00">
        <w:rPr>
          <w:lang w:val="fr-FR"/>
        </w:rPr>
        <w:t>ateliers</w:t>
      </w:r>
    </w:p>
    <w:p w:rsidR="001957C8" w:rsidRPr="001E4C00" w:rsidRDefault="007B671D" w:rsidP="007B671D">
      <w:pPr>
        <w:tabs>
          <w:tab w:val="left" w:pos="567"/>
        </w:tabs>
        <w:spacing w:before="240" w:after="240"/>
        <w:ind w:left="567" w:hanging="567"/>
        <w:rPr>
          <w:b/>
          <w:caps/>
          <w:lang w:val="fr-FR"/>
        </w:rPr>
      </w:pPr>
      <w:r w:rsidRPr="001E4C00">
        <w:rPr>
          <w:b/>
          <w:caps/>
          <w:lang w:val="fr-FR"/>
        </w:rPr>
        <w:t>5.</w:t>
      </w:r>
      <w:r w:rsidRPr="001E4C00">
        <w:rPr>
          <w:b/>
          <w:caps/>
          <w:lang w:val="fr-FR"/>
        </w:rPr>
        <w:tab/>
        <w:t>Allocation de ressources financières et humaines adéquates</w:t>
      </w:r>
    </w:p>
    <w:p w:rsidR="001957C8" w:rsidRPr="001E4C00" w:rsidRDefault="007B671D" w:rsidP="007B671D">
      <w:pPr>
        <w:tabs>
          <w:tab w:val="left" w:pos="567"/>
        </w:tabs>
        <w:spacing w:before="240" w:after="240"/>
        <w:ind w:left="567" w:hanging="567"/>
        <w:rPr>
          <w:b/>
          <w:caps/>
          <w:lang w:val="fr-FR"/>
        </w:rPr>
      </w:pPr>
      <w:r w:rsidRPr="001E4C00">
        <w:rPr>
          <w:b/>
          <w:caps/>
          <w:lang w:val="fr-FR"/>
        </w:rPr>
        <w:t>6.</w:t>
      </w:r>
      <w:r w:rsidRPr="001E4C00">
        <w:rPr>
          <w:b/>
          <w:caps/>
          <w:lang w:val="fr-FR"/>
        </w:rPr>
        <w:tab/>
        <w:t>Mesures prises pour veiller à ce que les d</w:t>
      </w:r>
      <w:r w:rsidR="00FE23C4" w:rsidRPr="001E4C00">
        <w:rPr>
          <w:b/>
          <w:caps/>
          <w:lang w:val="fr-FR"/>
        </w:rPr>
        <w:t>éposants</w:t>
      </w:r>
      <w:r w:rsidRPr="001E4C00">
        <w:rPr>
          <w:b/>
          <w:caps/>
          <w:lang w:val="fr-FR"/>
        </w:rPr>
        <w:t xml:space="preserve"> de </w:t>
      </w:r>
      <w:r w:rsidR="00FE23C4" w:rsidRPr="001E4C00">
        <w:rPr>
          <w:b/>
          <w:caps/>
          <w:lang w:val="fr-FR"/>
        </w:rPr>
        <w:t>demandes de d</w:t>
      </w:r>
      <w:r w:rsidRPr="001E4C00">
        <w:rPr>
          <w:b/>
          <w:caps/>
          <w:lang w:val="fr-FR"/>
        </w:rPr>
        <w:t>roits de propriété intellectuelle de l</w:t>
      </w:r>
      <w:r w:rsidR="008F70DE" w:rsidRPr="001E4C00">
        <w:rPr>
          <w:b/>
          <w:caps/>
          <w:lang w:val="fr-FR"/>
        </w:rPr>
        <w:t>’</w:t>
      </w:r>
      <w:r w:rsidRPr="001E4C00">
        <w:rPr>
          <w:b/>
          <w:caps/>
          <w:lang w:val="fr-FR"/>
        </w:rPr>
        <w:t>Ukraine, ainsi que l</w:t>
      </w:r>
      <w:r w:rsidR="008F70DE" w:rsidRPr="001E4C00">
        <w:rPr>
          <w:b/>
          <w:caps/>
          <w:lang w:val="fr-FR"/>
        </w:rPr>
        <w:t>’</w:t>
      </w:r>
      <w:r w:rsidRPr="001E4C00">
        <w:rPr>
          <w:b/>
          <w:caps/>
          <w:lang w:val="fr-FR"/>
        </w:rPr>
        <w:t>Institut ukrainien de la propriété intellectuelle, aient accès à l</w:t>
      </w:r>
      <w:r w:rsidR="008F70DE" w:rsidRPr="001E4C00">
        <w:rPr>
          <w:b/>
          <w:caps/>
          <w:lang w:val="fr-FR"/>
        </w:rPr>
        <w:t>’</w:t>
      </w:r>
      <w:r w:rsidRPr="001E4C00">
        <w:rPr>
          <w:b/>
          <w:caps/>
          <w:lang w:val="fr-FR"/>
        </w:rPr>
        <w:t>ensemble des services de propriété intellectuelle de l</w:t>
      </w:r>
      <w:r w:rsidR="008F70DE" w:rsidRPr="001E4C00">
        <w:rPr>
          <w:b/>
          <w:caps/>
          <w:lang w:val="fr-FR"/>
        </w:rPr>
        <w:t>’</w:t>
      </w:r>
      <w:r w:rsidRPr="001E4C00">
        <w:rPr>
          <w:b/>
          <w:caps/>
          <w:lang w:val="fr-FR"/>
        </w:rPr>
        <w:t xml:space="preserve">OMPI et bénéficient des </w:t>
      </w:r>
      <w:r w:rsidR="00FE23C4" w:rsidRPr="001E4C00">
        <w:rPr>
          <w:b/>
          <w:caps/>
          <w:lang w:val="fr-FR"/>
        </w:rPr>
        <w:t>prorogations</w:t>
      </w:r>
      <w:r w:rsidRPr="001E4C00">
        <w:rPr>
          <w:b/>
          <w:caps/>
          <w:lang w:val="fr-FR"/>
        </w:rPr>
        <w:t xml:space="preserve">, exemptions et autres </w:t>
      </w:r>
      <w:r w:rsidR="00FE23C4" w:rsidRPr="001E4C00">
        <w:rPr>
          <w:b/>
          <w:caps/>
          <w:lang w:val="fr-FR"/>
        </w:rPr>
        <w:t>recours</w:t>
      </w:r>
      <w:r w:rsidRPr="001E4C00">
        <w:rPr>
          <w:b/>
          <w:caps/>
          <w:lang w:val="fr-FR"/>
        </w:rPr>
        <w:t xml:space="preserve"> appropriés</w:t>
      </w:r>
    </w:p>
    <w:p w:rsidR="001957C8" w:rsidRPr="001E4C00" w:rsidRDefault="001957C8" w:rsidP="007115E7">
      <w:pPr>
        <w:tabs>
          <w:tab w:val="left" w:pos="567"/>
          <w:tab w:val="left" w:pos="1134"/>
          <w:tab w:val="left" w:pos="1701"/>
        </w:tabs>
        <w:ind w:left="1134" w:hanging="567"/>
        <w:rPr>
          <w:lang w:val="fr-FR"/>
        </w:rPr>
      </w:pPr>
      <w:r w:rsidRPr="001E4C00">
        <w:rPr>
          <w:lang w:val="fr-FR"/>
        </w:rPr>
        <w:t>6.1.</w:t>
      </w:r>
      <w:r w:rsidRPr="001E4C00">
        <w:rPr>
          <w:lang w:val="fr-FR"/>
        </w:rPr>
        <w:tab/>
        <w:t>Récapitulatif</w:t>
      </w:r>
    </w:p>
    <w:p w:rsidR="001957C8" w:rsidRPr="001E4C00" w:rsidRDefault="001957C8" w:rsidP="007115E7">
      <w:pPr>
        <w:tabs>
          <w:tab w:val="left" w:pos="567"/>
          <w:tab w:val="left" w:pos="1134"/>
          <w:tab w:val="left" w:pos="1701"/>
        </w:tabs>
        <w:ind w:left="1134" w:hanging="567"/>
        <w:rPr>
          <w:lang w:val="fr-FR"/>
        </w:rPr>
      </w:pPr>
      <w:r w:rsidRPr="001E4C00">
        <w:rPr>
          <w:lang w:val="fr-FR"/>
        </w:rPr>
        <w:t>6.2.</w:t>
      </w:r>
      <w:r w:rsidRPr="001E4C00">
        <w:rPr>
          <w:lang w:val="fr-FR"/>
        </w:rPr>
        <w:tab/>
        <w:t>Traité de coopération en matière de brevets (PCT)</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6.2.1.</w:t>
      </w:r>
      <w:r w:rsidRPr="001E4C00">
        <w:rPr>
          <w:lang w:val="fr-FR"/>
        </w:rPr>
        <w:tab/>
      </w:r>
      <w:r w:rsidR="00FE23C4" w:rsidRPr="001E4C00">
        <w:rPr>
          <w:lang w:val="fr-FR"/>
        </w:rPr>
        <w:t>Prorogati</w:t>
      </w:r>
      <w:r w:rsidRPr="001E4C00">
        <w:rPr>
          <w:lang w:val="fr-FR"/>
        </w:rPr>
        <w:t xml:space="preserve">ons, exemptions et autres </w:t>
      </w:r>
      <w:r w:rsidR="00FE23C4" w:rsidRPr="001E4C00">
        <w:rPr>
          <w:lang w:val="fr-FR"/>
        </w:rPr>
        <w:t>recours prévu</w:t>
      </w:r>
      <w:r w:rsidRPr="001E4C00">
        <w:rPr>
          <w:lang w:val="fr-FR"/>
        </w:rPr>
        <w:t>s par le PCT</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6.2.2.</w:t>
      </w:r>
      <w:r w:rsidRPr="001E4C00">
        <w:rPr>
          <w:lang w:val="fr-FR"/>
        </w:rPr>
        <w:tab/>
        <w:t>Administration chargée de la recherche internationale et de l</w:t>
      </w:r>
      <w:r w:rsidR="008F70DE" w:rsidRPr="001E4C00">
        <w:rPr>
          <w:lang w:val="fr-FR"/>
        </w:rPr>
        <w:t>’</w:t>
      </w:r>
      <w:r w:rsidRPr="001E4C00">
        <w:rPr>
          <w:lang w:val="fr-FR"/>
        </w:rPr>
        <w:t>examen préliminaire international</w:t>
      </w:r>
    </w:p>
    <w:p w:rsidR="001957C8" w:rsidRPr="001E4C00" w:rsidRDefault="001957C8" w:rsidP="007115E7">
      <w:pPr>
        <w:tabs>
          <w:tab w:val="left" w:pos="567"/>
          <w:tab w:val="left" w:pos="1134"/>
          <w:tab w:val="left" w:pos="1843"/>
        </w:tabs>
        <w:ind w:left="1843" w:hanging="709"/>
        <w:rPr>
          <w:rFonts w:eastAsia="Times New Roman"/>
          <w:szCs w:val="22"/>
          <w:lang w:val="fr-FR"/>
        </w:rPr>
      </w:pPr>
      <w:r w:rsidRPr="001E4C00">
        <w:rPr>
          <w:lang w:val="fr-FR"/>
        </w:rPr>
        <w:t>6.2.3.</w:t>
      </w:r>
      <w:r w:rsidRPr="001E4C00">
        <w:rPr>
          <w:lang w:val="fr-FR"/>
        </w:rPr>
        <w:tab/>
        <w:t>Questions supplémentaires</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6.3.</w:t>
      </w:r>
      <w:r w:rsidRPr="001E4C00">
        <w:rPr>
          <w:lang w:val="fr-FR"/>
        </w:rPr>
        <w:tab/>
        <w:t>Système de Madrid</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6.4.</w:t>
      </w:r>
      <w:r w:rsidRPr="001E4C00">
        <w:rPr>
          <w:lang w:val="fr-FR"/>
        </w:rPr>
        <w:tab/>
        <w:t xml:space="preserve">Système de </w:t>
      </w:r>
      <w:r w:rsidR="008F70DE" w:rsidRPr="001E4C00">
        <w:rPr>
          <w:lang w:val="fr-FR"/>
        </w:rPr>
        <w:t>La Haye</w:t>
      </w:r>
    </w:p>
    <w:p w:rsidR="001957C8" w:rsidRPr="001E4C00" w:rsidRDefault="001957C8" w:rsidP="007115E7">
      <w:pPr>
        <w:tabs>
          <w:tab w:val="left" w:pos="567"/>
          <w:tab w:val="left" w:pos="1134"/>
          <w:tab w:val="left" w:pos="1701"/>
        </w:tabs>
        <w:ind w:left="1134" w:hanging="567"/>
        <w:rPr>
          <w:rFonts w:eastAsia="Times New Roman"/>
          <w:szCs w:val="22"/>
          <w:lang w:val="fr-FR"/>
        </w:rPr>
      </w:pPr>
      <w:r w:rsidRPr="001E4C00">
        <w:rPr>
          <w:lang w:val="fr-FR"/>
        </w:rPr>
        <w:t>6.5.</w:t>
      </w:r>
      <w:r w:rsidRPr="001E4C00">
        <w:rPr>
          <w:lang w:val="fr-FR"/>
        </w:rPr>
        <w:tab/>
        <w:t>Arbitrage et médiation</w:t>
      </w:r>
    </w:p>
    <w:p w:rsidR="001957C8" w:rsidRPr="001E4C00" w:rsidRDefault="007B671D" w:rsidP="007B671D">
      <w:pPr>
        <w:tabs>
          <w:tab w:val="left" w:pos="567"/>
        </w:tabs>
        <w:spacing w:before="240" w:after="240"/>
        <w:ind w:left="567" w:hanging="567"/>
        <w:rPr>
          <w:b/>
          <w:caps/>
          <w:lang w:val="fr-FR"/>
        </w:rPr>
      </w:pPr>
      <w:r w:rsidRPr="001E4C00">
        <w:rPr>
          <w:b/>
          <w:caps/>
          <w:lang w:val="fr-FR"/>
        </w:rPr>
        <w:t>7.</w:t>
      </w:r>
      <w:r w:rsidRPr="001E4C00">
        <w:rPr>
          <w:b/>
          <w:caps/>
          <w:lang w:val="fr-FR"/>
        </w:rPr>
        <w:tab/>
        <w:t>Conclusions</w:t>
      </w:r>
    </w:p>
    <w:p w:rsidR="001957C8" w:rsidRPr="001E4C00" w:rsidRDefault="001957C8" w:rsidP="007115E7">
      <w:pPr>
        <w:rPr>
          <w:lang w:val="fr-FR"/>
        </w:rPr>
      </w:pPr>
      <w:r w:rsidRPr="001E4C00">
        <w:rPr>
          <w:lang w:val="fr-FR"/>
        </w:rPr>
        <w:br w:type="page"/>
      </w:r>
    </w:p>
    <w:p w:rsidR="001957C8" w:rsidRPr="001E4C00" w:rsidRDefault="007B671D" w:rsidP="007B671D">
      <w:pPr>
        <w:pStyle w:val="Heading1"/>
        <w:ind w:left="567" w:hanging="567"/>
        <w:rPr>
          <w:lang w:val="fr-FR"/>
        </w:rPr>
      </w:pPr>
      <w:r w:rsidRPr="001E4C00">
        <w:rPr>
          <w:lang w:val="fr-FR"/>
        </w:rPr>
        <w:t>Résumé</w:t>
      </w:r>
    </w:p>
    <w:p w:rsidR="001957C8" w:rsidRPr="001E4C00" w:rsidRDefault="007B671D" w:rsidP="003C675C">
      <w:pPr>
        <w:pStyle w:val="Heading2"/>
        <w:rPr>
          <w:lang w:val="fr-FR"/>
        </w:rPr>
      </w:pPr>
      <w:r w:rsidRPr="001E4C00">
        <w:rPr>
          <w:lang w:val="fr-FR"/>
        </w:rPr>
        <w:t>1.1</w:t>
      </w:r>
      <w:r w:rsidRPr="001E4C00">
        <w:rPr>
          <w:lang w:val="fr-FR"/>
        </w:rPr>
        <w:tab/>
      </w:r>
      <w:r w:rsidR="001957C8" w:rsidRPr="001E4C00">
        <w:rPr>
          <w:lang w:val="fr-FR"/>
        </w:rPr>
        <w:t>Introduction</w:t>
      </w:r>
    </w:p>
    <w:p w:rsidR="008A3FE2" w:rsidRPr="001E4C00" w:rsidRDefault="00004F3D" w:rsidP="007115E7">
      <w:pPr>
        <w:pStyle w:val="ONUMFS"/>
        <w:rPr>
          <w:lang w:val="fr-FR"/>
        </w:rPr>
      </w:pPr>
      <w:r w:rsidRPr="001E4C00">
        <w:rPr>
          <w:lang w:val="fr-FR"/>
        </w:rPr>
        <w:t>À</w:t>
      </w:r>
      <w:r w:rsidR="001957C8" w:rsidRPr="001E4C00">
        <w:rPr>
          <w:lang w:val="fr-FR"/>
        </w:rPr>
        <w:t xml:space="preserve"> la soixante</w:t>
      </w:r>
      <w:r w:rsidR="0091158D">
        <w:rPr>
          <w:lang w:val="fr-FR"/>
        </w:rPr>
        <w:noBreakHyphen/>
      </w:r>
      <w:r w:rsidR="001957C8" w:rsidRPr="001E4C00">
        <w:rPr>
          <w:lang w:val="fr-FR"/>
        </w:rPr>
        <w:t>troisième série de réunions des assemblées des États membres de l</w:t>
      </w:r>
      <w:r w:rsidR="008F70DE" w:rsidRPr="001E4C00">
        <w:rPr>
          <w:lang w:val="fr-FR"/>
        </w:rPr>
        <w:t>’</w:t>
      </w:r>
      <w:r w:rsidR="001957C8" w:rsidRPr="001E4C00">
        <w:rPr>
          <w:lang w:val="fr-FR"/>
        </w:rPr>
        <w:t xml:space="preserve">OMPI (du 14 au 22 juillet 2022), les États membres ont adopté la décision </w:t>
      </w:r>
      <w:r w:rsidRPr="001E4C00">
        <w:rPr>
          <w:lang w:val="fr-FR"/>
        </w:rPr>
        <w:t>ci</w:t>
      </w:r>
      <w:r w:rsidR="0091158D">
        <w:rPr>
          <w:lang w:val="fr-FR"/>
        </w:rPr>
        <w:noBreakHyphen/>
      </w:r>
      <w:r w:rsidRPr="001E4C00">
        <w:rPr>
          <w:lang w:val="fr-FR"/>
        </w:rPr>
        <w:t xml:space="preserve">après </w:t>
      </w:r>
      <w:r w:rsidR="001957C8" w:rsidRPr="001E4C00">
        <w:rPr>
          <w:lang w:val="fr-FR"/>
        </w:rPr>
        <w:t>relative à l</w:t>
      </w:r>
      <w:r w:rsidR="008F70DE" w:rsidRPr="001E4C00">
        <w:rPr>
          <w:lang w:val="fr-FR"/>
        </w:rPr>
        <w:t>’</w:t>
      </w:r>
      <w:r w:rsidR="001957C8" w:rsidRPr="001E4C00">
        <w:rPr>
          <w:lang w:val="fr-FR"/>
        </w:rPr>
        <w:t xml:space="preserve">assistance et </w:t>
      </w:r>
      <w:r w:rsidRPr="001E4C00">
        <w:rPr>
          <w:lang w:val="fr-FR"/>
        </w:rPr>
        <w:t>à l</w:t>
      </w:r>
      <w:r w:rsidR="008F70DE" w:rsidRPr="001E4C00">
        <w:rPr>
          <w:lang w:val="fr-FR"/>
        </w:rPr>
        <w:t>’</w:t>
      </w:r>
      <w:r w:rsidRPr="001E4C00">
        <w:rPr>
          <w:lang w:val="fr-FR"/>
        </w:rPr>
        <w:t>appui</w:t>
      </w:r>
      <w:r w:rsidR="001957C8" w:rsidRPr="001E4C00">
        <w:rPr>
          <w:lang w:val="fr-FR"/>
        </w:rPr>
        <w:t xml:space="preserve"> au secteur de l</w:t>
      </w:r>
      <w:r w:rsidR="008F70DE" w:rsidRPr="001E4C00">
        <w:rPr>
          <w:lang w:val="fr-FR"/>
        </w:rPr>
        <w:t>’</w:t>
      </w:r>
      <w:r w:rsidR="001957C8" w:rsidRPr="001E4C00">
        <w:rPr>
          <w:lang w:val="fr-FR"/>
        </w:rPr>
        <w:t xml:space="preserve">innovation et de la créativité et au système de </w:t>
      </w:r>
      <w:r w:rsidRPr="001E4C00">
        <w:rPr>
          <w:lang w:val="fr-FR"/>
        </w:rPr>
        <w:t xml:space="preserve">la </w:t>
      </w:r>
      <w:r w:rsidR="001957C8" w:rsidRPr="001E4C00">
        <w:rPr>
          <w:lang w:val="fr-FR"/>
        </w:rPr>
        <w:t>propriété intellectuelle de l</w:t>
      </w:r>
      <w:r w:rsidR="008F70DE" w:rsidRPr="001E4C00">
        <w:rPr>
          <w:lang w:val="fr-FR"/>
        </w:rPr>
        <w:t>’</w:t>
      </w:r>
      <w:r w:rsidR="001957C8" w:rsidRPr="001E4C00">
        <w:rPr>
          <w:lang w:val="fr-FR"/>
        </w:rPr>
        <w:t xml:space="preserve">Ukraine (figurant dans le document A/63/8), </w:t>
      </w:r>
      <w:r w:rsidRPr="001E4C00">
        <w:rPr>
          <w:lang w:val="fr-FR"/>
        </w:rPr>
        <w:t>priant le</w:t>
      </w:r>
      <w:r w:rsidR="001957C8" w:rsidRPr="001E4C00">
        <w:rPr>
          <w:lang w:val="fr-FR"/>
        </w:rPr>
        <w:t xml:space="preserve"> Bureau international</w:t>
      </w:r>
      <w:r w:rsidR="008F70DE" w:rsidRPr="001E4C00">
        <w:rPr>
          <w:lang w:val="fr-FR"/>
        </w:rPr>
        <w:t> :</w:t>
      </w:r>
    </w:p>
    <w:p w:rsidR="008A3FE2" w:rsidRPr="001E4C00" w:rsidRDefault="001957C8" w:rsidP="00F77B9E">
      <w:pPr>
        <w:pStyle w:val="ONUMFS"/>
        <w:numPr>
          <w:ilvl w:val="0"/>
          <w:numId w:val="0"/>
        </w:numPr>
        <w:ind w:left="1134" w:hanging="567"/>
        <w:rPr>
          <w:rFonts w:eastAsia="Times New Roman"/>
          <w:szCs w:val="22"/>
          <w:lang w:val="fr-FR"/>
        </w:rPr>
      </w:pPr>
      <w:r w:rsidRPr="001E4C00">
        <w:rPr>
          <w:lang w:val="fr-FR"/>
        </w:rPr>
        <w:t>“1.</w:t>
      </w:r>
      <w:r w:rsidRPr="001E4C00">
        <w:rPr>
          <w:lang w:val="fr-FR"/>
        </w:rPr>
        <w:tab/>
        <w:t>d</w:t>
      </w:r>
      <w:r w:rsidR="008F70DE" w:rsidRPr="001E4C00">
        <w:rPr>
          <w:lang w:val="fr-FR"/>
        </w:rPr>
        <w:t>’</w:t>
      </w:r>
      <w:r w:rsidRPr="001E4C00">
        <w:rPr>
          <w:lang w:val="fr-FR"/>
        </w:rPr>
        <w:t>évaluer l</w:t>
      </w:r>
      <w:r w:rsidR="008F70DE" w:rsidRPr="001E4C00">
        <w:rPr>
          <w:lang w:val="fr-FR"/>
        </w:rPr>
        <w:t>’</w:t>
      </w:r>
      <w:r w:rsidRPr="001E4C00">
        <w:rPr>
          <w:lang w:val="fr-FR"/>
        </w:rPr>
        <w:t>impact immédiat, à moyen et à long terme de la guerre sur le secteur et l</w:t>
      </w:r>
      <w:r w:rsidR="008F70DE" w:rsidRPr="001E4C00">
        <w:rPr>
          <w:lang w:val="fr-FR"/>
        </w:rPr>
        <w:t>’</w:t>
      </w:r>
      <w:r w:rsidRPr="001E4C00">
        <w:rPr>
          <w:lang w:val="fr-FR"/>
        </w:rPr>
        <w:t>écosystème de l</w:t>
      </w:r>
      <w:r w:rsidR="008F70DE" w:rsidRPr="001E4C00">
        <w:rPr>
          <w:lang w:val="fr-FR"/>
        </w:rPr>
        <w:t>’</w:t>
      </w:r>
      <w:r w:rsidRPr="001E4C00">
        <w:rPr>
          <w:lang w:val="fr-FR"/>
        </w:rPr>
        <w:t xml:space="preserve">innovation et de la créativité en Ukraine, </w:t>
      </w:r>
      <w:r w:rsidR="008F70DE" w:rsidRPr="001E4C00">
        <w:rPr>
          <w:lang w:val="fr-FR"/>
        </w:rPr>
        <w:t>y compris</w:t>
      </w:r>
      <w:r w:rsidRPr="001E4C00">
        <w:rPr>
          <w:lang w:val="fr-FR"/>
        </w:rPr>
        <w:t xml:space="preserve"> les entreprises innovantes et créatives, les établissements d</w:t>
      </w:r>
      <w:r w:rsidR="008F70DE" w:rsidRPr="001E4C00">
        <w:rPr>
          <w:lang w:val="fr-FR"/>
        </w:rPr>
        <w:t>’</w:t>
      </w:r>
      <w:r w:rsidRPr="001E4C00">
        <w:rPr>
          <w:lang w:val="fr-FR"/>
        </w:rPr>
        <w:t>enseignement, les instituts de recherche et les institutions culturelles, les organismes publics responsables de la protection et de l</w:t>
      </w:r>
      <w:r w:rsidR="008F70DE" w:rsidRPr="001E4C00">
        <w:rPr>
          <w:lang w:val="fr-FR"/>
        </w:rPr>
        <w:t>’</w:t>
      </w:r>
      <w:r w:rsidRPr="001E4C00">
        <w:rPr>
          <w:lang w:val="fr-FR"/>
        </w:rPr>
        <w:t>application de la propriété intellectuelle et les centres d</w:t>
      </w:r>
      <w:r w:rsidR="008F70DE" w:rsidRPr="001E4C00">
        <w:rPr>
          <w:lang w:val="fr-FR"/>
        </w:rPr>
        <w:t>’</w:t>
      </w:r>
      <w:r w:rsidRPr="001E4C00">
        <w:rPr>
          <w:lang w:val="fr-FR"/>
        </w:rPr>
        <w:t>appui à la technologie et à l</w:t>
      </w:r>
      <w:r w:rsidR="008F70DE" w:rsidRPr="001E4C00">
        <w:rPr>
          <w:lang w:val="fr-FR"/>
        </w:rPr>
        <w:t>’</w:t>
      </w:r>
      <w:r w:rsidRPr="001E4C00">
        <w:rPr>
          <w:lang w:val="fr-FR"/>
        </w:rPr>
        <w:t>innovation (CATI), ainsi que les dépôts de demandes de titres de propriété intellectuelle en Ukraine par des personnes en dehors de l</w:t>
      </w:r>
      <w:r w:rsidR="008F70DE" w:rsidRPr="001E4C00">
        <w:rPr>
          <w:lang w:val="fr-FR"/>
        </w:rPr>
        <w:t>’</w:t>
      </w:r>
      <w:r w:rsidRPr="001E4C00">
        <w:rPr>
          <w:lang w:val="fr-FR"/>
        </w:rPr>
        <w:t>Ukraine et les dépôts effectués dans le monde entier par des résidents ukrainiens;</w:t>
      </w:r>
    </w:p>
    <w:p w:rsidR="008A3FE2" w:rsidRPr="001E4C00" w:rsidRDefault="001957C8" w:rsidP="00F77B9E">
      <w:pPr>
        <w:pStyle w:val="ONUMFS"/>
        <w:numPr>
          <w:ilvl w:val="0"/>
          <w:numId w:val="0"/>
        </w:numPr>
        <w:ind w:left="1134" w:hanging="567"/>
        <w:rPr>
          <w:rFonts w:eastAsia="Times New Roman"/>
          <w:szCs w:val="22"/>
          <w:lang w:val="fr-FR"/>
        </w:rPr>
      </w:pPr>
      <w:r w:rsidRPr="001E4C00">
        <w:rPr>
          <w:lang w:val="fr-FR"/>
        </w:rPr>
        <w:t>“2.</w:t>
      </w:r>
      <w:r w:rsidRPr="001E4C00">
        <w:rPr>
          <w:lang w:val="fr-FR"/>
        </w:rPr>
        <w:tab/>
      </w:r>
      <w:proofErr w:type="gramStart"/>
      <w:r w:rsidRPr="001E4C00">
        <w:rPr>
          <w:lang w:val="fr-FR"/>
        </w:rPr>
        <w:t>d</w:t>
      </w:r>
      <w:r w:rsidR="008F70DE" w:rsidRPr="001E4C00">
        <w:rPr>
          <w:lang w:val="fr-FR"/>
        </w:rPr>
        <w:t>’</w:t>
      </w:r>
      <w:r w:rsidRPr="001E4C00">
        <w:rPr>
          <w:lang w:val="fr-FR"/>
        </w:rPr>
        <w:t>engager</w:t>
      </w:r>
      <w:proofErr w:type="gramEnd"/>
      <w:r w:rsidRPr="001E4C00">
        <w:rPr>
          <w:lang w:val="fr-FR"/>
        </w:rPr>
        <w:t xml:space="preserve"> et de maintenir des consultations avec l</w:t>
      </w:r>
      <w:r w:rsidR="008F70DE" w:rsidRPr="001E4C00">
        <w:rPr>
          <w:lang w:val="fr-FR"/>
        </w:rPr>
        <w:t>’</w:t>
      </w:r>
      <w:r w:rsidRPr="001E4C00">
        <w:rPr>
          <w:lang w:val="fr-FR"/>
        </w:rPr>
        <w:t>Ukraine sur ses besoins particuliers en ce qui concerne son secteur et son écosystème de l</w:t>
      </w:r>
      <w:r w:rsidR="008F70DE" w:rsidRPr="001E4C00">
        <w:rPr>
          <w:lang w:val="fr-FR"/>
        </w:rPr>
        <w:t>’</w:t>
      </w:r>
      <w:r w:rsidRPr="001E4C00">
        <w:rPr>
          <w:lang w:val="fr-FR"/>
        </w:rPr>
        <w:t xml:space="preserve">innovation et de la créativité, </w:t>
      </w:r>
      <w:r w:rsidR="008F70DE" w:rsidRPr="001E4C00">
        <w:rPr>
          <w:lang w:val="fr-FR"/>
        </w:rPr>
        <w:t>y compris</w:t>
      </w:r>
      <w:r w:rsidRPr="001E4C00">
        <w:rPr>
          <w:lang w:val="fr-FR"/>
        </w:rPr>
        <w:t xml:space="preserve"> les offices de propriété intellectuelle et les CATI;</w:t>
      </w:r>
    </w:p>
    <w:p w:rsidR="008A3FE2" w:rsidRPr="001E4C00" w:rsidRDefault="001957C8" w:rsidP="00F77B9E">
      <w:pPr>
        <w:pStyle w:val="ONUMFS"/>
        <w:numPr>
          <w:ilvl w:val="0"/>
          <w:numId w:val="0"/>
        </w:numPr>
        <w:ind w:left="1134" w:hanging="567"/>
        <w:rPr>
          <w:rFonts w:eastAsia="Times New Roman"/>
          <w:szCs w:val="22"/>
          <w:lang w:val="fr-FR"/>
        </w:rPr>
      </w:pPr>
      <w:r w:rsidRPr="001E4C00">
        <w:rPr>
          <w:lang w:val="fr-FR"/>
        </w:rPr>
        <w:t>“3.</w:t>
      </w:r>
      <w:r w:rsidRPr="001E4C00">
        <w:rPr>
          <w:lang w:val="fr-FR"/>
        </w:rPr>
        <w:tab/>
      </w:r>
      <w:proofErr w:type="gramStart"/>
      <w:r w:rsidRPr="001E4C00">
        <w:rPr>
          <w:lang w:val="fr-FR"/>
        </w:rPr>
        <w:t>sur</w:t>
      </w:r>
      <w:proofErr w:type="gramEnd"/>
      <w:r w:rsidRPr="001E4C00">
        <w:rPr>
          <w:lang w:val="fr-FR"/>
        </w:rPr>
        <w:t xml:space="preserve"> la base des évaluations et des consultations susmentionnées, de mettre en œuvre une assistance technique, une assistance juridique, un renforcement des capacités et d</w:t>
      </w:r>
      <w:r w:rsidR="008F70DE" w:rsidRPr="001E4C00">
        <w:rPr>
          <w:lang w:val="fr-FR"/>
        </w:rPr>
        <w:t>’</w:t>
      </w:r>
      <w:r w:rsidRPr="001E4C00">
        <w:rPr>
          <w:lang w:val="fr-FR"/>
        </w:rPr>
        <w:t>autres formes d</w:t>
      </w:r>
      <w:r w:rsidR="008F70DE" w:rsidRPr="001E4C00">
        <w:rPr>
          <w:lang w:val="fr-FR"/>
        </w:rPr>
        <w:t>’</w:t>
      </w:r>
      <w:r w:rsidRPr="001E4C00">
        <w:rPr>
          <w:lang w:val="fr-FR"/>
        </w:rPr>
        <w:t>assistance en faveur de l</w:t>
      </w:r>
      <w:r w:rsidR="008F70DE" w:rsidRPr="001E4C00">
        <w:rPr>
          <w:lang w:val="fr-FR"/>
        </w:rPr>
        <w:t>’</w:t>
      </w:r>
      <w:r w:rsidRPr="001E4C00">
        <w:rPr>
          <w:lang w:val="fr-FR"/>
        </w:rPr>
        <w:t>Ukraine, le cas échéant et selon que de besoin, aux fins de la restauration et de la reconstruction du secteur et de l</w:t>
      </w:r>
      <w:r w:rsidR="008F70DE" w:rsidRPr="001E4C00">
        <w:rPr>
          <w:lang w:val="fr-FR"/>
        </w:rPr>
        <w:t>’</w:t>
      </w:r>
      <w:r w:rsidRPr="001E4C00">
        <w:rPr>
          <w:lang w:val="fr-FR"/>
        </w:rPr>
        <w:t>écosystème de la propriété intellectuelle en Ukraine;</w:t>
      </w:r>
    </w:p>
    <w:p w:rsidR="008A3FE2" w:rsidRPr="001E4C00" w:rsidRDefault="001957C8" w:rsidP="00F77B9E">
      <w:pPr>
        <w:pStyle w:val="ONUMFS"/>
        <w:numPr>
          <w:ilvl w:val="0"/>
          <w:numId w:val="0"/>
        </w:numPr>
        <w:ind w:left="1134" w:hanging="567"/>
        <w:rPr>
          <w:rFonts w:eastAsia="Times New Roman"/>
          <w:szCs w:val="22"/>
          <w:lang w:val="fr-FR"/>
        </w:rPr>
      </w:pPr>
      <w:r w:rsidRPr="001E4C00">
        <w:rPr>
          <w:lang w:val="fr-FR"/>
        </w:rPr>
        <w:t>“4.</w:t>
      </w:r>
      <w:r w:rsidRPr="001E4C00">
        <w:rPr>
          <w:lang w:val="fr-FR"/>
        </w:rPr>
        <w:tab/>
      </w:r>
      <w:proofErr w:type="gramStart"/>
      <w:r w:rsidRPr="001E4C00">
        <w:rPr>
          <w:lang w:val="fr-FR"/>
        </w:rPr>
        <w:t>d</w:t>
      </w:r>
      <w:r w:rsidR="008F70DE" w:rsidRPr="001E4C00">
        <w:rPr>
          <w:lang w:val="fr-FR"/>
        </w:rPr>
        <w:t>’</w:t>
      </w:r>
      <w:r w:rsidRPr="001E4C00">
        <w:rPr>
          <w:lang w:val="fr-FR"/>
        </w:rPr>
        <w:t>allouer</w:t>
      </w:r>
      <w:proofErr w:type="gramEnd"/>
      <w:r w:rsidRPr="001E4C00">
        <w:rPr>
          <w:lang w:val="fr-FR"/>
        </w:rPr>
        <w:t xml:space="preserve"> des ressources financières et humaines suffisantes, </w:t>
      </w:r>
      <w:r w:rsidR="008F70DE" w:rsidRPr="001E4C00">
        <w:rPr>
          <w:lang w:val="fr-FR"/>
        </w:rPr>
        <w:t>y compris</w:t>
      </w:r>
      <w:r w:rsidRPr="001E4C00">
        <w:rPr>
          <w:lang w:val="fr-FR"/>
        </w:rPr>
        <w:t xml:space="preserve"> par une réaffectation dans les limites du budget généralement approuvé, à la mise en œuvre des activités visées au point 3 ci</w:t>
      </w:r>
      <w:r w:rsidR="0091158D">
        <w:rPr>
          <w:lang w:val="fr-FR"/>
        </w:rPr>
        <w:noBreakHyphen/>
      </w:r>
      <w:r w:rsidRPr="001E4C00">
        <w:rPr>
          <w:lang w:val="fr-FR"/>
        </w:rPr>
        <w:t>dessus;</w:t>
      </w:r>
    </w:p>
    <w:p w:rsidR="008A3FE2" w:rsidRPr="001E4C00" w:rsidRDefault="001957C8" w:rsidP="00F77B9E">
      <w:pPr>
        <w:pStyle w:val="ONUMFS"/>
        <w:numPr>
          <w:ilvl w:val="0"/>
          <w:numId w:val="0"/>
        </w:numPr>
        <w:ind w:left="1134" w:hanging="567"/>
        <w:rPr>
          <w:rFonts w:eastAsia="Times New Roman"/>
          <w:szCs w:val="22"/>
          <w:lang w:val="fr-FR"/>
        </w:rPr>
      </w:pPr>
      <w:r w:rsidRPr="001E4C00">
        <w:rPr>
          <w:lang w:val="fr-FR"/>
        </w:rPr>
        <w:t>“5.</w:t>
      </w:r>
      <w:r w:rsidRPr="001E4C00">
        <w:rPr>
          <w:lang w:val="fr-FR"/>
        </w:rPr>
        <w:tab/>
        <w:t>de prendre les mesures appropriées pour que les déposants ukrainiens de demandes de titres de propriété intellectuelle, ainsi que l</w:t>
      </w:r>
      <w:r w:rsidR="008F70DE" w:rsidRPr="001E4C00">
        <w:rPr>
          <w:lang w:val="fr-FR"/>
        </w:rPr>
        <w:t>’</w:t>
      </w:r>
      <w:r w:rsidRPr="001E4C00">
        <w:rPr>
          <w:lang w:val="fr-FR"/>
        </w:rPr>
        <w:t>Institut ukrainien de la propriété intellectuelle, aient accès à l</w:t>
      </w:r>
      <w:r w:rsidR="008F70DE" w:rsidRPr="001E4C00">
        <w:rPr>
          <w:lang w:val="fr-FR"/>
        </w:rPr>
        <w:t>’</w:t>
      </w:r>
      <w:r w:rsidRPr="001E4C00">
        <w:rPr>
          <w:lang w:val="fr-FR"/>
        </w:rPr>
        <w:t>éventail complet de services de propriété intellectuelle de l</w:t>
      </w:r>
      <w:r w:rsidR="008F70DE" w:rsidRPr="001E4C00">
        <w:rPr>
          <w:lang w:val="fr-FR"/>
        </w:rPr>
        <w:t>’</w:t>
      </w:r>
      <w:r w:rsidRPr="001E4C00">
        <w:rPr>
          <w:lang w:val="fr-FR"/>
        </w:rPr>
        <w:t xml:space="preserve">OMPI, </w:t>
      </w:r>
      <w:r w:rsidR="008F70DE" w:rsidRPr="001E4C00">
        <w:rPr>
          <w:lang w:val="fr-FR"/>
        </w:rPr>
        <w:t>y compris</w:t>
      </w:r>
      <w:r w:rsidRPr="001E4C00">
        <w:rPr>
          <w:lang w:val="fr-FR"/>
        </w:rPr>
        <w:t xml:space="preserve"> les services du Centre d</w:t>
      </w:r>
      <w:r w:rsidR="008F70DE" w:rsidRPr="001E4C00">
        <w:rPr>
          <w:lang w:val="fr-FR"/>
        </w:rPr>
        <w:t>’</w:t>
      </w:r>
      <w:r w:rsidRPr="001E4C00">
        <w:rPr>
          <w:lang w:val="fr-FR"/>
        </w:rPr>
        <w:t>arbitrage et de médiation de l</w:t>
      </w:r>
      <w:r w:rsidR="008F70DE" w:rsidRPr="001E4C00">
        <w:rPr>
          <w:lang w:val="fr-FR"/>
        </w:rPr>
        <w:t>’</w:t>
      </w:r>
      <w:r w:rsidRPr="001E4C00">
        <w:rPr>
          <w:lang w:val="fr-FR"/>
        </w:rPr>
        <w:t>OMPI, et se voient accorder les prorogations, exemptions et autres recours appropriés prévus dans les traités, règles et règlements pertinents de l</w:t>
      </w:r>
      <w:r w:rsidR="008F70DE" w:rsidRPr="001E4C00">
        <w:rPr>
          <w:lang w:val="fr-FR"/>
        </w:rPr>
        <w:t>’</w:t>
      </w:r>
      <w:r w:rsidRPr="001E4C00">
        <w:rPr>
          <w:lang w:val="fr-FR"/>
        </w:rPr>
        <w:t>OMPI, compte tenu des circonstances actuelles;</w:t>
      </w:r>
    </w:p>
    <w:p w:rsidR="008A3FE2" w:rsidRPr="001E4C00" w:rsidRDefault="001957C8" w:rsidP="00F77B9E">
      <w:pPr>
        <w:pStyle w:val="ONUMFS"/>
        <w:numPr>
          <w:ilvl w:val="0"/>
          <w:numId w:val="0"/>
        </w:numPr>
        <w:ind w:left="1134" w:hanging="567"/>
        <w:rPr>
          <w:lang w:val="fr-FR"/>
        </w:rPr>
      </w:pPr>
      <w:r w:rsidRPr="001E4C00">
        <w:rPr>
          <w:lang w:val="fr-FR"/>
        </w:rPr>
        <w:t>“6.</w:t>
      </w:r>
      <w:r w:rsidRPr="001E4C00">
        <w:rPr>
          <w:lang w:val="fr-FR"/>
        </w:rPr>
        <w:tab/>
      </w:r>
      <w:proofErr w:type="gramStart"/>
      <w:r w:rsidRPr="001E4C00">
        <w:rPr>
          <w:lang w:val="fr-FR"/>
        </w:rPr>
        <w:t>de</w:t>
      </w:r>
      <w:proofErr w:type="gramEnd"/>
      <w:r w:rsidRPr="001E4C00">
        <w:rPr>
          <w:lang w:val="fr-FR"/>
        </w:rPr>
        <w:t xml:space="preserve"> faire rapport, lors de la prochaine Assemblée générale, sur l</w:t>
      </w:r>
      <w:r w:rsidR="008F70DE" w:rsidRPr="001E4C00">
        <w:rPr>
          <w:lang w:val="fr-FR"/>
        </w:rPr>
        <w:t>’</w:t>
      </w:r>
      <w:r w:rsidRPr="001E4C00">
        <w:rPr>
          <w:lang w:val="fr-FR"/>
        </w:rPr>
        <w:t>évaluation, les consultations, la mise en œuvre et les autres activités prévues aux points 1 à 5 ci</w:t>
      </w:r>
      <w:r w:rsidR="0091158D">
        <w:rPr>
          <w:lang w:val="fr-FR"/>
        </w:rPr>
        <w:noBreakHyphen/>
      </w:r>
      <w:r w:rsidRPr="001E4C00">
        <w:rPr>
          <w:lang w:val="fr-FR"/>
        </w:rPr>
        <w:t>dessus;</w:t>
      </w:r>
    </w:p>
    <w:p w:rsidR="001957C8" w:rsidRPr="001E4C00" w:rsidRDefault="001957C8" w:rsidP="007115E7">
      <w:pPr>
        <w:pStyle w:val="ONUMFS"/>
        <w:rPr>
          <w:lang w:val="fr-FR"/>
        </w:rPr>
      </w:pPr>
      <w:r w:rsidRPr="001E4C00">
        <w:rPr>
          <w:lang w:val="fr-FR"/>
        </w:rPr>
        <w:t xml:space="preserve">En conséquence, le présent document </w:t>
      </w:r>
      <w:r w:rsidR="00004F3D" w:rsidRPr="001E4C00">
        <w:rPr>
          <w:lang w:val="fr-FR"/>
        </w:rPr>
        <w:t xml:space="preserve">constitue </w:t>
      </w:r>
      <w:r w:rsidRPr="001E4C00">
        <w:rPr>
          <w:lang w:val="fr-FR"/>
        </w:rPr>
        <w:t>un rapport aux assemblées sur l</w:t>
      </w:r>
      <w:r w:rsidR="008F70DE" w:rsidRPr="001E4C00">
        <w:rPr>
          <w:lang w:val="fr-FR"/>
        </w:rPr>
        <w:t>’</w:t>
      </w:r>
      <w:r w:rsidRPr="001E4C00">
        <w:rPr>
          <w:lang w:val="fr-FR"/>
        </w:rPr>
        <w:t>évaluation, les consultations, la mise en œuvre et les autres activités liées à l</w:t>
      </w:r>
      <w:r w:rsidR="008F70DE" w:rsidRPr="001E4C00">
        <w:rPr>
          <w:lang w:val="fr-FR"/>
        </w:rPr>
        <w:t>’</w:t>
      </w:r>
      <w:r w:rsidRPr="001E4C00">
        <w:rPr>
          <w:lang w:val="fr-FR"/>
        </w:rPr>
        <w:t xml:space="preserve">assistance et </w:t>
      </w:r>
      <w:r w:rsidR="00004F3D" w:rsidRPr="001E4C00">
        <w:rPr>
          <w:lang w:val="fr-FR"/>
        </w:rPr>
        <w:t>à l</w:t>
      </w:r>
      <w:r w:rsidR="008F70DE" w:rsidRPr="001E4C00">
        <w:rPr>
          <w:lang w:val="fr-FR"/>
        </w:rPr>
        <w:t>’</w:t>
      </w:r>
      <w:r w:rsidR="00004F3D" w:rsidRPr="001E4C00">
        <w:rPr>
          <w:lang w:val="fr-FR"/>
        </w:rPr>
        <w:t>appui</w:t>
      </w:r>
      <w:r w:rsidRPr="001E4C00">
        <w:rPr>
          <w:lang w:val="fr-FR"/>
        </w:rPr>
        <w:t xml:space="preserve"> au secteur de l</w:t>
      </w:r>
      <w:r w:rsidR="008F70DE" w:rsidRPr="001E4C00">
        <w:rPr>
          <w:lang w:val="fr-FR"/>
        </w:rPr>
        <w:t>’</w:t>
      </w:r>
      <w:r w:rsidRPr="001E4C00">
        <w:rPr>
          <w:lang w:val="fr-FR"/>
        </w:rPr>
        <w:t xml:space="preserve">innovation et de la créativité et au système de </w:t>
      </w:r>
      <w:r w:rsidR="00004F3D" w:rsidRPr="001E4C00">
        <w:rPr>
          <w:lang w:val="fr-FR"/>
        </w:rPr>
        <w:t xml:space="preserve">la </w:t>
      </w:r>
      <w:r w:rsidRPr="001E4C00">
        <w:rPr>
          <w:lang w:val="fr-FR"/>
        </w:rPr>
        <w:t>propriété intellectuelle de l</w:t>
      </w:r>
      <w:r w:rsidR="008F70DE" w:rsidRPr="001E4C00">
        <w:rPr>
          <w:lang w:val="fr-FR"/>
        </w:rPr>
        <w:t>’</w:t>
      </w:r>
      <w:r w:rsidRPr="001E4C00">
        <w:rPr>
          <w:lang w:val="fr-FR"/>
        </w:rPr>
        <w:t xml:space="preserve">Ukraine, </w:t>
      </w:r>
      <w:r w:rsidR="00004F3D" w:rsidRPr="001E4C00">
        <w:rPr>
          <w:lang w:val="fr-FR"/>
        </w:rPr>
        <w:t>conformément à la demande d</w:t>
      </w:r>
      <w:r w:rsidRPr="001E4C00">
        <w:rPr>
          <w:lang w:val="fr-FR"/>
        </w:rPr>
        <w:t>es États membres.</w:t>
      </w:r>
    </w:p>
    <w:p w:rsidR="001957C8" w:rsidRPr="001E4C00" w:rsidRDefault="001957C8" w:rsidP="003C675C">
      <w:pPr>
        <w:pStyle w:val="Heading2"/>
        <w:rPr>
          <w:lang w:val="fr-FR"/>
        </w:rPr>
      </w:pPr>
      <w:r w:rsidRPr="001E4C00">
        <w:rPr>
          <w:lang w:val="fr-FR"/>
        </w:rPr>
        <w:t>1.2.</w:t>
      </w:r>
      <w:r w:rsidRPr="001E4C00">
        <w:rPr>
          <w:lang w:val="fr-FR"/>
        </w:rPr>
        <w:tab/>
        <w:t>Récapitulatif</w:t>
      </w:r>
    </w:p>
    <w:p w:rsidR="008A3FE2" w:rsidRPr="001E4C00" w:rsidRDefault="001957C8" w:rsidP="007115E7">
      <w:pPr>
        <w:pStyle w:val="ONUMFS"/>
        <w:rPr>
          <w:lang w:val="fr-FR"/>
        </w:rPr>
      </w:pPr>
      <w:r w:rsidRPr="001E4C00">
        <w:rPr>
          <w:lang w:val="fr-FR"/>
        </w:rPr>
        <w:t xml:space="preserve">Suite à la demande des États membres et </w:t>
      </w:r>
      <w:r w:rsidR="00E10296" w:rsidRPr="001E4C00">
        <w:rPr>
          <w:lang w:val="fr-FR"/>
        </w:rPr>
        <w:t xml:space="preserve">afin de </w:t>
      </w:r>
      <w:r w:rsidRPr="001E4C00">
        <w:rPr>
          <w:lang w:val="fr-FR"/>
        </w:rPr>
        <w:t>mettre en œuvre la</w:t>
      </w:r>
      <w:r w:rsidR="00E10296" w:rsidRPr="001E4C00">
        <w:rPr>
          <w:lang w:val="fr-FR"/>
        </w:rPr>
        <w:t>dite</w:t>
      </w:r>
      <w:r w:rsidRPr="001E4C00">
        <w:rPr>
          <w:lang w:val="fr-FR"/>
        </w:rPr>
        <w:t xml:space="preserve"> décision, le Bureau international a réalisé une évaluation complète de </w:t>
      </w:r>
      <w:r w:rsidR="00E10296" w:rsidRPr="001E4C00">
        <w:rPr>
          <w:lang w:val="fr-FR"/>
        </w:rPr>
        <w:t>l</w:t>
      </w:r>
      <w:r w:rsidR="008F70DE" w:rsidRPr="001E4C00">
        <w:rPr>
          <w:lang w:val="fr-FR"/>
        </w:rPr>
        <w:t>’</w:t>
      </w:r>
      <w:r w:rsidRPr="001E4C00">
        <w:rPr>
          <w:lang w:val="fr-FR"/>
        </w:rPr>
        <w:t>impact de la guerre sur le secteur et l</w:t>
      </w:r>
      <w:r w:rsidR="008F70DE" w:rsidRPr="001E4C00">
        <w:rPr>
          <w:lang w:val="fr-FR"/>
        </w:rPr>
        <w:t>’</w:t>
      </w:r>
      <w:r w:rsidRPr="001E4C00">
        <w:rPr>
          <w:lang w:val="fr-FR"/>
        </w:rPr>
        <w:t>écosystème de l</w:t>
      </w:r>
      <w:r w:rsidR="008F70DE" w:rsidRPr="001E4C00">
        <w:rPr>
          <w:lang w:val="fr-FR"/>
        </w:rPr>
        <w:t>’</w:t>
      </w:r>
      <w:r w:rsidRPr="001E4C00">
        <w:rPr>
          <w:lang w:val="fr-FR"/>
        </w:rPr>
        <w:t xml:space="preserve">innovation et de la créativité en Ukraine en menant des consultations approfondies avec les parties prenantes à différents niveaux </w:t>
      </w:r>
      <w:r w:rsidR="00E10296" w:rsidRPr="001E4C00">
        <w:rPr>
          <w:lang w:val="fr-FR"/>
        </w:rPr>
        <w:t>au moyen</w:t>
      </w:r>
      <w:r w:rsidRPr="001E4C00">
        <w:rPr>
          <w:lang w:val="fr-FR"/>
        </w:rPr>
        <w:t xml:space="preserve"> de questionnaires, d</w:t>
      </w:r>
      <w:r w:rsidR="008F70DE" w:rsidRPr="001E4C00">
        <w:rPr>
          <w:lang w:val="fr-FR"/>
        </w:rPr>
        <w:t>’</w:t>
      </w:r>
      <w:r w:rsidRPr="001E4C00">
        <w:rPr>
          <w:lang w:val="fr-FR"/>
        </w:rPr>
        <w:t>entretiens, de recherches documentaires et d</w:t>
      </w:r>
      <w:r w:rsidR="008F70DE" w:rsidRPr="001E4C00">
        <w:rPr>
          <w:lang w:val="fr-FR"/>
        </w:rPr>
        <w:t>’</w:t>
      </w:r>
      <w:r w:rsidRPr="001E4C00">
        <w:rPr>
          <w:lang w:val="fr-FR"/>
        </w:rPr>
        <w:t>analyses de donné</w:t>
      </w:r>
      <w:r w:rsidR="00783939" w:rsidRPr="001E4C00">
        <w:rPr>
          <w:lang w:val="fr-FR"/>
        </w:rPr>
        <w:t>es.  Un</w:t>
      </w:r>
      <w:r w:rsidRPr="001E4C00">
        <w:rPr>
          <w:lang w:val="fr-FR"/>
        </w:rPr>
        <w:t>e centaine de parties prenantes ont participé à l</w:t>
      </w:r>
      <w:r w:rsidR="008F70DE" w:rsidRPr="001E4C00">
        <w:rPr>
          <w:lang w:val="fr-FR"/>
        </w:rPr>
        <w:t>’</w:t>
      </w:r>
      <w:r w:rsidRPr="001E4C00">
        <w:rPr>
          <w:lang w:val="fr-FR"/>
        </w:rPr>
        <w:t>évaluation et aux consultations.</w:t>
      </w:r>
    </w:p>
    <w:p w:rsidR="001957C8" w:rsidRPr="001E4C00" w:rsidRDefault="00E10296" w:rsidP="007115E7">
      <w:pPr>
        <w:pStyle w:val="ONUMFS"/>
        <w:rPr>
          <w:lang w:val="fr-FR"/>
        </w:rPr>
      </w:pPr>
      <w:r w:rsidRPr="001E4C00">
        <w:rPr>
          <w:lang w:val="fr-FR"/>
        </w:rPr>
        <w:t>Comme il ressort</w:t>
      </w:r>
      <w:r w:rsidR="001957C8" w:rsidRPr="001E4C00">
        <w:rPr>
          <w:lang w:val="fr-FR"/>
        </w:rPr>
        <w:t xml:space="preserve"> de l</w:t>
      </w:r>
      <w:r w:rsidR="008F70DE" w:rsidRPr="001E4C00">
        <w:rPr>
          <w:lang w:val="fr-FR"/>
        </w:rPr>
        <w:t>’</w:t>
      </w:r>
      <w:r w:rsidR="001957C8" w:rsidRPr="001E4C00">
        <w:rPr>
          <w:lang w:val="fr-FR"/>
        </w:rPr>
        <w:t>évaluation réalisée, les répercussions de la guerre sur le secteur et l</w:t>
      </w:r>
      <w:r w:rsidR="008F70DE" w:rsidRPr="001E4C00">
        <w:rPr>
          <w:lang w:val="fr-FR"/>
        </w:rPr>
        <w:t>’</w:t>
      </w:r>
      <w:r w:rsidR="001957C8" w:rsidRPr="001E4C00">
        <w:rPr>
          <w:lang w:val="fr-FR"/>
        </w:rPr>
        <w:t>écosystème de l</w:t>
      </w:r>
      <w:r w:rsidR="008F70DE" w:rsidRPr="001E4C00">
        <w:rPr>
          <w:lang w:val="fr-FR"/>
        </w:rPr>
        <w:t>’</w:t>
      </w:r>
      <w:r w:rsidR="001957C8" w:rsidRPr="001E4C00">
        <w:rPr>
          <w:lang w:val="fr-FR"/>
        </w:rPr>
        <w:t xml:space="preserve">innovation et de la créativité en Ukraine comprennent les dommages </w:t>
      </w:r>
      <w:r w:rsidRPr="001E4C00">
        <w:rPr>
          <w:lang w:val="fr-FR"/>
        </w:rPr>
        <w:t>sur le plan social</w:t>
      </w:r>
      <w:r w:rsidR="001957C8" w:rsidRPr="001E4C00">
        <w:rPr>
          <w:lang w:val="fr-FR"/>
        </w:rPr>
        <w:t>, l</w:t>
      </w:r>
      <w:r w:rsidR="008F70DE" w:rsidRPr="001E4C00">
        <w:rPr>
          <w:lang w:val="fr-FR"/>
        </w:rPr>
        <w:t>’</w:t>
      </w:r>
      <w:r w:rsidR="001957C8" w:rsidRPr="001E4C00">
        <w:rPr>
          <w:lang w:val="fr-FR"/>
        </w:rPr>
        <w:t xml:space="preserve">impact sur la santé mentale et la fuite des cerveaux;  les </w:t>
      </w:r>
      <w:r w:rsidRPr="001E4C00">
        <w:rPr>
          <w:lang w:val="fr-FR"/>
        </w:rPr>
        <w:t xml:space="preserve">dégâts causés </w:t>
      </w:r>
      <w:r w:rsidR="001957C8" w:rsidRPr="001E4C00">
        <w:rPr>
          <w:lang w:val="fr-FR"/>
        </w:rPr>
        <w:t xml:space="preserve">aux infrastructures et la réaffectation des ressources financières par le gouvernement aux priorités </w:t>
      </w:r>
      <w:r w:rsidRPr="001E4C00">
        <w:rPr>
          <w:lang w:val="fr-FR"/>
        </w:rPr>
        <w:t xml:space="preserve">en matière </w:t>
      </w:r>
      <w:r w:rsidR="001957C8" w:rsidRPr="001E4C00">
        <w:rPr>
          <w:lang w:val="fr-FR"/>
        </w:rPr>
        <w:t xml:space="preserve">de sécurité et de défense nationale;  et les dommages </w:t>
      </w:r>
      <w:r w:rsidRPr="001E4C00">
        <w:rPr>
          <w:lang w:val="fr-FR"/>
        </w:rPr>
        <w:t xml:space="preserve">causés </w:t>
      </w:r>
      <w:r w:rsidR="001957C8" w:rsidRPr="001E4C00">
        <w:rPr>
          <w:lang w:val="fr-FR"/>
        </w:rPr>
        <w:t>à l</w:t>
      </w:r>
      <w:r w:rsidR="008F70DE" w:rsidRPr="001E4C00">
        <w:rPr>
          <w:lang w:val="fr-FR"/>
        </w:rPr>
        <w:t>’</w:t>
      </w:r>
      <w:r w:rsidR="001957C8" w:rsidRPr="001E4C00">
        <w:rPr>
          <w:lang w:val="fr-FR"/>
        </w:rPr>
        <w:t xml:space="preserve">écosystème de la propriété intellectuelle, la diminution des dépôts de demandes de </w:t>
      </w:r>
      <w:r w:rsidR="00706B91" w:rsidRPr="001E4C00">
        <w:rPr>
          <w:lang w:val="fr-FR"/>
        </w:rPr>
        <w:t xml:space="preserve">titres de </w:t>
      </w:r>
      <w:r w:rsidR="001957C8" w:rsidRPr="001E4C00">
        <w:rPr>
          <w:lang w:val="fr-FR"/>
        </w:rPr>
        <w:t xml:space="preserve">propriété intellectuelle, la perte de revenus des </w:t>
      </w:r>
      <w:r w:rsidR="00706B91" w:rsidRPr="001E4C00">
        <w:rPr>
          <w:lang w:val="fr-FR"/>
        </w:rPr>
        <w:t xml:space="preserve">acteurs </w:t>
      </w:r>
      <w:r w:rsidR="001957C8" w:rsidRPr="001E4C00">
        <w:rPr>
          <w:lang w:val="fr-FR"/>
        </w:rPr>
        <w:t>de l</w:t>
      </w:r>
      <w:r w:rsidR="008F70DE" w:rsidRPr="001E4C00">
        <w:rPr>
          <w:lang w:val="fr-FR"/>
        </w:rPr>
        <w:t>’</w:t>
      </w:r>
      <w:r w:rsidR="001957C8" w:rsidRPr="001E4C00">
        <w:rPr>
          <w:lang w:val="fr-FR"/>
        </w:rPr>
        <w:t>industrie de la création.</w:t>
      </w:r>
    </w:p>
    <w:p w:rsidR="001957C8" w:rsidRPr="001E4C00" w:rsidRDefault="001957C8" w:rsidP="007115E7">
      <w:pPr>
        <w:pStyle w:val="ONUMFS"/>
        <w:rPr>
          <w:lang w:val="fr-FR"/>
        </w:rPr>
      </w:pPr>
      <w:r w:rsidRPr="001E4C00">
        <w:rPr>
          <w:lang w:val="fr-FR"/>
        </w:rPr>
        <w:t>Le Bureau international a entamé et poursuivi des consultations avec l</w:t>
      </w:r>
      <w:r w:rsidR="008F70DE" w:rsidRPr="001E4C00">
        <w:rPr>
          <w:lang w:val="fr-FR"/>
        </w:rPr>
        <w:t>’</w:t>
      </w:r>
      <w:r w:rsidRPr="001E4C00">
        <w:rPr>
          <w:lang w:val="fr-FR"/>
        </w:rPr>
        <w:t>Ukraine sur ses besoins particuliers en ce qui concerne son secteur et son écosystème de l</w:t>
      </w:r>
      <w:r w:rsidR="008F70DE" w:rsidRPr="001E4C00">
        <w:rPr>
          <w:lang w:val="fr-FR"/>
        </w:rPr>
        <w:t>’</w:t>
      </w:r>
      <w:r w:rsidRPr="001E4C00">
        <w:rPr>
          <w:lang w:val="fr-FR"/>
        </w:rPr>
        <w:t>innovation et de la créativi</w:t>
      </w:r>
      <w:r w:rsidR="00783939" w:rsidRPr="001E4C00">
        <w:rPr>
          <w:lang w:val="fr-FR"/>
        </w:rPr>
        <w:t>té.  Ou</w:t>
      </w:r>
      <w:r w:rsidRPr="001E4C00">
        <w:rPr>
          <w:lang w:val="fr-FR"/>
        </w:rPr>
        <w:t xml:space="preserve">tre </w:t>
      </w:r>
      <w:r w:rsidR="00706B91" w:rsidRPr="001E4C00">
        <w:rPr>
          <w:lang w:val="fr-FR"/>
        </w:rPr>
        <w:t xml:space="preserve">des </w:t>
      </w:r>
      <w:r w:rsidRPr="001E4C00">
        <w:rPr>
          <w:lang w:val="fr-FR"/>
        </w:rPr>
        <w:t xml:space="preserve">échanges de lettres et </w:t>
      </w:r>
      <w:r w:rsidR="00706B91" w:rsidRPr="001E4C00">
        <w:rPr>
          <w:lang w:val="fr-FR"/>
        </w:rPr>
        <w:t xml:space="preserve">des </w:t>
      </w:r>
      <w:r w:rsidRPr="001E4C00">
        <w:rPr>
          <w:lang w:val="fr-FR"/>
        </w:rPr>
        <w:t>communications à tous les niveaux, plus de 25 réunions virtuelles et en personne ont eu lieu à Genève, auxquelles ont participé les parties prenantes gouvernementales concernées de l</w:t>
      </w:r>
      <w:r w:rsidR="008F70DE" w:rsidRPr="001E4C00">
        <w:rPr>
          <w:lang w:val="fr-FR"/>
        </w:rPr>
        <w:t>’</w:t>
      </w:r>
      <w:r w:rsidRPr="001E4C00">
        <w:rPr>
          <w:lang w:val="fr-FR"/>
        </w:rPr>
        <w:t>Ukraine.</w:t>
      </w:r>
    </w:p>
    <w:p w:rsidR="001957C8" w:rsidRPr="001E4C00" w:rsidRDefault="001957C8" w:rsidP="007115E7">
      <w:pPr>
        <w:pStyle w:val="ONUMFS"/>
        <w:rPr>
          <w:lang w:val="fr-FR"/>
        </w:rPr>
      </w:pPr>
      <w:r w:rsidRPr="001E4C00">
        <w:rPr>
          <w:lang w:val="fr-FR"/>
        </w:rPr>
        <w:t xml:space="preserve">Le Bureau international a pu </w:t>
      </w:r>
      <w:r w:rsidR="00706B91" w:rsidRPr="001E4C00">
        <w:rPr>
          <w:lang w:val="fr-FR"/>
        </w:rPr>
        <w:t xml:space="preserve">recenser </w:t>
      </w:r>
      <w:r w:rsidRPr="001E4C00">
        <w:rPr>
          <w:lang w:val="fr-FR"/>
        </w:rPr>
        <w:t>les besoins les plus urgents du pays en ce qui concerne son secteur et son écosystème de la propriété intellectuel</w:t>
      </w:r>
      <w:r w:rsidR="00783939" w:rsidRPr="001E4C00">
        <w:rPr>
          <w:lang w:val="fr-FR"/>
        </w:rPr>
        <w:t>le.  Ce</w:t>
      </w:r>
      <w:r w:rsidRPr="001E4C00">
        <w:rPr>
          <w:lang w:val="fr-FR"/>
        </w:rPr>
        <w:t>s besoins seront satisfaits grâce à une assistance technique et juridique, au renforcement des capacités et à d</w:t>
      </w:r>
      <w:r w:rsidR="008F70DE" w:rsidRPr="001E4C00">
        <w:rPr>
          <w:lang w:val="fr-FR"/>
        </w:rPr>
        <w:t>’</w:t>
      </w:r>
      <w:r w:rsidRPr="001E4C00">
        <w:rPr>
          <w:lang w:val="fr-FR"/>
        </w:rPr>
        <w:t>autres formes de soutien et d</w:t>
      </w:r>
      <w:r w:rsidR="008F70DE" w:rsidRPr="001E4C00">
        <w:rPr>
          <w:lang w:val="fr-FR"/>
        </w:rPr>
        <w:t>’</w:t>
      </w:r>
      <w:r w:rsidRPr="001E4C00">
        <w:rPr>
          <w:lang w:val="fr-FR"/>
        </w:rPr>
        <w:t>assistance pour la restauration et le développement du secteur et de l</w:t>
      </w:r>
      <w:r w:rsidR="008F70DE" w:rsidRPr="001E4C00">
        <w:rPr>
          <w:lang w:val="fr-FR"/>
        </w:rPr>
        <w:t>’</w:t>
      </w:r>
      <w:r w:rsidRPr="001E4C00">
        <w:rPr>
          <w:lang w:val="fr-FR"/>
        </w:rPr>
        <w:t>écosystème de la propriété intellectuelle de l</w:t>
      </w:r>
      <w:r w:rsidR="008F70DE" w:rsidRPr="001E4C00">
        <w:rPr>
          <w:lang w:val="fr-FR"/>
        </w:rPr>
        <w:t>’</w:t>
      </w:r>
      <w:r w:rsidRPr="001E4C00">
        <w:rPr>
          <w:lang w:val="fr-FR"/>
        </w:rPr>
        <w:t>Ukrai</w:t>
      </w:r>
      <w:r w:rsidR="00783939" w:rsidRPr="001E4C00">
        <w:rPr>
          <w:lang w:val="fr-FR"/>
        </w:rPr>
        <w:t>ne.  Le</w:t>
      </w:r>
      <w:r w:rsidRPr="001E4C00">
        <w:rPr>
          <w:lang w:val="fr-FR"/>
        </w:rPr>
        <w:t xml:space="preserve"> Bureau international a mis l</w:t>
      </w:r>
      <w:r w:rsidR="008F70DE" w:rsidRPr="001E4C00">
        <w:rPr>
          <w:lang w:val="fr-FR"/>
        </w:rPr>
        <w:t>’</w:t>
      </w:r>
      <w:r w:rsidRPr="001E4C00">
        <w:rPr>
          <w:lang w:val="fr-FR"/>
        </w:rPr>
        <w:t>accent sur des activités ayant une incidence concrète, telles que la reconstruction d</w:t>
      </w:r>
      <w:r w:rsidR="008F70DE" w:rsidRPr="001E4C00">
        <w:rPr>
          <w:lang w:val="fr-FR"/>
        </w:rPr>
        <w:t>’</w:t>
      </w:r>
      <w:r w:rsidRPr="001E4C00">
        <w:rPr>
          <w:lang w:val="fr-FR"/>
        </w:rPr>
        <w:t xml:space="preserve">un écosystème de la propriété intellectuelle plus </w:t>
      </w:r>
      <w:r w:rsidR="00706B91" w:rsidRPr="001E4C00">
        <w:rPr>
          <w:lang w:val="fr-FR"/>
        </w:rPr>
        <w:t xml:space="preserve">solide </w:t>
      </w:r>
      <w:r w:rsidRPr="001E4C00">
        <w:rPr>
          <w:lang w:val="fr-FR"/>
        </w:rPr>
        <w:t>qui profite à toutes les parties prenantes ainsi qu</w:t>
      </w:r>
      <w:r w:rsidR="008F70DE" w:rsidRPr="001E4C00">
        <w:rPr>
          <w:lang w:val="fr-FR"/>
        </w:rPr>
        <w:t>’</w:t>
      </w:r>
      <w:r w:rsidRPr="001E4C00">
        <w:rPr>
          <w:lang w:val="fr-FR"/>
        </w:rPr>
        <w:t>à l</w:t>
      </w:r>
      <w:r w:rsidR="008F70DE" w:rsidRPr="001E4C00">
        <w:rPr>
          <w:lang w:val="fr-FR"/>
        </w:rPr>
        <w:t>’</w:t>
      </w:r>
      <w:r w:rsidRPr="001E4C00">
        <w:rPr>
          <w:lang w:val="fr-FR"/>
        </w:rPr>
        <w:t>économie, qui soulage financièrement les utilisateurs de l</w:t>
      </w:r>
      <w:r w:rsidR="008F70DE" w:rsidRPr="001E4C00">
        <w:rPr>
          <w:lang w:val="fr-FR"/>
        </w:rPr>
        <w:t>’</w:t>
      </w:r>
      <w:r w:rsidRPr="001E4C00">
        <w:rPr>
          <w:lang w:val="fr-FR"/>
        </w:rPr>
        <w:t>écosystème de la propriété intellectuelle en Ukraine, et qui aide financièrement les institutions gouvernementales en Ukraine en améliorant la gestion future des droits de propriété intellectuelle détenus par le gouvernement.</w:t>
      </w:r>
    </w:p>
    <w:p w:rsidR="001957C8" w:rsidRPr="001E4C00" w:rsidRDefault="001957C8" w:rsidP="007115E7">
      <w:pPr>
        <w:pStyle w:val="ONUMFS"/>
        <w:rPr>
          <w:lang w:val="fr-FR"/>
        </w:rPr>
      </w:pPr>
      <w:r w:rsidRPr="001E4C00">
        <w:rPr>
          <w:lang w:val="fr-FR"/>
        </w:rPr>
        <w:t>Le Bureau international a lancé plusieurs activités, qui sont toujours en cours, notamment la fourniture d</w:t>
      </w:r>
      <w:r w:rsidR="008F70DE" w:rsidRPr="001E4C00">
        <w:rPr>
          <w:lang w:val="fr-FR"/>
        </w:rPr>
        <w:t>’</w:t>
      </w:r>
      <w:r w:rsidRPr="001E4C00">
        <w:rPr>
          <w:lang w:val="fr-FR"/>
        </w:rPr>
        <w:t>un accès à l</w:t>
      </w:r>
      <w:r w:rsidR="008F70DE" w:rsidRPr="001E4C00">
        <w:rPr>
          <w:lang w:val="fr-FR"/>
        </w:rPr>
        <w:t>’</w:t>
      </w:r>
      <w:r w:rsidRPr="001E4C00">
        <w:rPr>
          <w:lang w:val="fr-FR"/>
        </w:rPr>
        <w:t>information et aux technologies, des conseils législatifs ou un soutien aux institutions de formation en matière de propriété intellectuelle.</w:t>
      </w:r>
    </w:p>
    <w:p w:rsidR="001957C8" w:rsidRPr="001E4C00" w:rsidRDefault="001957C8" w:rsidP="007115E7">
      <w:pPr>
        <w:pStyle w:val="ONUMFS"/>
        <w:rPr>
          <w:lang w:val="fr-FR"/>
        </w:rPr>
      </w:pPr>
      <w:r w:rsidRPr="001E4C00">
        <w:rPr>
          <w:lang w:val="fr-FR"/>
        </w:rPr>
        <w:t>Le Bureau international a également pris des mesures appropriées pour veiller à ce que les déposants de demandes de</w:t>
      </w:r>
      <w:r w:rsidR="00706B91" w:rsidRPr="001E4C00">
        <w:rPr>
          <w:lang w:val="fr-FR"/>
        </w:rPr>
        <w:t xml:space="preserve"> titres de</w:t>
      </w:r>
      <w:r w:rsidRPr="001E4C00">
        <w:rPr>
          <w:lang w:val="fr-FR"/>
        </w:rPr>
        <w:t xml:space="preserve"> propriété intellectuelle de l</w:t>
      </w:r>
      <w:r w:rsidR="008F70DE" w:rsidRPr="001E4C00">
        <w:rPr>
          <w:lang w:val="fr-FR"/>
        </w:rPr>
        <w:t>’</w:t>
      </w:r>
      <w:r w:rsidRPr="001E4C00">
        <w:rPr>
          <w:lang w:val="fr-FR"/>
        </w:rPr>
        <w:t>Ukraine, ainsi que l</w:t>
      </w:r>
      <w:r w:rsidR="008F70DE" w:rsidRPr="001E4C00">
        <w:rPr>
          <w:lang w:val="fr-FR"/>
        </w:rPr>
        <w:t>’</w:t>
      </w:r>
      <w:r w:rsidRPr="001E4C00">
        <w:rPr>
          <w:lang w:val="fr-FR"/>
        </w:rPr>
        <w:t>Office national ukrainien pour la propriété intellectuelle et les innovations (UANIPIO), continuent d</w:t>
      </w:r>
      <w:r w:rsidR="008F70DE" w:rsidRPr="001E4C00">
        <w:rPr>
          <w:lang w:val="fr-FR"/>
        </w:rPr>
        <w:t>’</w:t>
      </w:r>
      <w:r w:rsidRPr="001E4C00">
        <w:rPr>
          <w:lang w:val="fr-FR"/>
        </w:rPr>
        <w:t>avoir accès à l</w:t>
      </w:r>
      <w:r w:rsidR="008F70DE" w:rsidRPr="001E4C00">
        <w:rPr>
          <w:lang w:val="fr-FR"/>
        </w:rPr>
        <w:t>’</w:t>
      </w:r>
      <w:r w:rsidRPr="001E4C00">
        <w:rPr>
          <w:lang w:val="fr-FR"/>
        </w:rPr>
        <w:t>ensemble des services de propriété intellectuelle de l</w:t>
      </w:r>
      <w:r w:rsidR="008F70DE" w:rsidRPr="001E4C00">
        <w:rPr>
          <w:lang w:val="fr-FR"/>
        </w:rPr>
        <w:t>’</w:t>
      </w:r>
      <w:r w:rsidRPr="001E4C00">
        <w:rPr>
          <w:lang w:val="fr-FR"/>
        </w:rPr>
        <w:t xml:space="preserve">OMPI, </w:t>
      </w:r>
      <w:r w:rsidR="008F70DE" w:rsidRPr="001E4C00">
        <w:rPr>
          <w:lang w:val="fr-FR"/>
        </w:rPr>
        <w:t>y compris</w:t>
      </w:r>
      <w:r w:rsidRPr="001E4C00">
        <w:rPr>
          <w:lang w:val="fr-FR"/>
        </w:rPr>
        <w:t xml:space="preserve"> les services du Centre d</w:t>
      </w:r>
      <w:r w:rsidR="008F70DE" w:rsidRPr="001E4C00">
        <w:rPr>
          <w:lang w:val="fr-FR"/>
        </w:rPr>
        <w:t>’</w:t>
      </w:r>
      <w:r w:rsidRPr="001E4C00">
        <w:rPr>
          <w:lang w:val="fr-FR"/>
        </w:rPr>
        <w:t>arbitrage et de médiation de l</w:t>
      </w:r>
      <w:r w:rsidR="008F70DE" w:rsidRPr="001E4C00">
        <w:rPr>
          <w:lang w:val="fr-FR"/>
        </w:rPr>
        <w:t>’</w:t>
      </w:r>
      <w:r w:rsidRPr="001E4C00">
        <w:rPr>
          <w:lang w:val="fr-FR"/>
        </w:rPr>
        <w:t>OMPI, et qu</w:t>
      </w:r>
      <w:r w:rsidR="008F70DE" w:rsidRPr="001E4C00">
        <w:rPr>
          <w:lang w:val="fr-FR"/>
        </w:rPr>
        <w:t>’</w:t>
      </w:r>
      <w:r w:rsidRPr="001E4C00">
        <w:rPr>
          <w:lang w:val="fr-FR"/>
        </w:rPr>
        <w:t>ils bénéficient, et continuent de bénéficier, des prorogations, exceptions et autres mesures correctives appropriées prévues dans les traités, règles et règlements pertinents de l</w:t>
      </w:r>
      <w:r w:rsidR="008F70DE" w:rsidRPr="001E4C00">
        <w:rPr>
          <w:lang w:val="fr-FR"/>
        </w:rPr>
        <w:t>’</w:t>
      </w:r>
      <w:r w:rsidRPr="001E4C00">
        <w:rPr>
          <w:lang w:val="fr-FR"/>
        </w:rPr>
        <w:t>OMPI, compte tenu des circonstances actuelles.</w:t>
      </w:r>
    </w:p>
    <w:p w:rsidR="001957C8" w:rsidRPr="001E4C00" w:rsidRDefault="001957C8" w:rsidP="007115E7">
      <w:pPr>
        <w:pStyle w:val="ONUMFS"/>
        <w:rPr>
          <w:spacing w:val="-2"/>
          <w:lang w:val="fr-FR"/>
        </w:rPr>
      </w:pPr>
      <w:r w:rsidRPr="001E4C00">
        <w:rPr>
          <w:spacing w:val="-2"/>
          <w:lang w:val="fr-FR"/>
        </w:rPr>
        <w:t>En mars 2022, le Bureau international a publié une déclaration concernant les services mondiaux de l</w:t>
      </w:r>
      <w:r w:rsidR="008F70DE" w:rsidRPr="001E4C00">
        <w:rPr>
          <w:spacing w:val="-2"/>
          <w:lang w:val="fr-FR"/>
        </w:rPr>
        <w:t>’</w:t>
      </w:r>
      <w:r w:rsidRPr="001E4C00">
        <w:rPr>
          <w:spacing w:val="-2"/>
          <w:lang w:val="fr-FR"/>
        </w:rPr>
        <w:t>OMPI, qui fournissait des informations sur les prorogations, exceptions et autres mesures correctives disponibles qui continuent de s</w:t>
      </w:r>
      <w:r w:rsidR="008F70DE" w:rsidRPr="001E4C00">
        <w:rPr>
          <w:spacing w:val="-2"/>
          <w:lang w:val="fr-FR"/>
        </w:rPr>
        <w:t>’</w:t>
      </w:r>
      <w:r w:rsidRPr="001E4C00">
        <w:rPr>
          <w:spacing w:val="-2"/>
          <w:lang w:val="fr-FR"/>
        </w:rPr>
        <w:t>appliquer aujourd</w:t>
      </w:r>
      <w:r w:rsidR="008F70DE" w:rsidRPr="001E4C00">
        <w:rPr>
          <w:spacing w:val="-2"/>
          <w:lang w:val="fr-FR"/>
        </w:rPr>
        <w:t>’</w:t>
      </w:r>
      <w:r w:rsidRPr="001E4C00">
        <w:rPr>
          <w:spacing w:val="-2"/>
          <w:lang w:val="fr-FR"/>
        </w:rPr>
        <w:t>h</w:t>
      </w:r>
      <w:r w:rsidR="00783939" w:rsidRPr="001E4C00">
        <w:rPr>
          <w:spacing w:val="-2"/>
          <w:lang w:val="fr-FR"/>
        </w:rPr>
        <w:t>ui.  De</w:t>
      </w:r>
      <w:r w:rsidRPr="001E4C00">
        <w:rPr>
          <w:spacing w:val="-2"/>
          <w:lang w:val="fr-FR"/>
        </w:rPr>
        <w:t xml:space="preserve">s mesures supplémentaires appropriées ont été prises, notamment afin de faciliter la </w:t>
      </w:r>
      <w:r w:rsidR="00706B91" w:rsidRPr="001E4C00">
        <w:rPr>
          <w:spacing w:val="-2"/>
          <w:lang w:val="fr-FR"/>
        </w:rPr>
        <w:t xml:space="preserve">poursuite </w:t>
      </w:r>
      <w:r w:rsidRPr="001E4C00">
        <w:rPr>
          <w:spacing w:val="-2"/>
          <w:lang w:val="fr-FR"/>
        </w:rPr>
        <w:t xml:space="preserve">des </w:t>
      </w:r>
      <w:r w:rsidR="00706B91" w:rsidRPr="001E4C00">
        <w:rPr>
          <w:spacing w:val="-2"/>
          <w:lang w:val="fr-FR"/>
        </w:rPr>
        <w:t xml:space="preserve">opérations </w:t>
      </w:r>
      <w:r w:rsidRPr="001E4C00">
        <w:rPr>
          <w:spacing w:val="-2"/>
          <w:lang w:val="fr-FR"/>
        </w:rPr>
        <w:t>de l</w:t>
      </w:r>
      <w:r w:rsidR="008F70DE" w:rsidRPr="001E4C00">
        <w:rPr>
          <w:spacing w:val="-2"/>
          <w:lang w:val="fr-FR"/>
        </w:rPr>
        <w:t>’</w:t>
      </w:r>
      <w:r w:rsidRPr="001E4C00">
        <w:rPr>
          <w:spacing w:val="-2"/>
          <w:lang w:val="fr-FR"/>
        </w:rPr>
        <w:t xml:space="preserve">Office de la propriété intellectuelle et </w:t>
      </w:r>
      <w:r w:rsidR="00706B91" w:rsidRPr="001E4C00">
        <w:rPr>
          <w:spacing w:val="-2"/>
          <w:lang w:val="fr-FR"/>
        </w:rPr>
        <w:t xml:space="preserve">de </w:t>
      </w:r>
      <w:r w:rsidRPr="001E4C00">
        <w:rPr>
          <w:spacing w:val="-2"/>
          <w:lang w:val="fr-FR"/>
        </w:rPr>
        <w:t xml:space="preserve">soutenir </w:t>
      </w:r>
      <w:r w:rsidR="00706B91" w:rsidRPr="001E4C00">
        <w:rPr>
          <w:spacing w:val="-2"/>
          <w:lang w:val="fr-FR"/>
        </w:rPr>
        <w:t>la mise en œuvre</w:t>
      </w:r>
      <w:r w:rsidRPr="001E4C00">
        <w:rPr>
          <w:spacing w:val="-2"/>
          <w:lang w:val="fr-FR"/>
        </w:rPr>
        <w:t xml:space="preserve"> du dépôt en ligne.</w:t>
      </w:r>
    </w:p>
    <w:p w:rsidR="001957C8" w:rsidRPr="001E4C00" w:rsidRDefault="007B671D" w:rsidP="007B671D">
      <w:pPr>
        <w:pStyle w:val="Heading1"/>
        <w:ind w:left="567" w:hanging="567"/>
        <w:rPr>
          <w:lang w:val="fr-FR"/>
        </w:rPr>
      </w:pPr>
      <w:r w:rsidRPr="001E4C00">
        <w:rPr>
          <w:lang w:val="fr-FR"/>
        </w:rPr>
        <w:t>Évaluation de l</w:t>
      </w:r>
      <w:r w:rsidR="008F70DE" w:rsidRPr="001E4C00">
        <w:rPr>
          <w:lang w:val="fr-FR"/>
        </w:rPr>
        <w:t>’</w:t>
      </w:r>
      <w:r w:rsidRPr="001E4C00">
        <w:rPr>
          <w:lang w:val="fr-FR"/>
        </w:rPr>
        <w:t>impact de la guerre sur le secteur et l</w:t>
      </w:r>
      <w:r w:rsidR="008F70DE" w:rsidRPr="001E4C00">
        <w:rPr>
          <w:lang w:val="fr-FR"/>
        </w:rPr>
        <w:t>’</w:t>
      </w:r>
      <w:r w:rsidRPr="001E4C00">
        <w:rPr>
          <w:lang w:val="fr-FR"/>
        </w:rPr>
        <w:t>écosystème de l</w:t>
      </w:r>
      <w:r w:rsidR="008F70DE" w:rsidRPr="001E4C00">
        <w:rPr>
          <w:lang w:val="fr-FR"/>
        </w:rPr>
        <w:t>’</w:t>
      </w:r>
      <w:r w:rsidRPr="001E4C00">
        <w:rPr>
          <w:lang w:val="fr-FR"/>
        </w:rPr>
        <w:t>innovation et de la créativité en Ukraine</w:t>
      </w:r>
    </w:p>
    <w:p w:rsidR="008A3FE2" w:rsidRPr="001E4C00" w:rsidRDefault="001957C8" w:rsidP="003C675C">
      <w:pPr>
        <w:pStyle w:val="Heading2"/>
        <w:rPr>
          <w:lang w:val="fr-FR"/>
        </w:rPr>
      </w:pPr>
      <w:r w:rsidRPr="001E4C00">
        <w:rPr>
          <w:lang w:val="fr-FR"/>
        </w:rPr>
        <w:t>2.1.</w:t>
      </w:r>
      <w:r w:rsidRPr="001E4C00">
        <w:rPr>
          <w:lang w:val="fr-FR"/>
        </w:rPr>
        <w:tab/>
        <w:t>Récapitulatif</w:t>
      </w:r>
    </w:p>
    <w:p w:rsidR="001957C8" w:rsidRPr="001E4C00" w:rsidRDefault="001957C8" w:rsidP="007115E7">
      <w:pPr>
        <w:pStyle w:val="ONUMFS"/>
        <w:rPr>
          <w:lang w:val="fr-FR"/>
        </w:rPr>
      </w:pPr>
      <w:r w:rsidRPr="001E4C00">
        <w:rPr>
          <w:lang w:val="fr-FR"/>
        </w:rPr>
        <w:t>La guerre a eu des répercussions profondes sur la société et l</w:t>
      </w:r>
      <w:r w:rsidR="008F70DE" w:rsidRPr="001E4C00">
        <w:rPr>
          <w:lang w:val="fr-FR"/>
        </w:rPr>
        <w:t>’</w:t>
      </w:r>
      <w:r w:rsidRPr="001E4C00">
        <w:rPr>
          <w:lang w:val="fr-FR"/>
        </w:rPr>
        <w:t>économie ukrainienn</w:t>
      </w:r>
      <w:r w:rsidR="00783939" w:rsidRPr="001E4C00">
        <w:rPr>
          <w:lang w:val="fr-FR"/>
        </w:rPr>
        <w:t>es.  Se</w:t>
      </w:r>
      <w:r w:rsidRPr="001E4C00">
        <w:rPr>
          <w:lang w:val="fr-FR"/>
        </w:rPr>
        <w:t>lon le rapport de la Banque mondiale sur l</w:t>
      </w:r>
      <w:r w:rsidR="008F70DE" w:rsidRPr="001E4C00">
        <w:rPr>
          <w:lang w:val="fr-FR"/>
        </w:rPr>
        <w:t>’</w:t>
      </w:r>
      <w:r w:rsidRPr="001E4C00">
        <w:rPr>
          <w:lang w:val="fr-FR"/>
        </w:rPr>
        <w:t>évaluation rapide des dommages et des besoins, la guerre a causé plus de 135 milliards de dollars É.</w:t>
      </w:r>
      <w:r w:rsidR="0091158D">
        <w:rPr>
          <w:lang w:val="fr-FR"/>
        </w:rPr>
        <w:noBreakHyphen/>
      </w:r>
      <w:r w:rsidRPr="001E4C00">
        <w:rPr>
          <w:lang w:val="fr-FR"/>
        </w:rPr>
        <w:t>U. de dommages directs aux bâtiments et aux infrastructures</w:t>
      </w:r>
      <w:r w:rsidRPr="001E4C00">
        <w:rPr>
          <w:vertAlign w:val="superscript"/>
          <w:lang w:val="fr-FR" w:eastAsia="en-US"/>
        </w:rPr>
        <w:footnoteReference w:id="2"/>
      </w:r>
      <w:r w:rsidRPr="001E4C00">
        <w:rPr>
          <w:lang w:val="fr-FR"/>
        </w:rPr>
        <w:t>.  Les secteurs les plus touchés sont le logement (38%), les transports (26%), l</w:t>
      </w:r>
      <w:r w:rsidR="008F70DE" w:rsidRPr="001E4C00">
        <w:rPr>
          <w:lang w:val="fr-FR"/>
        </w:rPr>
        <w:t>’</w:t>
      </w:r>
      <w:r w:rsidRPr="001E4C00">
        <w:rPr>
          <w:lang w:val="fr-FR"/>
        </w:rPr>
        <w:t>énergie (8%), le commerce et l</w:t>
      </w:r>
      <w:r w:rsidR="008F70DE" w:rsidRPr="001E4C00">
        <w:rPr>
          <w:lang w:val="fr-FR"/>
        </w:rPr>
        <w:t>’</w:t>
      </w:r>
      <w:r w:rsidRPr="001E4C00">
        <w:rPr>
          <w:lang w:val="fr-FR"/>
        </w:rPr>
        <w:t>industrie (8%) et l</w:t>
      </w:r>
      <w:r w:rsidR="008F70DE" w:rsidRPr="001E4C00">
        <w:rPr>
          <w:lang w:val="fr-FR"/>
        </w:rPr>
        <w:t>’</w:t>
      </w:r>
      <w:r w:rsidRPr="001E4C00">
        <w:rPr>
          <w:lang w:val="fr-FR"/>
        </w:rPr>
        <w:t xml:space="preserve">agriculture (6%).  La plupart des dégâts se sont produits au cours des trois premiers mois de la guerre et les régions de </w:t>
      </w:r>
      <w:r w:rsidR="00706B91" w:rsidRPr="001E4C00">
        <w:rPr>
          <w:lang w:val="fr-FR"/>
        </w:rPr>
        <w:t>l</w:t>
      </w:r>
      <w:r w:rsidR="008F70DE" w:rsidRPr="001E4C00">
        <w:rPr>
          <w:lang w:val="fr-FR"/>
        </w:rPr>
        <w:t>’</w:t>
      </w:r>
      <w:r w:rsidR="0091158D">
        <w:rPr>
          <w:lang w:val="fr-FR"/>
        </w:rPr>
        <w:t>e</w:t>
      </w:r>
      <w:r w:rsidR="00706B91" w:rsidRPr="001E4C00">
        <w:rPr>
          <w:lang w:val="fr-FR"/>
        </w:rPr>
        <w:t xml:space="preserve">st </w:t>
      </w:r>
      <w:r w:rsidRPr="001E4C00">
        <w:rPr>
          <w:lang w:val="fr-FR"/>
        </w:rPr>
        <w:t>de l</w:t>
      </w:r>
      <w:r w:rsidR="008F70DE" w:rsidRPr="001E4C00">
        <w:rPr>
          <w:lang w:val="fr-FR"/>
        </w:rPr>
        <w:t>’</w:t>
      </w:r>
      <w:r w:rsidRPr="001E4C00">
        <w:rPr>
          <w:lang w:val="fr-FR"/>
        </w:rPr>
        <w:t>Ukraine ont subi les dommages les plus importan</w:t>
      </w:r>
      <w:r w:rsidR="00783939" w:rsidRPr="001E4C00">
        <w:rPr>
          <w:lang w:val="fr-FR"/>
        </w:rPr>
        <w:t>ts.  Le</w:t>
      </w:r>
      <w:r w:rsidRPr="001E4C00">
        <w:rPr>
          <w:lang w:val="fr-FR"/>
        </w:rPr>
        <w:t xml:space="preserve"> produit intérieur brut (PIB) de l</w:t>
      </w:r>
      <w:r w:rsidR="008F70DE" w:rsidRPr="001E4C00">
        <w:rPr>
          <w:lang w:val="fr-FR"/>
        </w:rPr>
        <w:t>’</w:t>
      </w:r>
      <w:r w:rsidRPr="001E4C00">
        <w:rPr>
          <w:lang w:val="fr-FR"/>
        </w:rPr>
        <w:t>Ukraine a diminué de 29,2% en 2022.  On estime que 9655 civils ont perdu la vie et que 13,5 millions de personnes – environ 30% de la population ukrainienne – ont été déplacées en Ukraine et en Euro</w:t>
      </w:r>
      <w:r w:rsidR="00783939" w:rsidRPr="001E4C00">
        <w:rPr>
          <w:lang w:val="fr-FR"/>
        </w:rPr>
        <w:t>pe.  Se</w:t>
      </w:r>
      <w:r w:rsidRPr="001E4C00">
        <w:rPr>
          <w:lang w:val="fr-FR"/>
        </w:rPr>
        <w:t xml:space="preserve">lon les données du </w:t>
      </w:r>
      <w:proofErr w:type="spellStart"/>
      <w:r w:rsidRPr="001E4C00">
        <w:rPr>
          <w:lang w:val="fr-FR"/>
        </w:rPr>
        <w:t>Haut Commissariat</w:t>
      </w:r>
      <w:proofErr w:type="spellEnd"/>
      <w:r w:rsidRPr="001E4C00">
        <w:rPr>
          <w:lang w:val="fr-FR"/>
        </w:rPr>
        <w:t xml:space="preserve"> des </w:t>
      </w:r>
      <w:r w:rsidR="008F70DE" w:rsidRPr="001E4C00">
        <w:rPr>
          <w:lang w:val="fr-FR"/>
        </w:rPr>
        <w:t>Nations Unies</w:t>
      </w:r>
      <w:r w:rsidRPr="001E4C00">
        <w:rPr>
          <w:lang w:val="fr-FR"/>
        </w:rPr>
        <w:t xml:space="preserve"> pour les réfugiés (HCR), au 25 avril 2023, l</w:t>
      </w:r>
      <w:r w:rsidR="008F70DE" w:rsidRPr="001E4C00">
        <w:rPr>
          <w:lang w:val="fr-FR"/>
        </w:rPr>
        <w:t>’</w:t>
      </w:r>
      <w:r w:rsidRPr="001E4C00">
        <w:rPr>
          <w:lang w:val="fr-FR"/>
        </w:rPr>
        <w:t xml:space="preserve">Europe a connu un afflux de 8 174 779 réfugiés ukrainiens </w:t>
      </w:r>
      <w:r w:rsidR="00706B91" w:rsidRPr="001E4C00">
        <w:rPr>
          <w:lang w:val="fr-FR"/>
        </w:rPr>
        <w:t xml:space="preserve">cherchant </w:t>
      </w:r>
      <w:r w:rsidRPr="001E4C00">
        <w:rPr>
          <w:lang w:val="fr-FR"/>
        </w:rPr>
        <w:t xml:space="preserve">à </w:t>
      </w:r>
      <w:r w:rsidR="00706B91" w:rsidRPr="001E4C00">
        <w:rPr>
          <w:lang w:val="fr-FR"/>
        </w:rPr>
        <w:t>se mettre à l</w:t>
      </w:r>
      <w:r w:rsidR="008F70DE" w:rsidRPr="001E4C00">
        <w:rPr>
          <w:lang w:val="fr-FR"/>
        </w:rPr>
        <w:t>’</w:t>
      </w:r>
      <w:r w:rsidR="00706B91" w:rsidRPr="001E4C00">
        <w:rPr>
          <w:lang w:val="fr-FR"/>
        </w:rPr>
        <w:t>abri</w:t>
      </w:r>
      <w:r w:rsidRPr="001E4C00">
        <w:rPr>
          <w:lang w:val="fr-FR"/>
        </w:rPr>
        <w:t xml:space="preserve">, dont 5 047 700 enregistrés </w:t>
      </w:r>
      <w:r w:rsidR="00706B91" w:rsidRPr="001E4C00">
        <w:rPr>
          <w:lang w:val="fr-FR"/>
        </w:rPr>
        <w:t>au titre du programme</w:t>
      </w:r>
      <w:r w:rsidRPr="001E4C00">
        <w:rPr>
          <w:lang w:val="fr-FR"/>
        </w:rPr>
        <w:t xml:space="preserve"> de protection temporaire ou de programmes de protection nationaux similaires sur le contine</w:t>
      </w:r>
      <w:r w:rsidR="00783939" w:rsidRPr="001E4C00">
        <w:rPr>
          <w:lang w:val="fr-FR"/>
        </w:rPr>
        <w:t>nt.  Le</w:t>
      </w:r>
      <w:r w:rsidRPr="001E4C00">
        <w:rPr>
          <w:lang w:val="fr-FR"/>
        </w:rPr>
        <w:t>s données du HCR indiquent également qu</w:t>
      </w:r>
      <w:r w:rsidR="008F70DE" w:rsidRPr="001E4C00">
        <w:rPr>
          <w:lang w:val="fr-FR"/>
        </w:rPr>
        <w:t>’</w:t>
      </w:r>
      <w:r w:rsidRPr="001E4C00">
        <w:rPr>
          <w:lang w:val="fr-FR"/>
        </w:rPr>
        <w:t>au 23 janvier 2023, 5,4 millions de personnes étaient déplacées à l</w:t>
      </w:r>
      <w:r w:rsidR="008F70DE" w:rsidRPr="001E4C00">
        <w:rPr>
          <w:lang w:val="fr-FR"/>
        </w:rPr>
        <w:t>’</w:t>
      </w:r>
      <w:r w:rsidRPr="001E4C00">
        <w:rPr>
          <w:lang w:val="fr-FR"/>
        </w:rPr>
        <w:t>intérieur de l</w:t>
      </w:r>
      <w:r w:rsidR="008F70DE" w:rsidRPr="001E4C00">
        <w:rPr>
          <w:lang w:val="fr-FR"/>
        </w:rPr>
        <w:t>’</w:t>
      </w:r>
      <w:r w:rsidRPr="001E4C00">
        <w:rPr>
          <w:lang w:val="fr-FR"/>
        </w:rPr>
        <w:t>Ukraine.</w:t>
      </w:r>
    </w:p>
    <w:p w:rsidR="001957C8" w:rsidRPr="001E4C00" w:rsidRDefault="001957C8" w:rsidP="007115E7">
      <w:pPr>
        <w:pStyle w:val="ONUMFS"/>
        <w:rPr>
          <w:lang w:val="fr-FR"/>
        </w:rPr>
      </w:pPr>
      <w:r w:rsidRPr="001E4C00">
        <w:rPr>
          <w:lang w:val="fr-FR"/>
        </w:rPr>
        <w:t>Dans ce contexte, il n</w:t>
      </w:r>
      <w:r w:rsidR="008F70DE" w:rsidRPr="001E4C00">
        <w:rPr>
          <w:lang w:val="fr-FR"/>
        </w:rPr>
        <w:t>’</w:t>
      </w:r>
      <w:r w:rsidRPr="001E4C00">
        <w:rPr>
          <w:lang w:val="fr-FR"/>
        </w:rPr>
        <w:t xml:space="preserve">est pas surprenant que le recours à la propriété intellectuelle en Ukraine ait enregistré </w:t>
      </w:r>
      <w:r w:rsidR="001908AB" w:rsidRPr="001E4C00">
        <w:rPr>
          <w:lang w:val="fr-FR"/>
        </w:rPr>
        <w:t xml:space="preserve">une </w:t>
      </w:r>
      <w:r w:rsidRPr="001E4C00">
        <w:rPr>
          <w:lang w:val="fr-FR"/>
        </w:rPr>
        <w:t>baisse significative en 2022.  Le nombre de demandes de brevet d</w:t>
      </w:r>
      <w:r w:rsidR="008F70DE" w:rsidRPr="001E4C00">
        <w:rPr>
          <w:lang w:val="fr-FR"/>
        </w:rPr>
        <w:t>’</w:t>
      </w:r>
      <w:r w:rsidRPr="001E4C00">
        <w:rPr>
          <w:lang w:val="fr-FR"/>
        </w:rPr>
        <w:t>origine ukrainienne déposées selon le système du PCT a diminué de 33% en 2022 par rapport à l</w:t>
      </w:r>
      <w:r w:rsidR="008F70DE" w:rsidRPr="001E4C00">
        <w:rPr>
          <w:lang w:val="fr-FR"/>
        </w:rPr>
        <w:t>’</w:t>
      </w:r>
      <w:r w:rsidRPr="001E4C00">
        <w:rPr>
          <w:lang w:val="fr-FR"/>
        </w:rPr>
        <w:t>année précéden</w:t>
      </w:r>
      <w:r w:rsidR="00783939" w:rsidRPr="001E4C00">
        <w:rPr>
          <w:lang w:val="fr-FR"/>
        </w:rPr>
        <w:t>te.  Al</w:t>
      </w:r>
      <w:r w:rsidRPr="001E4C00">
        <w:rPr>
          <w:lang w:val="fr-FR"/>
        </w:rPr>
        <w:t xml:space="preserve">ors que ce nombre a considérablement fluctué au cours des 10 dernières années, le résultat de 2022 est nettement inférieur à la fourchette de 120 à 183 observée depuis 2011 et </w:t>
      </w:r>
      <w:r w:rsidR="001908AB" w:rsidRPr="001E4C00">
        <w:rPr>
          <w:lang w:val="fr-FR"/>
        </w:rPr>
        <w:t xml:space="preserve">constitue </w:t>
      </w:r>
      <w:r w:rsidRPr="001E4C00">
        <w:rPr>
          <w:lang w:val="fr-FR"/>
        </w:rPr>
        <w:t>le chiffre le plus bas depuis 2009.</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évolution du recours à la propriété intellectuelle en 2023 et au</w:t>
      </w:r>
      <w:r w:rsidR="0091158D">
        <w:rPr>
          <w:lang w:val="fr-FR"/>
        </w:rPr>
        <w:noBreakHyphen/>
      </w:r>
      <w:r w:rsidRPr="001E4C00">
        <w:rPr>
          <w:lang w:val="fr-FR"/>
        </w:rPr>
        <w:t>delà dépendra de tendances économiques plus larg</w:t>
      </w:r>
      <w:r w:rsidR="00783939" w:rsidRPr="001E4C00">
        <w:rPr>
          <w:lang w:val="fr-FR"/>
        </w:rPr>
        <w:t>es.  Co</w:t>
      </w:r>
      <w:r w:rsidRPr="001E4C00">
        <w:rPr>
          <w:lang w:val="fr-FR"/>
        </w:rPr>
        <w:t>mme le souligne le rapport du Fonds monétaire international (FMI) sur l</w:t>
      </w:r>
      <w:r w:rsidR="008F70DE" w:rsidRPr="001E4C00">
        <w:rPr>
          <w:lang w:val="fr-FR"/>
        </w:rPr>
        <w:t>’</w:t>
      </w:r>
      <w:r w:rsidRPr="001E4C00">
        <w:rPr>
          <w:lang w:val="fr-FR"/>
        </w:rPr>
        <w:t>Ukraine, l</w:t>
      </w:r>
      <w:r w:rsidR="008F70DE" w:rsidRPr="001E4C00">
        <w:rPr>
          <w:lang w:val="fr-FR"/>
        </w:rPr>
        <w:t>’</w:t>
      </w:r>
      <w:r w:rsidRPr="001E4C00">
        <w:rPr>
          <w:lang w:val="fr-FR"/>
        </w:rPr>
        <w:t>économie ukrainienne est confrontée à une incertitude exceptionnellement élevée liée à l</w:t>
      </w:r>
      <w:r w:rsidR="008F70DE" w:rsidRPr="001E4C00">
        <w:rPr>
          <w:lang w:val="fr-FR"/>
        </w:rPr>
        <w:t>’</w:t>
      </w:r>
      <w:r w:rsidRPr="001E4C00">
        <w:rPr>
          <w:lang w:val="fr-FR"/>
        </w:rPr>
        <w:t>ampleur, à la durée et à l</w:t>
      </w:r>
      <w:r w:rsidR="008F70DE" w:rsidRPr="001E4C00">
        <w:rPr>
          <w:lang w:val="fr-FR"/>
        </w:rPr>
        <w:t>’</w:t>
      </w:r>
      <w:r w:rsidRPr="001E4C00">
        <w:rPr>
          <w:lang w:val="fr-FR"/>
        </w:rPr>
        <w:t>intensité de la guerre</w:t>
      </w:r>
      <w:r w:rsidRPr="001E4C00">
        <w:rPr>
          <w:vertAlign w:val="superscript"/>
          <w:lang w:val="fr-FR" w:eastAsia="en-US"/>
        </w:rPr>
        <w:footnoteReference w:id="3"/>
      </w:r>
      <w:r w:rsidRPr="001E4C00">
        <w:rPr>
          <w:lang w:val="fr-FR"/>
        </w:rPr>
        <w:t>.</w:t>
      </w:r>
    </w:p>
    <w:p w:rsidR="001957C8" w:rsidRPr="001E4C00" w:rsidRDefault="001957C8" w:rsidP="007115E7">
      <w:pPr>
        <w:pStyle w:val="ONUMFS"/>
        <w:rPr>
          <w:lang w:val="fr-FR"/>
        </w:rPr>
      </w:pPr>
      <w:r w:rsidRPr="001E4C00">
        <w:rPr>
          <w:lang w:val="fr-FR"/>
        </w:rPr>
        <w:t>Sur la base de l</w:t>
      </w:r>
      <w:r w:rsidR="008F70DE" w:rsidRPr="001E4C00">
        <w:rPr>
          <w:lang w:val="fr-FR"/>
        </w:rPr>
        <w:t>’</w:t>
      </w:r>
      <w:r w:rsidRPr="001E4C00">
        <w:rPr>
          <w:lang w:val="fr-FR"/>
        </w:rPr>
        <w:t>évaluation réalisée, les répercussions de la guerre sur le secteur et l</w:t>
      </w:r>
      <w:r w:rsidR="008F70DE" w:rsidRPr="001E4C00">
        <w:rPr>
          <w:lang w:val="fr-FR"/>
        </w:rPr>
        <w:t>’</w:t>
      </w:r>
      <w:r w:rsidRPr="001E4C00">
        <w:rPr>
          <w:lang w:val="fr-FR"/>
        </w:rPr>
        <w:t>écosystème de l</w:t>
      </w:r>
      <w:r w:rsidR="008F70DE" w:rsidRPr="001E4C00">
        <w:rPr>
          <w:lang w:val="fr-FR"/>
        </w:rPr>
        <w:t>’</w:t>
      </w:r>
      <w:r w:rsidRPr="001E4C00">
        <w:rPr>
          <w:lang w:val="fr-FR"/>
        </w:rPr>
        <w:t>innovation et de la créativité en Ukraine peuvent être observées comme suit</w:t>
      </w:r>
      <w:r w:rsidR="008F70DE" w:rsidRPr="001E4C00">
        <w:rPr>
          <w:lang w:val="fr-FR"/>
        </w:rPr>
        <w:t> :</w:t>
      </w:r>
    </w:p>
    <w:p w:rsidR="001957C8" w:rsidRPr="001E4C00" w:rsidRDefault="001957C8" w:rsidP="007B671D">
      <w:pPr>
        <w:pStyle w:val="ListParagraph"/>
        <w:numPr>
          <w:ilvl w:val="0"/>
          <w:numId w:val="34"/>
        </w:numPr>
        <w:ind w:left="1134" w:hanging="567"/>
        <w:rPr>
          <w:rFonts w:ascii="Arial" w:hAnsi="Arial" w:cs="Arial"/>
          <w:sz w:val="22"/>
          <w:szCs w:val="22"/>
        </w:rPr>
      </w:pPr>
      <w:r w:rsidRPr="001E4C00">
        <w:rPr>
          <w:rFonts w:ascii="Arial" w:hAnsi="Arial" w:cs="Arial"/>
          <w:sz w:val="22"/>
          <w:szCs w:val="22"/>
        </w:rPr>
        <w:t>Santé mentale – la guerre a fait des ravages sur la santé mentale des étudiants, des éducateurs, des créateurs, des scientifiques et des chercheurs, affectant leurs performances et leur bien</w:t>
      </w:r>
      <w:r w:rsidR="0091158D">
        <w:rPr>
          <w:rFonts w:ascii="Arial" w:hAnsi="Arial" w:cs="Arial"/>
          <w:sz w:val="22"/>
          <w:szCs w:val="22"/>
        </w:rPr>
        <w:noBreakHyphen/>
      </w:r>
      <w:r w:rsidRPr="001E4C00">
        <w:rPr>
          <w:rFonts w:ascii="Arial" w:hAnsi="Arial" w:cs="Arial"/>
          <w:sz w:val="22"/>
          <w:szCs w:val="22"/>
        </w:rPr>
        <w:t>être;</w:t>
      </w:r>
    </w:p>
    <w:p w:rsidR="001957C8" w:rsidRPr="001E4C00" w:rsidRDefault="001957C8" w:rsidP="007B671D">
      <w:pPr>
        <w:pStyle w:val="ListParagraph"/>
        <w:numPr>
          <w:ilvl w:val="0"/>
          <w:numId w:val="34"/>
        </w:numPr>
        <w:ind w:left="1134" w:hanging="567"/>
        <w:rPr>
          <w:rFonts w:ascii="Arial" w:hAnsi="Arial" w:cs="Arial"/>
          <w:sz w:val="22"/>
          <w:szCs w:val="22"/>
        </w:rPr>
      </w:pPr>
      <w:r w:rsidRPr="001E4C00">
        <w:rPr>
          <w:rFonts w:ascii="Arial" w:hAnsi="Arial" w:cs="Arial"/>
          <w:sz w:val="22"/>
          <w:szCs w:val="22"/>
        </w:rPr>
        <w:t>Fuite des cerveaux – de nombreux créateurs, éducateurs, scientifiques et chercheurs ont quitté le pays, entraînant une perte de capital humain et une pénurie de professionnels qualifiés;</w:t>
      </w:r>
    </w:p>
    <w:p w:rsidR="001957C8" w:rsidRPr="001E4C00" w:rsidRDefault="001957C8" w:rsidP="007B671D">
      <w:pPr>
        <w:pStyle w:val="ListParagraph"/>
        <w:numPr>
          <w:ilvl w:val="0"/>
          <w:numId w:val="34"/>
        </w:numPr>
        <w:ind w:left="1134" w:hanging="567"/>
        <w:rPr>
          <w:rFonts w:ascii="Arial" w:hAnsi="Arial" w:cs="Arial"/>
          <w:sz w:val="22"/>
          <w:szCs w:val="22"/>
        </w:rPr>
      </w:pPr>
      <w:r w:rsidRPr="001E4C00">
        <w:rPr>
          <w:rFonts w:ascii="Arial" w:hAnsi="Arial" w:cs="Arial"/>
          <w:sz w:val="22"/>
          <w:szCs w:val="22"/>
        </w:rPr>
        <w:t>Dommages aux infrastructures – la destruction de bâtiments éducatifs et culturels, de centres de recherche, de laboratoires et de bibliothèques a perturbé le processus d</w:t>
      </w:r>
      <w:r w:rsidR="008F70DE" w:rsidRPr="001E4C00">
        <w:rPr>
          <w:rFonts w:ascii="Arial" w:hAnsi="Arial" w:cs="Arial"/>
          <w:sz w:val="22"/>
          <w:szCs w:val="22"/>
        </w:rPr>
        <w:t>’</w:t>
      </w:r>
      <w:r w:rsidRPr="001E4C00">
        <w:rPr>
          <w:rFonts w:ascii="Arial" w:hAnsi="Arial" w:cs="Arial"/>
          <w:sz w:val="22"/>
          <w:szCs w:val="22"/>
        </w:rPr>
        <w:t>apprentissage et entravé les progrès scientifiques et le développement culturel;</w:t>
      </w:r>
    </w:p>
    <w:p w:rsidR="001957C8" w:rsidRPr="001E4C00" w:rsidRDefault="001957C8" w:rsidP="007B671D">
      <w:pPr>
        <w:pStyle w:val="ListParagraph"/>
        <w:numPr>
          <w:ilvl w:val="0"/>
          <w:numId w:val="34"/>
        </w:numPr>
        <w:ind w:left="1134" w:hanging="567"/>
        <w:rPr>
          <w:rFonts w:ascii="Arial" w:hAnsi="Arial" w:cs="Arial"/>
          <w:sz w:val="22"/>
          <w:szCs w:val="22"/>
        </w:rPr>
      </w:pPr>
      <w:r w:rsidRPr="001E4C00">
        <w:rPr>
          <w:rFonts w:ascii="Arial" w:hAnsi="Arial" w:cs="Arial"/>
          <w:sz w:val="22"/>
          <w:szCs w:val="22"/>
        </w:rPr>
        <w:t>Ressources financières limitées – réduction du budget alloué au secteur de l</w:t>
      </w:r>
      <w:r w:rsidR="008F70DE" w:rsidRPr="001E4C00">
        <w:rPr>
          <w:rFonts w:ascii="Arial" w:hAnsi="Arial" w:cs="Arial"/>
          <w:sz w:val="22"/>
          <w:szCs w:val="22"/>
        </w:rPr>
        <w:t>’</w:t>
      </w:r>
      <w:r w:rsidRPr="001E4C00">
        <w:rPr>
          <w:rFonts w:ascii="Arial" w:hAnsi="Arial" w:cs="Arial"/>
          <w:sz w:val="22"/>
          <w:szCs w:val="22"/>
        </w:rPr>
        <w:t xml:space="preserve">éducation, de la science et de la créativité, réorientation des fonds vers les priorités </w:t>
      </w:r>
      <w:r w:rsidR="001908AB" w:rsidRPr="001E4C00">
        <w:rPr>
          <w:rFonts w:ascii="Arial" w:hAnsi="Arial" w:cs="Arial"/>
          <w:sz w:val="22"/>
          <w:szCs w:val="22"/>
        </w:rPr>
        <w:t>en matière de</w:t>
      </w:r>
      <w:r w:rsidRPr="001E4C00">
        <w:rPr>
          <w:rFonts w:ascii="Arial" w:hAnsi="Arial" w:cs="Arial"/>
          <w:sz w:val="22"/>
          <w:szCs w:val="22"/>
        </w:rPr>
        <w:t xml:space="preserve"> sécurité nationale et de défense;</w:t>
      </w:r>
    </w:p>
    <w:p w:rsidR="001957C8" w:rsidRPr="001E4C00" w:rsidRDefault="001957C8" w:rsidP="007B671D">
      <w:pPr>
        <w:pStyle w:val="ListParagraph"/>
        <w:numPr>
          <w:ilvl w:val="0"/>
          <w:numId w:val="34"/>
        </w:numPr>
        <w:ind w:left="1134" w:hanging="567"/>
        <w:rPr>
          <w:rFonts w:ascii="Arial" w:hAnsi="Arial" w:cs="Arial"/>
          <w:sz w:val="22"/>
          <w:szCs w:val="22"/>
        </w:rPr>
      </w:pPr>
      <w:r w:rsidRPr="001E4C00">
        <w:rPr>
          <w:rFonts w:ascii="Arial" w:hAnsi="Arial" w:cs="Arial"/>
          <w:sz w:val="22"/>
          <w:szCs w:val="22"/>
        </w:rPr>
        <w:t xml:space="preserve">Diminution des dépôts – tous les dépôts internationaux au titre des systèmes du PCT, de Madrid et de </w:t>
      </w:r>
      <w:r w:rsidR="008F70DE" w:rsidRPr="001E4C00">
        <w:rPr>
          <w:rFonts w:ascii="Arial" w:hAnsi="Arial" w:cs="Arial"/>
          <w:sz w:val="22"/>
          <w:szCs w:val="22"/>
        </w:rPr>
        <w:t>La Haye</w:t>
      </w:r>
      <w:r w:rsidRPr="001E4C00">
        <w:rPr>
          <w:rFonts w:ascii="Arial" w:hAnsi="Arial" w:cs="Arial"/>
          <w:sz w:val="22"/>
          <w:szCs w:val="22"/>
        </w:rPr>
        <w:t xml:space="preserve"> concernant l</w:t>
      </w:r>
      <w:r w:rsidR="008F70DE" w:rsidRPr="001E4C00">
        <w:rPr>
          <w:rFonts w:ascii="Arial" w:hAnsi="Arial" w:cs="Arial"/>
          <w:sz w:val="22"/>
          <w:szCs w:val="22"/>
        </w:rPr>
        <w:t>’</w:t>
      </w:r>
      <w:r w:rsidRPr="001E4C00">
        <w:rPr>
          <w:rFonts w:ascii="Arial" w:hAnsi="Arial" w:cs="Arial"/>
          <w:sz w:val="22"/>
          <w:szCs w:val="22"/>
        </w:rPr>
        <w:t>Ukraine, ainsi que les dépôts nationaux, ont connu des baisses significatives;</w:t>
      </w:r>
    </w:p>
    <w:p w:rsidR="001957C8" w:rsidRPr="001E4C00" w:rsidRDefault="001957C8" w:rsidP="007B671D">
      <w:pPr>
        <w:pStyle w:val="ListParagraph"/>
        <w:numPr>
          <w:ilvl w:val="0"/>
          <w:numId w:val="34"/>
        </w:numPr>
        <w:ind w:left="1134" w:hanging="567"/>
        <w:rPr>
          <w:rFonts w:ascii="Arial" w:hAnsi="Arial" w:cs="Arial"/>
          <w:sz w:val="22"/>
          <w:szCs w:val="22"/>
        </w:rPr>
      </w:pPr>
      <w:r w:rsidRPr="001E4C00">
        <w:rPr>
          <w:rFonts w:ascii="Arial" w:hAnsi="Arial" w:cs="Arial"/>
          <w:sz w:val="22"/>
          <w:szCs w:val="22"/>
        </w:rPr>
        <w:t>Pertes dans l</w:t>
      </w:r>
      <w:r w:rsidR="008F70DE" w:rsidRPr="001E4C00">
        <w:rPr>
          <w:rFonts w:ascii="Arial" w:hAnsi="Arial" w:cs="Arial"/>
          <w:sz w:val="22"/>
          <w:szCs w:val="22"/>
        </w:rPr>
        <w:t>’</w:t>
      </w:r>
      <w:r w:rsidRPr="001E4C00">
        <w:rPr>
          <w:rFonts w:ascii="Arial" w:hAnsi="Arial" w:cs="Arial"/>
          <w:sz w:val="22"/>
          <w:szCs w:val="22"/>
        </w:rPr>
        <w:t xml:space="preserve">industrie </w:t>
      </w:r>
      <w:r w:rsidR="001908AB" w:rsidRPr="001E4C00">
        <w:rPr>
          <w:rFonts w:ascii="Arial" w:hAnsi="Arial" w:cs="Arial"/>
          <w:sz w:val="22"/>
          <w:szCs w:val="22"/>
        </w:rPr>
        <w:t>de la création </w:t>
      </w:r>
      <w:r w:rsidRPr="001E4C00">
        <w:rPr>
          <w:rFonts w:ascii="Arial" w:hAnsi="Arial" w:cs="Arial"/>
          <w:sz w:val="22"/>
          <w:szCs w:val="22"/>
        </w:rPr>
        <w:t xml:space="preserve">– les créateurs, les artistes et les </w:t>
      </w:r>
      <w:r w:rsidR="001908AB" w:rsidRPr="001E4C00">
        <w:rPr>
          <w:rFonts w:ascii="Arial" w:hAnsi="Arial" w:cs="Arial"/>
          <w:sz w:val="22"/>
          <w:szCs w:val="22"/>
        </w:rPr>
        <w:t xml:space="preserve">acteurs </w:t>
      </w:r>
      <w:r w:rsidRPr="001E4C00">
        <w:rPr>
          <w:rFonts w:ascii="Arial" w:hAnsi="Arial" w:cs="Arial"/>
          <w:sz w:val="22"/>
          <w:szCs w:val="22"/>
        </w:rPr>
        <w:t>de l</w:t>
      </w:r>
      <w:r w:rsidR="008F70DE" w:rsidRPr="001E4C00">
        <w:rPr>
          <w:rFonts w:ascii="Arial" w:hAnsi="Arial" w:cs="Arial"/>
          <w:sz w:val="22"/>
          <w:szCs w:val="22"/>
        </w:rPr>
        <w:t>’</w:t>
      </w:r>
      <w:r w:rsidRPr="001E4C00">
        <w:rPr>
          <w:rFonts w:ascii="Arial" w:hAnsi="Arial" w:cs="Arial"/>
          <w:sz w:val="22"/>
          <w:szCs w:val="22"/>
        </w:rPr>
        <w:t xml:space="preserve">industrie </w:t>
      </w:r>
      <w:r w:rsidR="001908AB" w:rsidRPr="001E4C00">
        <w:rPr>
          <w:rFonts w:ascii="Arial" w:hAnsi="Arial" w:cs="Arial"/>
          <w:sz w:val="22"/>
          <w:szCs w:val="22"/>
        </w:rPr>
        <w:t xml:space="preserve">de la création </w:t>
      </w:r>
      <w:r w:rsidRPr="001E4C00">
        <w:rPr>
          <w:rFonts w:ascii="Arial" w:hAnsi="Arial" w:cs="Arial"/>
          <w:sz w:val="22"/>
          <w:szCs w:val="22"/>
        </w:rPr>
        <w:t>ont fait état de pertes de revenus et d</w:t>
      </w:r>
      <w:r w:rsidR="008F70DE" w:rsidRPr="001E4C00">
        <w:rPr>
          <w:rFonts w:ascii="Arial" w:hAnsi="Arial" w:cs="Arial"/>
          <w:sz w:val="22"/>
          <w:szCs w:val="22"/>
        </w:rPr>
        <w:t>’</w:t>
      </w:r>
      <w:r w:rsidRPr="001E4C00">
        <w:rPr>
          <w:rFonts w:ascii="Arial" w:hAnsi="Arial" w:cs="Arial"/>
          <w:sz w:val="22"/>
          <w:szCs w:val="22"/>
        </w:rPr>
        <w:t>une diminution de la production de leurs œuvres;</w:t>
      </w:r>
    </w:p>
    <w:p w:rsidR="001957C8" w:rsidRPr="001E4C00" w:rsidRDefault="001957C8" w:rsidP="007B671D">
      <w:pPr>
        <w:pStyle w:val="ListParagraph"/>
        <w:numPr>
          <w:ilvl w:val="0"/>
          <w:numId w:val="34"/>
        </w:numPr>
        <w:spacing w:after="220"/>
        <w:ind w:left="1134" w:hanging="567"/>
        <w:rPr>
          <w:rFonts w:ascii="Arial" w:hAnsi="Arial" w:cs="Arial"/>
          <w:sz w:val="22"/>
          <w:szCs w:val="22"/>
        </w:rPr>
      </w:pPr>
      <w:r w:rsidRPr="001E4C00">
        <w:rPr>
          <w:rFonts w:ascii="Arial" w:hAnsi="Arial" w:cs="Arial"/>
          <w:sz w:val="22"/>
          <w:szCs w:val="22"/>
        </w:rPr>
        <w:t>Résilience et adaptabilité – les institutions gouvernementales ont continué à fonctionn</w:t>
      </w:r>
      <w:r w:rsidR="00783939" w:rsidRPr="001E4C00">
        <w:rPr>
          <w:rFonts w:ascii="Arial" w:hAnsi="Arial" w:cs="Arial"/>
          <w:sz w:val="22"/>
          <w:szCs w:val="22"/>
        </w:rPr>
        <w:t>er.  El</w:t>
      </w:r>
      <w:r w:rsidRPr="001E4C00">
        <w:rPr>
          <w:rFonts w:ascii="Arial" w:hAnsi="Arial" w:cs="Arial"/>
          <w:sz w:val="22"/>
          <w:szCs w:val="22"/>
        </w:rPr>
        <w:t>les ont réagi à ces défis en procédant à une optimisation structurelle, en lançant des initiatives et en élaborant des stratégies pour soutenir et protéger les secteurs de la propriété intellectuelle, de la créativité et de l</w:t>
      </w:r>
      <w:r w:rsidR="008F70DE" w:rsidRPr="001E4C00">
        <w:rPr>
          <w:rFonts w:ascii="Arial" w:hAnsi="Arial" w:cs="Arial"/>
          <w:sz w:val="22"/>
          <w:szCs w:val="22"/>
        </w:rPr>
        <w:t>’</w:t>
      </w:r>
      <w:r w:rsidRPr="001E4C00">
        <w:rPr>
          <w:rFonts w:ascii="Arial" w:hAnsi="Arial" w:cs="Arial"/>
          <w:sz w:val="22"/>
          <w:szCs w:val="22"/>
        </w:rPr>
        <w:t>innovation et pour attirer des partenaires internationaux.</w:t>
      </w:r>
    </w:p>
    <w:p w:rsidR="001957C8" w:rsidRPr="001E4C00" w:rsidRDefault="001957C8" w:rsidP="003C675C">
      <w:pPr>
        <w:pStyle w:val="Heading2"/>
        <w:rPr>
          <w:lang w:val="fr-FR"/>
        </w:rPr>
      </w:pPr>
      <w:r w:rsidRPr="001E4C00">
        <w:rPr>
          <w:lang w:val="fr-FR"/>
        </w:rPr>
        <w:t>2.2.</w:t>
      </w:r>
      <w:r w:rsidRPr="001E4C00">
        <w:rPr>
          <w:lang w:val="fr-FR"/>
        </w:rPr>
        <w:tab/>
        <w:t>Méthodologie</w:t>
      </w:r>
    </w:p>
    <w:p w:rsidR="001957C8" w:rsidRPr="001E4C00" w:rsidRDefault="001957C8" w:rsidP="007115E7">
      <w:pPr>
        <w:pStyle w:val="ONUMFS"/>
        <w:rPr>
          <w:lang w:val="fr-FR"/>
        </w:rPr>
      </w:pPr>
      <w:r w:rsidRPr="001E4C00">
        <w:rPr>
          <w:lang w:val="fr-FR"/>
        </w:rPr>
        <w:t>Depuis juillet 2022, le Bureau international a consulté les parties prenantes concernées en Ukraine pour entreprendre l</w:t>
      </w:r>
      <w:r w:rsidR="008F70DE" w:rsidRPr="001E4C00">
        <w:rPr>
          <w:lang w:val="fr-FR"/>
        </w:rPr>
        <w:t>’</w:t>
      </w:r>
      <w:r w:rsidRPr="001E4C00">
        <w:rPr>
          <w:lang w:val="fr-FR"/>
        </w:rPr>
        <w:t>évaluati</w:t>
      </w:r>
      <w:r w:rsidR="00783939" w:rsidRPr="001E4C00">
        <w:rPr>
          <w:lang w:val="fr-FR"/>
        </w:rPr>
        <w:t>on.  Il</w:t>
      </w:r>
      <w:r w:rsidRPr="001E4C00">
        <w:rPr>
          <w:lang w:val="fr-FR"/>
        </w:rPr>
        <w:t xml:space="preserve"> a notamment </w:t>
      </w:r>
      <w:r w:rsidR="001908AB" w:rsidRPr="001E4C00">
        <w:rPr>
          <w:lang w:val="fr-FR"/>
        </w:rPr>
        <w:t xml:space="preserve">établi </w:t>
      </w:r>
      <w:r w:rsidRPr="001E4C00">
        <w:rPr>
          <w:lang w:val="fr-FR"/>
        </w:rPr>
        <w:t xml:space="preserve">et </w:t>
      </w:r>
      <w:r w:rsidR="001908AB" w:rsidRPr="001E4C00">
        <w:rPr>
          <w:lang w:val="fr-FR"/>
        </w:rPr>
        <w:t xml:space="preserve">réalisé </w:t>
      </w:r>
      <w:r w:rsidRPr="001E4C00">
        <w:rPr>
          <w:lang w:val="fr-FR"/>
        </w:rPr>
        <w:t>des enquêtes auprès des principales parties prenantes, telles que les autorités gouvernementales chargées de la protection et de l</w:t>
      </w:r>
      <w:r w:rsidR="008F70DE" w:rsidRPr="001E4C00">
        <w:rPr>
          <w:lang w:val="fr-FR"/>
        </w:rPr>
        <w:t>’</w:t>
      </w:r>
      <w:r w:rsidRPr="001E4C00">
        <w:rPr>
          <w:lang w:val="fr-FR"/>
        </w:rPr>
        <w:t>application de la propriété intellectuelle, les établissements d</w:t>
      </w:r>
      <w:r w:rsidR="008F70DE" w:rsidRPr="001E4C00">
        <w:rPr>
          <w:lang w:val="fr-FR"/>
        </w:rPr>
        <w:t>’</w:t>
      </w:r>
      <w:r w:rsidRPr="001E4C00">
        <w:rPr>
          <w:lang w:val="fr-FR"/>
        </w:rPr>
        <w:t>enseignement et de recherche de différentes régions du pays, les parcs technologiques et d</w:t>
      </w:r>
      <w:r w:rsidR="008F70DE" w:rsidRPr="001E4C00">
        <w:rPr>
          <w:lang w:val="fr-FR"/>
        </w:rPr>
        <w:t>’</w:t>
      </w:r>
      <w:r w:rsidRPr="001E4C00">
        <w:rPr>
          <w:lang w:val="fr-FR"/>
        </w:rPr>
        <w:t xml:space="preserve">innovation, les jeunes entreprises, les associations de propriété intellectuelle et les </w:t>
      </w:r>
      <w:r w:rsidR="001908AB" w:rsidRPr="001E4C00">
        <w:rPr>
          <w:lang w:val="fr-FR"/>
        </w:rPr>
        <w:t>spécialistes</w:t>
      </w:r>
      <w:r w:rsidRPr="001E4C00">
        <w:rPr>
          <w:lang w:val="fr-FR"/>
        </w:rPr>
        <w:t xml:space="preserve">, les </w:t>
      </w:r>
      <w:r w:rsidR="001908AB" w:rsidRPr="001E4C00">
        <w:rPr>
          <w:lang w:val="fr-FR"/>
        </w:rPr>
        <w:t xml:space="preserve">acteurs </w:t>
      </w:r>
      <w:r w:rsidRPr="001E4C00">
        <w:rPr>
          <w:lang w:val="fr-FR"/>
        </w:rPr>
        <w:t xml:space="preserve">des industries </w:t>
      </w:r>
      <w:r w:rsidR="001908AB" w:rsidRPr="001E4C00">
        <w:rPr>
          <w:lang w:val="fr-FR"/>
        </w:rPr>
        <w:t xml:space="preserve">de la création </w:t>
      </w:r>
      <w:r w:rsidRPr="001E4C00">
        <w:rPr>
          <w:lang w:val="fr-FR"/>
        </w:rPr>
        <w:t>(artistes, interprètes, musiciens, éditeurs, organisations de gestion collective, etc.), ainsi que les centres d</w:t>
      </w:r>
      <w:r w:rsidR="008F70DE" w:rsidRPr="001E4C00">
        <w:rPr>
          <w:lang w:val="fr-FR"/>
        </w:rPr>
        <w:t>’</w:t>
      </w:r>
      <w:r w:rsidRPr="001E4C00">
        <w:rPr>
          <w:lang w:val="fr-FR"/>
        </w:rPr>
        <w:t>appui à la technologie et à l</w:t>
      </w:r>
      <w:r w:rsidR="008F70DE" w:rsidRPr="001E4C00">
        <w:rPr>
          <w:lang w:val="fr-FR"/>
        </w:rPr>
        <w:t>’</w:t>
      </w:r>
      <w:r w:rsidRPr="001E4C00">
        <w:rPr>
          <w:lang w:val="fr-FR"/>
        </w:rPr>
        <w:t>innovation (CATI).</w:t>
      </w:r>
    </w:p>
    <w:p w:rsidR="001957C8" w:rsidRPr="001E4C00" w:rsidRDefault="001957C8" w:rsidP="007115E7">
      <w:pPr>
        <w:pStyle w:val="ONUMFS"/>
        <w:rPr>
          <w:lang w:val="fr-FR"/>
        </w:rPr>
      </w:pPr>
      <w:r w:rsidRPr="001E4C00">
        <w:rPr>
          <w:lang w:val="fr-FR"/>
        </w:rPr>
        <w:t>Afin de clarifier les informations et d</w:t>
      </w:r>
      <w:r w:rsidR="008F70DE" w:rsidRPr="001E4C00">
        <w:rPr>
          <w:lang w:val="fr-FR"/>
        </w:rPr>
        <w:t>’</w:t>
      </w:r>
      <w:r w:rsidRPr="001E4C00">
        <w:rPr>
          <w:lang w:val="fr-FR"/>
        </w:rPr>
        <w:t>obtenir des données supplémentaires, des entretiens complémentaires ont été menés auprès des décideurs politiques, des acteurs des CATI, des établissements d</w:t>
      </w:r>
      <w:r w:rsidR="008F70DE" w:rsidRPr="001E4C00">
        <w:rPr>
          <w:lang w:val="fr-FR"/>
        </w:rPr>
        <w:t>’</w:t>
      </w:r>
      <w:r w:rsidRPr="001E4C00">
        <w:rPr>
          <w:lang w:val="fr-FR"/>
        </w:rPr>
        <w:t xml:space="preserve">enseignement supérieur et des </w:t>
      </w:r>
      <w:r w:rsidR="001908AB" w:rsidRPr="001E4C00">
        <w:rPr>
          <w:lang w:val="fr-FR"/>
        </w:rPr>
        <w:t xml:space="preserve">acteurs </w:t>
      </w:r>
      <w:r w:rsidRPr="001E4C00">
        <w:rPr>
          <w:lang w:val="fr-FR"/>
        </w:rPr>
        <w:t xml:space="preserve">des industries </w:t>
      </w:r>
      <w:r w:rsidR="001908AB" w:rsidRPr="001E4C00">
        <w:rPr>
          <w:lang w:val="fr-FR"/>
        </w:rPr>
        <w:t>de la création</w:t>
      </w:r>
      <w:r w:rsidRPr="001E4C00">
        <w:rPr>
          <w:lang w:val="fr-FR"/>
        </w:rPr>
        <w:t>.</w:t>
      </w:r>
    </w:p>
    <w:p w:rsidR="001957C8" w:rsidRPr="001E4C00" w:rsidRDefault="001957C8" w:rsidP="007115E7">
      <w:pPr>
        <w:pStyle w:val="ONUMFS"/>
        <w:rPr>
          <w:lang w:val="fr-FR"/>
        </w:rPr>
      </w:pPr>
      <w:r w:rsidRPr="001E4C00">
        <w:rPr>
          <w:lang w:val="fr-FR"/>
        </w:rPr>
        <w:t>Une centaine de parties prenantes ont participé à l</w:t>
      </w:r>
      <w:r w:rsidR="008F70DE" w:rsidRPr="001E4C00">
        <w:rPr>
          <w:lang w:val="fr-FR"/>
        </w:rPr>
        <w:t>’</w:t>
      </w:r>
      <w:r w:rsidRPr="001E4C00">
        <w:rPr>
          <w:lang w:val="fr-FR"/>
        </w:rPr>
        <w:t>évaluation.</w:t>
      </w:r>
    </w:p>
    <w:p w:rsidR="001957C8" w:rsidRPr="001E4C00" w:rsidRDefault="001957C8" w:rsidP="007115E7">
      <w:pPr>
        <w:pStyle w:val="ONUMFS"/>
        <w:rPr>
          <w:lang w:val="fr-FR"/>
        </w:rPr>
      </w:pPr>
      <w:r w:rsidRPr="001E4C00">
        <w:rPr>
          <w:lang w:val="fr-FR"/>
        </w:rPr>
        <w:t>Le Bureau international a également consulté et examiné des sources accessibles au public, notamment des rapports officiels d</w:t>
      </w:r>
      <w:r w:rsidR="008F70DE" w:rsidRPr="001E4C00">
        <w:rPr>
          <w:lang w:val="fr-FR"/>
        </w:rPr>
        <w:t>’</w:t>
      </w:r>
      <w:r w:rsidRPr="001E4C00">
        <w:rPr>
          <w:lang w:val="fr-FR"/>
        </w:rPr>
        <w:t>organisations et d</w:t>
      </w:r>
      <w:r w:rsidR="008F70DE" w:rsidRPr="001E4C00">
        <w:rPr>
          <w:lang w:val="fr-FR"/>
        </w:rPr>
        <w:t>’</w:t>
      </w:r>
      <w:r w:rsidRPr="001E4C00">
        <w:rPr>
          <w:lang w:val="fr-FR"/>
        </w:rPr>
        <w:t>institutions internationales et régionales, telles que l</w:t>
      </w:r>
      <w:r w:rsidR="008F70DE" w:rsidRPr="001E4C00">
        <w:rPr>
          <w:lang w:val="fr-FR"/>
        </w:rPr>
        <w:t>’</w:t>
      </w:r>
      <w:r w:rsidRPr="001E4C00">
        <w:rPr>
          <w:lang w:val="fr-FR"/>
        </w:rPr>
        <w:t xml:space="preserve">Organisation des </w:t>
      </w:r>
      <w:r w:rsidR="008F70DE" w:rsidRPr="001E4C00">
        <w:rPr>
          <w:lang w:val="fr-FR"/>
        </w:rPr>
        <w:t>Nations Unies</w:t>
      </w:r>
      <w:r w:rsidRPr="001E4C00">
        <w:rPr>
          <w:lang w:val="fr-FR"/>
        </w:rPr>
        <w:t xml:space="preserve"> (ONU), le HCR, l</w:t>
      </w:r>
      <w:r w:rsidR="008F70DE" w:rsidRPr="001E4C00">
        <w:rPr>
          <w:lang w:val="fr-FR"/>
        </w:rPr>
        <w:t>’</w:t>
      </w:r>
      <w:r w:rsidRPr="001E4C00">
        <w:rPr>
          <w:lang w:val="fr-FR"/>
        </w:rPr>
        <w:t>Organisation de coopération et de développement économiques (OCDE), l</w:t>
      </w:r>
      <w:r w:rsidR="008F70DE" w:rsidRPr="001E4C00">
        <w:rPr>
          <w:lang w:val="fr-FR"/>
        </w:rPr>
        <w:t>’</w:t>
      </w:r>
      <w:r w:rsidRPr="001E4C00">
        <w:rPr>
          <w:lang w:val="fr-FR"/>
        </w:rPr>
        <w:t xml:space="preserve">Organisation des </w:t>
      </w:r>
      <w:r w:rsidR="008F70DE" w:rsidRPr="001E4C00">
        <w:rPr>
          <w:lang w:val="fr-FR"/>
        </w:rPr>
        <w:t>Nations Unies</w:t>
      </w:r>
      <w:r w:rsidRPr="001E4C00">
        <w:rPr>
          <w:lang w:val="fr-FR"/>
        </w:rPr>
        <w:t xml:space="preserve"> pour l</w:t>
      </w:r>
      <w:r w:rsidR="008F70DE" w:rsidRPr="001E4C00">
        <w:rPr>
          <w:lang w:val="fr-FR"/>
        </w:rPr>
        <w:t>’</w:t>
      </w:r>
      <w:r w:rsidRPr="001E4C00">
        <w:rPr>
          <w:lang w:val="fr-FR"/>
        </w:rPr>
        <w:t xml:space="preserve">éducation, la science et la culture (UNESCO), le Programme des </w:t>
      </w:r>
      <w:r w:rsidR="008F70DE" w:rsidRPr="001E4C00">
        <w:rPr>
          <w:lang w:val="fr-FR"/>
        </w:rPr>
        <w:t>Nations Unies</w:t>
      </w:r>
      <w:r w:rsidRPr="001E4C00">
        <w:rPr>
          <w:lang w:val="fr-FR"/>
        </w:rPr>
        <w:t xml:space="preserve"> pour le développement (PNUD), la Banque européenne pour la reconstruction et le développement (BERD), la Banque mondiale, les autorités gouvernementales nationales, les pages Web officielles des parties prenantes concernées, ainsi que des résumés et des rapports de centres de recherche.</w:t>
      </w:r>
    </w:p>
    <w:p w:rsidR="001957C8" w:rsidRPr="001E4C00" w:rsidRDefault="001957C8" w:rsidP="003C675C">
      <w:pPr>
        <w:pStyle w:val="Heading2"/>
        <w:rPr>
          <w:lang w:val="fr-FR"/>
        </w:rPr>
      </w:pPr>
      <w:r w:rsidRPr="001E4C00">
        <w:rPr>
          <w:lang w:val="fr-FR"/>
        </w:rPr>
        <w:t>2.3.</w:t>
      </w:r>
      <w:r w:rsidRPr="001E4C00">
        <w:rPr>
          <w:lang w:val="fr-FR"/>
        </w:rPr>
        <w:tab/>
        <w:t>Établissements d</w:t>
      </w:r>
      <w:r w:rsidR="008F70DE" w:rsidRPr="001E4C00">
        <w:rPr>
          <w:lang w:val="fr-FR"/>
        </w:rPr>
        <w:t>’</w:t>
      </w:r>
      <w:r w:rsidRPr="001E4C00">
        <w:rPr>
          <w:lang w:val="fr-FR"/>
        </w:rPr>
        <w:t>enseignement, instituts de recherche et institutions culturelles</w:t>
      </w:r>
    </w:p>
    <w:p w:rsidR="001957C8" w:rsidRPr="001E4C00" w:rsidRDefault="001957C8" w:rsidP="007115E7">
      <w:pPr>
        <w:pStyle w:val="ONUMFS"/>
        <w:rPr>
          <w:lang w:val="fr-FR"/>
        </w:rPr>
      </w:pPr>
      <w:r w:rsidRPr="001E4C00">
        <w:rPr>
          <w:lang w:val="fr-FR"/>
        </w:rPr>
        <w:t>Pour évaluer les répercussions de la guerre sur les institutions éducatives, culturelles et de recherche, le Bureau international a interrogé les parties prenantes suivantes</w:t>
      </w:r>
      <w:r w:rsidR="008F70DE" w:rsidRPr="001E4C00">
        <w:rPr>
          <w:lang w:val="fr-FR"/>
        </w:rPr>
        <w:t> :</w:t>
      </w:r>
      <w:r w:rsidRPr="001E4C00">
        <w:rPr>
          <w:lang w:val="fr-FR"/>
        </w:rPr>
        <w:t xml:space="preserve"> le Ministère de l</w:t>
      </w:r>
      <w:r w:rsidR="008F70DE" w:rsidRPr="001E4C00">
        <w:rPr>
          <w:lang w:val="fr-FR"/>
        </w:rPr>
        <w:t>’</w:t>
      </w:r>
      <w:r w:rsidRPr="001E4C00">
        <w:rPr>
          <w:lang w:val="fr-FR"/>
        </w:rPr>
        <w:t>éducation et des sciences, le Ministère de la culture et de la politique de l</w:t>
      </w:r>
      <w:r w:rsidR="008F70DE" w:rsidRPr="001E4C00">
        <w:rPr>
          <w:lang w:val="fr-FR"/>
        </w:rPr>
        <w:t>’</w:t>
      </w:r>
      <w:r w:rsidRPr="001E4C00">
        <w:rPr>
          <w:lang w:val="fr-FR"/>
        </w:rPr>
        <w:t>information, l</w:t>
      </w:r>
      <w:r w:rsidR="008F70DE" w:rsidRPr="001E4C00">
        <w:rPr>
          <w:lang w:val="fr-FR"/>
        </w:rPr>
        <w:t>’</w:t>
      </w:r>
      <w:r w:rsidRPr="001E4C00">
        <w:rPr>
          <w:lang w:val="fr-FR"/>
        </w:rPr>
        <w:t>Académie nationale des sciences, la Fondation nationale de la recherche et plus de 40 établissements d</w:t>
      </w:r>
      <w:r w:rsidR="008F70DE" w:rsidRPr="001E4C00">
        <w:rPr>
          <w:lang w:val="fr-FR"/>
        </w:rPr>
        <w:t>’</w:t>
      </w:r>
      <w:r w:rsidRPr="001E4C00">
        <w:rPr>
          <w:lang w:val="fr-FR"/>
        </w:rPr>
        <w:t>enseignement supérieur, de recherche et de cultu</w:t>
      </w:r>
      <w:r w:rsidR="00783939" w:rsidRPr="001E4C00">
        <w:rPr>
          <w:lang w:val="fr-FR"/>
        </w:rPr>
        <w:t>re.  Un</w:t>
      </w:r>
      <w:r w:rsidRPr="001E4C00">
        <w:rPr>
          <w:lang w:val="fr-FR"/>
        </w:rPr>
        <w:t>e partie des principales constatations sont présentées ci</w:t>
      </w:r>
      <w:r w:rsidR="0091158D">
        <w:rPr>
          <w:lang w:val="fr-FR"/>
        </w:rPr>
        <w:noBreakHyphen/>
      </w:r>
      <w:r w:rsidRPr="001E4C00">
        <w:rPr>
          <w:lang w:val="fr-FR"/>
        </w:rPr>
        <w:t>après sur la base des réponses à l</w:t>
      </w:r>
      <w:r w:rsidR="008F70DE" w:rsidRPr="001E4C00">
        <w:rPr>
          <w:lang w:val="fr-FR"/>
        </w:rPr>
        <w:t>’</w:t>
      </w:r>
      <w:r w:rsidRPr="001E4C00">
        <w:rPr>
          <w:lang w:val="fr-FR"/>
        </w:rPr>
        <w:t>enquête, des entretiens et des recherches documentaires.</w:t>
      </w:r>
    </w:p>
    <w:p w:rsidR="001957C8" w:rsidRPr="001E4C00" w:rsidRDefault="001957C8" w:rsidP="007115E7">
      <w:pPr>
        <w:pStyle w:val="ONUMFS"/>
        <w:rPr>
          <w:lang w:val="fr-FR"/>
        </w:rPr>
      </w:pPr>
      <w:r w:rsidRPr="001E4C00">
        <w:rPr>
          <w:lang w:val="fr-FR"/>
        </w:rPr>
        <w:t>Au 23 mars 2023, selon les données fournies par le Ministère ukrainien de l</w:t>
      </w:r>
      <w:r w:rsidR="008F70DE" w:rsidRPr="001E4C00">
        <w:rPr>
          <w:lang w:val="fr-FR"/>
        </w:rPr>
        <w:t>’</w:t>
      </w:r>
      <w:r w:rsidRPr="001E4C00">
        <w:rPr>
          <w:lang w:val="fr-FR"/>
        </w:rPr>
        <w:t>éducation et des sciences, 350 établissements d</w:t>
      </w:r>
      <w:r w:rsidR="008F70DE" w:rsidRPr="001E4C00">
        <w:rPr>
          <w:lang w:val="fr-FR"/>
        </w:rPr>
        <w:t>’</w:t>
      </w:r>
      <w:r w:rsidRPr="001E4C00">
        <w:rPr>
          <w:lang w:val="fr-FR"/>
        </w:rPr>
        <w:t>enseignement ont été détruits et 2830 sites éducatifs ont été endommagés</w:t>
      </w:r>
      <w:r w:rsidRPr="001E4C00">
        <w:rPr>
          <w:vertAlign w:val="superscript"/>
          <w:lang w:val="fr-FR" w:eastAsia="en-US"/>
        </w:rPr>
        <w:footnoteReference w:id="4"/>
      </w:r>
      <w:r w:rsidRPr="001E4C00">
        <w:rPr>
          <w:lang w:val="fr-FR"/>
        </w:rPr>
        <w:t>.  Selon la Banque mondiale, à long terme, les besoins globaux pour le redressement et la reconstruction du secteur de l</w:t>
      </w:r>
      <w:r w:rsidR="008F70DE" w:rsidRPr="001E4C00">
        <w:rPr>
          <w:lang w:val="fr-FR"/>
        </w:rPr>
        <w:t>’</w:t>
      </w:r>
      <w:r w:rsidRPr="001E4C00">
        <w:rPr>
          <w:lang w:val="fr-FR"/>
        </w:rPr>
        <w:t>éducation et de la recherche s</w:t>
      </w:r>
      <w:r w:rsidR="008F70DE" w:rsidRPr="001E4C00">
        <w:rPr>
          <w:lang w:val="fr-FR"/>
        </w:rPr>
        <w:t>’</w:t>
      </w:r>
      <w:r w:rsidRPr="001E4C00">
        <w:rPr>
          <w:lang w:val="fr-FR"/>
        </w:rPr>
        <w:t>élèvent à 10,7 milliards de dollars É.</w:t>
      </w:r>
      <w:r w:rsidR="0091158D">
        <w:rPr>
          <w:lang w:val="fr-FR"/>
        </w:rPr>
        <w:noBreakHyphen/>
      </w:r>
      <w:r w:rsidRPr="001E4C00">
        <w:rPr>
          <w:lang w:val="fr-FR"/>
        </w:rPr>
        <w:t>U., les dommages directs causés par la destruction des établissements d</w:t>
      </w:r>
      <w:r w:rsidR="008F70DE" w:rsidRPr="001E4C00">
        <w:rPr>
          <w:lang w:val="fr-FR"/>
        </w:rPr>
        <w:t>’</w:t>
      </w:r>
      <w:r w:rsidRPr="001E4C00">
        <w:rPr>
          <w:lang w:val="fr-FR"/>
        </w:rPr>
        <w:t>enseignement au cours de la première année de guerre s</w:t>
      </w:r>
      <w:r w:rsidR="008F70DE" w:rsidRPr="001E4C00">
        <w:rPr>
          <w:lang w:val="fr-FR"/>
        </w:rPr>
        <w:t>’</w:t>
      </w:r>
      <w:r w:rsidRPr="001E4C00">
        <w:rPr>
          <w:lang w:val="fr-FR"/>
        </w:rPr>
        <w:t>élevant à 4,4 milliards de dollars É.</w:t>
      </w:r>
      <w:r w:rsidR="0091158D">
        <w:rPr>
          <w:lang w:val="fr-FR"/>
        </w:rPr>
        <w:noBreakHyphen/>
      </w:r>
      <w:r w:rsidRPr="001E4C00">
        <w:rPr>
          <w:lang w:val="fr-FR"/>
        </w:rPr>
        <w:t>U</w:t>
      </w:r>
      <w:r w:rsidRPr="001E4C00">
        <w:rPr>
          <w:vertAlign w:val="superscript"/>
          <w:lang w:val="fr-FR" w:eastAsia="en-US"/>
        </w:rPr>
        <w:footnoteReference w:id="5"/>
      </w:r>
      <w:r w:rsidRPr="001E4C00">
        <w:rPr>
          <w:lang w:val="fr-FR"/>
        </w:rPr>
        <w:t>.</w:t>
      </w:r>
    </w:p>
    <w:p w:rsidR="001957C8" w:rsidRPr="001E4C00" w:rsidRDefault="001957C8" w:rsidP="007115E7">
      <w:pPr>
        <w:pStyle w:val="ONUMFS"/>
        <w:rPr>
          <w:lang w:val="fr-FR"/>
        </w:rPr>
      </w:pPr>
      <w:r w:rsidRPr="001E4C00">
        <w:rPr>
          <w:lang w:val="fr-FR"/>
        </w:rPr>
        <w:t>Les pertes subies par les institutions scientifiques comprennent les dommages causés aux biens et aux bâtiments de 116 institutions scientifiques et d</w:t>
      </w:r>
      <w:r w:rsidR="008F70DE" w:rsidRPr="001E4C00">
        <w:rPr>
          <w:lang w:val="fr-FR"/>
        </w:rPr>
        <w:t>’</w:t>
      </w:r>
      <w:r w:rsidRPr="001E4C00">
        <w:rPr>
          <w:lang w:val="fr-FR"/>
        </w:rPr>
        <w:t>enseignement supérieur, la destruction de quatre institutions scientifiques et la perte d</w:t>
      </w:r>
      <w:r w:rsidR="008F70DE" w:rsidRPr="001E4C00">
        <w:rPr>
          <w:lang w:val="fr-FR"/>
        </w:rPr>
        <w:t>’</w:t>
      </w:r>
      <w:r w:rsidRPr="001E4C00">
        <w:rPr>
          <w:lang w:val="fr-FR"/>
        </w:rPr>
        <w:t>informations concernant 11 institutio</w:t>
      </w:r>
      <w:r w:rsidR="00783939" w:rsidRPr="001E4C00">
        <w:rPr>
          <w:lang w:val="fr-FR"/>
        </w:rPr>
        <w:t>ns.  Da</w:t>
      </w:r>
      <w:r w:rsidRPr="001E4C00">
        <w:rPr>
          <w:lang w:val="fr-FR"/>
        </w:rPr>
        <w:t>ns l</w:t>
      </w:r>
      <w:r w:rsidR="008F70DE" w:rsidRPr="001E4C00">
        <w:rPr>
          <w:lang w:val="fr-FR"/>
        </w:rPr>
        <w:t>’</w:t>
      </w:r>
      <w:r w:rsidRPr="001E4C00">
        <w:rPr>
          <w:lang w:val="fr-FR"/>
        </w:rPr>
        <w:t>ensemble, plus de 15% de l</w:t>
      </w:r>
      <w:r w:rsidR="008F70DE" w:rsidRPr="001E4C00">
        <w:rPr>
          <w:lang w:val="fr-FR"/>
        </w:rPr>
        <w:t>’</w:t>
      </w:r>
      <w:r w:rsidRPr="001E4C00">
        <w:rPr>
          <w:lang w:val="fr-FR"/>
        </w:rPr>
        <w:t>infrastructure de recherche des universités et des institutions de recherche a été endommagée et détruite</w:t>
      </w:r>
      <w:r w:rsidRPr="001E4C00">
        <w:rPr>
          <w:bCs/>
          <w:vertAlign w:val="superscript"/>
          <w:lang w:val="fr-FR" w:eastAsia="en-US"/>
        </w:rPr>
        <w:footnoteReference w:id="6"/>
      </w:r>
      <w:r w:rsidRPr="001E4C00">
        <w:rPr>
          <w:lang w:val="fr-FR"/>
        </w:rPr>
        <w:t xml:space="preserve"> au début du mois d</w:t>
      </w:r>
      <w:r w:rsidR="008F70DE" w:rsidRPr="001E4C00">
        <w:rPr>
          <w:lang w:val="fr-FR"/>
        </w:rPr>
        <w:t>’</w:t>
      </w:r>
      <w:r w:rsidRPr="001E4C00">
        <w:rPr>
          <w:lang w:val="fr-FR"/>
        </w:rPr>
        <w:t xml:space="preserve">avril 2023, </w:t>
      </w:r>
      <w:r w:rsidR="008F70DE" w:rsidRPr="001E4C00">
        <w:rPr>
          <w:lang w:val="fr-FR"/>
        </w:rPr>
        <w:t>y compris</w:t>
      </w:r>
      <w:r w:rsidRPr="001E4C00">
        <w:rPr>
          <w:lang w:val="fr-FR"/>
        </w:rPr>
        <w:t xml:space="preserve"> des équipements scientifiques uniques, des machines et des laboratoires de recherc</w:t>
      </w:r>
      <w:r w:rsidR="00783939" w:rsidRPr="001E4C00">
        <w:rPr>
          <w:lang w:val="fr-FR"/>
        </w:rPr>
        <w:t>he.  L’i</w:t>
      </w:r>
      <w:r w:rsidRPr="001E4C00">
        <w:rPr>
          <w:lang w:val="fr-FR"/>
        </w:rPr>
        <w:t>nfrastructure et l</w:t>
      </w:r>
      <w:r w:rsidR="008F70DE" w:rsidRPr="001E4C00">
        <w:rPr>
          <w:lang w:val="fr-FR"/>
        </w:rPr>
        <w:t>’</w:t>
      </w:r>
      <w:r w:rsidRPr="001E4C00">
        <w:rPr>
          <w:lang w:val="fr-FR"/>
        </w:rPr>
        <w:t>équipement scientifique des institutions de l</w:t>
      </w:r>
      <w:r w:rsidR="008F70DE" w:rsidRPr="001E4C00">
        <w:rPr>
          <w:lang w:val="fr-FR"/>
        </w:rPr>
        <w:t>’</w:t>
      </w:r>
      <w:r w:rsidRPr="001E4C00">
        <w:rPr>
          <w:lang w:val="fr-FR"/>
        </w:rPr>
        <w:t>Académie nationale des sciences d</w:t>
      </w:r>
      <w:r w:rsidR="008F70DE" w:rsidRPr="001E4C00">
        <w:rPr>
          <w:lang w:val="fr-FR"/>
        </w:rPr>
        <w:t>’</w:t>
      </w:r>
      <w:r w:rsidRPr="001E4C00">
        <w:rPr>
          <w:lang w:val="fr-FR"/>
        </w:rPr>
        <w:t xml:space="preserve">Ukraine situées à Kiev, Kharkiv, </w:t>
      </w:r>
      <w:proofErr w:type="spellStart"/>
      <w:r w:rsidRPr="001E4C00">
        <w:rPr>
          <w:lang w:val="fr-FR"/>
        </w:rPr>
        <w:t>Dnipro</w:t>
      </w:r>
      <w:proofErr w:type="spellEnd"/>
      <w:r w:rsidRPr="001E4C00">
        <w:rPr>
          <w:lang w:val="fr-FR"/>
        </w:rPr>
        <w:t xml:space="preserve">, </w:t>
      </w:r>
      <w:proofErr w:type="spellStart"/>
      <w:r w:rsidRPr="001E4C00">
        <w:rPr>
          <w:lang w:val="fr-FR"/>
        </w:rPr>
        <w:t>Sumy</w:t>
      </w:r>
      <w:proofErr w:type="spellEnd"/>
      <w:r w:rsidRPr="001E4C00">
        <w:rPr>
          <w:lang w:val="fr-FR"/>
        </w:rPr>
        <w:t xml:space="preserve"> et </w:t>
      </w:r>
      <w:proofErr w:type="spellStart"/>
      <w:r w:rsidRPr="001E4C00">
        <w:rPr>
          <w:lang w:val="fr-FR"/>
        </w:rPr>
        <w:t>Mykolaiv</w:t>
      </w:r>
      <w:proofErr w:type="spellEnd"/>
      <w:r w:rsidRPr="001E4C00">
        <w:rPr>
          <w:lang w:val="fr-FR"/>
        </w:rPr>
        <w:t xml:space="preserve"> ont été considérablement endommag</w:t>
      </w:r>
      <w:r w:rsidR="00783939" w:rsidRPr="001E4C00">
        <w:rPr>
          <w:lang w:val="fr-FR"/>
        </w:rPr>
        <w:t>és.  En</w:t>
      </w:r>
      <w:r w:rsidRPr="001E4C00">
        <w:rPr>
          <w:lang w:val="fr-FR"/>
        </w:rPr>
        <w:t>viron 220 bâtiments et structures de l</w:t>
      </w:r>
      <w:r w:rsidR="008F70DE" w:rsidRPr="001E4C00">
        <w:rPr>
          <w:lang w:val="fr-FR"/>
        </w:rPr>
        <w:t>’</w:t>
      </w:r>
      <w:r w:rsidRPr="001E4C00">
        <w:rPr>
          <w:lang w:val="fr-FR"/>
        </w:rPr>
        <w:t>Académie nationale des sciences d</w:t>
      </w:r>
      <w:r w:rsidR="008F70DE" w:rsidRPr="001E4C00">
        <w:rPr>
          <w:lang w:val="fr-FR"/>
        </w:rPr>
        <w:t>’</w:t>
      </w:r>
      <w:r w:rsidRPr="001E4C00">
        <w:rPr>
          <w:lang w:val="fr-FR"/>
        </w:rPr>
        <w:t>Ukraine ont été détruits ou endommag</w:t>
      </w:r>
      <w:r w:rsidR="00783939" w:rsidRPr="001E4C00">
        <w:rPr>
          <w:lang w:val="fr-FR"/>
        </w:rPr>
        <w:t>és.  Le</w:t>
      </w:r>
      <w:r w:rsidRPr="001E4C00">
        <w:rPr>
          <w:lang w:val="fr-FR"/>
        </w:rPr>
        <w:t xml:space="preserve"> plus grand radiotélescope décamétrique du monde de l</w:t>
      </w:r>
      <w:r w:rsidR="008F70DE" w:rsidRPr="001E4C00">
        <w:rPr>
          <w:lang w:val="fr-FR"/>
        </w:rPr>
        <w:t>’</w:t>
      </w:r>
      <w:r w:rsidRPr="001E4C00">
        <w:rPr>
          <w:lang w:val="fr-FR"/>
        </w:rPr>
        <w:t>Institut de radioastronomie, l</w:t>
      </w:r>
      <w:r w:rsidR="008F70DE" w:rsidRPr="001E4C00">
        <w:rPr>
          <w:lang w:val="fr-FR"/>
        </w:rPr>
        <w:t>’</w:t>
      </w:r>
      <w:r w:rsidRPr="001E4C00">
        <w:rPr>
          <w:lang w:val="fr-FR"/>
        </w:rPr>
        <w:t>Institut des monocristaux, l</w:t>
      </w:r>
      <w:r w:rsidR="008F70DE" w:rsidRPr="001E4C00">
        <w:rPr>
          <w:lang w:val="fr-FR"/>
        </w:rPr>
        <w:t>’</w:t>
      </w:r>
      <w:r w:rsidRPr="001E4C00">
        <w:rPr>
          <w:lang w:val="fr-FR"/>
        </w:rPr>
        <w:t xml:space="preserve">Institut de </w:t>
      </w:r>
      <w:proofErr w:type="spellStart"/>
      <w:r w:rsidRPr="001E4C00">
        <w:rPr>
          <w:lang w:val="fr-FR"/>
        </w:rPr>
        <w:t>radiophysique</w:t>
      </w:r>
      <w:proofErr w:type="spellEnd"/>
      <w:r w:rsidRPr="001E4C00">
        <w:rPr>
          <w:lang w:val="fr-FR"/>
        </w:rPr>
        <w:t xml:space="preserve"> et d</w:t>
      </w:r>
      <w:r w:rsidR="008F70DE" w:rsidRPr="001E4C00">
        <w:rPr>
          <w:lang w:val="fr-FR"/>
        </w:rPr>
        <w:t>’</w:t>
      </w:r>
      <w:r w:rsidRPr="001E4C00">
        <w:rPr>
          <w:lang w:val="fr-FR"/>
        </w:rPr>
        <w:t>électronique, l</w:t>
      </w:r>
      <w:r w:rsidR="008F70DE" w:rsidRPr="001E4C00">
        <w:rPr>
          <w:lang w:val="fr-FR"/>
        </w:rPr>
        <w:t>’</w:t>
      </w:r>
      <w:r w:rsidRPr="001E4C00">
        <w:rPr>
          <w:lang w:val="fr-FR"/>
        </w:rPr>
        <w:t>Institut physique et technique de Kharkiv, l</w:t>
      </w:r>
      <w:r w:rsidR="008F70DE" w:rsidRPr="001E4C00">
        <w:rPr>
          <w:lang w:val="fr-FR"/>
        </w:rPr>
        <w:t>’</w:t>
      </w:r>
      <w:r w:rsidRPr="001E4C00">
        <w:rPr>
          <w:lang w:val="fr-FR"/>
        </w:rPr>
        <w:t>Institut des processus et technologies d</w:t>
      </w:r>
      <w:r w:rsidR="008F70DE" w:rsidRPr="001E4C00">
        <w:rPr>
          <w:lang w:val="fr-FR"/>
        </w:rPr>
        <w:t>’</w:t>
      </w:r>
      <w:r w:rsidRPr="001E4C00">
        <w:rPr>
          <w:lang w:val="fr-FR"/>
        </w:rPr>
        <w:t xml:space="preserve">impulsion de </w:t>
      </w:r>
      <w:proofErr w:type="spellStart"/>
      <w:r w:rsidRPr="001E4C00">
        <w:rPr>
          <w:lang w:val="fr-FR"/>
        </w:rPr>
        <w:t>Mykolaiv</w:t>
      </w:r>
      <w:proofErr w:type="spellEnd"/>
      <w:r w:rsidRPr="001E4C00">
        <w:rPr>
          <w:lang w:val="fr-FR"/>
        </w:rPr>
        <w:t xml:space="preserve"> et l</w:t>
      </w:r>
      <w:r w:rsidR="008F70DE" w:rsidRPr="001E4C00">
        <w:rPr>
          <w:lang w:val="fr-FR"/>
        </w:rPr>
        <w:t>’</w:t>
      </w:r>
      <w:r w:rsidRPr="001E4C00">
        <w:rPr>
          <w:lang w:val="fr-FR"/>
        </w:rPr>
        <w:t xml:space="preserve">Institut V.M. </w:t>
      </w:r>
      <w:proofErr w:type="spellStart"/>
      <w:r w:rsidRPr="001E4C00">
        <w:rPr>
          <w:lang w:val="fr-FR"/>
        </w:rPr>
        <w:t>Bakul</w:t>
      </w:r>
      <w:proofErr w:type="spellEnd"/>
      <w:r w:rsidRPr="001E4C00">
        <w:rPr>
          <w:lang w:val="fr-FR"/>
        </w:rPr>
        <w:t xml:space="preserve"> pour les matériaux </w:t>
      </w:r>
      <w:proofErr w:type="spellStart"/>
      <w:r w:rsidRPr="001E4C00">
        <w:rPr>
          <w:lang w:val="fr-FR"/>
        </w:rPr>
        <w:t>superdurs</w:t>
      </w:r>
      <w:proofErr w:type="spellEnd"/>
      <w:r w:rsidRPr="001E4C00">
        <w:rPr>
          <w:lang w:val="fr-FR"/>
        </w:rPr>
        <w:t xml:space="preserve"> à Kiev ont subi des dommages importan</w:t>
      </w:r>
      <w:r w:rsidR="00783939" w:rsidRPr="001E4C00">
        <w:rPr>
          <w:lang w:val="fr-FR"/>
        </w:rPr>
        <w:t>ts.  Le</w:t>
      </w:r>
      <w:r w:rsidRPr="001E4C00">
        <w:rPr>
          <w:lang w:val="fr-FR"/>
        </w:rPr>
        <w:t>s équipements et les laboratoires de l</w:t>
      </w:r>
      <w:r w:rsidR="008F70DE" w:rsidRPr="001E4C00">
        <w:rPr>
          <w:lang w:val="fr-FR"/>
        </w:rPr>
        <w:t>’</w:t>
      </w:r>
      <w:r w:rsidRPr="001E4C00">
        <w:rPr>
          <w:lang w:val="fr-FR"/>
        </w:rPr>
        <w:t>Institut des problèmes de sûreté des centrales nucléaires, qui assurait le soutien scientifique et le contrôle de l</w:t>
      </w:r>
      <w:r w:rsidR="008F70DE" w:rsidRPr="001E4C00">
        <w:rPr>
          <w:lang w:val="fr-FR"/>
        </w:rPr>
        <w:t>’</w:t>
      </w:r>
      <w:r w:rsidRPr="001E4C00">
        <w:rPr>
          <w:lang w:val="fr-FR"/>
        </w:rPr>
        <w:t>état de l</w:t>
      </w:r>
      <w:r w:rsidR="008F70DE" w:rsidRPr="001E4C00">
        <w:rPr>
          <w:lang w:val="fr-FR"/>
        </w:rPr>
        <w:t>’</w:t>
      </w:r>
      <w:r w:rsidRPr="001E4C00">
        <w:rPr>
          <w:lang w:val="fr-FR"/>
        </w:rPr>
        <w:t>installation “</w:t>
      </w:r>
      <w:proofErr w:type="spellStart"/>
      <w:r w:rsidRPr="001E4C00">
        <w:rPr>
          <w:lang w:val="fr-FR"/>
        </w:rPr>
        <w:t>Shelter</w:t>
      </w:r>
      <w:proofErr w:type="spellEnd"/>
      <w:r w:rsidRPr="001E4C00">
        <w:rPr>
          <w:lang w:val="fr-FR"/>
        </w:rPr>
        <w:t>” à Tchernobyl, ont été détruits</w:t>
      </w:r>
      <w:r w:rsidRPr="001E4C00">
        <w:rPr>
          <w:vertAlign w:val="superscript"/>
          <w:lang w:val="fr-FR" w:eastAsia="en-US"/>
        </w:rPr>
        <w:footnoteReference w:id="7"/>
      </w:r>
      <w:r w:rsidRPr="001E4C00">
        <w:rPr>
          <w:lang w:val="fr-FR"/>
        </w:rPr>
        <w:t>.</w:t>
      </w:r>
    </w:p>
    <w:p w:rsidR="001957C8" w:rsidRPr="001E4C00" w:rsidRDefault="001957C8" w:rsidP="007115E7">
      <w:pPr>
        <w:pStyle w:val="ONUMFS"/>
        <w:rPr>
          <w:lang w:val="fr-FR"/>
        </w:rPr>
      </w:pPr>
      <w:r w:rsidRPr="001E4C00">
        <w:rPr>
          <w:lang w:val="fr-FR"/>
        </w:rPr>
        <w:t>Au 26 avril 2023, l</w:t>
      </w:r>
      <w:r w:rsidR="008F70DE" w:rsidRPr="001E4C00">
        <w:rPr>
          <w:lang w:val="fr-FR"/>
        </w:rPr>
        <w:t>’</w:t>
      </w:r>
      <w:r w:rsidRPr="001E4C00">
        <w:rPr>
          <w:lang w:val="fr-FR"/>
        </w:rPr>
        <w:t>UNESCO a vérifié les dommages causés à 253 sites culturels depuis le 24 février 2022 – 108 sites religieux, 22 musées, 91 bâtiments d</w:t>
      </w:r>
      <w:r w:rsidR="008F70DE" w:rsidRPr="001E4C00">
        <w:rPr>
          <w:lang w:val="fr-FR"/>
        </w:rPr>
        <w:t>’</w:t>
      </w:r>
      <w:r w:rsidRPr="001E4C00">
        <w:rPr>
          <w:lang w:val="fr-FR"/>
        </w:rPr>
        <w:t>intérêt historique ou artistique, 19 monuments, 12 bibliothèques et un service d</w:t>
      </w:r>
      <w:r w:rsidR="008F70DE" w:rsidRPr="001E4C00">
        <w:rPr>
          <w:lang w:val="fr-FR"/>
        </w:rPr>
        <w:t>’</w:t>
      </w:r>
      <w:r w:rsidRPr="001E4C00">
        <w:rPr>
          <w:lang w:val="fr-FR"/>
        </w:rPr>
        <w:t>archives</w:t>
      </w:r>
      <w:r w:rsidRPr="001E4C00">
        <w:rPr>
          <w:vertAlign w:val="superscript"/>
          <w:lang w:val="fr-FR" w:eastAsia="en-US"/>
        </w:rPr>
        <w:footnoteReference w:id="8"/>
      </w:r>
      <w:r w:rsidRPr="001E4C00">
        <w:rPr>
          <w:lang w:val="fr-FR"/>
        </w:rPr>
        <w:t>.  Selon les informations de l</w:t>
      </w:r>
      <w:r w:rsidR="008F70DE" w:rsidRPr="001E4C00">
        <w:rPr>
          <w:lang w:val="fr-FR"/>
        </w:rPr>
        <w:t>’</w:t>
      </w:r>
      <w:r w:rsidRPr="001E4C00">
        <w:rPr>
          <w:lang w:val="fr-FR"/>
        </w:rPr>
        <w:t>École d</w:t>
      </w:r>
      <w:r w:rsidR="008F70DE" w:rsidRPr="001E4C00">
        <w:rPr>
          <w:lang w:val="fr-FR"/>
        </w:rPr>
        <w:t>’</w:t>
      </w:r>
      <w:r w:rsidRPr="001E4C00">
        <w:rPr>
          <w:lang w:val="fr-FR"/>
        </w:rPr>
        <w:t>économie de Kiev, en février 2023, au moins 2148 institutions culturelles et religieuses ont subi des dommages directs dus à la guer</w:t>
      </w:r>
      <w:r w:rsidR="00783939" w:rsidRPr="001E4C00">
        <w:rPr>
          <w:lang w:val="fr-FR"/>
        </w:rPr>
        <w:t>re.  Pa</w:t>
      </w:r>
      <w:r w:rsidRPr="001E4C00">
        <w:rPr>
          <w:lang w:val="fr-FR"/>
        </w:rPr>
        <w:t>rmi elles, on compte 703 bâtiments culturels/palais de la culture, 348 édifices religieux, 82 musées et 22 théâtr</w:t>
      </w:r>
      <w:r w:rsidR="00783939" w:rsidRPr="001E4C00">
        <w:rPr>
          <w:lang w:val="fr-FR"/>
        </w:rPr>
        <w:t>es.  Le</w:t>
      </w:r>
      <w:r w:rsidRPr="001E4C00">
        <w:rPr>
          <w:lang w:val="fr-FR"/>
        </w:rPr>
        <w:t xml:space="preserve"> montant total des dommages subis par les institutions culturelles et religieuses est estimé à plus de 1,5 milliard</w:t>
      </w:r>
      <w:r w:rsidRPr="001E4C00">
        <w:rPr>
          <w:vertAlign w:val="superscript"/>
          <w:lang w:val="fr-FR" w:eastAsia="en-US"/>
        </w:rPr>
        <w:footnoteReference w:id="9"/>
      </w:r>
      <w:r w:rsidRPr="001E4C00">
        <w:rPr>
          <w:lang w:val="fr-FR"/>
        </w:rPr>
        <w:t xml:space="preserve"> de dollars É.</w:t>
      </w:r>
      <w:r w:rsidR="0091158D">
        <w:rPr>
          <w:lang w:val="fr-FR"/>
        </w:rPr>
        <w:noBreakHyphen/>
      </w:r>
      <w:r w:rsidRPr="001E4C00">
        <w:rPr>
          <w:lang w:val="fr-FR"/>
        </w:rPr>
        <w:t>U.</w:t>
      </w:r>
    </w:p>
    <w:p w:rsidR="001957C8" w:rsidRPr="001E4C00" w:rsidRDefault="001957C8" w:rsidP="007115E7">
      <w:pPr>
        <w:pStyle w:val="ONUMFS"/>
        <w:rPr>
          <w:lang w:val="fr-FR"/>
        </w:rPr>
      </w:pPr>
      <w:r w:rsidRPr="001E4C00">
        <w:rPr>
          <w:lang w:val="fr-FR"/>
        </w:rPr>
        <w:t>Selon les données fournies par le Ministère de l</w:t>
      </w:r>
      <w:r w:rsidR="008F70DE" w:rsidRPr="001E4C00">
        <w:rPr>
          <w:lang w:val="fr-FR"/>
        </w:rPr>
        <w:t>’</w:t>
      </w:r>
      <w:r w:rsidRPr="001E4C00">
        <w:rPr>
          <w:lang w:val="fr-FR"/>
        </w:rPr>
        <w:t>éducation et des sciences, 8% en moyenne des étudiants des établissements d</w:t>
      </w:r>
      <w:r w:rsidR="008F70DE" w:rsidRPr="001E4C00">
        <w:rPr>
          <w:lang w:val="fr-FR"/>
        </w:rPr>
        <w:t>’</w:t>
      </w:r>
      <w:r w:rsidRPr="001E4C00">
        <w:rPr>
          <w:lang w:val="fr-FR"/>
        </w:rPr>
        <w:t>enseignement supérieur étudient à distance depuis des pays étrangers, tandis que dans certains établissements situés dans des zones touchées par la guerre ou près de la ligne de front, ce chiffre atteint plus de 20%.  Environ 8% des chercheurs et 10,5% du personnel scientifique et éducatif ont été contraints de s</w:t>
      </w:r>
      <w:r w:rsidR="008F70DE" w:rsidRPr="001E4C00">
        <w:rPr>
          <w:lang w:val="fr-FR"/>
        </w:rPr>
        <w:t>’</w:t>
      </w:r>
      <w:r w:rsidRPr="001E4C00">
        <w:rPr>
          <w:lang w:val="fr-FR"/>
        </w:rPr>
        <w:t>installer dans d</w:t>
      </w:r>
      <w:r w:rsidR="008F70DE" w:rsidRPr="001E4C00">
        <w:rPr>
          <w:lang w:val="fr-FR"/>
        </w:rPr>
        <w:t>’</w:t>
      </w:r>
      <w:r w:rsidRPr="001E4C00">
        <w:rPr>
          <w:lang w:val="fr-FR"/>
        </w:rPr>
        <w:t>autres régions d</w:t>
      </w:r>
      <w:r w:rsidR="008F70DE" w:rsidRPr="001E4C00">
        <w:rPr>
          <w:lang w:val="fr-FR"/>
        </w:rPr>
        <w:t>’</w:t>
      </w:r>
      <w:r w:rsidRPr="001E4C00">
        <w:rPr>
          <w:lang w:val="fr-FR"/>
        </w:rPr>
        <w:t>Ukraine, tandis que 5% des chercheurs et 8% du personnel de l</w:t>
      </w:r>
      <w:r w:rsidR="008F70DE" w:rsidRPr="001E4C00">
        <w:rPr>
          <w:lang w:val="fr-FR"/>
        </w:rPr>
        <w:t>’</w:t>
      </w:r>
      <w:r w:rsidRPr="001E4C00">
        <w:rPr>
          <w:lang w:val="fr-FR"/>
        </w:rPr>
        <w:t>enseignement supérieur se sont installés dans d</w:t>
      </w:r>
      <w:r w:rsidR="008F70DE" w:rsidRPr="001E4C00">
        <w:rPr>
          <w:lang w:val="fr-FR"/>
        </w:rPr>
        <w:t>’</w:t>
      </w:r>
      <w:r w:rsidRPr="001E4C00">
        <w:rPr>
          <w:lang w:val="fr-FR"/>
        </w:rPr>
        <w:t>autres pa</w:t>
      </w:r>
      <w:r w:rsidR="00783939" w:rsidRPr="001E4C00">
        <w:rPr>
          <w:lang w:val="fr-FR"/>
        </w:rPr>
        <w:t>ys.  Tr</w:t>
      </w:r>
      <w:r w:rsidRPr="001E4C00">
        <w:rPr>
          <w:lang w:val="fr-FR"/>
        </w:rPr>
        <w:t>ente et un établissements d</w:t>
      </w:r>
      <w:r w:rsidR="008F70DE" w:rsidRPr="001E4C00">
        <w:rPr>
          <w:lang w:val="fr-FR"/>
        </w:rPr>
        <w:t>’</w:t>
      </w:r>
      <w:r w:rsidRPr="001E4C00">
        <w:rPr>
          <w:lang w:val="fr-FR"/>
        </w:rPr>
        <w:t>enseignement supérieur et 44 établissements professionnels d</w:t>
      </w:r>
      <w:r w:rsidR="008F70DE" w:rsidRPr="001E4C00">
        <w:rPr>
          <w:lang w:val="fr-FR"/>
        </w:rPr>
        <w:t>’</w:t>
      </w:r>
      <w:r w:rsidRPr="001E4C00">
        <w:rPr>
          <w:lang w:val="fr-FR"/>
        </w:rPr>
        <w:t>enseignement préuniversitaire ont été relocalisés dans des régions plus sûres de l</w:t>
      </w:r>
      <w:r w:rsidR="008F70DE" w:rsidRPr="001E4C00">
        <w:rPr>
          <w:lang w:val="fr-FR"/>
        </w:rPr>
        <w:t>’</w:t>
      </w:r>
      <w:r w:rsidRPr="001E4C00">
        <w:rPr>
          <w:lang w:val="fr-FR"/>
        </w:rPr>
        <w:t>Ukraine</w:t>
      </w:r>
      <w:r w:rsidRPr="001E4C00">
        <w:rPr>
          <w:vertAlign w:val="superscript"/>
          <w:lang w:val="fr-FR" w:eastAsia="en-US"/>
        </w:rPr>
        <w:footnoteReference w:id="10"/>
      </w:r>
      <w:r w:rsidRPr="001E4C00">
        <w:rPr>
          <w:lang w:val="fr-FR"/>
        </w:rPr>
        <w:t>.  Quelque 14% des chercheurs de l</w:t>
      </w:r>
      <w:r w:rsidR="008F70DE" w:rsidRPr="001E4C00">
        <w:rPr>
          <w:lang w:val="fr-FR"/>
        </w:rPr>
        <w:t>’</w:t>
      </w:r>
      <w:r w:rsidRPr="001E4C00">
        <w:rPr>
          <w:lang w:val="fr-FR"/>
        </w:rPr>
        <w:t>Académie nationale des sciences ont été contraints de s</w:t>
      </w:r>
      <w:r w:rsidR="008F70DE" w:rsidRPr="001E4C00">
        <w:rPr>
          <w:lang w:val="fr-FR"/>
        </w:rPr>
        <w:t>’</w:t>
      </w:r>
      <w:r w:rsidRPr="001E4C00">
        <w:rPr>
          <w:lang w:val="fr-FR"/>
        </w:rPr>
        <w:t>installer dans des régions plus sûres de l</w:t>
      </w:r>
      <w:r w:rsidR="008F70DE" w:rsidRPr="001E4C00">
        <w:rPr>
          <w:lang w:val="fr-FR"/>
        </w:rPr>
        <w:t>’</w:t>
      </w:r>
      <w:r w:rsidRPr="001E4C00">
        <w:rPr>
          <w:lang w:val="fr-FR"/>
        </w:rPr>
        <w:t>Ukraine ou de fuir à l</w:t>
      </w:r>
      <w:r w:rsidR="008F70DE" w:rsidRPr="001E4C00">
        <w:rPr>
          <w:lang w:val="fr-FR"/>
        </w:rPr>
        <w:t>’</w:t>
      </w:r>
      <w:r w:rsidRPr="001E4C00">
        <w:rPr>
          <w:lang w:val="fr-FR"/>
        </w:rPr>
        <w:t>étranger.</w:t>
      </w:r>
    </w:p>
    <w:p w:rsidR="001957C8" w:rsidRPr="001E4C00" w:rsidRDefault="001957C8" w:rsidP="007115E7">
      <w:pPr>
        <w:pStyle w:val="ONUMFS"/>
        <w:rPr>
          <w:lang w:val="fr-FR"/>
        </w:rPr>
      </w:pPr>
      <w:r w:rsidRPr="001E4C00">
        <w:rPr>
          <w:lang w:val="fr-FR"/>
        </w:rPr>
        <w:t>Le Gouvernement ukrainien a dû réorienter son budget vers la défense, les besoins sociaux et humanitaires, ce qui a eu une incidence significative sur les ressources financières consacrées à l</w:t>
      </w:r>
      <w:r w:rsidR="008F70DE" w:rsidRPr="001E4C00">
        <w:rPr>
          <w:lang w:val="fr-FR"/>
        </w:rPr>
        <w:t>’</w:t>
      </w:r>
      <w:r w:rsidRPr="001E4C00">
        <w:rPr>
          <w:lang w:val="fr-FR"/>
        </w:rPr>
        <w:t>éducation, à la science, à la culture et à l</w:t>
      </w:r>
      <w:r w:rsidR="008F70DE" w:rsidRPr="001E4C00">
        <w:rPr>
          <w:lang w:val="fr-FR"/>
        </w:rPr>
        <w:t>’</w:t>
      </w:r>
      <w:r w:rsidRPr="001E4C00">
        <w:rPr>
          <w:lang w:val="fr-FR"/>
        </w:rPr>
        <w:t>innovati</w:t>
      </w:r>
      <w:r w:rsidR="00783939" w:rsidRPr="001E4C00">
        <w:rPr>
          <w:lang w:val="fr-FR"/>
        </w:rPr>
        <w:t>on.  Le</w:t>
      </w:r>
      <w:r w:rsidRPr="001E4C00">
        <w:rPr>
          <w:lang w:val="fr-FR"/>
        </w:rPr>
        <w:t xml:space="preserve"> financement de la recherche scientifique a été réduit en raison des dépenses militaires, la Fondation nationale de la recherche d</w:t>
      </w:r>
      <w:r w:rsidR="00A134B1" w:rsidRPr="001E4C00">
        <w:rPr>
          <w:lang w:val="fr-FR"/>
        </w:rPr>
        <w:t>e l</w:t>
      </w:r>
      <w:r w:rsidR="008F70DE" w:rsidRPr="001E4C00">
        <w:rPr>
          <w:lang w:val="fr-FR"/>
        </w:rPr>
        <w:t>’</w:t>
      </w:r>
      <w:r w:rsidRPr="001E4C00">
        <w:rPr>
          <w:lang w:val="fr-FR"/>
        </w:rPr>
        <w:t>Ukraine subissant des coupes d</w:t>
      </w:r>
      <w:r w:rsidR="008F70DE" w:rsidRPr="001E4C00">
        <w:rPr>
          <w:lang w:val="fr-FR"/>
        </w:rPr>
        <w:t>’</w:t>
      </w:r>
      <w:r w:rsidRPr="001E4C00">
        <w:rPr>
          <w:lang w:val="fr-FR"/>
        </w:rPr>
        <w:t>environ 20,7 millions de dollars É.</w:t>
      </w:r>
      <w:r w:rsidR="0091158D">
        <w:rPr>
          <w:lang w:val="fr-FR"/>
        </w:rPr>
        <w:noBreakHyphen/>
      </w:r>
      <w:r w:rsidRPr="001E4C00">
        <w:rPr>
          <w:lang w:val="fr-FR"/>
        </w:rPr>
        <w:t>U. en 2022</w:t>
      </w:r>
      <w:r w:rsidRPr="001E4C00">
        <w:rPr>
          <w:vertAlign w:val="superscript"/>
          <w:lang w:val="fr-FR" w:eastAsia="en-US"/>
        </w:rPr>
        <w:footnoteReference w:id="11"/>
      </w:r>
      <w:r w:rsidRPr="001E4C00">
        <w:rPr>
          <w:lang w:val="fr-FR"/>
        </w:rPr>
        <w:t>.  Le budget de l</w:t>
      </w:r>
      <w:r w:rsidR="008F70DE" w:rsidRPr="001E4C00">
        <w:rPr>
          <w:lang w:val="fr-FR"/>
        </w:rPr>
        <w:t>’</w:t>
      </w:r>
      <w:r w:rsidRPr="001E4C00">
        <w:rPr>
          <w:lang w:val="fr-FR"/>
        </w:rPr>
        <w:t>Académie nationale des sciences d</w:t>
      </w:r>
      <w:r w:rsidR="008F70DE" w:rsidRPr="001E4C00">
        <w:rPr>
          <w:lang w:val="fr-FR"/>
        </w:rPr>
        <w:t>’</w:t>
      </w:r>
      <w:r w:rsidRPr="001E4C00">
        <w:rPr>
          <w:lang w:val="fr-FR"/>
        </w:rPr>
        <w:t>Ukraine</w:t>
      </w:r>
      <w:r w:rsidRPr="001E4C00">
        <w:rPr>
          <w:vertAlign w:val="superscript"/>
          <w:lang w:val="fr-FR" w:eastAsia="en-US"/>
        </w:rPr>
        <w:footnoteReference w:id="12"/>
      </w:r>
      <w:r w:rsidRPr="001E4C00">
        <w:rPr>
          <w:lang w:val="fr-FR"/>
        </w:rPr>
        <w:t xml:space="preserve"> a été réduit de 17,1% en 2022 et de 10,7% supplémentaires en 2023.  En 2022, les dépenses du Ministère de la culture et de la politique de l</w:t>
      </w:r>
      <w:r w:rsidR="008F70DE" w:rsidRPr="001E4C00">
        <w:rPr>
          <w:lang w:val="fr-FR"/>
        </w:rPr>
        <w:t>’</w:t>
      </w:r>
      <w:r w:rsidRPr="001E4C00">
        <w:rPr>
          <w:lang w:val="fr-FR"/>
        </w:rPr>
        <w:t>information provenant du fonds général du budget de l</w:t>
      </w:r>
      <w:r w:rsidR="008F70DE" w:rsidRPr="001E4C00">
        <w:rPr>
          <w:lang w:val="fr-FR"/>
        </w:rPr>
        <w:t>’</w:t>
      </w:r>
      <w:r w:rsidRPr="001E4C00">
        <w:rPr>
          <w:lang w:val="fr-FR"/>
        </w:rPr>
        <w:t xml:space="preserve">État, </w:t>
      </w:r>
      <w:r w:rsidR="008F70DE" w:rsidRPr="001E4C00">
        <w:rPr>
          <w:lang w:val="fr-FR"/>
        </w:rPr>
        <w:t>y compris</w:t>
      </w:r>
      <w:r w:rsidRPr="001E4C00">
        <w:rPr>
          <w:lang w:val="fr-FR"/>
        </w:rPr>
        <w:t xml:space="preserve"> l</w:t>
      </w:r>
      <w:r w:rsidR="008F70DE" w:rsidRPr="001E4C00">
        <w:rPr>
          <w:lang w:val="fr-FR"/>
        </w:rPr>
        <w:t>’</w:t>
      </w:r>
      <w:r w:rsidRPr="001E4C00">
        <w:rPr>
          <w:lang w:val="fr-FR"/>
        </w:rPr>
        <w:t xml:space="preserve">allocation de fonds pour des subventions et des bourses visant à soutenir et à développer des projets dans les domaines de la culture, des arts et des industries </w:t>
      </w:r>
      <w:r w:rsidR="00A134B1" w:rsidRPr="001E4C00">
        <w:rPr>
          <w:lang w:val="fr-FR"/>
        </w:rPr>
        <w:t>de la création</w:t>
      </w:r>
      <w:r w:rsidRPr="001E4C00">
        <w:rPr>
          <w:lang w:val="fr-FR"/>
        </w:rPr>
        <w:t>, ont été réduites de 85,2%.  Le budget de l</w:t>
      </w:r>
      <w:r w:rsidR="008F70DE" w:rsidRPr="001E4C00">
        <w:rPr>
          <w:lang w:val="fr-FR"/>
        </w:rPr>
        <w:t>’</w:t>
      </w:r>
      <w:r w:rsidRPr="001E4C00">
        <w:rPr>
          <w:lang w:val="fr-FR"/>
        </w:rPr>
        <w:t>État ukrainien pour 2023 prévoit des dépenses d</w:t>
      </w:r>
      <w:r w:rsidR="008F70DE" w:rsidRPr="001E4C00">
        <w:rPr>
          <w:lang w:val="fr-FR"/>
        </w:rPr>
        <w:t>’</w:t>
      </w:r>
      <w:r w:rsidRPr="001E4C00">
        <w:rPr>
          <w:lang w:val="fr-FR"/>
        </w:rPr>
        <w:t>environ 25% du budget réduit de 2022 pour financer ces objectifs</w:t>
      </w:r>
      <w:r w:rsidRPr="001E4C00">
        <w:rPr>
          <w:vertAlign w:val="superscript"/>
          <w:lang w:val="fr-FR" w:eastAsia="en-US"/>
        </w:rPr>
        <w:footnoteReference w:id="13"/>
      </w:r>
      <w:r w:rsidRPr="001E4C00">
        <w:rPr>
          <w:lang w:val="fr-FR"/>
        </w:rPr>
        <w:t>.</w:t>
      </w:r>
    </w:p>
    <w:p w:rsidR="001957C8" w:rsidRPr="001E4C00" w:rsidRDefault="001957C8" w:rsidP="007115E7">
      <w:pPr>
        <w:pStyle w:val="ONUMFS"/>
        <w:rPr>
          <w:lang w:val="fr-FR"/>
        </w:rPr>
      </w:pPr>
      <w:r w:rsidRPr="001E4C00">
        <w:rPr>
          <w:lang w:val="fr-FR"/>
        </w:rPr>
        <w:t>Comme l</w:t>
      </w:r>
      <w:r w:rsidR="008F70DE" w:rsidRPr="001E4C00">
        <w:rPr>
          <w:lang w:val="fr-FR"/>
        </w:rPr>
        <w:t>’</w:t>
      </w:r>
      <w:r w:rsidRPr="001E4C00">
        <w:rPr>
          <w:lang w:val="fr-FR"/>
        </w:rPr>
        <w:t>ont indiqué de nombreuses institutions de recherche interrogées, une combinaison de facteurs causés par la guerre (manque de ressources financières, difficultés de paiement des taxes, dommages causés aux équipements de recherche, etc.) a entraîné une diminution de l</w:t>
      </w:r>
      <w:r w:rsidR="008F70DE" w:rsidRPr="001E4C00">
        <w:rPr>
          <w:lang w:val="fr-FR"/>
        </w:rPr>
        <w:t>’</w:t>
      </w:r>
      <w:r w:rsidRPr="001E4C00">
        <w:rPr>
          <w:lang w:val="fr-FR"/>
        </w:rPr>
        <w:t>activité inventive et donc une réduction du nombre de demandes de brevet déposées par les institutio</w:t>
      </w:r>
      <w:r w:rsidR="00783939" w:rsidRPr="001E4C00">
        <w:rPr>
          <w:lang w:val="fr-FR"/>
        </w:rPr>
        <w:t>ns.  Se</w:t>
      </w:r>
      <w:r w:rsidRPr="001E4C00">
        <w:rPr>
          <w:lang w:val="fr-FR"/>
        </w:rPr>
        <w:t>lon les informations fournies par l</w:t>
      </w:r>
      <w:r w:rsidR="008F70DE" w:rsidRPr="001E4C00">
        <w:rPr>
          <w:lang w:val="fr-FR"/>
        </w:rPr>
        <w:t>’</w:t>
      </w:r>
      <w:r w:rsidRPr="001E4C00">
        <w:rPr>
          <w:lang w:val="fr-FR"/>
        </w:rPr>
        <w:t>Académie nationale des sciences d</w:t>
      </w:r>
      <w:r w:rsidR="008F70DE" w:rsidRPr="001E4C00">
        <w:rPr>
          <w:lang w:val="fr-FR"/>
        </w:rPr>
        <w:t>’</w:t>
      </w:r>
      <w:r w:rsidRPr="001E4C00">
        <w:rPr>
          <w:lang w:val="fr-FR"/>
        </w:rPr>
        <w:t>Ukraine en 2021, les institutions de l</w:t>
      </w:r>
      <w:r w:rsidR="008F70DE" w:rsidRPr="001E4C00">
        <w:rPr>
          <w:lang w:val="fr-FR"/>
        </w:rPr>
        <w:t>’</w:t>
      </w:r>
      <w:r w:rsidRPr="001E4C00">
        <w:rPr>
          <w:lang w:val="fr-FR"/>
        </w:rPr>
        <w:t xml:space="preserve">Académie nationale des sciences ont connu une baisse de 1,6 fois </w:t>
      </w:r>
      <w:r w:rsidR="00A134B1" w:rsidRPr="001E4C00">
        <w:rPr>
          <w:lang w:val="fr-FR"/>
        </w:rPr>
        <w:t xml:space="preserve">du nombre de </w:t>
      </w:r>
      <w:r w:rsidRPr="001E4C00">
        <w:rPr>
          <w:lang w:val="fr-FR"/>
        </w:rPr>
        <w:t xml:space="preserve">dépôts de </w:t>
      </w:r>
      <w:r w:rsidR="00A134B1" w:rsidRPr="001E4C00">
        <w:rPr>
          <w:lang w:val="fr-FR"/>
        </w:rPr>
        <w:t xml:space="preserve">demandes de </w:t>
      </w:r>
      <w:r w:rsidRPr="001E4C00">
        <w:rPr>
          <w:lang w:val="fr-FR"/>
        </w:rPr>
        <w:t>brevet par rapport à 2017</w:t>
      </w:r>
      <w:r w:rsidR="0091158D">
        <w:rPr>
          <w:lang w:val="fr-FR"/>
        </w:rPr>
        <w:noBreakHyphen/>
      </w:r>
      <w:r w:rsidRPr="001E4C00">
        <w:rPr>
          <w:lang w:val="fr-FR"/>
        </w:rPr>
        <w:t xml:space="preserve">2018, et une nouvelle baisse de 2,6 fois </w:t>
      </w:r>
      <w:r w:rsidR="00A134B1" w:rsidRPr="001E4C00">
        <w:rPr>
          <w:lang w:val="fr-FR"/>
        </w:rPr>
        <w:t xml:space="preserve">du nombre de </w:t>
      </w:r>
      <w:r w:rsidRPr="001E4C00">
        <w:rPr>
          <w:lang w:val="fr-FR"/>
        </w:rPr>
        <w:t>dépôts en 2022.</w:t>
      </w:r>
    </w:p>
    <w:p w:rsidR="001957C8" w:rsidRPr="001E4C00" w:rsidRDefault="001957C8" w:rsidP="003C675C">
      <w:pPr>
        <w:pStyle w:val="Heading2"/>
        <w:rPr>
          <w:lang w:val="fr-FR"/>
        </w:rPr>
      </w:pPr>
      <w:r w:rsidRPr="001E4C00">
        <w:rPr>
          <w:lang w:val="fr-FR"/>
        </w:rPr>
        <w:t>2.4.</w:t>
      </w:r>
      <w:r w:rsidRPr="001E4C00">
        <w:rPr>
          <w:lang w:val="fr-FR"/>
        </w:rPr>
        <w:tab/>
        <w:t>Secteur et écosystème de l</w:t>
      </w:r>
      <w:r w:rsidR="008F70DE" w:rsidRPr="001E4C00">
        <w:rPr>
          <w:lang w:val="fr-FR"/>
        </w:rPr>
        <w:t>’</w:t>
      </w:r>
      <w:r w:rsidRPr="001E4C00">
        <w:rPr>
          <w:lang w:val="fr-FR"/>
        </w:rPr>
        <w:t>innovation et de la création</w:t>
      </w:r>
    </w:p>
    <w:p w:rsidR="001957C8" w:rsidRPr="001E4C00" w:rsidRDefault="001957C8" w:rsidP="007115E7">
      <w:pPr>
        <w:pStyle w:val="ONUMFS"/>
        <w:rPr>
          <w:lang w:val="fr-FR"/>
        </w:rPr>
      </w:pPr>
      <w:r w:rsidRPr="001E4C00">
        <w:rPr>
          <w:lang w:val="fr-FR"/>
        </w:rPr>
        <w:t>Les petites et moyennes entreprises (PME) sont l</w:t>
      </w:r>
      <w:r w:rsidR="008F70DE" w:rsidRPr="001E4C00">
        <w:rPr>
          <w:lang w:val="fr-FR"/>
        </w:rPr>
        <w:t>’</w:t>
      </w:r>
      <w:r w:rsidRPr="001E4C00">
        <w:rPr>
          <w:lang w:val="fr-FR"/>
        </w:rPr>
        <w:t>épine dorsale d</w:t>
      </w:r>
      <w:r w:rsidR="008F70DE" w:rsidRPr="001E4C00">
        <w:rPr>
          <w:lang w:val="fr-FR"/>
        </w:rPr>
        <w:t>’</w:t>
      </w:r>
      <w:r w:rsidRPr="001E4C00">
        <w:rPr>
          <w:lang w:val="fr-FR"/>
        </w:rPr>
        <w:t>une économie innovante et créati</w:t>
      </w:r>
      <w:r w:rsidR="00783939" w:rsidRPr="001E4C00">
        <w:rPr>
          <w:lang w:val="fr-FR"/>
        </w:rPr>
        <w:t>ve.  Co</w:t>
      </w:r>
      <w:r w:rsidRPr="001E4C00">
        <w:rPr>
          <w:lang w:val="fr-FR"/>
        </w:rPr>
        <w:t>mme l</w:t>
      </w:r>
      <w:r w:rsidR="008F70DE" w:rsidRPr="001E4C00">
        <w:rPr>
          <w:lang w:val="fr-FR"/>
        </w:rPr>
        <w:t>’</w:t>
      </w:r>
      <w:r w:rsidRPr="001E4C00">
        <w:rPr>
          <w:lang w:val="fr-FR"/>
        </w:rPr>
        <w:t>indique l</w:t>
      </w:r>
      <w:r w:rsidR="008F70DE" w:rsidRPr="001E4C00">
        <w:rPr>
          <w:lang w:val="fr-FR"/>
        </w:rPr>
        <w:t>’</w:t>
      </w:r>
      <w:r w:rsidRPr="001E4C00">
        <w:rPr>
          <w:lang w:val="fr-FR"/>
        </w:rPr>
        <w:t>OCDE en 2020, les PME représentent 99,98% du nombre total des entreprises (</w:t>
      </w:r>
      <w:r w:rsidR="00FE28AD" w:rsidRPr="001E4C00">
        <w:rPr>
          <w:lang w:val="fr-FR"/>
        </w:rPr>
        <w:t>personnes morales</w:t>
      </w:r>
      <w:r w:rsidRPr="001E4C00">
        <w:rPr>
          <w:lang w:val="fr-FR"/>
        </w:rPr>
        <w:t xml:space="preserve"> et </w:t>
      </w:r>
      <w:r w:rsidR="00FE28AD" w:rsidRPr="001E4C00">
        <w:rPr>
          <w:lang w:val="fr-FR"/>
        </w:rPr>
        <w:t xml:space="preserve">entreprises </w:t>
      </w:r>
      <w:r w:rsidRPr="001E4C00">
        <w:rPr>
          <w:lang w:val="fr-FR"/>
        </w:rPr>
        <w:t>individuel</w:t>
      </w:r>
      <w:r w:rsidR="00FE28AD" w:rsidRPr="001E4C00">
        <w:rPr>
          <w:lang w:val="fr-FR"/>
        </w:rPr>
        <w:t>le</w:t>
      </w:r>
      <w:r w:rsidRPr="001E4C00">
        <w:rPr>
          <w:lang w:val="fr-FR"/>
        </w:rPr>
        <w:t>s) dans l</w:t>
      </w:r>
      <w:r w:rsidR="008F70DE" w:rsidRPr="001E4C00">
        <w:rPr>
          <w:lang w:val="fr-FR"/>
        </w:rPr>
        <w:t>’</w:t>
      </w:r>
      <w:r w:rsidRPr="001E4C00">
        <w:rPr>
          <w:lang w:val="fr-FR"/>
        </w:rPr>
        <w:t>économie ukrainienne</w:t>
      </w:r>
      <w:r w:rsidRPr="001E4C00">
        <w:rPr>
          <w:vertAlign w:val="superscript"/>
          <w:lang w:val="fr-FR" w:eastAsia="en-US"/>
        </w:rPr>
        <w:footnoteReference w:id="14"/>
      </w:r>
      <w:r w:rsidRPr="001E4C00">
        <w:rPr>
          <w:lang w:val="fr-FR"/>
        </w:rPr>
        <w:t>.</w:t>
      </w:r>
    </w:p>
    <w:p w:rsidR="001957C8" w:rsidRPr="001E4C00" w:rsidRDefault="001957C8" w:rsidP="007115E7">
      <w:pPr>
        <w:pStyle w:val="ONUMFS"/>
        <w:rPr>
          <w:lang w:val="fr-FR"/>
        </w:rPr>
      </w:pPr>
      <w:r w:rsidRPr="001E4C00">
        <w:rPr>
          <w:lang w:val="fr-FR"/>
        </w:rPr>
        <w:t>Selon une évaluation du PNUD</w:t>
      </w:r>
      <w:r w:rsidRPr="001E4C00">
        <w:rPr>
          <w:vertAlign w:val="superscript"/>
          <w:lang w:val="fr-FR" w:eastAsia="en-US"/>
        </w:rPr>
        <w:footnoteReference w:id="15"/>
      </w:r>
      <w:r w:rsidRPr="001E4C00">
        <w:rPr>
          <w:lang w:val="fr-FR"/>
        </w:rPr>
        <w:t xml:space="preserve">, la guerre a </w:t>
      </w:r>
      <w:r w:rsidR="00FE28AD" w:rsidRPr="001E4C00">
        <w:rPr>
          <w:lang w:val="fr-FR"/>
        </w:rPr>
        <w:t xml:space="preserve">accentué </w:t>
      </w:r>
      <w:r w:rsidRPr="001E4C00">
        <w:rPr>
          <w:lang w:val="fr-FR"/>
        </w:rPr>
        <w:t xml:space="preserve">les </w:t>
      </w:r>
      <w:r w:rsidR="00FE28AD" w:rsidRPr="001E4C00">
        <w:rPr>
          <w:lang w:val="fr-FR"/>
        </w:rPr>
        <w:t>problèmes</w:t>
      </w:r>
      <w:r w:rsidRPr="001E4C00">
        <w:rPr>
          <w:lang w:val="fr-FR"/>
        </w:rPr>
        <w:t xml:space="preserve"> auxquels sont </w:t>
      </w:r>
      <w:r w:rsidR="00FE28AD" w:rsidRPr="001E4C00">
        <w:rPr>
          <w:lang w:val="fr-FR"/>
        </w:rPr>
        <w:t xml:space="preserve">actuellement </w:t>
      </w:r>
      <w:r w:rsidRPr="001E4C00">
        <w:rPr>
          <w:lang w:val="fr-FR"/>
        </w:rPr>
        <w:t>confrontées les micro, petites et moyennes entreprises (MPME), tout en en créant de nouvea</w:t>
      </w:r>
      <w:r w:rsidR="00783939" w:rsidRPr="001E4C00">
        <w:rPr>
          <w:lang w:val="fr-FR"/>
        </w:rPr>
        <w:t>ux.  En</w:t>
      </w:r>
      <w:r w:rsidRPr="001E4C00">
        <w:rPr>
          <w:lang w:val="fr-FR"/>
        </w:rPr>
        <w:t xml:space="preserve"> particulier, l</w:t>
      </w:r>
      <w:r w:rsidR="008F70DE" w:rsidRPr="001E4C00">
        <w:rPr>
          <w:lang w:val="fr-FR"/>
        </w:rPr>
        <w:t>’</w:t>
      </w:r>
      <w:r w:rsidRPr="001E4C00">
        <w:rPr>
          <w:lang w:val="fr-FR"/>
        </w:rPr>
        <w:t>exode du capital humain, exacerbé par les migrations internes et externes forcées, a créé une pénurie de main</w:t>
      </w:r>
      <w:r w:rsidR="0091158D">
        <w:rPr>
          <w:lang w:val="fr-FR"/>
        </w:rPr>
        <w:noBreakHyphen/>
      </w:r>
      <w:r w:rsidRPr="001E4C00">
        <w:rPr>
          <w:lang w:val="fr-FR"/>
        </w:rPr>
        <w:t>d</w:t>
      </w:r>
      <w:r w:rsidR="008F70DE" w:rsidRPr="001E4C00">
        <w:rPr>
          <w:lang w:val="fr-FR"/>
        </w:rPr>
        <w:t>’</w:t>
      </w:r>
      <w:r w:rsidRPr="001E4C00">
        <w:rPr>
          <w:lang w:val="fr-FR"/>
        </w:rPr>
        <w:t>œuvre dans de nombreuses régions;  la perturbation des chaînes d</w:t>
      </w:r>
      <w:r w:rsidR="008F70DE" w:rsidRPr="001E4C00">
        <w:rPr>
          <w:lang w:val="fr-FR"/>
        </w:rPr>
        <w:t>’</w:t>
      </w:r>
      <w:r w:rsidRPr="001E4C00">
        <w:rPr>
          <w:lang w:val="fr-FR"/>
        </w:rPr>
        <w:t>approvisionnement et la réduction de la demande intérieure de biens et de services ont forcé les MPME à chercher de nouveaux partenaires et clients;  la réduction des prêts bancaires a considérablement réduit l</w:t>
      </w:r>
      <w:r w:rsidR="008F70DE" w:rsidRPr="001E4C00">
        <w:rPr>
          <w:lang w:val="fr-FR"/>
        </w:rPr>
        <w:t>’</w:t>
      </w:r>
      <w:r w:rsidRPr="001E4C00">
        <w:rPr>
          <w:lang w:val="fr-FR"/>
        </w:rPr>
        <w:t>accès des MPME aux ressources financières pour les fonds de roulement et les investissements;  et les risques et les conséquences des hostilités, tels que la perte ou la détérioration des actifs, les menaces pour la sécurité du personnel et de l</w:t>
      </w:r>
      <w:r w:rsidR="008F70DE" w:rsidRPr="001E4C00">
        <w:rPr>
          <w:lang w:val="fr-FR"/>
        </w:rPr>
        <w:t>’</w:t>
      </w:r>
      <w:r w:rsidRPr="001E4C00">
        <w:rPr>
          <w:lang w:val="fr-FR"/>
        </w:rPr>
        <w:t xml:space="preserve">information, et la destruction des infrastructures, ont tous </w:t>
      </w:r>
      <w:r w:rsidR="00FE28AD" w:rsidRPr="001E4C00">
        <w:rPr>
          <w:lang w:val="fr-FR"/>
        </w:rPr>
        <w:t>frappé durement</w:t>
      </w:r>
      <w:r w:rsidRPr="001E4C00">
        <w:rPr>
          <w:lang w:val="fr-FR"/>
        </w:rPr>
        <w:t xml:space="preserve"> les MPME.</w:t>
      </w:r>
    </w:p>
    <w:p w:rsidR="001957C8" w:rsidRPr="001E4C00" w:rsidRDefault="001957C8" w:rsidP="007115E7">
      <w:pPr>
        <w:pStyle w:val="ONUMFS"/>
        <w:rPr>
          <w:lang w:val="fr-FR"/>
        </w:rPr>
      </w:pPr>
      <w:r w:rsidRPr="001E4C00">
        <w:rPr>
          <w:lang w:val="fr-FR"/>
        </w:rPr>
        <w:t>Malgré cela, une étude commandée par la Banque européenne pour la reconstruction et le développement</w:t>
      </w:r>
      <w:r w:rsidRPr="001E4C00">
        <w:rPr>
          <w:vertAlign w:val="superscript"/>
          <w:lang w:val="fr-FR" w:eastAsia="en-US"/>
        </w:rPr>
        <w:footnoteReference w:id="16"/>
      </w:r>
      <w:r w:rsidRPr="001E4C00">
        <w:rPr>
          <w:lang w:val="fr-FR"/>
        </w:rPr>
        <w:t xml:space="preserve"> indique que la plupart des PME avaient stabilisé leur activité près d</w:t>
      </w:r>
      <w:r w:rsidR="008F70DE" w:rsidRPr="001E4C00">
        <w:rPr>
          <w:lang w:val="fr-FR"/>
        </w:rPr>
        <w:t>’</w:t>
      </w:r>
      <w:r w:rsidRPr="001E4C00">
        <w:rPr>
          <w:lang w:val="fr-FR"/>
        </w:rPr>
        <w:t>un an après la guerre, faisant preuve de résilience malgré les répercussions dévastatrices de la guerre sur l</w:t>
      </w:r>
      <w:r w:rsidR="008F70DE" w:rsidRPr="001E4C00">
        <w:rPr>
          <w:lang w:val="fr-FR"/>
        </w:rPr>
        <w:t>’</w:t>
      </w:r>
      <w:r w:rsidRPr="001E4C00">
        <w:rPr>
          <w:lang w:val="fr-FR"/>
        </w:rPr>
        <w:t>économie.</w:t>
      </w:r>
    </w:p>
    <w:p w:rsidR="001957C8" w:rsidRPr="001E4C00" w:rsidRDefault="001957C8" w:rsidP="007115E7">
      <w:pPr>
        <w:pStyle w:val="ONUMFS"/>
        <w:rPr>
          <w:lang w:val="fr-FR"/>
        </w:rPr>
      </w:pPr>
      <w:r w:rsidRPr="001E4C00">
        <w:rPr>
          <w:lang w:val="fr-FR"/>
        </w:rPr>
        <w:t>Le secteur de l</w:t>
      </w:r>
      <w:r w:rsidR="008F70DE" w:rsidRPr="001E4C00">
        <w:rPr>
          <w:lang w:val="fr-FR"/>
        </w:rPr>
        <w:t>’</w:t>
      </w:r>
      <w:r w:rsidRPr="001E4C00">
        <w:rPr>
          <w:lang w:val="fr-FR"/>
        </w:rPr>
        <w:t>innovation et l</w:t>
      </w:r>
      <w:r w:rsidR="008F70DE" w:rsidRPr="001E4C00">
        <w:rPr>
          <w:lang w:val="fr-FR"/>
        </w:rPr>
        <w:t>’</w:t>
      </w:r>
      <w:r w:rsidRPr="001E4C00">
        <w:rPr>
          <w:lang w:val="fr-FR"/>
        </w:rPr>
        <w:t>écosystème ukrainiens se sont adaptés à des difficultés extraordinaires, en s</w:t>
      </w:r>
      <w:r w:rsidR="008F70DE" w:rsidRPr="001E4C00">
        <w:rPr>
          <w:lang w:val="fr-FR"/>
        </w:rPr>
        <w:t>’</w:t>
      </w:r>
      <w:r w:rsidRPr="001E4C00">
        <w:rPr>
          <w:lang w:val="fr-FR"/>
        </w:rPr>
        <w:t>orientant vers des industries qui répondent aux besoins urgents d</w:t>
      </w:r>
      <w:r w:rsidR="008F70DE" w:rsidRPr="001E4C00">
        <w:rPr>
          <w:lang w:val="fr-FR"/>
        </w:rPr>
        <w:t>’</w:t>
      </w:r>
      <w:r w:rsidRPr="001E4C00">
        <w:rPr>
          <w:lang w:val="fr-FR"/>
        </w:rPr>
        <w:t xml:space="preserve">un pays en guerre, comme la </w:t>
      </w:r>
      <w:proofErr w:type="spellStart"/>
      <w:r w:rsidRPr="001E4C00">
        <w:rPr>
          <w:lang w:val="fr-FR"/>
        </w:rPr>
        <w:t>cybersécurité</w:t>
      </w:r>
      <w:proofErr w:type="spellEnd"/>
      <w:r w:rsidRPr="001E4C00">
        <w:rPr>
          <w:lang w:val="fr-FR"/>
        </w:rPr>
        <w:t>, les technologies de défense et les infrastructures de communicati</w:t>
      </w:r>
      <w:r w:rsidR="00783939" w:rsidRPr="001E4C00">
        <w:rPr>
          <w:lang w:val="fr-FR"/>
        </w:rPr>
        <w:t>on.  En</w:t>
      </w:r>
      <w:r w:rsidRPr="001E4C00">
        <w:rPr>
          <w:lang w:val="fr-FR"/>
        </w:rPr>
        <w:t xml:space="preserve"> mars 2023, le gouvernement a mis à jour les priorités à moyen terme pour les activités nationales d</w:t>
      </w:r>
      <w:r w:rsidR="008F70DE" w:rsidRPr="001E4C00">
        <w:rPr>
          <w:lang w:val="fr-FR"/>
        </w:rPr>
        <w:t>’</w:t>
      </w:r>
      <w:r w:rsidRPr="001E4C00">
        <w:rPr>
          <w:lang w:val="fr-FR"/>
        </w:rPr>
        <w:t>innovation englobant divers secteurs stratégiques, tels que l</w:t>
      </w:r>
      <w:r w:rsidR="008F70DE" w:rsidRPr="001E4C00">
        <w:rPr>
          <w:lang w:val="fr-FR"/>
        </w:rPr>
        <w:t>’</w:t>
      </w:r>
      <w:r w:rsidRPr="001E4C00">
        <w:rPr>
          <w:lang w:val="fr-FR"/>
        </w:rPr>
        <w:t>énergie, l</w:t>
      </w:r>
      <w:r w:rsidR="008F70DE" w:rsidRPr="001E4C00">
        <w:rPr>
          <w:lang w:val="fr-FR"/>
        </w:rPr>
        <w:t>’</w:t>
      </w:r>
      <w:r w:rsidRPr="001E4C00">
        <w:rPr>
          <w:lang w:val="fr-FR"/>
        </w:rPr>
        <w:t>industrie de la défense, l</w:t>
      </w:r>
      <w:r w:rsidR="008F70DE" w:rsidRPr="001E4C00">
        <w:rPr>
          <w:lang w:val="fr-FR"/>
        </w:rPr>
        <w:t>’</w:t>
      </w:r>
      <w:r w:rsidRPr="001E4C00">
        <w:rPr>
          <w:lang w:val="fr-FR"/>
        </w:rPr>
        <w:t>agro</w:t>
      </w:r>
      <w:r w:rsidR="0091158D">
        <w:rPr>
          <w:lang w:val="fr-FR"/>
        </w:rPr>
        <w:noBreakHyphen/>
      </w:r>
      <w:r w:rsidRPr="001E4C00">
        <w:rPr>
          <w:lang w:val="fr-FR"/>
        </w:rPr>
        <w:t>industrie, la médecine, la protection de l</w:t>
      </w:r>
      <w:r w:rsidR="008F70DE" w:rsidRPr="001E4C00">
        <w:rPr>
          <w:lang w:val="fr-FR"/>
        </w:rPr>
        <w:t>’</w:t>
      </w:r>
      <w:r w:rsidRPr="001E4C00">
        <w:rPr>
          <w:lang w:val="fr-FR"/>
        </w:rPr>
        <w:t>environnement, le développement des technologies de l</w:t>
      </w:r>
      <w:r w:rsidR="008F70DE" w:rsidRPr="001E4C00">
        <w:rPr>
          <w:lang w:val="fr-FR"/>
        </w:rPr>
        <w:t>’</w:t>
      </w:r>
      <w:r w:rsidRPr="001E4C00">
        <w:rPr>
          <w:lang w:val="fr-FR"/>
        </w:rPr>
        <w:t>information et de la communication (TIC) et la robotique</w:t>
      </w:r>
      <w:r w:rsidRPr="001E4C00">
        <w:rPr>
          <w:vertAlign w:val="superscript"/>
          <w:lang w:val="fr-FR" w:eastAsia="en-US"/>
        </w:rPr>
        <w:footnoteReference w:id="17"/>
      </w:r>
      <w:r w:rsidRPr="001E4C00">
        <w:rPr>
          <w:lang w:val="fr-FR"/>
        </w:rPr>
        <w:t>.  Comme l</w:t>
      </w:r>
      <w:r w:rsidR="008F70DE" w:rsidRPr="001E4C00">
        <w:rPr>
          <w:lang w:val="fr-FR"/>
        </w:rPr>
        <w:t>’</w:t>
      </w:r>
      <w:r w:rsidRPr="001E4C00">
        <w:rPr>
          <w:lang w:val="fr-FR"/>
        </w:rPr>
        <w:t xml:space="preserve">a indiqué le Fonds ukrainien pour les jeunes entreprises après le 24 février 2022, le </w:t>
      </w:r>
      <w:r w:rsidR="00FE28AD" w:rsidRPr="001E4C00">
        <w:rPr>
          <w:lang w:val="fr-FR"/>
        </w:rPr>
        <w:t xml:space="preserve">fonds </w:t>
      </w:r>
      <w:r w:rsidRPr="001E4C00">
        <w:rPr>
          <w:lang w:val="fr-FR"/>
        </w:rPr>
        <w:t>a concentré ses subventions sur des projets de technologie militaire et de technologie profonde</w:t>
      </w:r>
      <w:r w:rsidRPr="001E4C00">
        <w:rPr>
          <w:vertAlign w:val="superscript"/>
          <w:lang w:val="fr-FR" w:eastAsia="en-US"/>
        </w:rPr>
        <w:footnoteReference w:id="18"/>
      </w:r>
      <w:r w:rsidRPr="001E4C00">
        <w:rPr>
          <w:lang w:val="fr-FR"/>
        </w:rPr>
        <w:t>.</w:t>
      </w:r>
    </w:p>
    <w:p w:rsidR="001957C8" w:rsidRPr="001E4C00" w:rsidRDefault="001957C8" w:rsidP="007115E7">
      <w:pPr>
        <w:pStyle w:val="ONUMFS"/>
        <w:rPr>
          <w:lang w:val="fr-FR"/>
        </w:rPr>
      </w:pPr>
      <w:r w:rsidRPr="001E4C00">
        <w:rPr>
          <w:lang w:val="fr-FR"/>
        </w:rPr>
        <w:t>La croissance dynamique des infrastructures d</w:t>
      </w:r>
      <w:r w:rsidR="008F70DE" w:rsidRPr="001E4C00">
        <w:rPr>
          <w:lang w:val="fr-FR"/>
        </w:rPr>
        <w:t>’</w:t>
      </w:r>
      <w:r w:rsidRPr="001E4C00">
        <w:rPr>
          <w:lang w:val="fr-FR"/>
        </w:rPr>
        <w:t xml:space="preserve">innovation en Ukraine avant la guerre, </w:t>
      </w:r>
      <w:r w:rsidR="008F70DE" w:rsidRPr="001E4C00">
        <w:rPr>
          <w:lang w:val="fr-FR"/>
        </w:rPr>
        <w:t>y compris</w:t>
      </w:r>
      <w:r w:rsidRPr="001E4C00">
        <w:rPr>
          <w:lang w:val="fr-FR"/>
        </w:rPr>
        <w:t xml:space="preserve"> les espaces de travail en commun, les pôles, les incubateurs et les accélérateurs, a joué un rôle crucial dans la résilience de l</w:t>
      </w:r>
      <w:r w:rsidR="008F70DE" w:rsidRPr="001E4C00">
        <w:rPr>
          <w:lang w:val="fr-FR"/>
        </w:rPr>
        <w:t>’</w:t>
      </w:r>
      <w:r w:rsidRPr="001E4C00">
        <w:rPr>
          <w:lang w:val="fr-FR"/>
        </w:rPr>
        <w:t>écosystème d</w:t>
      </w:r>
      <w:r w:rsidR="008F70DE" w:rsidRPr="001E4C00">
        <w:rPr>
          <w:lang w:val="fr-FR"/>
        </w:rPr>
        <w:t>’</w:t>
      </w:r>
      <w:r w:rsidRPr="001E4C00">
        <w:rPr>
          <w:lang w:val="fr-FR"/>
        </w:rPr>
        <w:t>innovati</w:t>
      </w:r>
      <w:r w:rsidR="00783939" w:rsidRPr="001E4C00">
        <w:rPr>
          <w:lang w:val="fr-FR"/>
        </w:rPr>
        <w:t xml:space="preserve">on.  </w:t>
      </w:r>
      <w:proofErr w:type="spellStart"/>
      <w:r w:rsidR="00783939" w:rsidRPr="001E4C00">
        <w:rPr>
          <w:lang w:val="fr-FR"/>
        </w:rPr>
        <w:t>Gr</w:t>
      </w:r>
      <w:r w:rsidRPr="001E4C00">
        <w:rPr>
          <w:lang w:val="fr-FR"/>
        </w:rPr>
        <w:t>ammarly</w:t>
      </w:r>
      <w:proofErr w:type="spellEnd"/>
      <w:r w:rsidRPr="001E4C00">
        <w:rPr>
          <w:lang w:val="fr-FR"/>
        </w:rPr>
        <w:t xml:space="preserve">, </w:t>
      </w:r>
      <w:proofErr w:type="spellStart"/>
      <w:r w:rsidRPr="001E4C00">
        <w:rPr>
          <w:lang w:val="fr-FR"/>
        </w:rPr>
        <w:t>Gitlab</w:t>
      </w:r>
      <w:proofErr w:type="spellEnd"/>
      <w:r w:rsidRPr="001E4C00">
        <w:rPr>
          <w:lang w:val="fr-FR"/>
        </w:rPr>
        <w:t xml:space="preserve"> et </w:t>
      </w:r>
      <w:proofErr w:type="spellStart"/>
      <w:r w:rsidRPr="001E4C00">
        <w:rPr>
          <w:lang w:val="fr-FR"/>
        </w:rPr>
        <w:t>Ahrefs</w:t>
      </w:r>
      <w:proofErr w:type="spellEnd"/>
      <w:r w:rsidRPr="001E4C00">
        <w:rPr>
          <w:lang w:val="fr-FR"/>
        </w:rPr>
        <w:t xml:space="preserve"> sont quelques exemples de jeunes entreprises impressionnantes originaires d</w:t>
      </w:r>
      <w:r w:rsidR="008F70DE" w:rsidRPr="001E4C00">
        <w:rPr>
          <w:lang w:val="fr-FR"/>
        </w:rPr>
        <w:t>’</w:t>
      </w:r>
      <w:r w:rsidRPr="001E4C00">
        <w:rPr>
          <w:lang w:val="fr-FR"/>
        </w:rPr>
        <w:t>Ukraine, qui mettent en évidence le talent et le potentiel mondial des jeunes entreprises ukrainienn</w:t>
      </w:r>
      <w:r w:rsidR="00783939" w:rsidRPr="001E4C00">
        <w:rPr>
          <w:lang w:val="fr-FR"/>
        </w:rPr>
        <w:t>es.  Av</w:t>
      </w:r>
      <w:r w:rsidRPr="001E4C00">
        <w:rPr>
          <w:lang w:val="fr-FR"/>
        </w:rPr>
        <w:t>ant la guerre, les jeunes entreprises ukrainiennes étaient en plein essor, enregistrant 832 millions de dollars É.</w:t>
      </w:r>
      <w:r w:rsidR="0091158D">
        <w:rPr>
          <w:lang w:val="fr-FR"/>
        </w:rPr>
        <w:noBreakHyphen/>
      </w:r>
      <w:r w:rsidRPr="001E4C00">
        <w:rPr>
          <w:lang w:val="fr-FR"/>
        </w:rPr>
        <w:t>U. d</w:t>
      </w:r>
      <w:r w:rsidR="008F70DE" w:rsidRPr="001E4C00">
        <w:rPr>
          <w:lang w:val="fr-FR"/>
        </w:rPr>
        <w:t>’</w:t>
      </w:r>
      <w:r w:rsidRPr="001E4C00">
        <w:rPr>
          <w:lang w:val="fr-FR"/>
        </w:rPr>
        <w:t>investissements en capital</w:t>
      </w:r>
      <w:r w:rsidR="0091158D">
        <w:rPr>
          <w:lang w:val="fr-FR"/>
        </w:rPr>
        <w:noBreakHyphen/>
      </w:r>
      <w:r w:rsidRPr="001E4C00">
        <w:rPr>
          <w:lang w:val="fr-FR"/>
        </w:rPr>
        <w:t>risque et en capital</w:t>
      </w:r>
      <w:r w:rsidR="0091158D">
        <w:rPr>
          <w:lang w:val="fr-FR"/>
        </w:rPr>
        <w:noBreakHyphen/>
      </w:r>
      <w:r w:rsidRPr="001E4C00">
        <w:rPr>
          <w:lang w:val="fr-FR"/>
        </w:rPr>
        <w:t>investissement en 2021, soit une croissance annuelle de 45%.  Les jeunes entreprises ukrainiennes valent environ 21 milliards de dollars É.</w:t>
      </w:r>
      <w:r w:rsidR="0091158D">
        <w:rPr>
          <w:lang w:val="fr-FR"/>
        </w:rPr>
        <w:noBreakHyphen/>
      </w:r>
      <w:r w:rsidRPr="001E4C00">
        <w:rPr>
          <w:lang w:val="fr-FR"/>
        </w:rPr>
        <w:t>U. et l</w:t>
      </w:r>
      <w:r w:rsidR="008F70DE" w:rsidRPr="001E4C00">
        <w:rPr>
          <w:lang w:val="fr-FR"/>
        </w:rPr>
        <w:t>’</w:t>
      </w:r>
      <w:r w:rsidRPr="001E4C00">
        <w:rPr>
          <w:lang w:val="fr-FR"/>
        </w:rPr>
        <w:t>écosystème technologique est l</w:t>
      </w:r>
      <w:r w:rsidR="008F70DE" w:rsidRPr="001E4C00">
        <w:rPr>
          <w:lang w:val="fr-FR"/>
        </w:rPr>
        <w:t>’</w:t>
      </w:r>
      <w:r w:rsidRPr="001E4C00">
        <w:rPr>
          <w:lang w:val="fr-FR"/>
        </w:rPr>
        <w:t>un des secteurs les plus dynamiques et les plus prometteurs du pays</w:t>
      </w:r>
      <w:r w:rsidRPr="001E4C00">
        <w:rPr>
          <w:vertAlign w:val="superscript"/>
          <w:lang w:val="fr-FR" w:eastAsia="en-US"/>
        </w:rPr>
        <w:footnoteReference w:id="19"/>
      </w:r>
      <w:r w:rsidRPr="001E4C00">
        <w:rPr>
          <w:lang w:val="fr-FR"/>
        </w:rPr>
        <w:t>.  Bien que l</w:t>
      </w:r>
      <w:r w:rsidR="008F70DE" w:rsidRPr="001E4C00">
        <w:rPr>
          <w:lang w:val="fr-FR"/>
        </w:rPr>
        <w:t>’</w:t>
      </w:r>
      <w:r w:rsidRPr="001E4C00">
        <w:rPr>
          <w:lang w:val="fr-FR"/>
        </w:rPr>
        <w:t>Ukraine ait perdu 16 places dans l</w:t>
      </w:r>
      <w:r w:rsidR="008F70DE" w:rsidRPr="001E4C00">
        <w:rPr>
          <w:lang w:val="fr-FR"/>
        </w:rPr>
        <w:t>’</w:t>
      </w:r>
      <w:r w:rsidRPr="001E4C00">
        <w:rPr>
          <w:lang w:val="fr-FR"/>
        </w:rPr>
        <w:t>indice 2022 de l</w:t>
      </w:r>
      <w:r w:rsidR="008F70DE" w:rsidRPr="001E4C00">
        <w:rPr>
          <w:lang w:val="fr-FR"/>
        </w:rPr>
        <w:t>’</w:t>
      </w:r>
      <w:r w:rsidRPr="001E4C00">
        <w:rPr>
          <w:lang w:val="fr-FR"/>
        </w:rPr>
        <w:t xml:space="preserve">écosystème mondial des jeunes entreprises établi par Startup </w:t>
      </w:r>
      <w:proofErr w:type="spellStart"/>
      <w:r w:rsidRPr="001E4C00">
        <w:rPr>
          <w:lang w:val="fr-FR"/>
        </w:rPr>
        <w:t>Blink</w:t>
      </w:r>
      <w:proofErr w:type="spellEnd"/>
      <w:r w:rsidRPr="001E4C00">
        <w:rPr>
          <w:vertAlign w:val="superscript"/>
          <w:lang w:val="fr-FR" w:eastAsia="en-US"/>
        </w:rPr>
        <w:footnoteReference w:id="20"/>
      </w:r>
      <w:r w:rsidRPr="001E4C00">
        <w:rPr>
          <w:lang w:val="fr-FR"/>
        </w:rPr>
        <w:t>, elle a conservé sa position dans le top 50 mondi</w:t>
      </w:r>
      <w:r w:rsidR="00783939" w:rsidRPr="001E4C00">
        <w:rPr>
          <w:lang w:val="fr-FR"/>
        </w:rPr>
        <w:t>al.  En</w:t>
      </w:r>
      <w:r w:rsidRPr="001E4C00">
        <w:rPr>
          <w:lang w:val="fr-FR"/>
        </w:rPr>
        <w:t> 2022, deux entreprises technologiques ont rejoint les rangs des licornes ukrainiennes</w:t>
      </w:r>
      <w:r w:rsidRPr="001E4C00">
        <w:rPr>
          <w:vertAlign w:val="superscript"/>
          <w:lang w:val="fr-FR" w:eastAsia="en-US"/>
        </w:rPr>
        <w:footnoteReference w:id="21"/>
      </w:r>
      <w:r w:rsidRPr="001E4C00">
        <w:rPr>
          <w:lang w:val="fr-FR"/>
        </w:rPr>
        <w:t xml:space="preserve"> depuis le début de la guerre – </w:t>
      </w:r>
      <w:proofErr w:type="spellStart"/>
      <w:r w:rsidRPr="001E4C00">
        <w:rPr>
          <w:lang w:val="fr-FR"/>
        </w:rPr>
        <w:t>airSlate</w:t>
      </w:r>
      <w:proofErr w:type="spellEnd"/>
      <w:r w:rsidRPr="001E4C00">
        <w:rPr>
          <w:lang w:val="fr-FR"/>
        </w:rPr>
        <w:t xml:space="preserve"> et </w:t>
      </w:r>
      <w:proofErr w:type="spellStart"/>
      <w:r w:rsidRPr="001E4C00">
        <w:rPr>
          <w:lang w:val="fr-FR"/>
        </w:rPr>
        <w:t>Unstoppable</w:t>
      </w:r>
      <w:proofErr w:type="spellEnd"/>
      <w:r w:rsidRPr="001E4C00">
        <w:rPr>
          <w:lang w:val="fr-FR"/>
        </w:rPr>
        <w:t xml:space="preserve"> </w:t>
      </w:r>
      <w:proofErr w:type="spellStart"/>
      <w:r w:rsidRPr="001E4C00">
        <w:rPr>
          <w:lang w:val="fr-FR"/>
        </w:rPr>
        <w:t>Domains</w:t>
      </w:r>
      <w:proofErr w:type="spellEnd"/>
      <w:r w:rsidRPr="001E4C00">
        <w:rPr>
          <w:lang w:val="fr-FR"/>
        </w:rPr>
        <w:t xml:space="preserve"> (cette dernière étant basée aux États</w:t>
      </w:r>
      <w:r w:rsidR="0091158D">
        <w:rPr>
          <w:lang w:val="fr-FR"/>
        </w:rPr>
        <w:noBreakHyphen/>
      </w:r>
      <w:r w:rsidRPr="001E4C00">
        <w:rPr>
          <w:lang w:val="fr-FR"/>
        </w:rPr>
        <w:t>Unis d</w:t>
      </w:r>
      <w:r w:rsidR="008F70DE" w:rsidRPr="001E4C00">
        <w:rPr>
          <w:lang w:val="fr-FR"/>
        </w:rPr>
        <w:t>’</w:t>
      </w:r>
      <w:r w:rsidRPr="001E4C00">
        <w:rPr>
          <w:lang w:val="fr-FR"/>
        </w:rPr>
        <w:t>Amérique avec des fondateurs ukrainiens) – tandis que l</w:t>
      </w:r>
      <w:r w:rsidR="008F70DE" w:rsidRPr="001E4C00">
        <w:rPr>
          <w:lang w:val="fr-FR"/>
        </w:rPr>
        <w:t>’</w:t>
      </w:r>
      <w:r w:rsidRPr="001E4C00">
        <w:rPr>
          <w:lang w:val="fr-FR"/>
        </w:rPr>
        <w:t xml:space="preserve">entreprise ukrainienne </w:t>
      </w:r>
      <w:proofErr w:type="spellStart"/>
      <w:r w:rsidRPr="001E4C00">
        <w:rPr>
          <w:lang w:val="fr-FR"/>
        </w:rPr>
        <w:t>Preply</w:t>
      </w:r>
      <w:proofErr w:type="spellEnd"/>
      <w:r w:rsidRPr="001E4C00">
        <w:rPr>
          <w:lang w:val="fr-FR"/>
        </w:rPr>
        <w:t xml:space="preserve"> a levé 50 millions de dollars É.</w:t>
      </w:r>
      <w:r w:rsidR="0091158D">
        <w:rPr>
          <w:lang w:val="fr-FR"/>
        </w:rPr>
        <w:noBreakHyphen/>
      </w:r>
      <w:r w:rsidRPr="001E4C00">
        <w:rPr>
          <w:lang w:val="fr-FR"/>
        </w:rPr>
        <w:t>U. pour se développer à l</w:t>
      </w:r>
      <w:r w:rsidR="008F70DE" w:rsidRPr="001E4C00">
        <w:rPr>
          <w:lang w:val="fr-FR"/>
        </w:rPr>
        <w:t>’</w:t>
      </w:r>
      <w:r w:rsidRPr="001E4C00">
        <w:rPr>
          <w:lang w:val="fr-FR"/>
        </w:rPr>
        <w:t>échelle mondiale</w:t>
      </w:r>
      <w:r w:rsidRPr="001E4C00">
        <w:rPr>
          <w:vertAlign w:val="superscript"/>
          <w:lang w:val="fr-FR" w:eastAsia="en-US"/>
        </w:rPr>
        <w:footnoteReference w:id="22"/>
      </w:r>
      <w:r w:rsidRPr="001E4C00">
        <w:rPr>
          <w:lang w:val="fr-FR"/>
        </w:rPr>
        <w:t>.  Comme l</w:t>
      </w:r>
      <w:r w:rsidR="008F70DE" w:rsidRPr="001E4C00">
        <w:rPr>
          <w:lang w:val="fr-FR"/>
        </w:rPr>
        <w:t>’</w:t>
      </w:r>
      <w:r w:rsidRPr="001E4C00">
        <w:rPr>
          <w:lang w:val="fr-FR"/>
        </w:rPr>
        <w:t xml:space="preserve">indique le récent rapport </w:t>
      </w:r>
      <w:proofErr w:type="spellStart"/>
      <w:r w:rsidRPr="001E4C00">
        <w:rPr>
          <w:lang w:val="fr-FR"/>
        </w:rPr>
        <w:t>StartupBlink</w:t>
      </w:r>
      <w:proofErr w:type="spellEnd"/>
      <w:r w:rsidRPr="001E4C00">
        <w:rPr>
          <w:lang w:val="fr-FR"/>
        </w:rPr>
        <w:t> 2023, en 2023, l</w:t>
      </w:r>
      <w:r w:rsidR="008F70DE" w:rsidRPr="001E4C00">
        <w:rPr>
          <w:lang w:val="fr-FR"/>
        </w:rPr>
        <w:t>’</w:t>
      </w:r>
      <w:r w:rsidRPr="001E4C00">
        <w:rPr>
          <w:lang w:val="fr-FR"/>
        </w:rPr>
        <w:t>Ukraine a consolidé sa position dans le top 50 mondial en gagnant une place</w:t>
      </w:r>
      <w:r w:rsidRPr="001E4C00">
        <w:rPr>
          <w:vertAlign w:val="superscript"/>
          <w:lang w:val="fr-FR" w:eastAsia="en-US"/>
        </w:rPr>
        <w:footnoteReference w:id="23"/>
      </w:r>
      <w:r w:rsidRPr="001E4C00">
        <w:rPr>
          <w:lang w:val="fr-FR"/>
        </w:rPr>
        <w:t>.</w:t>
      </w:r>
    </w:p>
    <w:p w:rsidR="001957C8" w:rsidRPr="001E4C00" w:rsidRDefault="001957C8" w:rsidP="007115E7">
      <w:pPr>
        <w:pStyle w:val="ONUMFS"/>
        <w:rPr>
          <w:lang w:val="fr-FR"/>
        </w:rPr>
      </w:pPr>
      <w:r w:rsidRPr="001E4C00">
        <w:rPr>
          <w:lang w:val="fr-FR"/>
        </w:rPr>
        <w:t>Avant la guerre, l</w:t>
      </w:r>
      <w:r w:rsidR="008F70DE" w:rsidRPr="001E4C00">
        <w:rPr>
          <w:lang w:val="fr-FR"/>
        </w:rPr>
        <w:t>’</w:t>
      </w:r>
      <w:r w:rsidRPr="001E4C00">
        <w:rPr>
          <w:lang w:val="fr-FR"/>
        </w:rPr>
        <w:t>Ukraine a</w:t>
      </w:r>
      <w:r w:rsidR="00D80028" w:rsidRPr="001E4C00">
        <w:rPr>
          <w:lang w:val="fr-FR"/>
        </w:rPr>
        <w:t>vait</w:t>
      </w:r>
      <w:r w:rsidRPr="001E4C00">
        <w:rPr>
          <w:lang w:val="fr-FR"/>
        </w:rPr>
        <w:t xml:space="preserve"> réalisé des progrès significatifs dans le domaine de la numérisation, qui était l</w:t>
      </w:r>
      <w:r w:rsidR="008F70DE" w:rsidRPr="001E4C00">
        <w:rPr>
          <w:lang w:val="fr-FR"/>
        </w:rPr>
        <w:t>’</w:t>
      </w:r>
      <w:r w:rsidRPr="001E4C00">
        <w:rPr>
          <w:lang w:val="fr-FR"/>
        </w:rPr>
        <w:t>une des principales priorités nationales depuis 2019.  Le secteur des technologies de l</w:t>
      </w:r>
      <w:r w:rsidR="008F70DE" w:rsidRPr="001E4C00">
        <w:rPr>
          <w:lang w:val="fr-FR"/>
        </w:rPr>
        <w:t>’</w:t>
      </w:r>
      <w:r w:rsidRPr="001E4C00">
        <w:rPr>
          <w:lang w:val="fr-FR"/>
        </w:rPr>
        <w:t xml:space="preserve">information a également été </w:t>
      </w:r>
      <w:r w:rsidR="00D80028" w:rsidRPr="001E4C00">
        <w:rPr>
          <w:lang w:val="fr-FR"/>
        </w:rPr>
        <w:t xml:space="preserve">reconnu </w:t>
      </w:r>
      <w:r w:rsidRPr="001E4C00">
        <w:rPr>
          <w:lang w:val="fr-FR"/>
        </w:rPr>
        <w:t>comme un secteur à croissance rapide et l</w:t>
      </w:r>
      <w:r w:rsidR="008F70DE" w:rsidRPr="001E4C00">
        <w:rPr>
          <w:lang w:val="fr-FR"/>
        </w:rPr>
        <w:t>’</w:t>
      </w:r>
      <w:r w:rsidRPr="001E4C00">
        <w:rPr>
          <w:lang w:val="fr-FR"/>
        </w:rPr>
        <w:t>un des principaux moteurs de l</w:t>
      </w:r>
      <w:r w:rsidR="008F70DE" w:rsidRPr="001E4C00">
        <w:rPr>
          <w:lang w:val="fr-FR"/>
        </w:rPr>
        <w:t>’</w:t>
      </w:r>
      <w:r w:rsidRPr="001E4C00">
        <w:rPr>
          <w:lang w:val="fr-FR"/>
        </w:rPr>
        <w:t>économie ukrainienne, son potentiel lui permettant de relever les défis actuels et futurs engendrés par la guerre.</w:t>
      </w:r>
    </w:p>
    <w:p w:rsidR="001957C8" w:rsidRPr="001E4C00" w:rsidRDefault="001957C8" w:rsidP="007115E7">
      <w:pPr>
        <w:pStyle w:val="ONUMFS"/>
        <w:rPr>
          <w:lang w:val="fr-FR"/>
        </w:rPr>
      </w:pPr>
      <w:r w:rsidRPr="001E4C00">
        <w:rPr>
          <w:lang w:val="fr-FR"/>
        </w:rPr>
        <w:t>Ainsi que l</w:t>
      </w:r>
      <w:r w:rsidR="008F70DE" w:rsidRPr="001E4C00">
        <w:rPr>
          <w:lang w:val="fr-FR"/>
        </w:rPr>
        <w:t>’</w:t>
      </w:r>
      <w:r w:rsidRPr="001E4C00">
        <w:rPr>
          <w:lang w:val="fr-FR"/>
        </w:rPr>
        <w:t>a indiqué le Ministère de la transformation numérique, le nombre d</w:t>
      </w:r>
      <w:r w:rsidR="008F70DE" w:rsidRPr="001E4C00">
        <w:rPr>
          <w:lang w:val="fr-FR"/>
        </w:rPr>
        <w:t>’</w:t>
      </w:r>
      <w:r w:rsidRPr="001E4C00">
        <w:rPr>
          <w:lang w:val="fr-FR"/>
        </w:rPr>
        <w:t>entités commerciales entreprenant des activités dans l</w:t>
      </w:r>
      <w:r w:rsidR="008F70DE" w:rsidRPr="001E4C00">
        <w:rPr>
          <w:lang w:val="fr-FR"/>
        </w:rPr>
        <w:t>’</w:t>
      </w:r>
      <w:r w:rsidRPr="001E4C00">
        <w:rPr>
          <w:lang w:val="fr-FR"/>
        </w:rPr>
        <w:t>économie numérique a augmenté au cours de l</w:t>
      </w:r>
      <w:r w:rsidR="008F70DE" w:rsidRPr="001E4C00">
        <w:rPr>
          <w:lang w:val="fr-FR"/>
        </w:rPr>
        <w:t>’</w:t>
      </w:r>
      <w:r w:rsidRPr="001E4C00">
        <w:rPr>
          <w:lang w:val="fr-FR"/>
        </w:rPr>
        <w:t>année écoul</w:t>
      </w:r>
      <w:r w:rsidR="00783939" w:rsidRPr="001E4C00">
        <w:rPr>
          <w:lang w:val="fr-FR"/>
        </w:rPr>
        <w:t>ée.  Au</w:t>
      </w:r>
      <w:r w:rsidRPr="001E4C00">
        <w:rPr>
          <w:lang w:val="fr-FR"/>
        </w:rPr>
        <w:t xml:space="preserve"> quatrième trimestre 2021, 265 570 entités commerciales étaient enregistrées et opéraient en Ukraine dans la catégorie d</w:t>
      </w:r>
      <w:r w:rsidR="008F70DE" w:rsidRPr="001E4C00">
        <w:rPr>
          <w:lang w:val="fr-FR"/>
        </w:rPr>
        <w:t>’</w:t>
      </w:r>
      <w:r w:rsidRPr="001E4C00">
        <w:rPr>
          <w:lang w:val="fr-FR"/>
        </w:rPr>
        <w:t>activités susmentionn</w:t>
      </w:r>
      <w:r w:rsidR="00783939" w:rsidRPr="001E4C00">
        <w:rPr>
          <w:lang w:val="fr-FR"/>
        </w:rPr>
        <w:t>ée.  Au</w:t>
      </w:r>
      <w:r w:rsidRPr="001E4C00">
        <w:rPr>
          <w:lang w:val="fr-FR"/>
        </w:rPr>
        <w:t xml:space="preserve"> quatrième trimestre 2022, 279 671 entités commerciales étaient enregistrées et opéraient en Ukrai</w:t>
      </w:r>
      <w:r w:rsidR="00783939" w:rsidRPr="001E4C00">
        <w:rPr>
          <w:lang w:val="fr-FR"/>
        </w:rPr>
        <w:t>ne.  En</w:t>
      </w:r>
      <w:r w:rsidRPr="001E4C00">
        <w:rPr>
          <w:lang w:val="fr-FR"/>
        </w:rPr>
        <w:t xml:space="preserve"> d</w:t>
      </w:r>
      <w:r w:rsidR="008F70DE" w:rsidRPr="001E4C00">
        <w:rPr>
          <w:lang w:val="fr-FR"/>
        </w:rPr>
        <w:t>’</w:t>
      </w:r>
      <w:r w:rsidRPr="001E4C00">
        <w:rPr>
          <w:lang w:val="fr-FR"/>
        </w:rPr>
        <w:t>autres termes, au cours de l</w:t>
      </w:r>
      <w:r w:rsidR="008F70DE" w:rsidRPr="001E4C00">
        <w:rPr>
          <w:lang w:val="fr-FR"/>
        </w:rPr>
        <w:t>’</w:t>
      </w:r>
      <w:r w:rsidRPr="001E4C00">
        <w:rPr>
          <w:lang w:val="fr-FR"/>
        </w:rPr>
        <w:t xml:space="preserve">année de guerre, 14 101 nouvelles entreprises </w:t>
      </w:r>
      <w:r w:rsidR="00D80028" w:rsidRPr="001E4C00">
        <w:rPr>
          <w:lang w:val="fr-FR"/>
        </w:rPr>
        <w:t>dans le domaine des technologies de l</w:t>
      </w:r>
      <w:r w:rsidR="008F70DE" w:rsidRPr="001E4C00">
        <w:rPr>
          <w:lang w:val="fr-FR"/>
        </w:rPr>
        <w:t>’</w:t>
      </w:r>
      <w:r w:rsidR="00D80028" w:rsidRPr="001E4C00">
        <w:rPr>
          <w:lang w:val="fr-FR"/>
        </w:rPr>
        <w:t>information</w:t>
      </w:r>
      <w:r w:rsidRPr="001E4C00">
        <w:rPr>
          <w:lang w:val="fr-FR"/>
        </w:rPr>
        <w:t xml:space="preserve"> sont venues s</w:t>
      </w:r>
      <w:r w:rsidR="008F70DE" w:rsidRPr="001E4C00">
        <w:rPr>
          <w:lang w:val="fr-FR"/>
        </w:rPr>
        <w:t>’</w:t>
      </w:r>
      <w:r w:rsidRPr="001E4C00">
        <w:rPr>
          <w:lang w:val="fr-FR"/>
        </w:rPr>
        <w:t>ajouter aux entreprises existantes, démontrant ainsi leur résilience économique en dépit de la guerre.</w:t>
      </w:r>
    </w:p>
    <w:p w:rsidR="001957C8" w:rsidRPr="001E4C00" w:rsidRDefault="001957C8" w:rsidP="007115E7">
      <w:pPr>
        <w:pStyle w:val="ONUMFS"/>
        <w:rPr>
          <w:lang w:val="fr-FR"/>
        </w:rPr>
      </w:pPr>
      <w:r w:rsidRPr="001E4C00">
        <w:rPr>
          <w:lang w:val="fr-FR"/>
        </w:rPr>
        <w:t>Cette résilience peut être démontrée par le fait qu</w:t>
      </w:r>
      <w:r w:rsidR="008F70DE" w:rsidRPr="001E4C00">
        <w:rPr>
          <w:lang w:val="fr-FR"/>
        </w:rPr>
        <w:t>’</w:t>
      </w:r>
      <w:r w:rsidRPr="001E4C00">
        <w:rPr>
          <w:lang w:val="fr-FR"/>
        </w:rPr>
        <w:t>alors que le PIB du pays a chuté, les exportations de services informatiques ont atteint un record de 7,34 milliards de dollars É.</w:t>
      </w:r>
      <w:r w:rsidR="0091158D">
        <w:rPr>
          <w:lang w:val="fr-FR"/>
        </w:rPr>
        <w:noBreakHyphen/>
      </w:r>
      <w:r w:rsidRPr="001E4C00">
        <w:rPr>
          <w:lang w:val="fr-FR"/>
        </w:rPr>
        <w:t>U., soit une augmentation de 400 millions de dollars É.</w:t>
      </w:r>
      <w:r w:rsidR="0091158D">
        <w:rPr>
          <w:lang w:val="fr-FR"/>
        </w:rPr>
        <w:noBreakHyphen/>
      </w:r>
      <w:r w:rsidRPr="001E4C00">
        <w:rPr>
          <w:lang w:val="fr-FR"/>
        </w:rPr>
        <w:t>U. par rapport à 2021, selon les statistiques de la banque centrale citées par l</w:t>
      </w:r>
      <w:r w:rsidR="008F70DE" w:rsidRPr="001E4C00">
        <w:rPr>
          <w:lang w:val="fr-FR"/>
        </w:rPr>
        <w:t>’</w:t>
      </w:r>
      <w:r w:rsidRPr="001E4C00">
        <w:rPr>
          <w:lang w:val="fr-FR"/>
        </w:rPr>
        <w:t>association IT Ukraine</w:t>
      </w:r>
      <w:r w:rsidRPr="001E4C00">
        <w:rPr>
          <w:vertAlign w:val="superscript"/>
          <w:lang w:val="fr-FR" w:eastAsia="en-US"/>
        </w:rPr>
        <w:footnoteReference w:id="24"/>
      </w:r>
      <w:r w:rsidRPr="001E4C00">
        <w:rPr>
          <w:lang w:val="fr-FR"/>
        </w:rPr>
        <w:t>.</w:t>
      </w:r>
    </w:p>
    <w:p w:rsidR="001957C8" w:rsidRPr="001E4C00" w:rsidRDefault="001957C8" w:rsidP="007115E7">
      <w:pPr>
        <w:pStyle w:val="ONUMFS"/>
        <w:rPr>
          <w:lang w:val="fr-FR"/>
        </w:rPr>
      </w:pPr>
      <w:r w:rsidRPr="001E4C00">
        <w:rPr>
          <w:lang w:val="fr-FR"/>
        </w:rPr>
        <w:t>En outre, selon les informations fournies par le Fonds ukrainien pour les jeunes entreprises sur la base d</w:t>
      </w:r>
      <w:r w:rsidR="008F70DE" w:rsidRPr="001E4C00">
        <w:rPr>
          <w:lang w:val="fr-FR"/>
        </w:rPr>
        <w:t>’</w:t>
      </w:r>
      <w:r w:rsidRPr="001E4C00">
        <w:rPr>
          <w:lang w:val="fr-FR"/>
        </w:rPr>
        <w:t>une enquête en ligne sur l</w:t>
      </w:r>
      <w:r w:rsidR="008F70DE" w:rsidRPr="001E4C00">
        <w:rPr>
          <w:lang w:val="fr-FR"/>
        </w:rPr>
        <w:t>’</w:t>
      </w:r>
      <w:r w:rsidRPr="001E4C00">
        <w:rPr>
          <w:lang w:val="fr-FR"/>
        </w:rPr>
        <w:t>écosystème des jeunes entreprises qu</w:t>
      </w:r>
      <w:r w:rsidR="008F70DE" w:rsidRPr="001E4C00">
        <w:rPr>
          <w:lang w:val="fr-FR"/>
        </w:rPr>
        <w:t>’</w:t>
      </w:r>
      <w:r w:rsidRPr="001E4C00">
        <w:rPr>
          <w:lang w:val="fr-FR"/>
        </w:rPr>
        <w:t>il a menée à la mi</w:t>
      </w:r>
      <w:r w:rsidR="0091158D">
        <w:rPr>
          <w:lang w:val="fr-FR"/>
        </w:rPr>
        <w:noBreakHyphen/>
      </w:r>
      <w:r w:rsidRPr="001E4C00">
        <w:rPr>
          <w:lang w:val="fr-FR"/>
        </w:rPr>
        <w:t>2022, bien que neuf jeunes entreprises ukrainiennes sur 10 aient besoin d</w:t>
      </w:r>
      <w:r w:rsidR="008F70DE" w:rsidRPr="001E4C00">
        <w:rPr>
          <w:lang w:val="fr-FR"/>
        </w:rPr>
        <w:t>’</w:t>
      </w:r>
      <w:r w:rsidRPr="001E4C00">
        <w:rPr>
          <w:lang w:val="fr-FR"/>
        </w:rPr>
        <w:t>un soutien financier pour poursuivre leur activité, une jeune entreprise sur quatre a noté le maintien de son statut, et seulement 4% des jeunes entreprises ont estimé que leur activité pourrait être rédui</w:t>
      </w:r>
      <w:r w:rsidR="00783939" w:rsidRPr="001E4C00">
        <w:rPr>
          <w:lang w:val="fr-FR"/>
        </w:rPr>
        <w:t>te.  En</w:t>
      </w:r>
      <w:r w:rsidRPr="001E4C00">
        <w:rPr>
          <w:lang w:val="fr-FR"/>
        </w:rPr>
        <w:t xml:space="preserve"> ce qui concerne la délocalisation des jeunes entreprises, les résultats de l</w:t>
      </w:r>
      <w:r w:rsidR="008F70DE" w:rsidRPr="001E4C00">
        <w:rPr>
          <w:lang w:val="fr-FR"/>
        </w:rPr>
        <w:t>’</w:t>
      </w:r>
      <w:r w:rsidRPr="001E4C00">
        <w:rPr>
          <w:lang w:val="fr-FR"/>
        </w:rPr>
        <w:t>enquête ont révélé que 95% des jeunes entreprises sont restées en Ukraine au moins partiellement, tandis que 56% ont poursuivi leurs activités exclusivement à partir de l</w:t>
      </w:r>
      <w:r w:rsidR="008F70DE" w:rsidRPr="001E4C00">
        <w:rPr>
          <w:lang w:val="fr-FR"/>
        </w:rPr>
        <w:t>’</w:t>
      </w:r>
      <w:r w:rsidRPr="001E4C00">
        <w:rPr>
          <w:lang w:val="fr-FR"/>
        </w:rPr>
        <w:t>Ukrai</w:t>
      </w:r>
      <w:r w:rsidR="00783939" w:rsidRPr="001E4C00">
        <w:rPr>
          <w:lang w:val="fr-FR"/>
        </w:rPr>
        <w:t>ne.  Ma</w:t>
      </w:r>
      <w:r w:rsidRPr="001E4C00">
        <w:rPr>
          <w:lang w:val="fr-FR"/>
        </w:rPr>
        <w:t>lgré la guerre, les jeunes entreprises ukrainiennes – tout comme le secteur des technologies de l</w:t>
      </w:r>
      <w:r w:rsidR="008F70DE" w:rsidRPr="001E4C00">
        <w:rPr>
          <w:lang w:val="fr-FR"/>
        </w:rPr>
        <w:t>’</w:t>
      </w:r>
      <w:r w:rsidRPr="001E4C00">
        <w:rPr>
          <w:lang w:val="fr-FR"/>
        </w:rPr>
        <w:t>information du pays – ont encore fait preuve de résilience, et les entrepreneurs continuent d</w:t>
      </w:r>
      <w:r w:rsidR="008F70DE" w:rsidRPr="001E4C00">
        <w:rPr>
          <w:lang w:val="fr-FR"/>
        </w:rPr>
        <w:t>’</w:t>
      </w:r>
      <w:r w:rsidRPr="001E4C00">
        <w:rPr>
          <w:lang w:val="fr-FR"/>
        </w:rPr>
        <w:t>exploiter leurs entreprises et de contribuer à l</w:t>
      </w:r>
      <w:r w:rsidR="008F70DE" w:rsidRPr="001E4C00">
        <w:rPr>
          <w:lang w:val="fr-FR"/>
        </w:rPr>
        <w:t>’</w:t>
      </w:r>
      <w:r w:rsidRPr="001E4C00">
        <w:rPr>
          <w:lang w:val="fr-FR"/>
        </w:rPr>
        <w:t>économie du pays.</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une des principales priorités de la politique d</w:t>
      </w:r>
      <w:r w:rsidR="008F70DE" w:rsidRPr="001E4C00">
        <w:rPr>
          <w:lang w:val="fr-FR"/>
        </w:rPr>
        <w:t>’</w:t>
      </w:r>
      <w:r w:rsidRPr="001E4C00">
        <w:rPr>
          <w:lang w:val="fr-FR"/>
        </w:rPr>
        <w:t>innovation de l</w:t>
      </w:r>
      <w:r w:rsidR="008F70DE" w:rsidRPr="001E4C00">
        <w:rPr>
          <w:lang w:val="fr-FR"/>
        </w:rPr>
        <w:t>’</w:t>
      </w:r>
      <w:r w:rsidRPr="001E4C00">
        <w:rPr>
          <w:lang w:val="fr-FR"/>
        </w:rPr>
        <w:t>État ukrainien est de favoriser l</w:t>
      </w:r>
      <w:r w:rsidR="008F70DE" w:rsidRPr="001E4C00">
        <w:rPr>
          <w:lang w:val="fr-FR"/>
        </w:rPr>
        <w:t>’</w:t>
      </w:r>
      <w:r w:rsidRPr="001E4C00">
        <w:rPr>
          <w:lang w:val="fr-FR"/>
        </w:rPr>
        <w:t>écosystème des jeunes entreprises au sein des universit</w:t>
      </w:r>
      <w:r w:rsidR="00783939" w:rsidRPr="001E4C00">
        <w:rPr>
          <w:lang w:val="fr-FR"/>
        </w:rPr>
        <w:t>és.  Le</w:t>
      </w:r>
      <w:r w:rsidRPr="001E4C00">
        <w:rPr>
          <w:lang w:val="fr-FR"/>
        </w:rPr>
        <w:t xml:space="preserve"> Ministère de l</w:t>
      </w:r>
      <w:r w:rsidR="008F70DE" w:rsidRPr="001E4C00">
        <w:rPr>
          <w:lang w:val="fr-FR"/>
        </w:rPr>
        <w:t>’</w:t>
      </w:r>
      <w:r w:rsidRPr="001E4C00">
        <w:rPr>
          <w:lang w:val="fr-FR"/>
        </w:rPr>
        <w:t>éducation et des sciences ukrainien a lancé un projet pilote visant à créer un réseau d</w:t>
      </w:r>
      <w:r w:rsidR="008F70DE" w:rsidRPr="001E4C00">
        <w:rPr>
          <w:lang w:val="fr-FR"/>
        </w:rPr>
        <w:t>’</w:t>
      </w:r>
      <w:r w:rsidRPr="001E4C00">
        <w:rPr>
          <w:lang w:val="fr-FR"/>
        </w:rPr>
        <w:t>écoles, d</w:t>
      </w:r>
      <w:r w:rsidR="008F70DE" w:rsidRPr="001E4C00">
        <w:rPr>
          <w:lang w:val="fr-FR"/>
        </w:rPr>
        <w:t>’</w:t>
      </w:r>
      <w:r w:rsidRPr="001E4C00">
        <w:rPr>
          <w:lang w:val="fr-FR"/>
        </w:rPr>
        <w:t>incubateurs et d</w:t>
      </w:r>
      <w:r w:rsidR="008F70DE" w:rsidRPr="001E4C00">
        <w:rPr>
          <w:lang w:val="fr-FR"/>
        </w:rPr>
        <w:t>’</w:t>
      </w:r>
      <w:r w:rsidRPr="001E4C00">
        <w:rPr>
          <w:lang w:val="fr-FR"/>
        </w:rPr>
        <w:t>accélérateurs de jeunes entreprises dans les établissements d</w:t>
      </w:r>
      <w:r w:rsidR="008F70DE" w:rsidRPr="001E4C00">
        <w:rPr>
          <w:lang w:val="fr-FR"/>
        </w:rPr>
        <w:t>’</w:t>
      </w:r>
      <w:r w:rsidRPr="001E4C00">
        <w:rPr>
          <w:lang w:val="fr-FR"/>
        </w:rPr>
        <w:t>enseignement supérieur et de recherc</w:t>
      </w:r>
      <w:r w:rsidR="00783939" w:rsidRPr="001E4C00">
        <w:rPr>
          <w:lang w:val="fr-FR"/>
        </w:rPr>
        <w:t>he.  De</w:t>
      </w:r>
      <w:r w:rsidRPr="001E4C00">
        <w:rPr>
          <w:lang w:val="fr-FR"/>
        </w:rPr>
        <w:t xml:space="preserve"> nombreuses universités organisent des activités de démarrage et d</w:t>
      </w:r>
      <w:r w:rsidR="008F70DE" w:rsidRPr="001E4C00">
        <w:rPr>
          <w:lang w:val="fr-FR"/>
        </w:rPr>
        <w:t>’</w:t>
      </w:r>
      <w:r w:rsidRPr="001E4C00">
        <w:rPr>
          <w:lang w:val="fr-FR"/>
        </w:rPr>
        <w:t>innovation pour encourager les idées et les initiatives parmi les étudiants, les jeunes scientifiques et les chercheu</w:t>
      </w:r>
      <w:r w:rsidR="00783939" w:rsidRPr="001E4C00">
        <w:rPr>
          <w:lang w:val="fr-FR"/>
        </w:rPr>
        <w:t>rs.  Da</w:t>
      </w:r>
      <w:r w:rsidRPr="001E4C00">
        <w:rPr>
          <w:lang w:val="fr-FR"/>
        </w:rPr>
        <w:t>ns certains établissements d</w:t>
      </w:r>
      <w:r w:rsidR="008F70DE" w:rsidRPr="001E4C00">
        <w:rPr>
          <w:lang w:val="fr-FR"/>
        </w:rPr>
        <w:t>’</w:t>
      </w:r>
      <w:r w:rsidRPr="001E4C00">
        <w:rPr>
          <w:lang w:val="fr-FR"/>
        </w:rPr>
        <w:t>enseignement supérieur, l</w:t>
      </w:r>
      <w:r w:rsidR="008F70DE" w:rsidRPr="001E4C00">
        <w:rPr>
          <w:lang w:val="fr-FR"/>
        </w:rPr>
        <w:t>’</w:t>
      </w:r>
      <w:r w:rsidRPr="001E4C00">
        <w:rPr>
          <w:lang w:val="fr-FR"/>
        </w:rPr>
        <w:t xml:space="preserve">accent </w:t>
      </w:r>
      <w:r w:rsidR="003F03FB" w:rsidRPr="001E4C00">
        <w:rPr>
          <w:lang w:val="fr-FR"/>
        </w:rPr>
        <w:t xml:space="preserve">a été </w:t>
      </w:r>
      <w:r w:rsidRPr="001E4C00">
        <w:rPr>
          <w:lang w:val="fr-FR"/>
        </w:rPr>
        <w:t>mis sur les activités de démarrage et d</w:t>
      </w:r>
      <w:r w:rsidR="008F70DE" w:rsidRPr="001E4C00">
        <w:rPr>
          <w:lang w:val="fr-FR"/>
        </w:rPr>
        <w:t>’</w:t>
      </w:r>
      <w:r w:rsidRPr="001E4C00">
        <w:rPr>
          <w:lang w:val="fr-FR"/>
        </w:rPr>
        <w:t>innovation parmi les étudiants et les jeunes scientifiqu</w:t>
      </w:r>
      <w:r w:rsidR="00783939" w:rsidRPr="001E4C00">
        <w:rPr>
          <w:lang w:val="fr-FR"/>
        </w:rPr>
        <w:t>es.  Ci</w:t>
      </w:r>
      <w:r w:rsidRPr="001E4C00">
        <w:rPr>
          <w:lang w:val="fr-FR"/>
        </w:rPr>
        <w:t>tons</w:t>
      </w:r>
      <w:r w:rsidR="003F03FB" w:rsidRPr="001E4C00">
        <w:rPr>
          <w:lang w:val="fr-FR"/>
        </w:rPr>
        <w:t>, par exemple,</w:t>
      </w:r>
      <w:r w:rsidRPr="001E4C00">
        <w:rPr>
          <w:lang w:val="fr-FR"/>
        </w:rPr>
        <w:t xml:space="preserve"> le concours annuel Startup</w:t>
      </w:r>
      <w:r w:rsidR="0091158D">
        <w:rPr>
          <w:lang w:val="fr-FR"/>
        </w:rPr>
        <w:noBreakHyphen/>
      </w:r>
      <w:proofErr w:type="spellStart"/>
      <w:r w:rsidRPr="001E4C00">
        <w:rPr>
          <w:lang w:val="fr-FR"/>
        </w:rPr>
        <w:t>UzhNU</w:t>
      </w:r>
      <w:proofErr w:type="spellEnd"/>
      <w:r w:rsidRPr="001E4C00">
        <w:rPr>
          <w:lang w:val="fr-FR"/>
        </w:rPr>
        <w:t xml:space="preserve"> de l</w:t>
      </w:r>
      <w:r w:rsidR="008F70DE" w:rsidRPr="001E4C00">
        <w:rPr>
          <w:lang w:val="fr-FR"/>
        </w:rPr>
        <w:t>’</w:t>
      </w:r>
      <w:r w:rsidRPr="001E4C00">
        <w:rPr>
          <w:lang w:val="fr-FR"/>
        </w:rPr>
        <w:t>Université nationale d</w:t>
      </w:r>
      <w:r w:rsidR="008F70DE" w:rsidRPr="001E4C00">
        <w:rPr>
          <w:lang w:val="fr-FR"/>
        </w:rPr>
        <w:t>’</w:t>
      </w:r>
      <w:proofErr w:type="spellStart"/>
      <w:r w:rsidRPr="001E4C00">
        <w:rPr>
          <w:lang w:val="fr-FR"/>
        </w:rPr>
        <w:t>Uzhhorod</w:t>
      </w:r>
      <w:proofErr w:type="spellEnd"/>
      <w:r w:rsidRPr="001E4C00">
        <w:rPr>
          <w:lang w:val="fr-FR"/>
        </w:rPr>
        <w:t xml:space="preserve"> et le projet Innovation Menu Digital Accelerator de l</w:t>
      </w:r>
      <w:r w:rsidR="008F70DE" w:rsidRPr="001E4C00">
        <w:rPr>
          <w:lang w:val="fr-FR"/>
        </w:rPr>
        <w:t>’</w:t>
      </w:r>
      <w:r w:rsidRPr="001E4C00">
        <w:rPr>
          <w:lang w:val="fr-FR"/>
        </w:rPr>
        <w:t>Université économique nationale de Ki</w:t>
      </w:r>
      <w:r w:rsidR="00783939" w:rsidRPr="001E4C00">
        <w:rPr>
          <w:lang w:val="fr-FR"/>
        </w:rPr>
        <w:t>ev.  L’u</w:t>
      </w:r>
      <w:r w:rsidRPr="001E4C00">
        <w:rPr>
          <w:lang w:val="fr-FR"/>
        </w:rPr>
        <w:t>n des acteurs les plus importants de l</w:t>
      </w:r>
      <w:r w:rsidR="008F70DE" w:rsidRPr="001E4C00">
        <w:rPr>
          <w:lang w:val="fr-FR"/>
        </w:rPr>
        <w:t>’</w:t>
      </w:r>
      <w:r w:rsidRPr="001E4C00">
        <w:rPr>
          <w:lang w:val="fr-FR"/>
        </w:rPr>
        <w:t>écosystème d</w:t>
      </w:r>
      <w:r w:rsidR="008F70DE" w:rsidRPr="001E4C00">
        <w:rPr>
          <w:lang w:val="fr-FR"/>
        </w:rPr>
        <w:t>’</w:t>
      </w:r>
      <w:r w:rsidRPr="001E4C00">
        <w:rPr>
          <w:lang w:val="fr-FR"/>
        </w:rPr>
        <w:t>innovation de l</w:t>
      </w:r>
      <w:r w:rsidR="008F70DE" w:rsidRPr="001E4C00">
        <w:rPr>
          <w:lang w:val="fr-FR"/>
        </w:rPr>
        <w:t>’</w:t>
      </w:r>
      <w:r w:rsidRPr="001E4C00">
        <w:rPr>
          <w:lang w:val="fr-FR"/>
        </w:rPr>
        <w:t>enseignement supérieur est l</w:t>
      </w:r>
      <w:r w:rsidR="008F70DE" w:rsidRPr="001E4C00">
        <w:rPr>
          <w:lang w:val="fr-FR"/>
        </w:rPr>
        <w:t>’</w:t>
      </w:r>
      <w:r w:rsidRPr="001E4C00">
        <w:rPr>
          <w:lang w:val="fr-FR"/>
        </w:rPr>
        <w:t>écosystème d</w:t>
      </w:r>
      <w:r w:rsidR="008F70DE" w:rsidRPr="001E4C00">
        <w:rPr>
          <w:lang w:val="fr-FR"/>
        </w:rPr>
        <w:t>’</w:t>
      </w:r>
      <w:r w:rsidRPr="001E4C00">
        <w:rPr>
          <w:lang w:val="fr-FR"/>
        </w:rPr>
        <w:t xml:space="preserve">innovation </w:t>
      </w:r>
      <w:proofErr w:type="spellStart"/>
      <w:r w:rsidRPr="001E4C00">
        <w:rPr>
          <w:lang w:val="fr-FR"/>
        </w:rPr>
        <w:t>Sikorsky</w:t>
      </w:r>
      <w:proofErr w:type="spellEnd"/>
      <w:r w:rsidRPr="001E4C00">
        <w:rPr>
          <w:lang w:val="fr-FR"/>
        </w:rPr>
        <w:t xml:space="preserve"> Challenge National </w:t>
      </w:r>
      <w:proofErr w:type="spellStart"/>
      <w:r w:rsidRPr="001E4C00">
        <w:rPr>
          <w:lang w:val="fr-FR"/>
        </w:rPr>
        <w:t>Technical</w:t>
      </w:r>
      <w:proofErr w:type="spellEnd"/>
      <w:r w:rsidRPr="001E4C00">
        <w:rPr>
          <w:lang w:val="fr-FR"/>
        </w:rPr>
        <w:t xml:space="preserve"> </w:t>
      </w:r>
      <w:proofErr w:type="spellStart"/>
      <w:r w:rsidRPr="001E4C00">
        <w:rPr>
          <w:lang w:val="fr-FR"/>
        </w:rPr>
        <w:t>University</w:t>
      </w:r>
      <w:proofErr w:type="spellEnd"/>
      <w:r w:rsidRPr="001E4C00">
        <w:rPr>
          <w:lang w:val="fr-FR"/>
        </w:rPr>
        <w:t xml:space="preserve"> of Ukraine “Institut polytechnique Igor </w:t>
      </w:r>
      <w:proofErr w:type="spellStart"/>
      <w:r w:rsidRPr="001E4C00">
        <w:rPr>
          <w:lang w:val="fr-FR"/>
        </w:rPr>
        <w:t>Sikorsky</w:t>
      </w:r>
      <w:proofErr w:type="spellEnd"/>
      <w:r w:rsidRPr="001E4C00">
        <w:rPr>
          <w:lang w:val="fr-FR"/>
        </w:rPr>
        <w:t xml:space="preserve"> de Kiev” (INESC), conçu </w:t>
      </w:r>
      <w:r w:rsidR="003F03FB" w:rsidRPr="001E4C00">
        <w:rPr>
          <w:lang w:val="fr-FR"/>
        </w:rPr>
        <w:t>aux fins de</w:t>
      </w:r>
      <w:r w:rsidRPr="001E4C00">
        <w:rPr>
          <w:lang w:val="fr-FR"/>
        </w:rPr>
        <w:t xml:space="preserve"> la sélection, </w:t>
      </w:r>
      <w:r w:rsidR="003F03FB" w:rsidRPr="001E4C00">
        <w:rPr>
          <w:lang w:val="fr-FR"/>
        </w:rPr>
        <w:t xml:space="preserve">du </w:t>
      </w:r>
      <w:r w:rsidRPr="001E4C00">
        <w:rPr>
          <w:lang w:val="fr-FR"/>
        </w:rPr>
        <w:t xml:space="preserve">recrutement et </w:t>
      </w:r>
      <w:r w:rsidR="003F03FB" w:rsidRPr="001E4C00">
        <w:rPr>
          <w:lang w:val="fr-FR"/>
        </w:rPr>
        <w:t xml:space="preserve">de </w:t>
      </w:r>
      <w:r w:rsidRPr="001E4C00">
        <w:rPr>
          <w:lang w:val="fr-FR"/>
        </w:rPr>
        <w:t xml:space="preserve">la formation de personnes créatives </w:t>
      </w:r>
      <w:r w:rsidR="003F03FB" w:rsidRPr="001E4C00">
        <w:rPr>
          <w:lang w:val="fr-FR"/>
        </w:rPr>
        <w:t>à la création de</w:t>
      </w:r>
      <w:r w:rsidRPr="001E4C00">
        <w:rPr>
          <w:lang w:val="fr-FR"/>
        </w:rPr>
        <w:t xml:space="preserve"> leur propre entreprise et de jeunes entreprises, </w:t>
      </w:r>
      <w:r w:rsidR="00017E87" w:rsidRPr="001E4C00">
        <w:rPr>
          <w:lang w:val="fr-FR"/>
        </w:rPr>
        <w:t>et qui aide</w:t>
      </w:r>
      <w:r w:rsidRPr="001E4C00">
        <w:rPr>
          <w:lang w:val="fr-FR"/>
        </w:rPr>
        <w:t xml:space="preserve"> les participants à trouver des investisseurs et à promouvoir les jeunes entreprises.  L</w:t>
      </w:r>
      <w:r w:rsidR="008F70DE" w:rsidRPr="001E4C00">
        <w:rPr>
          <w:lang w:val="fr-FR"/>
        </w:rPr>
        <w:t>’</w:t>
      </w:r>
      <w:r w:rsidRPr="001E4C00">
        <w:rPr>
          <w:lang w:val="fr-FR"/>
        </w:rPr>
        <w:t xml:space="preserve">INESC </w:t>
      </w:r>
      <w:r w:rsidR="00017E87" w:rsidRPr="001E4C00">
        <w:rPr>
          <w:lang w:val="fr-FR"/>
        </w:rPr>
        <w:t>se compose des entités suivantes</w:t>
      </w:r>
      <w:r w:rsidR="008F70DE" w:rsidRPr="001E4C00">
        <w:rPr>
          <w:lang w:val="fr-FR"/>
        </w:rPr>
        <w:t> :</w:t>
      </w:r>
      <w:r w:rsidR="00017E87" w:rsidRPr="001E4C00">
        <w:rPr>
          <w:lang w:val="fr-FR"/>
        </w:rPr>
        <w:t xml:space="preserve"> </w:t>
      </w:r>
      <w:r w:rsidRPr="001E4C00">
        <w:rPr>
          <w:lang w:val="fr-FR"/>
        </w:rPr>
        <w:t>École de la création d</w:t>
      </w:r>
      <w:r w:rsidR="008F70DE" w:rsidRPr="001E4C00">
        <w:rPr>
          <w:lang w:val="fr-FR"/>
        </w:rPr>
        <w:t>’</w:t>
      </w:r>
      <w:r w:rsidRPr="001E4C00">
        <w:rPr>
          <w:lang w:val="fr-FR"/>
        </w:rPr>
        <w:t>entreprise “</w:t>
      </w:r>
      <w:proofErr w:type="spellStart"/>
      <w:r w:rsidRPr="001E4C00">
        <w:rPr>
          <w:lang w:val="fr-FR"/>
        </w:rPr>
        <w:t>Sikorsky</w:t>
      </w:r>
      <w:proofErr w:type="spellEnd"/>
      <w:r w:rsidRPr="001E4C00">
        <w:rPr>
          <w:lang w:val="fr-FR"/>
        </w:rPr>
        <w:t xml:space="preserve"> Challenge”, Festival des projets d</w:t>
      </w:r>
      <w:r w:rsidR="008F70DE" w:rsidRPr="001E4C00">
        <w:rPr>
          <w:lang w:val="fr-FR"/>
        </w:rPr>
        <w:t>’</w:t>
      </w:r>
      <w:r w:rsidRPr="001E4C00">
        <w:rPr>
          <w:lang w:val="fr-FR"/>
        </w:rPr>
        <w:t>innovation “</w:t>
      </w:r>
      <w:proofErr w:type="spellStart"/>
      <w:r w:rsidRPr="001E4C00">
        <w:rPr>
          <w:lang w:val="fr-FR"/>
        </w:rPr>
        <w:t>Sikorsky</w:t>
      </w:r>
      <w:proofErr w:type="spellEnd"/>
      <w:r w:rsidRPr="001E4C00">
        <w:rPr>
          <w:lang w:val="fr-FR"/>
        </w:rPr>
        <w:t xml:space="preserve"> Challenge”, Incubateur d</w:t>
      </w:r>
      <w:r w:rsidR="008F70DE" w:rsidRPr="001E4C00">
        <w:rPr>
          <w:lang w:val="fr-FR"/>
        </w:rPr>
        <w:t>’</w:t>
      </w:r>
      <w:r w:rsidRPr="001E4C00">
        <w:rPr>
          <w:lang w:val="fr-FR"/>
        </w:rPr>
        <w:t>entreprises “</w:t>
      </w:r>
      <w:proofErr w:type="spellStart"/>
      <w:r w:rsidRPr="001E4C00">
        <w:rPr>
          <w:lang w:val="fr-FR"/>
        </w:rPr>
        <w:t>Sikorsky</w:t>
      </w:r>
      <w:proofErr w:type="spellEnd"/>
      <w:r w:rsidRPr="001E4C00">
        <w:rPr>
          <w:lang w:val="fr-FR"/>
        </w:rPr>
        <w:t xml:space="preserve"> Challenge”, Environnement technologique innovant “</w:t>
      </w:r>
      <w:proofErr w:type="spellStart"/>
      <w:r w:rsidRPr="001E4C00">
        <w:rPr>
          <w:lang w:val="fr-FR"/>
        </w:rPr>
        <w:t>Sikorsky</w:t>
      </w:r>
      <w:proofErr w:type="spellEnd"/>
      <w:r w:rsidRPr="001E4C00">
        <w:rPr>
          <w:lang w:val="fr-FR"/>
        </w:rPr>
        <w:t xml:space="preserve"> </w:t>
      </w:r>
      <w:proofErr w:type="spellStart"/>
      <w:r w:rsidRPr="001E4C00">
        <w:rPr>
          <w:lang w:val="fr-FR"/>
        </w:rPr>
        <w:t>Lab</w:t>
      </w:r>
      <w:proofErr w:type="spellEnd"/>
      <w:r w:rsidRPr="001E4C00">
        <w:rPr>
          <w:lang w:val="fr-FR"/>
        </w:rPr>
        <w:t>”, Centre pour la propriété intellectuelle, Fonds de capital</w:t>
      </w:r>
      <w:r w:rsidR="0091158D">
        <w:rPr>
          <w:lang w:val="fr-FR"/>
        </w:rPr>
        <w:noBreakHyphen/>
      </w:r>
      <w:r w:rsidRPr="001E4C00">
        <w:rPr>
          <w:lang w:val="fr-FR"/>
        </w:rPr>
        <w:t>risque “</w:t>
      </w:r>
      <w:proofErr w:type="spellStart"/>
      <w:r w:rsidRPr="001E4C00">
        <w:rPr>
          <w:lang w:val="fr-FR"/>
        </w:rPr>
        <w:t>Sikorsky</w:t>
      </w:r>
      <w:proofErr w:type="spellEnd"/>
      <w:r w:rsidRPr="001E4C00">
        <w:rPr>
          <w:lang w:val="fr-FR"/>
        </w:rPr>
        <w:t xml:space="preserve"> Challenge”</w:t>
      </w:r>
      <w:r w:rsidRPr="001E4C00">
        <w:rPr>
          <w:vertAlign w:val="superscript"/>
          <w:lang w:val="fr-FR" w:eastAsia="en-US"/>
        </w:rPr>
        <w:footnoteReference w:id="25"/>
      </w:r>
      <w:r w:rsidRPr="001E4C00">
        <w:rPr>
          <w:lang w:val="fr-FR"/>
        </w:rPr>
        <w:t>.  Le CATI établi au sein de l</w:t>
      </w:r>
      <w:r w:rsidR="008F70DE" w:rsidRPr="001E4C00">
        <w:rPr>
          <w:lang w:val="fr-FR"/>
        </w:rPr>
        <w:t>’</w:t>
      </w:r>
      <w:r w:rsidRPr="001E4C00">
        <w:rPr>
          <w:lang w:val="fr-FR"/>
        </w:rPr>
        <w:t>université fournit des services, en grande majorité, aux employés de l</w:t>
      </w:r>
      <w:r w:rsidR="008F70DE" w:rsidRPr="001E4C00">
        <w:rPr>
          <w:lang w:val="fr-FR"/>
        </w:rPr>
        <w:t>’</w:t>
      </w:r>
      <w:r w:rsidRPr="001E4C00">
        <w:rPr>
          <w:lang w:val="fr-FR"/>
        </w:rPr>
        <w:t xml:space="preserve">université et aux projets de démarrage sélectionnés par le </w:t>
      </w:r>
      <w:proofErr w:type="spellStart"/>
      <w:r w:rsidRPr="001E4C00">
        <w:rPr>
          <w:lang w:val="fr-FR"/>
        </w:rPr>
        <w:t>Sikorsky</w:t>
      </w:r>
      <w:proofErr w:type="spellEnd"/>
      <w:r w:rsidRPr="001E4C00">
        <w:rPr>
          <w:lang w:val="fr-FR"/>
        </w:rPr>
        <w:t xml:space="preserve"> Challenge pour être accélér</w:t>
      </w:r>
      <w:r w:rsidR="00783939" w:rsidRPr="001E4C00">
        <w:rPr>
          <w:lang w:val="fr-FR"/>
        </w:rPr>
        <w:t>és.  Ce</w:t>
      </w:r>
      <w:r w:rsidRPr="001E4C00">
        <w:rPr>
          <w:lang w:val="fr-FR"/>
        </w:rPr>
        <w:t>s activités visent à fournir un soutien complet aux projets innovants et à contribuer au redressement de l</w:t>
      </w:r>
      <w:r w:rsidR="008F70DE" w:rsidRPr="001E4C00">
        <w:rPr>
          <w:lang w:val="fr-FR"/>
        </w:rPr>
        <w:t>’</w:t>
      </w:r>
      <w:r w:rsidRPr="001E4C00">
        <w:rPr>
          <w:lang w:val="fr-FR"/>
        </w:rPr>
        <w:t>Ukraine après la guerre et à son développement compétitif.</w:t>
      </w:r>
    </w:p>
    <w:p w:rsidR="001957C8" w:rsidRPr="001E4C00" w:rsidRDefault="001957C8" w:rsidP="007115E7">
      <w:pPr>
        <w:pStyle w:val="ONUMFS"/>
        <w:rPr>
          <w:lang w:val="fr-FR"/>
        </w:rPr>
      </w:pPr>
      <w:r w:rsidRPr="001E4C00">
        <w:rPr>
          <w:lang w:val="fr-FR"/>
        </w:rPr>
        <w:t>Pour évaluer les répercussions de la guerre sur le secteur créatif, le Bureau international s</w:t>
      </w:r>
      <w:r w:rsidR="008F70DE" w:rsidRPr="001E4C00">
        <w:rPr>
          <w:lang w:val="fr-FR"/>
        </w:rPr>
        <w:t>’</w:t>
      </w:r>
      <w:r w:rsidRPr="001E4C00">
        <w:rPr>
          <w:lang w:val="fr-FR"/>
        </w:rPr>
        <w:t xml:space="preserve">est entretenu avec des </w:t>
      </w:r>
      <w:r w:rsidR="00164D10" w:rsidRPr="001E4C00">
        <w:rPr>
          <w:lang w:val="fr-FR"/>
        </w:rPr>
        <w:t xml:space="preserve">acteurs </w:t>
      </w:r>
      <w:r w:rsidRPr="001E4C00">
        <w:rPr>
          <w:lang w:val="fr-FR"/>
        </w:rPr>
        <w:t xml:space="preserve">des industries </w:t>
      </w:r>
      <w:r w:rsidR="00164D10" w:rsidRPr="001E4C00">
        <w:rPr>
          <w:lang w:val="fr-FR"/>
        </w:rPr>
        <w:t>de la création</w:t>
      </w:r>
      <w:r w:rsidRPr="001E4C00">
        <w:rPr>
          <w:lang w:val="fr-FR"/>
        </w:rPr>
        <w:t>, notamment des représentants de sociétés de télévision et de radio, d</w:t>
      </w:r>
      <w:r w:rsidR="008F70DE" w:rsidRPr="001E4C00">
        <w:rPr>
          <w:lang w:val="fr-FR"/>
        </w:rPr>
        <w:t>’</w:t>
      </w:r>
      <w:r w:rsidRPr="001E4C00">
        <w:rPr>
          <w:lang w:val="fr-FR"/>
        </w:rPr>
        <w:t>éditeurs de livres, de producteurs de films, d</w:t>
      </w:r>
      <w:r w:rsidR="008F70DE" w:rsidRPr="001E4C00">
        <w:rPr>
          <w:lang w:val="fr-FR"/>
        </w:rPr>
        <w:t>’</w:t>
      </w:r>
      <w:r w:rsidRPr="001E4C00">
        <w:rPr>
          <w:lang w:val="fr-FR"/>
        </w:rPr>
        <w:t>organisation de gestion collective, ainsi que d</w:t>
      </w:r>
      <w:r w:rsidR="008F70DE" w:rsidRPr="001E4C00">
        <w:rPr>
          <w:lang w:val="fr-FR"/>
        </w:rPr>
        <w:t>’</w:t>
      </w:r>
      <w:r w:rsidRPr="001E4C00">
        <w:rPr>
          <w:lang w:val="fr-FR"/>
        </w:rPr>
        <w:t>artistes individuels, de photographes, d</w:t>
      </w:r>
      <w:r w:rsidR="008F70DE" w:rsidRPr="001E4C00">
        <w:rPr>
          <w:lang w:val="fr-FR"/>
        </w:rPr>
        <w:t>’</w:t>
      </w:r>
      <w:r w:rsidRPr="001E4C00">
        <w:rPr>
          <w:lang w:val="fr-FR"/>
        </w:rPr>
        <w:t>auteurs et d</w:t>
      </w:r>
      <w:r w:rsidR="008F70DE" w:rsidRPr="001E4C00">
        <w:rPr>
          <w:lang w:val="fr-FR"/>
        </w:rPr>
        <w:t>’</w:t>
      </w:r>
      <w:r w:rsidRPr="001E4C00">
        <w:rPr>
          <w:lang w:val="fr-FR"/>
        </w:rPr>
        <w:t>interprètes d</w:t>
      </w:r>
      <w:r w:rsidR="008F70DE" w:rsidRPr="001E4C00">
        <w:rPr>
          <w:lang w:val="fr-FR"/>
        </w:rPr>
        <w:t>’</w:t>
      </w:r>
      <w:r w:rsidRPr="001E4C00">
        <w:rPr>
          <w:lang w:val="fr-FR"/>
        </w:rPr>
        <w:t>œuvres musical</w:t>
      </w:r>
      <w:r w:rsidR="00783939" w:rsidRPr="001E4C00">
        <w:rPr>
          <w:lang w:val="fr-FR"/>
        </w:rPr>
        <w:t>es.  Su</w:t>
      </w:r>
      <w:r w:rsidRPr="001E4C00">
        <w:rPr>
          <w:lang w:val="fr-FR"/>
        </w:rPr>
        <w:t xml:space="preserve">r la base de ces échanges, les défis suivants ont été </w:t>
      </w:r>
      <w:r w:rsidR="00164D10" w:rsidRPr="001E4C00">
        <w:rPr>
          <w:lang w:val="fr-FR"/>
        </w:rPr>
        <w:t>recensés</w:t>
      </w:r>
      <w:r w:rsidR="008F70DE" w:rsidRPr="001E4C00">
        <w:rPr>
          <w:lang w:val="fr-FR"/>
        </w:rPr>
        <w:t> :</w:t>
      </w:r>
      <w:r w:rsidRPr="001E4C00">
        <w:rPr>
          <w:lang w:val="fr-FR"/>
        </w:rPr>
        <w:t xml:space="preserve"> l</w:t>
      </w:r>
      <w:r w:rsidR="008F70DE" w:rsidRPr="001E4C00">
        <w:rPr>
          <w:lang w:val="fr-FR"/>
        </w:rPr>
        <w:t>’</w:t>
      </w:r>
      <w:r w:rsidRPr="001E4C00">
        <w:rPr>
          <w:lang w:val="fr-FR"/>
        </w:rPr>
        <w:t>impossibilité d</w:t>
      </w:r>
      <w:r w:rsidR="008F70DE" w:rsidRPr="001E4C00">
        <w:rPr>
          <w:lang w:val="fr-FR"/>
        </w:rPr>
        <w:t>’</w:t>
      </w:r>
      <w:r w:rsidRPr="001E4C00">
        <w:rPr>
          <w:lang w:val="fr-FR"/>
        </w:rPr>
        <w:t>effectuer des transferts transfrontaliers de devises vers les comptes des répondants à l</w:t>
      </w:r>
      <w:r w:rsidR="008F70DE" w:rsidRPr="001E4C00">
        <w:rPr>
          <w:lang w:val="fr-FR"/>
        </w:rPr>
        <w:t>’</w:t>
      </w:r>
      <w:r w:rsidRPr="001E4C00">
        <w:rPr>
          <w:lang w:val="fr-FR"/>
        </w:rPr>
        <w:t>étranger;  une diminution de la production de musique et de vidéos musicales;  une baisse du niveau des revenus et des exportations de produits créatifs;  l</w:t>
      </w:r>
      <w:r w:rsidR="008F70DE" w:rsidRPr="001E4C00">
        <w:rPr>
          <w:lang w:val="fr-FR"/>
        </w:rPr>
        <w:t>’</w:t>
      </w:r>
      <w:r w:rsidRPr="001E4C00">
        <w:rPr>
          <w:lang w:val="fr-FR"/>
        </w:rPr>
        <w:t>exode du personnel professionnel à l</w:t>
      </w:r>
      <w:r w:rsidR="008F70DE" w:rsidRPr="001E4C00">
        <w:rPr>
          <w:lang w:val="fr-FR"/>
        </w:rPr>
        <w:t>’</w:t>
      </w:r>
      <w:r w:rsidRPr="001E4C00">
        <w:rPr>
          <w:lang w:val="fr-FR"/>
        </w:rPr>
        <w:t>étranger ou vers d</w:t>
      </w:r>
      <w:r w:rsidR="008F70DE" w:rsidRPr="001E4C00">
        <w:rPr>
          <w:lang w:val="fr-FR"/>
        </w:rPr>
        <w:t>’</w:t>
      </w:r>
      <w:r w:rsidRPr="001E4C00">
        <w:rPr>
          <w:lang w:val="fr-FR"/>
        </w:rPr>
        <w:t>autres domaines d</w:t>
      </w:r>
      <w:r w:rsidR="008F70DE" w:rsidRPr="001E4C00">
        <w:rPr>
          <w:lang w:val="fr-FR"/>
        </w:rPr>
        <w:t>’</w:t>
      </w:r>
      <w:r w:rsidRPr="001E4C00">
        <w:rPr>
          <w:lang w:val="fr-FR"/>
        </w:rPr>
        <w:t>activité;  la dissolution d</w:t>
      </w:r>
      <w:r w:rsidR="00164D10" w:rsidRPr="001E4C00">
        <w:rPr>
          <w:lang w:val="fr-FR"/>
        </w:rPr>
        <w:t xml:space="preserve">es </w:t>
      </w:r>
      <w:r w:rsidRPr="001E4C00">
        <w:rPr>
          <w:lang w:val="fr-FR"/>
        </w:rPr>
        <w:t xml:space="preserve">équipes professionnelles et </w:t>
      </w:r>
      <w:r w:rsidR="00A27865" w:rsidRPr="001E4C00">
        <w:rPr>
          <w:lang w:val="fr-FR"/>
        </w:rPr>
        <w:t xml:space="preserve">démantèlement </w:t>
      </w:r>
      <w:r w:rsidR="00164D10" w:rsidRPr="001E4C00">
        <w:rPr>
          <w:lang w:val="fr-FR"/>
        </w:rPr>
        <w:t xml:space="preserve">du </w:t>
      </w:r>
      <w:r w:rsidRPr="001E4C00">
        <w:rPr>
          <w:lang w:val="fr-FR"/>
        </w:rPr>
        <w:t>travail indépendant, ce qui entraîne une baisse de la qualité des produits et l</w:t>
      </w:r>
      <w:r w:rsidR="008F70DE" w:rsidRPr="001E4C00">
        <w:rPr>
          <w:lang w:val="fr-FR"/>
        </w:rPr>
        <w:t>’</w:t>
      </w:r>
      <w:r w:rsidRPr="001E4C00">
        <w:rPr>
          <w:lang w:val="fr-FR"/>
        </w:rPr>
        <w:t xml:space="preserve">incapacité de mettre en œuvre des projets à grande échelle;  la perte de capacité de production;  une réduction significative du marché ukrainien des industries </w:t>
      </w:r>
      <w:r w:rsidR="00A27865" w:rsidRPr="001E4C00">
        <w:rPr>
          <w:lang w:val="fr-FR"/>
        </w:rPr>
        <w:t xml:space="preserve">de la création </w:t>
      </w:r>
      <w:r w:rsidRPr="001E4C00">
        <w:rPr>
          <w:lang w:val="fr-FR"/>
        </w:rPr>
        <w:t>liées à l</w:t>
      </w:r>
      <w:r w:rsidR="008F70DE" w:rsidRPr="001E4C00">
        <w:rPr>
          <w:lang w:val="fr-FR"/>
        </w:rPr>
        <w:t>’</w:t>
      </w:r>
      <w:r w:rsidRPr="001E4C00">
        <w:rPr>
          <w:lang w:val="fr-FR"/>
        </w:rPr>
        <w:t>organisation et à la tenue d</w:t>
      </w:r>
      <w:r w:rsidR="008F70DE" w:rsidRPr="001E4C00">
        <w:rPr>
          <w:lang w:val="fr-FR"/>
        </w:rPr>
        <w:t>’</w:t>
      </w:r>
      <w:r w:rsidRPr="001E4C00">
        <w:rPr>
          <w:lang w:val="fr-FR"/>
        </w:rPr>
        <w:t>événements à grande échelle;  et la difficulté de délocaliser les entreprises.</w:t>
      </w:r>
    </w:p>
    <w:p w:rsidR="001957C8" w:rsidRPr="001E4C00" w:rsidRDefault="001957C8" w:rsidP="007115E7">
      <w:pPr>
        <w:pStyle w:val="ONUMFS"/>
        <w:rPr>
          <w:lang w:val="fr-FR"/>
        </w:rPr>
      </w:pPr>
      <w:r w:rsidRPr="001E4C00">
        <w:rPr>
          <w:lang w:val="fr-FR"/>
        </w:rPr>
        <w:t>Il a été rapporté que la guerre a entraîné des changements significatifs dans l</w:t>
      </w:r>
      <w:r w:rsidR="008F70DE" w:rsidRPr="001E4C00">
        <w:rPr>
          <w:lang w:val="fr-FR"/>
        </w:rPr>
        <w:t>’</w:t>
      </w:r>
      <w:r w:rsidRPr="001E4C00">
        <w:rPr>
          <w:lang w:val="fr-FR"/>
        </w:rPr>
        <w:t>industrie de la télévision et de la rad</w:t>
      </w:r>
      <w:r w:rsidR="00783939" w:rsidRPr="001E4C00">
        <w:rPr>
          <w:lang w:val="fr-FR"/>
        </w:rPr>
        <w:t>io.  Un</w:t>
      </w:r>
      <w:r w:rsidRPr="001E4C00">
        <w:rPr>
          <w:lang w:val="fr-FR"/>
        </w:rPr>
        <w:t xml:space="preserve"> téléthon d</w:t>
      </w:r>
      <w:r w:rsidR="008F70DE" w:rsidRPr="001E4C00">
        <w:rPr>
          <w:lang w:val="fr-FR"/>
        </w:rPr>
        <w:t>’</w:t>
      </w:r>
      <w:r w:rsidRPr="001E4C00">
        <w:rPr>
          <w:lang w:val="fr-FR"/>
        </w:rPr>
        <w:t>information unique a été lancé pour tenir le public informé de la guerre, ce qui a conduit les chaînes de télévision à abandonner ou à retarder le contenu pré</w:t>
      </w:r>
      <w:r w:rsidR="00783939" w:rsidRPr="001E4C00">
        <w:rPr>
          <w:lang w:val="fr-FR"/>
        </w:rPr>
        <w:t>vu.  Ce</w:t>
      </w:r>
      <w:r w:rsidRPr="001E4C00">
        <w:rPr>
          <w:lang w:val="fr-FR"/>
        </w:rPr>
        <w:t>la a entraîné une diminution des recettes publicitaires ainsi qu</w:t>
      </w:r>
      <w:r w:rsidR="008F70DE" w:rsidRPr="001E4C00">
        <w:rPr>
          <w:lang w:val="fr-FR"/>
        </w:rPr>
        <w:t>’</w:t>
      </w:r>
      <w:r w:rsidRPr="001E4C00">
        <w:rPr>
          <w:lang w:val="fr-FR"/>
        </w:rPr>
        <w:t>une réduction du personn</w:t>
      </w:r>
      <w:r w:rsidR="00783939" w:rsidRPr="001E4C00">
        <w:rPr>
          <w:lang w:val="fr-FR"/>
        </w:rPr>
        <w:t>el.  Le</w:t>
      </w:r>
      <w:r w:rsidRPr="001E4C00">
        <w:rPr>
          <w:lang w:val="fr-FR"/>
        </w:rPr>
        <w:t>s chaînes de télévision nationales ont été contraintes d</w:t>
      </w:r>
      <w:r w:rsidR="008F70DE" w:rsidRPr="001E4C00">
        <w:rPr>
          <w:lang w:val="fr-FR"/>
        </w:rPr>
        <w:t>’</w:t>
      </w:r>
      <w:r w:rsidRPr="001E4C00">
        <w:rPr>
          <w:lang w:val="fr-FR"/>
        </w:rPr>
        <w:t>installer leurs studios dans des lieux inadaptés, tels que des sous</w:t>
      </w:r>
      <w:r w:rsidR="0091158D">
        <w:rPr>
          <w:lang w:val="fr-FR"/>
        </w:rPr>
        <w:noBreakHyphen/>
      </w:r>
      <w:r w:rsidRPr="001E4C00">
        <w:rPr>
          <w:lang w:val="fr-FR"/>
        </w:rPr>
        <w:t>sols ou des parkings souterrai</w:t>
      </w:r>
      <w:r w:rsidR="00783939" w:rsidRPr="001E4C00">
        <w:rPr>
          <w:lang w:val="fr-FR"/>
        </w:rPr>
        <w:t>ns.  Le</w:t>
      </w:r>
      <w:r w:rsidRPr="001E4C00">
        <w:rPr>
          <w:lang w:val="fr-FR"/>
        </w:rPr>
        <w:t>s infrastructures et les équipements de radiodiffusion ont été endommagés ou détruits, et les journalistes sont confrontés à des risques lors de la collecte et de la préparation des informatio</w:t>
      </w:r>
      <w:r w:rsidR="00783939" w:rsidRPr="001E4C00">
        <w:rPr>
          <w:lang w:val="fr-FR"/>
        </w:rPr>
        <w:t>ns.  Le</w:t>
      </w:r>
      <w:r w:rsidRPr="001E4C00">
        <w:rPr>
          <w:lang w:val="fr-FR"/>
        </w:rPr>
        <w:t>s sociétés de radio ont également vu leurs recettes publicitaires diminuer et ont subi des interruptions dans la transmission des signa</w:t>
      </w:r>
      <w:r w:rsidR="00783939" w:rsidRPr="001E4C00">
        <w:rPr>
          <w:lang w:val="fr-FR"/>
        </w:rPr>
        <w:t>ux.  Il</w:t>
      </w:r>
      <w:r w:rsidRPr="001E4C00">
        <w:rPr>
          <w:lang w:val="fr-FR"/>
        </w:rPr>
        <w:t xml:space="preserve"> est nécessaire de </w:t>
      </w:r>
      <w:r w:rsidR="00A27865" w:rsidRPr="001E4C00">
        <w:rPr>
          <w:lang w:val="fr-FR"/>
        </w:rPr>
        <w:t xml:space="preserve">réparer </w:t>
      </w:r>
      <w:r w:rsidRPr="001E4C00">
        <w:rPr>
          <w:lang w:val="fr-FR"/>
        </w:rPr>
        <w:t>les équipements endommagés et d</w:t>
      </w:r>
      <w:r w:rsidR="008F70DE" w:rsidRPr="001E4C00">
        <w:rPr>
          <w:lang w:val="fr-FR"/>
        </w:rPr>
        <w:t>’</w:t>
      </w:r>
      <w:r w:rsidRPr="001E4C00">
        <w:rPr>
          <w:lang w:val="fr-FR"/>
        </w:rPr>
        <w:t>investir dans de nouvelles méthodologies d</w:t>
      </w:r>
      <w:r w:rsidR="008F70DE" w:rsidRPr="001E4C00">
        <w:rPr>
          <w:lang w:val="fr-FR"/>
        </w:rPr>
        <w:t>’</w:t>
      </w:r>
      <w:r w:rsidRPr="001E4C00">
        <w:rPr>
          <w:lang w:val="fr-FR"/>
        </w:rPr>
        <w:t>étude du marché des médias.</w:t>
      </w:r>
    </w:p>
    <w:p w:rsidR="001957C8" w:rsidRPr="001E4C00" w:rsidRDefault="001957C8" w:rsidP="007115E7">
      <w:pPr>
        <w:pStyle w:val="ONUMFS"/>
        <w:rPr>
          <w:lang w:val="fr-FR"/>
        </w:rPr>
      </w:pPr>
      <w:r w:rsidRPr="001E4C00">
        <w:rPr>
          <w:lang w:val="fr-FR"/>
        </w:rPr>
        <w:t>Comme indiqué dans les réponses, la guerre a également affecté de manière significative les artistes visuels ukrainiens, qui ont eu des difficultés à s</w:t>
      </w:r>
      <w:r w:rsidR="008F70DE" w:rsidRPr="001E4C00">
        <w:rPr>
          <w:lang w:val="fr-FR"/>
        </w:rPr>
        <w:t>’</w:t>
      </w:r>
      <w:r w:rsidRPr="001E4C00">
        <w:rPr>
          <w:lang w:val="fr-FR"/>
        </w:rPr>
        <w:t>adapter aux nouvelles conditio</w:t>
      </w:r>
      <w:r w:rsidR="00783939" w:rsidRPr="001E4C00">
        <w:rPr>
          <w:lang w:val="fr-FR"/>
        </w:rPr>
        <w:t>ns.  De</w:t>
      </w:r>
      <w:r w:rsidRPr="001E4C00">
        <w:rPr>
          <w:lang w:val="fr-FR"/>
        </w:rPr>
        <w:t>s facteurs tels que le manque d</w:t>
      </w:r>
      <w:r w:rsidR="008F70DE" w:rsidRPr="001E4C00">
        <w:rPr>
          <w:lang w:val="fr-FR"/>
        </w:rPr>
        <w:t>’</w:t>
      </w:r>
      <w:r w:rsidRPr="001E4C00">
        <w:rPr>
          <w:lang w:val="fr-FR"/>
        </w:rPr>
        <w:t xml:space="preserve">inspiration, des conditions psychologiques stressantes et des blessures personnelles ont </w:t>
      </w:r>
      <w:r w:rsidR="00A27865" w:rsidRPr="001E4C00">
        <w:rPr>
          <w:lang w:val="fr-FR"/>
        </w:rPr>
        <w:t xml:space="preserve">eu une incidence sur </w:t>
      </w:r>
      <w:r w:rsidRPr="001E4C00">
        <w:rPr>
          <w:lang w:val="fr-FR"/>
        </w:rPr>
        <w:t>leur production créati</w:t>
      </w:r>
      <w:r w:rsidR="00783939" w:rsidRPr="001E4C00">
        <w:rPr>
          <w:lang w:val="fr-FR"/>
        </w:rPr>
        <w:t>ve.  La</w:t>
      </w:r>
      <w:r w:rsidRPr="001E4C00">
        <w:rPr>
          <w:lang w:val="fr-FR"/>
        </w:rPr>
        <w:t xml:space="preserve"> plupart des artistes se sont concentrés sur des thèmes liés à la guerre, tout en constatant une diminution du nombre de nouvelles œuvres créé</w:t>
      </w:r>
      <w:r w:rsidR="00783939" w:rsidRPr="001E4C00">
        <w:rPr>
          <w:lang w:val="fr-FR"/>
        </w:rPr>
        <w:t>es.  Le</w:t>
      </w:r>
      <w:r w:rsidRPr="001E4C00">
        <w:rPr>
          <w:lang w:val="fr-FR"/>
        </w:rPr>
        <w:t>s prix élevés des matériaux, la perte de matériaux et d</w:t>
      </w:r>
      <w:r w:rsidR="008F70DE" w:rsidRPr="001E4C00">
        <w:rPr>
          <w:lang w:val="fr-FR"/>
        </w:rPr>
        <w:t>’</w:t>
      </w:r>
      <w:r w:rsidRPr="001E4C00">
        <w:rPr>
          <w:lang w:val="fr-FR"/>
        </w:rPr>
        <w:t>équipements, l</w:t>
      </w:r>
      <w:r w:rsidR="008F70DE" w:rsidRPr="001E4C00">
        <w:rPr>
          <w:lang w:val="fr-FR"/>
        </w:rPr>
        <w:t>’</w:t>
      </w:r>
      <w:r w:rsidRPr="001E4C00">
        <w:rPr>
          <w:lang w:val="fr-FR"/>
        </w:rPr>
        <w:t>impossibilité de louer des studios en raison d</w:t>
      </w:r>
      <w:r w:rsidR="008F70DE" w:rsidRPr="001E4C00">
        <w:rPr>
          <w:lang w:val="fr-FR"/>
        </w:rPr>
        <w:t>’</w:t>
      </w:r>
      <w:r w:rsidRPr="001E4C00">
        <w:rPr>
          <w:lang w:val="fr-FR"/>
        </w:rPr>
        <w:t xml:space="preserve">une augmentation significative des coûts de location et la diminution des </w:t>
      </w:r>
      <w:r w:rsidR="00A27865" w:rsidRPr="001E4C00">
        <w:rPr>
          <w:lang w:val="fr-FR"/>
        </w:rPr>
        <w:t xml:space="preserve">recettes </w:t>
      </w:r>
      <w:r w:rsidRPr="001E4C00">
        <w:rPr>
          <w:lang w:val="fr-FR"/>
        </w:rPr>
        <w:t>provenant de la vente d</w:t>
      </w:r>
      <w:r w:rsidR="008F70DE" w:rsidRPr="001E4C00">
        <w:rPr>
          <w:lang w:val="fr-FR"/>
        </w:rPr>
        <w:t>’</w:t>
      </w:r>
      <w:r w:rsidRPr="001E4C00">
        <w:rPr>
          <w:lang w:val="fr-FR"/>
        </w:rPr>
        <w:t>œuvres d</w:t>
      </w:r>
      <w:r w:rsidR="008F70DE" w:rsidRPr="001E4C00">
        <w:rPr>
          <w:lang w:val="fr-FR"/>
        </w:rPr>
        <w:t>’</w:t>
      </w:r>
      <w:r w:rsidRPr="001E4C00">
        <w:rPr>
          <w:lang w:val="fr-FR"/>
        </w:rPr>
        <w:t>art ont encore entravé leurs activités créativ</w:t>
      </w:r>
      <w:r w:rsidR="00783939" w:rsidRPr="001E4C00">
        <w:rPr>
          <w:lang w:val="fr-FR"/>
        </w:rPr>
        <w:t>es.  Ma</w:t>
      </w:r>
      <w:r w:rsidRPr="001E4C00">
        <w:rPr>
          <w:lang w:val="fr-FR"/>
        </w:rPr>
        <w:t>lgré l</w:t>
      </w:r>
      <w:r w:rsidR="008F70DE" w:rsidRPr="001E4C00">
        <w:rPr>
          <w:lang w:val="fr-FR"/>
        </w:rPr>
        <w:t>’</w:t>
      </w:r>
      <w:r w:rsidRPr="001E4C00">
        <w:rPr>
          <w:lang w:val="fr-FR"/>
        </w:rPr>
        <w:t>intérêt international accru pour l</w:t>
      </w:r>
      <w:r w:rsidR="008F70DE" w:rsidRPr="001E4C00">
        <w:rPr>
          <w:lang w:val="fr-FR"/>
        </w:rPr>
        <w:t>’</w:t>
      </w:r>
      <w:r w:rsidRPr="001E4C00">
        <w:rPr>
          <w:lang w:val="fr-FR"/>
        </w:rPr>
        <w:t>art ukrainien et la participation à des expositions à l</w:t>
      </w:r>
      <w:r w:rsidR="008F70DE" w:rsidRPr="001E4C00">
        <w:rPr>
          <w:lang w:val="fr-FR"/>
        </w:rPr>
        <w:t>’</w:t>
      </w:r>
      <w:r w:rsidRPr="001E4C00">
        <w:rPr>
          <w:lang w:val="fr-FR"/>
        </w:rPr>
        <w:t>étranger, les artistes ont des difficultés à exporter leurs œuvres et à accéder aux programmes de subventions.</w:t>
      </w:r>
    </w:p>
    <w:p w:rsidR="001957C8" w:rsidRPr="001E4C00" w:rsidRDefault="001957C8" w:rsidP="007115E7">
      <w:pPr>
        <w:pStyle w:val="ONUMFS"/>
        <w:rPr>
          <w:lang w:val="fr-FR"/>
        </w:rPr>
      </w:pPr>
      <w:r w:rsidRPr="001E4C00">
        <w:rPr>
          <w:lang w:val="fr-FR"/>
        </w:rPr>
        <w:t>Les représentants de l</w:t>
      </w:r>
      <w:r w:rsidR="008F70DE" w:rsidRPr="001E4C00">
        <w:rPr>
          <w:lang w:val="fr-FR"/>
        </w:rPr>
        <w:t>’</w:t>
      </w:r>
      <w:r w:rsidRPr="001E4C00">
        <w:rPr>
          <w:lang w:val="fr-FR"/>
        </w:rPr>
        <w:t>industrie musicale ont également fait état de l</w:t>
      </w:r>
      <w:r w:rsidR="008F70DE" w:rsidRPr="001E4C00">
        <w:rPr>
          <w:lang w:val="fr-FR"/>
        </w:rPr>
        <w:t>’</w:t>
      </w:r>
      <w:r w:rsidRPr="001E4C00">
        <w:rPr>
          <w:lang w:val="fr-FR"/>
        </w:rPr>
        <w:t xml:space="preserve">impact significatif de la guerre sur leur activité, en </w:t>
      </w:r>
      <w:r w:rsidR="00A27865" w:rsidRPr="001E4C00">
        <w:rPr>
          <w:lang w:val="fr-FR"/>
        </w:rPr>
        <w:t>mettant l</w:t>
      </w:r>
      <w:r w:rsidR="008F70DE" w:rsidRPr="001E4C00">
        <w:rPr>
          <w:lang w:val="fr-FR"/>
        </w:rPr>
        <w:t>’</w:t>
      </w:r>
      <w:r w:rsidR="00A27865" w:rsidRPr="001E4C00">
        <w:rPr>
          <w:lang w:val="fr-FR"/>
        </w:rPr>
        <w:t xml:space="preserve">accent sur </w:t>
      </w:r>
      <w:r w:rsidRPr="001E4C00">
        <w:rPr>
          <w:lang w:val="fr-FR"/>
        </w:rPr>
        <w:t>les facteurs suivants</w:t>
      </w:r>
      <w:r w:rsidR="008F70DE" w:rsidRPr="001E4C00">
        <w:rPr>
          <w:lang w:val="fr-FR"/>
        </w:rPr>
        <w:t> :</w:t>
      </w:r>
      <w:r w:rsidRPr="001E4C00">
        <w:rPr>
          <w:lang w:val="fr-FR"/>
        </w:rPr>
        <w:t xml:space="preserve"> l</w:t>
      </w:r>
      <w:r w:rsidR="008F70DE" w:rsidRPr="001E4C00">
        <w:rPr>
          <w:lang w:val="fr-FR"/>
        </w:rPr>
        <w:t>’</w:t>
      </w:r>
      <w:r w:rsidRPr="001E4C00">
        <w:rPr>
          <w:lang w:val="fr-FR"/>
        </w:rPr>
        <w:t>annulation de tous les concerts, festivals et autres événements prévus après le début de la guerre;  l</w:t>
      </w:r>
      <w:r w:rsidR="008F70DE" w:rsidRPr="001E4C00">
        <w:rPr>
          <w:lang w:val="fr-FR"/>
        </w:rPr>
        <w:t>’</w:t>
      </w:r>
      <w:r w:rsidRPr="001E4C00">
        <w:rPr>
          <w:lang w:val="fr-FR"/>
        </w:rPr>
        <w:t xml:space="preserve">impossibilité pour les auteurs et les interprètes de mener des activités créatives pendant deux à six mois après le début de la guerre, en raison de la nécessité de faire du bénévolat lié aux efforts de guerre, de rejoindre les forces de défense ou de préoccupations morales, </w:t>
      </w:r>
      <w:r w:rsidR="008F70DE" w:rsidRPr="001E4C00">
        <w:rPr>
          <w:lang w:val="fr-FR"/>
        </w:rPr>
        <w:t>y compris</w:t>
      </w:r>
      <w:r w:rsidRPr="001E4C00">
        <w:rPr>
          <w:lang w:val="fr-FR"/>
        </w:rPr>
        <w:t xml:space="preserve"> le sentiment qu</w:t>
      </w:r>
      <w:r w:rsidR="008F70DE" w:rsidRPr="001E4C00">
        <w:rPr>
          <w:lang w:val="fr-FR"/>
        </w:rPr>
        <w:t>’</w:t>
      </w:r>
      <w:r w:rsidRPr="001E4C00">
        <w:rPr>
          <w:lang w:val="fr-FR"/>
        </w:rPr>
        <w:t>il n</w:t>
      </w:r>
      <w:r w:rsidR="008F70DE" w:rsidRPr="001E4C00">
        <w:rPr>
          <w:lang w:val="fr-FR"/>
        </w:rPr>
        <w:t>’</w:t>
      </w:r>
      <w:r w:rsidRPr="001E4C00">
        <w:rPr>
          <w:lang w:val="fr-FR"/>
        </w:rPr>
        <w:t xml:space="preserve">est pas approprié de </w:t>
      </w:r>
      <w:r w:rsidR="00A27865" w:rsidRPr="001E4C00">
        <w:rPr>
          <w:lang w:val="fr-FR"/>
        </w:rPr>
        <w:t xml:space="preserve">créer </w:t>
      </w:r>
      <w:r w:rsidRPr="001E4C00">
        <w:rPr>
          <w:lang w:val="fr-FR"/>
        </w:rPr>
        <w:t>de la musique et d</w:t>
      </w:r>
      <w:r w:rsidR="008F70DE" w:rsidRPr="001E4C00">
        <w:rPr>
          <w:lang w:val="fr-FR"/>
        </w:rPr>
        <w:t>’</w:t>
      </w:r>
      <w:r w:rsidRPr="001E4C00">
        <w:rPr>
          <w:lang w:val="fr-FR"/>
        </w:rPr>
        <w:t>écrire des chansons en pleine guerre, la suspension des studios d</w:t>
      </w:r>
      <w:r w:rsidR="008F70DE" w:rsidRPr="001E4C00">
        <w:rPr>
          <w:lang w:val="fr-FR"/>
        </w:rPr>
        <w:t>’</w:t>
      </w:r>
      <w:r w:rsidRPr="001E4C00">
        <w:rPr>
          <w:lang w:val="fr-FR"/>
        </w:rPr>
        <w:t>enregistrement et la réinstallation des membres de l</w:t>
      </w:r>
      <w:r w:rsidR="008F70DE" w:rsidRPr="001E4C00">
        <w:rPr>
          <w:lang w:val="fr-FR"/>
        </w:rPr>
        <w:t>’</w:t>
      </w:r>
      <w:r w:rsidRPr="001E4C00">
        <w:rPr>
          <w:lang w:val="fr-FR"/>
        </w:rPr>
        <w:t>équipe créative dans différentes villes et différents pa</w:t>
      </w:r>
      <w:r w:rsidR="00783939" w:rsidRPr="001E4C00">
        <w:rPr>
          <w:lang w:val="fr-FR"/>
        </w:rPr>
        <w:t>ys.  Le</w:t>
      </w:r>
      <w:r w:rsidRPr="001E4C00">
        <w:rPr>
          <w:lang w:val="fr-FR"/>
        </w:rPr>
        <w:t xml:space="preserve"> nombre d</w:t>
      </w:r>
      <w:r w:rsidR="008F70DE" w:rsidRPr="001E4C00">
        <w:rPr>
          <w:lang w:val="fr-FR"/>
        </w:rPr>
        <w:t>’</w:t>
      </w:r>
      <w:r w:rsidRPr="001E4C00">
        <w:rPr>
          <w:lang w:val="fr-FR"/>
        </w:rPr>
        <w:t>œuvres créées après le 24 février 2022 a diminué de 80 à 90% pour tous les répondan</w:t>
      </w:r>
      <w:r w:rsidR="00783939" w:rsidRPr="001E4C00">
        <w:rPr>
          <w:lang w:val="fr-FR"/>
        </w:rPr>
        <w:t>ts.  Al</w:t>
      </w:r>
      <w:r w:rsidRPr="001E4C00">
        <w:rPr>
          <w:lang w:val="fr-FR"/>
        </w:rPr>
        <w:t xml:space="preserve">ors que la demande de musique des </w:t>
      </w:r>
      <w:r w:rsidR="00C22FC9" w:rsidRPr="001E4C00">
        <w:rPr>
          <w:lang w:val="fr-FR"/>
        </w:rPr>
        <w:t xml:space="preserve">personnes interrogées </w:t>
      </w:r>
      <w:r w:rsidRPr="001E4C00">
        <w:rPr>
          <w:lang w:val="fr-FR"/>
        </w:rPr>
        <w:t>a été multipliée cinq à sept</w:t>
      </w:r>
      <w:r w:rsidR="00C22FC9" w:rsidRPr="001E4C00">
        <w:rPr>
          <w:lang w:val="fr-FR"/>
        </w:rPr>
        <w:t xml:space="preserve"> fois</w:t>
      </w:r>
      <w:r w:rsidRPr="001E4C00">
        <w:rPr>
          <w:lang w:val="fr-FR"/>
        </w:rPr>
        <w:t>, contribuant à la monétisation de la musique ukrainienne sur les plateformes numériques, les revenus des activités de concert ont diminué en moyenne de 65 à 90%.  La plupart des personnes interrogées ont fait état d</w:t>
      </w:r>
      <w:r w:rsidR="008F70DE" w:rsidRPr="001E4C00">
        <w:rPr>
          <w:lang w:val="fr-FR"/>
        </w:rPr>
        <w:t>’</w:t>
      </w:r>
      <w:r w:rsidRPr="001E4C00">
        <w:rPr>
          <w:lang w:val="fr-FR"/>
        </w:rPr>
        <w:t>une baisse de revenus par rapport à la période d</w:t>
      </w:r>
      <w:r w:rsidR="008F70DE" w:rsidRPr="001E4C00">
        <w:rPr>
          <w:lang w:val="fr-FR"/>
        </w:rPr>
        <w:t>’</w:t>
      </w:r>
      <w:r w:rsidRPr="001E4C00">
        <w:rPr>
          <w:lang w:val="fr-FR"/>
        </w:rPr>
        <w:t>avant</w:t>
      </w:r>
      <w:r w:rsidR="0091158D">
        <w:rPr>
          <w:lang w:val="fr-FR"/>
        </w:rPr>
        <w:noBreakHyphen/>
      </w:r>
      <w:r w:rsidRPr="001E4C00">
        <w:rPr>
          <w:lang w:val="fr-FR"/>
        </w:rPr>
        <w:t>guerre.</w:t>
      </w:r>
    </w:p>
    <w:p w:rsidR="001957C8" w:rsidRPr="001E4C00" w:rsidRDefault="001957C8" w:rsidP="007115E7">
      <w:pPr>
        <w:pStyle w:val="ONUMFS"/>
        <w:rPr>
          <w:lang w:val="fr-FR"/>
        </w:rPr>
      </w:pPr>
      <w:r w:rsidRPr="001E4C00">
        <w:rPr>
          <w:lang w:val="fr-FR"/>
        </w:rPr>
        <w:t>La guerre a également eu des répercussions sur l</w:t>
      </w:r>
      <w:r w:rsidR="008F70DE" w:rsidRPr="001E4C00">
        <w:rPr>
          <w:lang w:val="fr-FR"/>
        </w:rPr>
        <w:t>’</w:t>
      </w:r>
      <w:r w:rsidRPr="001E4C00">
        <w:rPr>
          <w:lang w:val="fr-FR"/>
        </w:rPr>
        <w:t>industrie de l</w:t>
      </w:r>
      <w:r w:rsidR="008F70DE" w:rsidRPr="001E4C00">
        <w:rPr>
          <w:lang w:val="fr-FR"/>
        </w:rPr>
        <w:t>’</w:t>
      </w:r>
      <w:r w:rsidRPr="001E4C00">
        <w:rPr>
          <w:lang w:val="fr-FR"/>
        </w:rPr>
        <w:t>édition en Ukraine, avec une diminution significative du nombre d</w:t>
      </w:r>
      <w:r w:rsidR="008F70DE" w:rsidRPr="001E4C00">
        <w:rPr>
          <w:lang w:val="fr-FR"/>
        </w:rPr>
        <w:t>’</w:t>
      </w:r>
      <w:r w:rsidRPr="001E4C00">
        <w:rPr>
          <w:lang w:val="fr-FR"/>
        </w:rPr>
        <w:t>éditeurs</w:t>
      </w:r>
      <w:r w:rsidR="00C22FC9" w:rsidRPr="001E4C00">
        <w:rPr>
          <w:lang w:val="fr-FR"/>
        </w:rPr>
        <w:t xml:space="preserve"> et</w:t>
      </w:r>
      <w:r w:rsidRPr="001E4C00">
        <w:rPr>
          <w:lang w:val="fr-FR"/>
        </w:rPr>
        <w:t xml:space="preserve"> de titres publiés</w:t>
      </w:r>
      <w:r w:rsidR="00C22FC9" w:rsidRPr="001E4C00">
        <w:rPr>
          <w:lang w:val="fr-FR"/>
        </w:rPr>
        <w:t>,</w:t>
      </w:r>
      <w:r w:rsidRPr="001E4C00">
        <w:rPr>
          <w:lang w:val="fr-FR"/>
        </w:rPr>
        <w:t xml:space="preserve"> </w:t>
      </w:r>
      <w:r w:rsidR="00C22FC9" w:rsidRPr="001E4C00">
        <w:rPr>
          <w:lang w:val="fr-FR"/>
        </w:rPr>
        <w:t xml:space="preserve">ainsi que </w:t>
      </w:r>
      <w:r w:rsidRPr="001E4C00">
        <w:rPr>
          <w:lang w:val="fr-FR"/>
        </w:rPr>
        <w:t>de la diffusi</w:t>
      </w:r>
      <w:r w:rsidR="00783939" w:rsidRPr="001E4C00">
        <w:rPr>
          <w:lang w:val="fr-FR"/>
        </w:rPr>
        <w:t>on.  Le</w:t>
      </w:r>
      <w:r w:rsidRPr="001E4C00">
        <w:rPr>
          <w:lang w:val="fr-FR"/>
        </w:rPr>
        <w:t>s difficultés rencontrées par les éditeurs sont notamment la sécurité des employés, la nécessité de travailler à distance, la protection physique des livres existants, l</w:t>
      </w:r>
      <w:r w:rsidR="008F70DE" w:rsidRPr="001E4C00">
        <w:rPr>
          <w:lang w:val="fr-FR"/>
        </w:rPr>
        <w:t>’</w:t>
      </w:r>
      <w:r w:rsidRPr="001E4C00">
        <w:rPr>
          <w:lang w:val="fr-FR"/>
        </w:rPr>
        <w:t>augmentation des coûts, la baisse des ventes de livres, les fermetures de librairies, l</w:t>
      </w:r>
      <w:r w:rsidR="008F70DE" w:rsidRPr="001E4C00">
        <w:rPr>
          <w:lang w:val="fr-FR"/>
        </w:rPr>
        <w:t>’</w:t>
      </w:r>
      <w:r w:rsidRPr="001E4C00">
        <w:rPr>
          <w:lang w:val="fr-FR"/>
        </w:rPr>
        <w:t>exode des lecteurs et les pannes de coura</w:t>
      </w:r>
      <w:r w:rsidR="00783939" w:rsidRPr="001E4C00">
        <w:rPr>
          <w:lang w:val="fr-FR"/>
        </w:rPr>
        <w:t>nt.  Qu</w:t>
      </w:r>
      <w:r w:rsidRPr="001E4C00">
        <w:rPr>
          <w:lang w:val="fr-FR"/>
        </w:rPr>
        <w:t>elque 30% des éditeurs ont perdu leur capacité de production</w:t>
      </w:r>
      <w:r w:rsidRPr="001E4C00">
        <w:rPr>
          <w:vertAlign w:val="superscript"/>
          <w:lang w:val="fr-FR" w:eastAsia="en-US"/>
        </w:rPr>
        <w:footnoteReference w:id="26"/>
      </w:r>
      <w:r w:rsidRPr="001E4C00">
        <w:rPr>
          <w:lang w:val="fr-FR"/>
        </w:rPr>
        <w:t>, ce qui a entraîné une baisse substantielle de leurs reven</w:t>
      </w:r>
      <w:r w:rsidR="00783939" w:rsidRPr="001E4C00">
        <w:rPr>
          <w:lang w:val="fr-FR"/>
        </w:rPr>
        <w:t>us.  L’a</w:t>
      </w:r>
      <w:r w:rsidRPr="001E4C00">
        <w:rPr>
          <w:lang w:val="fr-FR"/>
        </w:rPr>
        <w:t>ide à la publication d</w:t>
      </w:r>
      <w:r w:rsidR="008F70DE" w:rsidRPr="001E4C00">
        <w:rPr>
          <w:lang w:val="fr-FR"/>
        </w:rPr>
        <w:t>’</w:t>
      </w:r>
      <w:r w:rsidRPr="001E4C00">
        <w:rPr>
          <w:lang w:val="fr-FR"/>
        </w:rPr>
        <w:t>ouvrages éducatifs est une priorité, car la guerre a endommagé les collections de livres de nombreux établissements d</w:t>
      </w:r>
      <w:r w:rsidR="008F70DE" w:rsidRPr="001E4C00">
        <w:rPr>
          <w:lang w:val="fr-FR"/>
        </w:rPr>
        <w:t>’</w:t>
      </w:r>
      <w:r w:rsidRPr="001E4C00">
        <w:rPr>
          <w:lang w:val="fr-FR"/>
        </w:rPr>
        <w:t>enseignement.</w:t>
      </w:r>
    </w:p>
    <w:p w:rsidR="001957C8" w:rsidRPr="006B17A0" w:rsidRDefault="001957C8" w:rsidP="007115E7">
      <w:pPr>
        <w:pStyle w:val="ONUMFS"/>
        <w:rPr>
          <w:spacing w:val="-2"/>
          <w:lang w:val="fr-FR"/>
        </w:rPr>
      </w:pPr>
      <w:r w:rsidRPr="006B17A0">
        <w:rPr>
          <w:spacing w:val="-2"/>
          <w:lang w:val="fr-FR"/>
        </w:rPr>
        <w:t>La production de films pendant la guerre a été considérablement entrav</w:t>
      </w:r>
      <w:r w:rsidR="00783939" w:rsidRPr="006B17A0">
        <w:rPr>
          <w:spacing w:val="-2"/>
          <w:lang w:val="fr-FR"/>
        </w:rPr>
        <w:t>ée.  Le</w:t>
      </w:r>
      <w:r w:rsidRPr="006B17A0">
        <w:rPr>
          <w:spacing w:val="-2"/>
          <w:lang w:val="fr-FR"/>
        </w:rPr>
        <w:t>s participants à l</w:t>
      </w:r>
      <w:r w:rsidR="008F70DE" w:rsidRPr="006B17A0">
        <w:rPr>
          <w:spacing w:val="-2"/>
          <w:lang w:val="fr-FR"/>
        </w:rPr>
        <w:t>’</w:t>
      </w:r>
      <w:r w:rsidRPr="006B17A0">
        <w:rPr>
          <w:spacing w:val="-2"/>
          <w:lang w:val="fr-FR"/>
        </w:rPr>
        <w:t>enquête ont cité les principaux défis auxquels est confrontée l</w:t>
      </w:r>
      <w:r w:rsidR="008F70DE" w:rsidRPr="006B17A0">
        <w:rPr>
          <w:spacing w:val="-2"/>
          <w:lang w:val="fr-FR"/>
        </w:rPr>
        <w:t>’</w:t>
      </w:r>
      <w:r w:rsidRPr="006B17A0">
        <w:rPr>
          <w:spacing w:val="-2"/>
          <w:lang w:val="fr-FR"/>
        </w:rPr>
        <w:t>industrie cinématographique</w:t>
      </w:r>
      <w:r w:rsidR="008F70DE" w:rsidRPr="006B17A0">
        <w:rPr>
          <w:spacing w:val="-2"/>
          <w:lang w:val="fr-FR"/>
        </w:rPr>
        <w:t> :</w:t>
      </w:r>
      <w:r w:rsidRPr="006B17A0">
        <w:rPr>
          <w:spacing w:val="-2"/>
          <w:lang w:val="fr-FR"/>
        </w:rPr>
        <w:t xml:space="preserve"> l</w:t>
      </w:r>
      <w:r w:rsidR="008F70DE" w:rsidRPr="006B17A0">
        <w:rPr>
          <w:spacing w:val="-2"/>
          <w:lang w:val="fr-FR"/>
        </w:rPr>
        <w:t>’</w:t>
      </w:r>
      <w:r w:rsidRPr="006B17A0">
        <w:rPr>
          <w:spacing w:val="-2"/>
          <w:lang w:val="fr-FR"/>
        </w:rPr>
        <w:t>incapacité d</w:t>
      </w:r>
      <w:r w:rsidR="008F70DE" w:rsidRPr="006B17A0">
        <w:rPr>
          <w:spacing w:val="-2"/>
          <w:lang w:val="fr-FR"/>
        </w:rPr>
        <w:t>’</w:t>
      </w:r>
      <w:r w:rsidRPr="006B17A0">
        <w:rPr>
          <w:spacing w:val="-2"/>
          <w:lang w:val="fr-FR"/>
        </w:rPr>
        <w:t>attirer des investissements en raison de l</w:t>
      </w:r>
      <w:r w:rsidR="008F70DE" w:rsidRPr="006B17A0">
        <w:rPr>
          <w:spacing w:val="-2"/>
          <w:lang w:val="fr-FR"/>
        </w:rPr>
        <w:t>’</w:t>
      </w:r>
      <w:r w:rsidRPr="006B17A0">
        <w:rPr>
          <w:spacing w:val="-2"/>
          <w:lang w:val="fr-FR"/>
        </w:rPr>
        <w:t>impossibilité de fournir une assurance contre les innombrables risques de la guerre;  une réduction significative du nombre d</w:t>
      </w:r>
      <w:r w:rsidR="008F70DE" w:rsidRPr="006B17A0">
        <w:rPr>
          <w:spacing w:val="-2"/>
          <w:lang w:val="fr-FR"/>
        </w:rPr>
        <w:t>’</w:t>
      </w:r>
      <w:r w:rsidRPr="006B17A0">
        <w:rPr>
          <w:spacing w:val="-2"/>
          <w:lang w:val="fr-FR"/>
        </w:rPr>
        <w:t>employés (50 à 70%);  l</w:t>
      </w:r>
      <w:r w:rsidR="008F70DE" w:rsidRPr="006B17A0">
        <w:rPr>
          <w:spacing w:val="-2"/>
          <w:lang w:val="fr-FR"/>
        </w:rPr>
        <w:t>’</w:t>
      </w:r>
      <w:r w:rsidRPr="006B17A0">
        <w:rPr>
          <w:spacing w:val="-2"/>
          <w:lang w:val="fr-FR"/>
        </w:rPr>
        <w:t>impossibilité d</w:t>
      </w:r>
      <w:r w:rsidR="008F70DE" w:rsidRPr="006B17A0">
        <w:rPr>
          <w:spacing w:val="-2"/>
          <w:lang w:val="fr-FR"/>
        </w:rPr>
        <w:t>’</w:t>
      </w:r>
      <w:r w:rsidRPr="006B17A0">
        <w:rPr>
          <w:spacing w:val="-2"/>
          <w:lang w:val="fr-FR"/>
        </w:rPr>
        <w:t>accéder à de nombreux lieux de tournage en raison de la guerre;  la disparition du segment du divertissement sur le marché de la télévision;  et la destruction et l</w:t>
      </w:r>
      <w:r w:rsidR="008F70DE" w:rsidRPr="006B17A0">
        <w:rPr>
          <w:spacing w:val="-2"/>
          <w:lang w:val="fr-FR"/>
        </w:rPr>
        <w:t>’</w:t>
      </w:r>
      <w:r w:rsidRPr="006B17A0">
        <w:rPr>
          <w:spacing w:val="-2"/>
          <w:lang w:val="fr-FR"/>
        </w:rPr>
        <w:t>endommagement des salles de ciné</w:t>
      </w:r>
      <w:r w:rsidR="00783939" w:rsidRPr="006B17A0">
        <w:rPr>
          <w:spacing w:val="-2"/>
          <w:lang w:val="fr-FR"/>
        </w:rPr>
        <w:t>ma.  Se</w:t>
      </w:r>
      <w:r w:rsidRPr="006B17A0">
        <w:rPr>
          <w:spacing w:val="-2"/>
          <w:lang w:val="fr-FR"/>
        </w:rPr>
        <w:t>lon l</w:t>
      </w:r>
      <w:r w:rsidR="008F70DE" w:rsidRPr="006B17A0">
        <w:rPr>
          <w:spacing w:val="-2"/>
          <w:lang w:val="fr-FR"/>
        </w:rPr>
        <w:t>’</w:t>
      </w:r>
      <w:r w:rsidRPr="006B17A0">
        <w:rPr>
          <w:spacing w:val="-2"/>
          <w:lang w:val="fr-FR"/>
        </w:rPr>
        <w:t>Agence nationale ukrainienne du cinéma, 16 films ont été achevés avec l</w:t>
      </w:r>
      <w:r w:rsidR="008F70DE" w:rsidRPr="006B17A0">
        <w:rPr>
          <w:spacing w:val="-2"/>
          <w:lang w:val="fr-FR"/>
        </w:rPr>
        <w:t>’</w:t>
      </w:r>
      <w:r w:rsidRPr="006B17A0">
        <w:rPr>
          <w:spacing w:val="-2"/>
          <w:lang w:val="fr-FR"/>
        </w:rPr>
        <w:t>aide de l</w:t>
      </w:r>
      <w:r w:rsidR="008F70DE" w:rsidRPr="006B17A0">
        <w:rPr>
          <w:spacing w:val="-2"/>
          <w:lang w:val="fr-FR"/>
        </w:rPr>
        <w:t>’</w:t>
      </w:r>
      <w:r w:rsidRPr="006B17A0">
        <w:rPr>
          <w:spacing w:val="-2"/>
          <w:lang w:val="fr-FR"/>
        </w:rPr>
        <w:t>État en Ukraine en 2022</w:t>
      </w:r>
      <w:r w:rsidRPr="006B17A0">
        <w:rPr>
          <w:spacing w:val="-2"/>
          <w:vertAlign w:val="superscript"/>
          <w:lang w:val="fr-FR" w:eastAsia="en-US"/>
        </w:rPr>
        <w:footnoteReference w:id="27"/>
      </w:r>
      <w:r w:rsidRPr="006B17A0">
        <w:rPr>
          <w:spacing w:val="-2"/>
          <w:lang w:val="fr-FR"/>
        </w:rPr>
        <w:t>.  Il n</w:t>
      </w:r>
      <w:r w:rsidR="008F70DE" w:rsidRPr="006B17A0">
        <w:rPr>
          <w:spacing w:val="-2"/>
          <w:lang w:val="fr-FR"/>
        </w:rPr>
        <w:t>’</w:t>
      </w:r>
      <w:r w:rsidRPr="006B17A0">
        <w:rPr>
          <w:spacing w:val="-2"/>
          <w:lang w:val="fr-FR"/>
        </w:rPr>
        <w:t xml:space="preserve">existe pas de statistiques systématiques sur les recettes </w:t>
      </w:r>
      <w:r w:rsidR="00C22FC9" w:rsidRPr="006B17A0">
        <w:rPr>
          <w:spacing w:val="-2"/>
          <w:lang w:val="fr-FR"/>
        </w:rPr>
        <w:t xml:space="preserve">tirées </w:t>
      </w:r>
      <w:r w:rsidRPr="006B17A0">
        <w:rPr>
          <w:spacing w:val="-2"/>
          <w:lang w:val="fr-FR"/>
        </w:rPr>
        <w:t>des projections de films en Ukraine.  L</w:t>
      </w:r>
      <w:r w:rsidR="008F70DE" w:rsidRPr="006B17A0">
        <w:rPr>
          <w:spacing w:val="-2"/>
          <w:lang w:val="fr-FR"/>
        </w:rPr>
        <w:t>’</w:t>
      </w:r>
      <w:r w:rsidRPr="006B17A0">
        <w:rPr>
          <w:spacing w:val="-2"/>
          <w:lang w:val="fr-FR"/>
        </w:rPr>
        <w:t>Agence nationale ukrainienne du cinéma publie des informations sur les recettes des films individuels, qui ne couvrent que partiellement la situation et ne permettent pas d</w:t>
      </w:r>
      <w:r w:rsidR="008F70DE" w:rsidRPr="006B17A0">
        <w:rPr>
          <w:spacing w:val="-2"/>
          <w:lang w:val="fr-FR"/>
        </w:rPr>
        <w:t>’</w:t>
      </w:r>
      <w:r w:rsidRPr="006B17A0">
        <w:rPr>
          <w:spacing w:val="-2"/>
          <w:lang w:val="fr-FR"/>
        </w:rPr>
        <w:t>effectuer des calculs précis ni des comparaisons avec la période d</w:t>
      </w:r>
      <w:r w:rsidR="008F70DE" w:rsidRPr="006B17A0">
        <w:rPr>
          <w:spacing w:val="-2"/>
          <w:lang w:val="fr-FR"/>
        </w:rPr>
        <w:t>’</w:t>
      </w:r>
      <w:r w:rsidRPr="006B17A0">
        <w:rPr>
          <w:spacing w:val="-2"/>
          <w:lang w:val="fr-FR"/>
        </w:rPr>
        <w:t>avant</w:t>
      </w:r>
      <w:r w:rsidR="0091158D" w:rsidRPr="006B17A0">
        <w:rPr>
          <w:spacing w:val="-2"/>
          <w:lang w:val="fr-FR"/>
        </w:rPr>
        <w:noBreakHyphen/>
      </w:r>
      <w:r w:rsidRPr="006B17A0">
        <w:rPr>
          <w:spacing w:val="-2"/>
          <w:lang w:val="fr-FR"/>
        </w:rPr>
        <w:t>guer</w:t>
      </w:r>
      <w:r w:rsidR="00783939" w:rsidRPr="006B17A0">
        <w:rPr>
          <w:spacing w:val="-2"/>
          <w:lang w:val="fr-FR"/>
        </w:rPr>
        <w:t>re.  D’a</w:t>
      </w:r>
      <w:r w:rsidRPr="006B17A0">
        <w:rPr>
          <w:spacing w:val="-2"/>
          <w:lang w:val="fr-FR"/>
        </w:rPr>
        <w:t>près les réponses à l</w:t>
      </w:r>
      <w:r w:rsidR="008F70DE" w:rsidRPr="006B17A0">
        <w:rPr>
          <w:spacing w:val="-2"/>
          <w:lang w:val="fr-FR"/>
        </w:rPr>
        <w:t>’</w:t>
      </w:r>
      <w:r w:rsidRPr="006B17A0">
        <w:rPr>
          <w:spacing w:val="-2"/>
          <w:lang w:val="fr-FR"/>
        </w:rPr>
        <w:t>enquête, les personnes interrogées ont connu une baisse significative de leurs revenus.</w:t>
      </w:r>
    </w:p>
    <w:p w:rsidR="001957C8" w:rsidRPr="006B17A0" w:rsidRDefault="001957C8" w:rsidP="007115E7">
      <w:pPr>
        <w:pStyle w:val="ONUMFS"/>
        <w:rPr>
          <w:spacing w:val="-2"/>
          <w:lang w:val="fr-FR"/>
        </w:rPr>
      </w:pPr>
      <w:r w:rsidRPr="006B17A0">
        <w:rPr>
          <w:spacing w:val="-2"/>
          <w:lang w:val="fr-FR"/>
        </w:rPr>
        <w:t>Comme l</w:t>
      </w:r>
      <w:r w:rsidR="008F70DE" w:rsidRPr="006B17A0">
        <w:rPr>
          <w:spacing w:val="-2"/>
          <w:lang w:val="fr-FR"/>
        </w:rPr>
        <w:t>’</w:t>
      </w:r>
      <w:r w:rsidRPr="006B17A0">
        <w:rPr>
          <w:spacing w:val="-2"/>
          <w:lang w:val="fr-FR"/>
        </w:rPr>
        <w:t>ont signalé les organisations de gestion collective, leur situation s</w:t>
      </w:r>
      <w:r w:rsidR="008F70DE" w:rsidRPr="006B17A0">
        <w:rPr>
          <w:spacing w:val="-2"/>
          <w:lang w:val="fr-FR"/>
        </w:rPr>
        <w:t>’</w:t>
      </w:r>
      <w:r w:rsidRPr="006B17A0">
        <w:rPr>
          <w:spacing w:val="-2"/>
          <w:lang w:val="fr-FR"/>
        </w:rPr>
        <w:t>est détériorée peu avant le déclenchement de la guer</w:t>
      </w:r>
      <w:r w:rsidR="00783939" w:rsidRPr="006B17A0">
        <w:rPr>
          <w:spacing w:val="-2"/>
          <w:lang w:val="fr-FR"/>
        </w:rPr>
        <w:t>re.  Le</w:t>
      </w:r>
      <w:r w:rsidRPr="006B17A0">
        <w:rPr>
          <w:spacing w:val="-2"/>
          <w:lang w:val="fr-FR"/>
        </w:rPr>
        <w:t xml:space="preserve"> 13 février 2022, une loi entrée en vigueur a annulé la décision d</w:t>
      </w:r>
      <w:r w:rsidR="008F70DE" w:rsidRPr="006B17A0">
        <w:rPr>
          <w:spacing w:val="-2"/>
          <w:lang w:val="fr-FR"/>
        </w:rPr>
        <w:t>’</w:t>
      </w:r>
      <w:r w:rsidRPr="006B17A0">
        <w:rPr>
          <w:spacing w:val="-2"/>
          <w:lang w:val="fr-FR"/>
        </w:rPr>
        <w:t xml:space="preserve">accréditer </w:t>
      </w:r>
      <w:r w:rsidR="00C22FC9" w:rsidRPr="006B17A0">
        <w:rPr>
          <w:spacing w:val="-2"/>
          <w:lang w:val="fr-FR"/>
        </w:rPr>
        <w:t xml:space="preserve">des </w:t>
      </w:r>
      <w:r w:rsidRPr="006B17A0">
        <w:rPr>
          <w:spacing w:val="-2"/>
          <w:lang w:val="fr-FR"/>
        </w:rPr>
        <w:t>organisations de gestion collective dans les domaines suivants de la gestion élargie</w:t>
      </w:r>
      <w:r w:rsidR="008F70DE" w:rsidRPr="006B17A0">
        <w:rPr>
          <w:spacing w:val="-2"/>
          <w:lang w:val="fr-FR"/>
        </w:rPr>
        <w:t> :</w:t>
      </w:r>
      <w:r w:rsidRPr="006B17A0">
        <w:rPr>
          <w:spacing w:val="-2"/>
          <w:lang w:val="fr-FR"/>
        </w:rPr>
        <w:t xml:space="preserve"> exécution publique d</w:t>
      </w:r>
      <w:r w:rsidR="008F70DE" w:rsidRPr="006B17A0">
        <w:rPr>
          <w:spacing w:val="-2"/>
          <w:lang w:val="fr-FR"/>
        </w:rPr>
        <w:t>’</w:t>
      </w:r>
      <w:r w:rsidRPr="006B17A0">
        <w:rPr>
          <w:spacing w:val="-2"/>
          <w:lang w:val="fr-FR"/>
        </w:rPr>
        <w:t>œuvres musicales non dramatiques et communication au public d</w:t>
      </w:r>
      <w:r w:rsidR="008F70DE" w:rsidRPr="006B17A0">
        <w:rPr>
          <w:spacing w:val="-2"/>
          <w:lang w:val="fr-FR"/>
        </w:rPr>
        <w:t>’</w:t>
      </w:r>
      <w:r w:rsidRPr="006B17A0">
        <w:rPr>
          <w:spacing w:val="-2"/>
          <w:lang w:val="fr-FR"/>
        </w:rPr>
        <w:t>œuvres musicales non dramatiques</w:t>
      </w:r>
      <w:r w:rsidRPr="006B17A0">
        <w:rPr>
          <w:spacing w:val="-2"/>
          <w:vertAlign w:val="superscript"/>
          <w:lang w:val="fr-FR" w:eastAsia="en-US"/>
        </w:rPr>
        <w:footnoteReference w:id="28"/>
      </w:r>
      <w:r w:rsidRPr="006B17A0">
        <w:rPr>
          <w:spacing w:val="-2"/>
          <w:lang w:val="fr-FR"/>
        </w:rPr>
        <w:t>.  En raison de la guerre, l</w:t>
      </w:r>
      <w:r w:rsidR="008F70DE" w:rsidRPr="006B17A0">
        <w:rPr>
          <w:spacing w:val="-2"/>
          <w:lang w:val="fr-FR"/>
        </w:rPr>
        <w:t>’</w:t>
      </w:r>
      <w:r w:rsidRPr="006B17A0">
        <w:rPr>
          <w:spacing w:val="-2"/>
          <w:lang w:val="fr-FR"/>
        </w:rPr>
        <w:t>accréditation n</w:t>
      </w:r>
      <w:r w:rsidR="008F70DE" w:rsidRPr="006B17A0">
        <w:rPr>
          <w:spacing w:val="-2"/>
          <w:lang w:val="fr-FR"/>
        </w:rPr>
        <w:t>’</w:t>
      </w:r>
      <w:r w:rsidRPr="006B17A0">
        <w:rPr>
          <w:spacing w:val="-2"/>
          <w:lang w:val="fr-FR"/>
        </w:rPr>
        <w:t>a pas eu li</w:t>
      </w:r>
      <w:r w:rsidR="00783939" w:rsidRPr="006B17A0">
        <w:rPr>
          <w:spacing w:val="-2"/>
          <w:lang w:val="fr-FR"/>
        </w:rPr>
        <w:t>eu.  Da</w:t>
      </w:r>
      <w:r w:rsidRPr="006B17A0">
        <w:rPr>
          <w:spacing w:val="-2"/>
          <w:lang w:val="fr-FR"/>
        </w:rPr>
        <w:t>ns le même temps, il était prévu qu</w:t>
      </w:r>
      <w:r w:rsidR="008F70DE" w:rsidRPr="006B17A0">
        <w:rPr>
          <w:spacing w:val="-2"/>
          <w:lang w:val="fr-FR"/>
        </w:rPr>
        <w:t>’</w:t>
      </w:r>
      <w:r w:rsidRPr="006B17A0">
        <w:rPr>
          <w:spacing w:val="-2"/>
          <w:lang w:val="fr-FR"/>
        </w:rPr>
        <w:t xml:space="preserve">au 13 avril 2022, </w:t>
      </w:r>
      <w:r w:rsidR="00C22FC9" w:rsidRPr="006B17A0">
        <w:rPr>
          <w:spacing w:val="-2"/>
          <w:lang w:val="fr-FR"/>
        </w:rPr>
        <w:t xml:space="preserve">des </w:t>
      </w:r>
      <w:r w:rsidRPr="006B17A0">
        <w:rPr>
          <w:spacing w:val="-2"/>
          <w:lang w:val="fr-FR"/>
        </w:rPr>
        <w:t>appels d</w:t>
      </w:r>
      <w:r w:rsidR="008F70DE" w:rsidRPr="006B17A0">
        <w:rPr>
          <w:spacing w:val="-2"/>
          <w:lang w:val="fr-FR"/>
        </w:rPr>
        <w:t>’</w:t>
      </w:r>
      <w:r w:rsidRPr="006B17A0">
        <w:rPr>
          <w:spacing w:val="-2"/>
          <w:lang w:val="fr-FR"/>
        </w:rPr>
        <w:t xml:space="preserve">offres seraient </w:t>
      </w:r>
      <w:r w:rsidR="00C22FC9" w:rsidRPr="006B17A0">
        <w:rPr>
          <w:spacing w:val="-2"/>
          <w:lang w:val="fr-FR"/>
        </w:rPr>
        <w:t xml:space="preserve">lancés </w:t>
      </w:r>
      <w:r w:rsidRPr="006B17A0">
        <w:rPr>
          <w:spacing w:val="-2"/>
          <w:lang w:val="fr-FR"/>
        </w:rPr>
        <w:t>pour déterminer les organisations de gestion collective accréditées dans ces domain</w:t>
      </w:r>
      <w:r w:rsidR="00783939" w:rsidRPr="006B17A0">
        <w:rPr>
          <w:spacing w:val="-2"/>
          <w:lang w:val="fr-FR"/>
        </w:rPr>
        <w:t>es.  En</w:t>
      </w:r>
      <w:r w:rsidRPr="006B17A0">
        <w:rPr>
          <w:spacing w:val="-2"/>
          <w:lang w:val="fr-FR"/>
        </w:rPr>
        <w:t xml:space="preserve"> raison du déclenchement de la guerre, les appels d</w:t>
      </w:r>
      <w:r w:rsidR="008F70DE" w:rsidRPr="006B17A0">
        <w:rPr>
          <w:spacing w:val="-2"/>
          <w:lang w:val="fr-FR"/>
        </w:rPr>
        <w:t>’</w:t>
      </w:r>
      <w:r w:rsidRPr="006B17A0">
        <w:rPr>
          <w:spacing w:val="-2"/>
          <w:lang w:val="fr-FR"/>
        </w:rPr>
        <w:t>offres n</w:t>
      </w:r>
      <w:r w:rsidR="008F70DE" w:rsidRPr="006B17A0">
        <w:rPr>
          <w:spacing w:val="-2"/>
          <w:lang w:val="fr-FR"/>
        </w:rPr>
        <w:t>’</w:t>
      </w:r>
      <w:r w:rsidRPr="006B17A0">
        <w:rPr>
          <w:spacing w:val="-2"/>
          <w:lang w:val="fr-FR"/>
        </w:rPr>
        <w:t xml:space="preserve">ont pas été </w:t>
      </w:r>
      <w:r w:rsidR="00C22FC9" w:rsidRPr="006B17A0">
        <w:rPr>
          <w:spacing w:val="-2"/>
          <w:lang w:val="fr-FR"/>
        </w:rPr>
        <w:t>lanc</w:t>
      </w:r>
      <w:r w:rsidR="00783939" w:rsidRPr="006B17A0">
        <w:rPr>
          <w:spacing w:val="-2"/>
          <w:lang w:val="fr-FR"/>
        </w:rPr>
        <w:t>és.  En</w:t>
      </w:r>
      <w:r w:rsidRPr="006B17A0">
        <w:rPr>
          <w:spacing w:val="-2"/>
          <w:lang w:val="fr-FR"/>
        </w:rPr>
        <w:t xml:space="preserve"> décembre 2022, le Parlement ukrainien a adopté la loi sur le droit d</w:t>
      </w:r>
      <w:r w:rsidR="008F70DE" w:rsidRPr="006B17A0">
        <w:rPr>
          <w:spacing w:val="-2"/>
          <w:lang w:val="fr-FR"/>
        </w:rPr>
        <w:t>’</w:t>
      </w:r>
      <w:r w:rsidRPr="006B17A0">
        <w:rPr>
          <w:spacing w:val="-2"/>
          <w:lang w:val="fr-FR"/>
        </w:rPr>
        <w:t xml:space="preserve">auteur et les droits connexes, qui prévoit que, pendant la guerre, </w:t>
      </w:r>
      <w:r w:rsidR="00C22FC9" w:rsidRPr="006B17A0">
        <w:rPr>
          <w:spacing w:val="-2"/>
          <w:lang w:val="fr-FR"/>
        </w:rPr>
        <w:t xml:space="preserve">des </w:t>
      </w:r>
      <w:r w:rsidRPr="006B17A0">
        <w:rPr>
          <w:spacing w:val="-2"/>
          <w:lang w:val="fr-FR"/>
        </w:rPr>
        <w:t>appels d</w:t>
      </w:r>
      <w:r w:rsidR="008F70DE" w:rsidRPr="006B17A0">
        <w:rPr>
          <w:spacing w:val="-2"/>
          <w:lang w:val="fr-FR"/>
        </w:rPr>
        <w:t>’</w:t>
      </w:r>
      <w:r w:rsidRPr="006B17A0">
        <w:rPr>
          <w:spacing w:val="-2"/>
          <w:lang w:val="fr-FR"/>
        </w:rPr>
        <w:t>offres pour la sélection d</w:t>
      </w:r>
      <w:r w:rsidR="008F70DE" w:rsidRPr="006B17A0">
        <w:rPr>
          <w:spacing w:val="-2"/>
          <w:lang w:val="fr-FR"/>
        </w:rPr>
        <w:t>’</w:t>
      </w:r>
      <w:r w:rsidRPr="006B17A0">
        <w:rPr>
          <w:spacing w:val="-2"/>
          <w:lang w:val="fr-FR"/>
        </w:rPr>
        <w:t xml:space="preserve">une organisation de gestion collective accréditée ne sont ni </w:t>
      </w:r>
      <w:r w:rsidR="00C22FC9" w:rsidRPr="006B17A0">
        <w:rPr>
          <w:spacing w:val="-2"/>
          <w:lang w:val="fr-FR"/>
        </w:rPr>
        <w:t xml:space="preserve">lancés </w:t>
      </w:r>
      <w:r w:rsidRPr="006B17A0">
        <w:rPr>
          <w:spacing w:val="-2"/>
          <w:lang w:val="fr-FR"/>
        </w:rPr>
        <w:t>ni organis</w:t>
      </w:r>
      <w:r w:rsidR="00783939" w:rsidRPr="006B17A0">
        <w:rPr>
          <w:spacing w:val="-2"/>
          <w:lang w:val="fr-FR"/>
        </w:rPr>
        <w:t>és.  Ce</w:t>
      </w:r>
      <w:r w:rsidRPr="006B17A0">
        <w:rPr>
          <w:spacing w:val="-2"/>
          <w:lang w:val="fr-FR"/>
        </w:rPr>
        <w:t>s appels d</w:t>
      </w:r>
      <w:r w:rsidR="008F70DE" w:rsidRPr="006B17A0">
        <w:rPr>
          <w:spacing w:val="-2"/>
          <w:lang w:val="fr-FR"/>
        </w:rPr>
        <w:t>’</w:t>
      </w:r>
      <w:r w:rsidRPr="006B17A0">
        <w:rPr>
          <w:spacing w:val="-2"/>
          <w:lang w:val="fr-FR"/>
        </w:rPr>
        <w:t xml:space="preserve">offres sont </w:t>
      </w:r>
      <w:r w:rsidR="00C22FC9" w:rsidRPr="006B17A0">
        <w:rPr>
          <w:spacing w:val="-2"/>
          <w:lang w:val="fr-FR"/>
        </w:rPr>
        <w:t xml:space="preserve">lancés </w:t>
      </w:r>
      <w:r w:rsidRPr="006B17A0">
        <w:rPr>
          <w:spacing w:val="-2"/>
          <w:lang w:val="fr-FR"/>
        </w:rPr>
        <w:t>dans les 12 mois suivant la fin de la loi martiale</w:t>
      </w:r>
      <w:r w:rsidRPr="006B17A0">
        <w:rPr>
          <w:spacing w:val="-2"/>
          <w:vertAlign w:val="superscript"/>
          <w:lang w:val="fr-FR" w:eastAsia="en-US"/>
        </w:rPr>
        <w:footnoteReference w:id="29"/>
      </w:r>
      <w:r w:rsidRPr="006B17A0">
        <w:rPr>
          <w:spacing w:val="-2"/>
          <w:lang w:val="fr-FR"/>
        </w:rPr>
        <w:t>.  Par conséquent, au début de la guerre, les organisations de gestion collective ne pouvaient que gérer volontairement les droits sur la base d</w:t>
      </w:r>
      <w:r w:rsidR="008F70DE" w:rsidRPr="006B17A0">
        <w:rPr>
          <w:spacing w:val="-2"/>
          <w:lang w:val="fr-FR"/>
        </w:rPr>
        <w:t>’</w:t>
      </w:r>
      <w:r w:rsidRPr="006B17A0">
        <w:rPr>
          <w:spacing w:val="-2"/>
          <w:lang w:val="fr-FR"/>
        </w:rPr>
        <w:t xml:space="preserve">accords avec les </w:t>
      </w:r>
      <w:r w:rsidR="00C74C61" w:rsidRPr="006B17A0">
        <w:rPr>
          <w:spacing w:val="-2"/>
          <w:lang w:val="fr-FR"/>
        </w:rPr>
        <w:t xml:space="preserve">titulaires </w:t>
      </w:r>
      <w:r w:rsidRPr="006B17A0">
        <w:rPr>
          <w:spacing w:val="-2"/>
          <w:lang w:val="fr-FR"/>
        </w:rPr>
        <w:t>de droi</w:t>
      </w:r>
      <w:r w:rsidR="00783939" w:rsidRPr="006B17A0">
        <w:rPr>
          <w:spacing w:val="-2"/>
          <w:lang w:val="fr-FR"/>
        </w:rPr>
        <w:t>ts.  Ai</w:t>
      </w:r>
      <w:r w:rsidRPr="006B17A0">
        <w:rPr>
          <w:spacing w:val="-2"/>
          <w:lang w:val="fr-FR"/>
        </w:rPr>
        <w:t>nsi, les 17 organisations de gestion collective enregistrées</w:t>
      </w:r>
      <w:r w:rsidRPr="006B17A0">
        <w:rPr>
          <w:spacing w:val="-2"/>
          <w:vertAlign w:val="superscript"/>
          <w:lang w:val="fr-FR" w:eastAsia="en-US"/>
        </w:rPr>
        <w:footnoteReference w:id="30"/>
      </w:r>
      <w:r w:rsidRPr="006B17A0">
        <w:rPr>
          <w:spacing w:val="-2"/>
          <w:lang w:val="fr-FR"/>
        </w:rPr>
        <w:t xml:space="preserve"> ont suspendu leurs activités et seules deux organisations de gestion collective fonctionnaient de manière stable en Ukrai</w:t>
      </w:r>
      <w:r w:rsidR="00783939" w:rsidRPr="006B17A0">
        <w:rPr>
          <w:spacing w:val="-2"/>
          <w:lang w:val="fr-FR"/>
        </w:rPr>
        <w:t>ne.  De</w:t>
      </w:r>
      <w:r w:rsidRPr="006B17A0">
        <w:rPr>
          <w:spacing w:val="-2"/>
          <w:lang w:val="fr-FR"/>
        </w:rPr>
        <w:t xml:space="preserve"> mars à mai 2022, presque aucune des activités des </w:t>
      </w:r>
      <w:r w:rsidR="00C74C61" w:rsidRPr="006B17A0">
        <w:rPr>
          <w:spacing w:val="-2"/>
          <w:lang w:val="fr-FR"/>
        </w:rPr>
        <w:t xml:space="preserve">personnes interrogées </w:t>
      </w:r>
      <w:r w:rsidRPr="006B17A0">
        <w:rPr>
          <w:spacing w:val="-2"/>
          <w:lang w:val="fr-FR"/>
        </w:rPr>
        <w:t>n</w:t>
      </w:r>
      <w:r w:rsidR="008F70DE" w:rsidRPr="006B17A0">
        <w:rPr>
          <w:spacing w:val="-2"/>
          <w:lang w:val="fr-FR"/>
        </w:rPr>
        <w:t>’</w:t>
      </w:r>
      <w:r w:rsidRPr="006B17A0">
        <w:rPr>
          <w:spacing w:val="-2"/>
          <w:lang w:val="fr-FR"/>
        </w:rPr>
        <w:t>a été menée, et leur reprise a commencé en juin 2022.  Les principaux facteurs qui compliquent le travail des organisations de gestion collective sont les risques pour la vie de leurs employés, le déclin général du marché du droit d</w:t>
      </w:r>
      <w:r w:rsidR="008F70DE" w:rsidRPr="006B17A0">
        <w:rPr>
          <w:spacing w:val="-2"/>
          <w:lang w:val="fr-FR"/>
        </w:rPr>
        <w:t>’</w:t>
      </w:r>
      <w:r w:rsidRPr="006B17A0">
        <w:rPr>
          <w:spacing w:val="-2"/>
          <w:lang w:val="fr-FR"/>
        </w:rPr>
        <w:t>auteur et le manque de stabilité en génér</w:t>
      </w:r>
      <w:r w:rsidR="00783939" w:rsidRPr="006B17A0">
        <w:rPr>
          <w:spacing w:val="-2"/>
          <w:lang w:val="fr-FR"/>
        </w:rPr>
        <w:t>al.  En</w:t>
      </w:r>
      <w:r w:rsidRPr="006B17A0">
        <w:rPr>
          <w:spacing w:val="-2"/>
          <w:lang w:val="fr-FR"/>
        </w:rPr>
        <w:t xml:space="preserve"> ce qui concerne les rémunérations perçues pour l</w:t>
      </w:r>
      <w:r w:rsidR="008F70DE" w:rsidRPr="006B17A0">
        <w:rPr>
          <w:spacing w:val="-2"/>
          <w:lang w:val="fr-FR"/>
        </w:rPr>
        <w:t>’</w:t>
      </w:r>
      <w:r w:rsidRPr="006B17A0">
        <w:rPr>
          <w:spacing w:val="-2"/>
          <w:lang w:val="fr-FR"/>
        </w:rPr>
        <w:t>utilisation d</w:t>
      </w:r>
      <w:r w:rsidR="008F70DE" w:rsidRPr="006B17A0">
        <w:rPr>
          <w:spacing w:val="-2"/>
          <w:lang w:val="fr-FR"/>
        </w:rPr>
        <w:t>’</w:t>
      </w:r>
      <w:r w:rsidRPr="006B17A0">
        <w:rPr>
          <w:spacing w:val="-2"/>
          <w:lang w:val="fr-FR"/>
        </w:rPr>
        <w:t>œuvres, d</w:t>
      </w:r>
      <w:r w:rsidR="008F70DE" w:rsidRPr="006B17A0">
        <w:rPr>
          <w:spacing w:val="-2"/>
          <w:lang w:val="fr-FR"/>
        </w:rPr>
        <w:t>’</w:t>
      </w:r>
      <w:r w:rsidRPr="006B17A0">
        <w:rPr>
          <w:spacing w:val="-2"/>
          <w:lang w:val="fr-FR"/>
        </w:rPr>
        <w:t>interprétations et de phonogrammes, l</w:t>
      </w:r>
      <w:r w:rsidR="008F70DE" w:rsidRPr="006B17A0">
        <w:rPr>
          <w:spacing w:val="-2"/>
          <w:lang w:val="fr-FR"/>
        </w:rPr>
        <w:t>’</w:t>
      </w:r>
      <w:r w:rsidRPr="006B17A0">
        <w:rPr>
          <w:spacing w:val="-2"/>
          <w:lang w:val="fr-FR"/>
        </w:rPr>
        <w:t>un</w:t>
      </w:r>
      <w:r w:rsidR="00C74C61" w:rsidRPr="006B17A0">
        <w:rPr>
          <w:spacing w:val="-2"/>
          <w:lang w:val="fr-FR"/>
        </w:rPr>
        <w:t>e</w:t>
      </w:r>
      <w:r w:rsidRPr="006B17A0">
        <w:rPr>
          <w:spacing w:val="-2"/>
          <w:lang w:val="fr-FR"/>
        </w:rPr>
        <w:t xml:space="preserve"> des </w:t>
      </w:r>
      <w:r w:rsidR="00C74C61" w:rsidRPr="006B17A0">
        <w:rPr>
          <w:spacing w:val="-2"/>
          <w:lang w:val="fr-FR"/>
        </w:rPr>
        <w:t xml:space="preserve">personnes interrogées </w:t>
      </w:r>
      <w:r w:rsidRPr="006B17A0">
        <w:rPr>
          <w:spacing w:val="-2"/>
          <w:lang w:val="fr-FR"/>
        </w:rPr>
        <w:t>a constaté que le montant des recettes perçues avait triplé, tandis que l</w:t>
      </w:r>
      <w:r w:rsidR="008F70DE" w:rsidRPr="006B17A0">
        <w:rPr>
          <w:spacing w:val="-2"/>
          <w:lang w:val="fr-FR"/>
        </w:rPr>
        <w:t>’</w:t>
      </w:r>
      <w:r w:rsidRPr="006B17A0">
        <w:rPr>
          <w:spacing w:val="-2"/>
          <w:lang w:val="fr-FR"/>
        </w:rPr>
        <w:t>autre a perçu pratiquement le même montant de rémunération que pendant la période d</w:t>
      </w:r>
      <w:r w:rsidR="008F70DE" w:rsidRPr="006B17A0">
        <w:rPr>
          <w:spacing w:val="-2"/>
          <w:lang w:val="fr-FR"/>
        </w:rPr>
        <w:t>’</w:t>
      </w:r>
      <w:r w:rsidRPr="006B17A0">
        <w:rPr>
          <w:spacing w:val="-2"/>
          <w:lang w:val="fr-FR"/>
        </w:rPr>
        <w:t>avant</w:t>
      </w:r>
      <w:r w:rsidR="0091158D" w:rsidRPr="006B17A0">
        <w:rPr>
          <w:spacing w:val="-2"/>
          <w:lang w:val="fr-FR"/>
        </w:rPr>
        <w:noBreakHyphen/>
      </w:r>
      <w:r w:rsidRPr="006B17A0">
        <w:rPr>
          <w:spacing w:val="-2"/>
          <w:lang w:val="fr-FR"/>
        </w:rPr>
        <w:t>guer</w:t>
      </w:r>
      <w:r w:rsidR="00783939" w:rsidRPr="006B17A0">
        <w:rPr>
          <w:spacing w:val="-2"/>
          <w:lang w:val="fr-FR"/>
        </w:rPr>
        <w:t>re.  Le</w:t>
      </w:r>
      <w:r w:rsidRPr="006B17A0">
        <w:rPr>
          <w:spacing w:val="-2"/>
          <w:lang w:val="fr-FR"/>
        </w:rPr>
        <w:t>s personnes interrogées ont également fait état de difficultés à verser des rémunérations aux titulaires de droits ukrainiens dans les territoires temporairement occupés et sur la ligne de front, étant donné que les activités des banques ukrainiennes dans ces régions ont été suspendues ou ont pris f</w:t>
      </w:r>
      <w:r w:rsidR="00783939" w:rsidRPr="006B17A0">
        <w:rPr>
          <w:spacing w:val="-2"/>
          <w:lang w:val="fr-FR"/>
        </w:rPr>
        <w:t>in.  Le</w:t>
      </w:r>
      <w:r w:rsidRPr="006B17A0">
        <w:rPr>
          <w:spacing w:val="-2"/>
          <w:lang w:val="fr-FR"/>
        </w:rPr>
        <w:t>s personnes interrogées ont également fait état de leur incapacité à verser la rémunération perçue aux titulaires de droits étrangers en raison de la restriction législative sur les opérations de change liées à l</w:t>
      </w:r>
      <w:r w:rsidR="008F70DE" w:rsidRPr="006B17A0">
        <w:rPr>
          <w:spacing w:val="-2"/>
          <w:lang w:val="fr-FR"/>
        </w:rPr>
        <w:t>’</w:t>
      </w:r>
      <w:r w:rsidRPr="006B17A0">
        <w:rPr>
          <w:spacing w:val="-2"/>
          <w:lang w:val="fr-FR"/>
        </w:rPr>
        <w:t>achat de devises étrangères pendant la guer</w:t>
      </w:r>
      <w:r w:rsidR="00783939" w:rsidRPr="006B17A0">
        <w:rPr>
          <w:spacing w:val="-2"/>
          <w:lang w:val="fr-FR"/>
        </w:rPr>
        <w:t>re.  Le</w:t>
      </w:r>
      <w:r w:rsidRPr="006B17A0">
        <w:rPr>
          <w:spacing w:val="-2"/>
          <w:lang w:val="fr-FR"/>
        </w:rPr>
        <w:t xml:space="preserve"> volume de licences délivrées pour l</w:t>
      </w:r>
      <w:r w:rsidR="008F70DE" w:rsidRPr="006B17A0">
        <w:rPr>
          <w:spacing w:val="-2"/>
          <w:lang w:val="fr-FR"/>
        </w:rPr>
        <w:t>’</w:t>
      </w:r>
      <w:r w:rsidRPr="006B17A0">
        <w:rPr>
          <w:spacing w:val="-2"/>
          <w:lang w:val="fr-FR"/>
        </w:rPr>
        <w:t>utilisation d</w:t>
      </w:r>
      <w:r w:rsidR="008F70DE" w:rsidRPr="006B17A0">
        <w:rPr>
          <w:spacing w:val="-2"/>
          <w:lang w:val="fr-FR"/>
        </w:rPr>
        <w:t>’</w:t>
      </w:r>
      <w:r w:rsidRPr="006B17A0">
        <w:rPr>
          <w:spacing w:val="-2"/>
          <w:lang w:val="fr-FR"/>
        </w:rPr>
        <w:t>exécutions d</w:t>
      </w:r>
      <w:r w:rsidR="008F70DE" w:rsidRPr="006B17A0">
        <w:rPr>
          <w:spacing w:val="-2"/>
          <w:lang w:val="fr-FR"/>
        </w:rPr>
        <w:t>’</w:t>
      </w:r>
      <w:r w:rsidRPr="006B17A0">
        <w:rPr>
          <w:spacing w:val="-2"/>
          <w:lang w:val="fr-FR"/>
        </w:rPr>
        <w:t>œuvres fixées sur des phonogrammes représentait 20 à 25% du volume d</w:t>
      </w:r>
      <w:r w:rsidR="008F70DE" w:rsidRPr="006B17A0">
        <w:rPr>
          <w:spacing w:val="-2"/>
          <w:lang w:val="fr-FR"/>
        </w:rPr>
        <w:t>’</w:t>
      </w:r>
      <w:r w:rsidRPr="006B17A0">
        <w:rPr>
          <w:spacing w:val="-2"/>
          <w:lang w:val="fr-FR"/>
        </w:rPr>
        <w:t>avant</w:t>
      </w:r>
      <w:r w:rsidR="0091158D" w:rsidRPr="006B17A0">
        <w:rPr>
          <w:spacing w:val="-2"/>
          <w:lang w:val="fr-FR"/>
        </w:rPr>
        <w:noBreakHyphen/>
      </w:r>
      <w:r w:rsidRPr="006B17A0">
        <w:rPr>
          <w:spacing w:val="-2"/>
          <w:lang w:val="fr-FR"/>
        </w:rPr>
        <w:t>guer</w:t>
      </w:r>
      <w:r w:rsidR="00783939" w:rsidRPr="006B17A0">
        <w:rPr>
          <w:spacing w:val="-2"/>
          <w:lang w:val="fr-FR"/>
        </w:rPr>
        <w:t>re.  Le</w:t>
      </w:r>
      <w:r w:rsidRPr="006B17A0">
        <w:rPr>
          <w:spacing w:val="-2"/>
          <w:lang w:val="fr-FR"/>
        </w:rPr>
        <w:t>s deux personnes interrogées ont signalé des cas de violation du droit d</w:t>
      </w:r>
      <w:r w:rsidR="008F70DE" w:rsidRPr="006B17A0">
        <w:rPr>
          <w:spacing w:val="-2"/>
          <w:lang w:val="fr-FR"/>
        </w:rPr>
        <w:t>’</w:t>
      </w:r>
      <w:r w:rsidRPr="006B17A0">
        <w:rPr>
          <w:spacing w:val="-2"/>
          <w:lang w:val="fr-FR"/>
        </w:rPr>
        <w:t>auteur ou de droits connexes par les utilisateurs, l</w:t>
      </w:r>
      <w:r w:rsidR="008F70DE" w:rsidRPr="006B17A0">
        <w:rPr>
          <w:spacing w:val="-2"/>
          <w:lang w:val="fr-FR"/>
        </w:rPr>
        <w:t>’</w:t>
      </w:r>
      <w:r w:rsidRPr="006B17A0">
        <w:rPr>
          <w:spacing w:val="-2"/>
          <w:lang w:val="fr-FR"/>
        </w:rPr>
        <w:t>un d</w:t>
      </w:r>
      <w:r w:rsidR="008F70DE" w:rsidRPr="006B17A0">
        <w:rPr>
          <w:spacing w:val="-2"/>
          <w:lang w:val="fr-FR"/>
        </w:rPr>
        <w:t>’</w:t>
      </w:r>
      <w:r w:rsidRPr="006B17A0">
        <w:rPr>
          <w:spacing w:val="-2"/>
          <w:lang w:val="fr-FR"/>
        </w:rPr>
        <w:t>entre eux enregistrant 80% de cas en moins qu</w:t>
      </w:r>
      <w:r w:rsidR="008F70DE" w:rsidRPr="006B17A0">
        <w:rPr>
          <w:spacing w:val="-2"/>
          <w:lang w:val="fr-FR"/>
        </w:rPr>
        <w:t>’</w:t>
      </w:r>
      <w:r w:rsidRPr="006B17A0">
        <w:rPr>
          <w:spacing w:val="-2"/>
          <w:lang w:val="fr-FR"/>
        </w:rPr>
        <w:t>en 2021 et l</w:t>
      </w:r>
      <w:r w:rsidR="008F70DE" w:rsidRPr="006B17A0">
        <w:rPr>
          <w:spacing w:val="-2"/>
          <w:lang w:val="fr-FR"/>
        </w:rPr>
        <w:t>’</w:t>
      </w:r>
      <w:r w:rsidRPr="006B17A0">
        <w:rPr>
          <w:spacing w:val="-2"/>
          <w:lang w:val="fr-FR"/>
        </w:rPr>
        <w:t>autre 20% en plus.</w:t>
      </w:r>
    </w:p>
    <w:p w:rsidR="001957C8" w:rsidRPr="001E4C00" w:rsidRDefault="001957C8" w:rsidP="003C675C">
      <w:pPr>
        <w:pStyle w:val="Heading2"/>
        <w:rPr>
          <w:lang w:val="fr-FR"/>
        </w:rPr>
      </w:pPr>
      <w:r w:rsidRPr="001E4C00">
        <w:rPr>
          <w:lang w:val="fr-FR"/>
        </w:rPr>
        <w:t>2.5.</w:t>
      </w:r>
      <w:r w:rsidRPr="001E4C00">
        <w:rPr>
          <w:lang w:val="fr-FR"/>
        </w:rPr>
        <w:tab/>
        <w:t>Parties prenantes responsables de la protection et de l</w:t>
      </w:r>
      <w:r w:rsidR="008F70DE" w:rsidRPr="001E4C00">
        <w:rPr>
          <w:lang w:val="fr-FR"/>
        </w:rPr>
        <w:t>’</w:t>
      </w:r>
      <w:r w:rsidRPr="001E4C00">
        <w:rPr>
          <w:lang w:val="fr-FR"/>
        </w:rPr>
        <w:t>application de la propriété intellectuelle</w:t>
      </w:r>
    </w:p>
    <w:p w:rsidR="001957C8" w:rsidRPr="001E4C00" w:rsidRDefault="001957C8" w:rsidP="007115E7">
      <w:pPr>
        <w:pStyle w:val="ONUMFS"/>
        <w:rPr>
          <w:lang w:val="fr-FR"/>
        </w:rPr>
      </w:pPr>
      <w:r w:rsidRPr="001E4C00">
        <w:rPr>
          <w:lang w:val="fr-FR"/>
        </w:rPr>
        <w:t>Les institutions gouvernementales qui ont répondu à l</w:t>
      </w:r>
      <w:r w:rsidR="008F70DE" w:rsidRPr="001E4C00">
        <w:rPr>
          <w:lang w:val="fr-FR"/>
        </w:rPr>
        <w:t>’</w:t>
      </w:r>
      <w:r w:rsidRPr="001E4C00">
        <w:rPr>
          <w:lang w:val="fr-FR"/>
        </w:rPr>
        <w:t>enquête de l</w:t>
      </w:r>
      <w:r w:rsidR="008F70DE" w:rsidRPr="001E4C00">
        <w:rPr>
          <w:lang w:val="fr-FR"/>
        </w:rPr>
        <w:t>’</w:t>
      </w:r>
      <w:r w:rsidRPr="001E4C00">
        <w:rPr>
          <w:lang w:val="fr-FR"/>
        </w:rPr>
        <w:t>OMPI ont fait état de la poursuite de leurs activités et de leur capacité à relever les défis de la guer</w:t>
      </w:r>
      <w:r w:rsidR="00783939" w:rsidRPr="001E4C00">
        <w:rPr>
          <w:lang w:val="fr-FR"/>
        </w:rPr>
        <w:t>re.  Le</w:t>
      </w:r>
      <w:r w:rsidRPr="001E4C00">
        <w:rPr>
          <w:lang w:val="fr-FR"/>
        </w:rPr>
        <w:t>s principales parties prenantes contactées sont le Ministère de l</w:t>
      </w:r>
      <w:r w:rsidR="008F70DE" w:rsidRPr="001E4C00">
        <w:rPr>
          <w:lang w:val="fr-FR"/>
        </w:rPr>
        <w:t>’</w:t>
      </w:r>
      <w:r w:rsidRPr="001E4C00">
        <w:rPr>
          <w:lang w:val="fr-FR"/>
        </w:rPr>
        <w:t>économie ukrainien, l</w:t>
      </w:r>
      <w:r w:rsidR="008F70DE" w:rsidRPr="001E4C00">
        <w:rPr>
          <w:lang w:val="fr-FR"/>
        </w:rPr>
        <w:t>’</w:t>
      </w:r>
      <w:r w:rsidRPr="001E4C00">
        <w:rPr>
          <w:lang w:val="fr-FR"/>
        </w:rPr>
        <w:t xml:space="preserve">Office national ukrainien pour la propriété intellectuelle et les innovations (UANIPIO), le Comité </w:t>
      </w:r>
      <w:proofErr w:type="spellStart"/>
      <w:r w:rsidRPr="001E4C00">
        <w:rPr>
          <w:lang w:val="fr-FR"/>
        </w:rPr>
        <w:t>antimonopole</w:t>
      </w:r>
      <w:proofErr w:type="spellEnd"/>
      <w:r w:rsidRPr="001E4C00">
        <w:rPr>
          <w:lang w:val="fr-FR"/>
        </w:rPr>
        <w:t>, le Service national des douanes, le Ministère de l</w:t>
      </w:r>
      <w:r w:rsidR="008F70DE" w:rsidRPr="001E4C00">
        <w:rPr>
          <w:lang w:val="fr-FR"/>
        </w:rPr>
        <w:t>’</w:t>
      </w:r>
      <w:r w:rsidRPr="001E4C00">
        <w:rPr>
          <w:lang w:val="fr-FR"/>
        </w:rPr>
        <w:t>intérieur, le bureau du Procureur général, la Cour suprême et les associations de propriété intellectuelle.</w:t>
      </w:r>
    </w:p>
    <w:p w:rsidR="001957C8" w:rsidRPr="001E4C00" w:rsidRDefault="001957C8" w:rsidP="007115E7">
      <w:pPr>
        <w:pStyle w:val="ONUMFS"/>
        <w:rPr>
          <w:lang w:val="fr-FR"/>
        </w:rPr>
      </w:pPr>
      <w:r w:rsidRPr="001E4C00">
        <w:rPr>
          <w:lang w:val="fr-FR"/>
        </w:rPr>
        <w:t>Le principal défi pour le fonctionnement de ces acteurs publics reste les ressources humaines, le soutien au personnel, le développement professionnel et le recrutement continu, compte tenu de l</w:t>
      </w:r>
      <w:r w:rsidR="008F70DE" w:rsidRPr="001E4C00">
        <w:rPr>
          <w:lang w:val="fr-FR"/>
        </w:rPr>
        <w:t>’</w:t>
      </w:r>
      <w:r w:rsidRPr="001E4C00">
        <w:rPr>
          <w:lang w:val="fr-FR"/>
        </w:rPr>
        <w:t>exode constant du personnel dû aux déplacements, à la mobilisation et aux déc</w:t>
      </w:r>
      <w:r w:rsidR="00783939" w:rsidRPr="001E4C00">
        <w:rPr>
          <w:lang w:val="fr-FR"/>
        </w:rPr>
        <w:t>ès.  Da</w:t>
      </w:r>
      <w:r w:rsidRPr="001E4C00">
        <w:rPr>
          <w:lang w:val="fr-FR"/>
        </w:rPr>
        <w:t>ns le même temps, comme indiqué, l</w:t>
      </w:r>
      <w:r w:rsidR="008F70DE" w:rsidRPr="001E4C00">
        <w:rPr>
          <w:lang w:val="fr-FR"/>
        </w:rPr>
        <w:t>’</w:t>
      </w:r>
      <w:r w:rsidRPr="001E4C00">
        <w:rPr>
          <w:lang w:val="fr-FR"/>
        </w:rPr>
        <w:t>office ukrainien de la propriété intellectuelle est parvenu à préserver et à renforcer l</w:t>
      </w:r>
      <w:r w:rsidR="008F70DE" w:rsidRPr="001E4C00">
        <w:rPr>
          <w:lang w:val="fr-FR"/>
        </w:rPr>
        <w:t>’</w:t>
      </w:r>
      <w:r w:rsidRPr="001E4C00">
        <w:rPr>
          <w:lang w:val="fr-FR"/>
        </w:rPr>
        <w:t>expertise de son personnel en dépit de ces difficultés.</w:t>
      </w:r>
    </w:p>
    <w:p w:rsidR="001957C8" w:rsidRPr="001E4C00" w:rsidRDefault="001957C8" w:rsidP="007115E7">
      <w:pPr>
        <w:pStyle w:val="ONUMFS"/>
        <w:rPr>
          <w:lang w:val="fr-FR"/>
        </w:rPr>
      </w:pPr>
      <w:r w:rsidRPr="001E4C00">
        <w:rPr>
          <w:lang w:val="fr-FR"/>
        </w:rPr>
        <w:t>La guerre a eu une incidence sur l</w:t>
      </w:r>
      <w:r w:rsidR="008F70DE" w:rsidRPr="001E4C00">
        <w:rPr>
          <w:lang w:val="fr-FR"/>
        </w:rPr>
        <w:t>’</w:t>
      </w:r>
      <w:r w:rsidRPr="001E4C00">
        <w:rPr>
          <w:lang w:val="fr-FR"/>
        </w:rPr>
        <w:t>activité de dépôt des déposants pour différents droits de propriété intellectuel</w:t>
      </w:r>
      <w:r w:rsidR="00783939" w:rsidRPr="001E4C00">
        <w:rPr>
          <w:lang w:val="fr-FR"/>
        </w:rPr>
        <w:t>le.  Au</w:t>
      </w:r>
      <w:r w:rsidRPr="001E4C00">
        <w:rPr>
          <w:lang w:val="fr-FR"/>
        </w:rPr>
        <w:t xml:space="preserve"> cours des premiers mois de la guerre (mars à mai 2022), le nombre de demandes déposées pour tous les droits de propriété intellectuelle a diminué en moyenne de 74% par rapport à la même période en 2021.  Au milieu de l</w:t>
      </w:r>
      <w:r w:rsidR="008F70DE" w:rsidRPr="001E4C00">
        <w:rPr>
          <w:lang w:val="fr-FR"/>
        </w:rPr>
        <w:t>’</w:t>
      </w:r>
      <w:r w:rsidRPr="001E4C00">
        <w:rPr>
          <w:lang w:val="fr-FR"/>
        </w:rPr>
        <w:t>été 2022, le nombre de demandes déposées a atteint 50% du nombre de demandes déposées au cours de la même période de l</w:t>
      </w:r>
      <w:r w:rsidR="008F70DE" w:rsidRPr="001E4C00">
        <w:rPr>
          <w:lang w:val="fr-FR"/>
        </w:rPr>
        <w:t>’</w:t>
      </w:r>
      <w:r w:rsidRPr="001E4C00">
        <w:rPr>
          <w:lang w:val="fr-FR"/>
        </w:rPr>
        <w:t>année précédente.  L</w:t>
      </w:r>
      <w:r w:rsidR="008F70DE" w:rsidRPr="001E4C00">
        <w:rPr>
          <w:lang w:val="fr-FR"/>
        </w:rPr>
        <w:t>’</w:t>
      </w:r>
      <w:r w:rsidRPr="001E4C00">
        <w:rPr>
          <w:lang w:val="fr-FR"/>
        </w:rPr>
        <w:t xml:space="preserve">UANIPIO a également indiqué que les demandes internationales (déposées par des </w:t>
      </w:r>
      <w:r w:rsidR="00C74C61" w:rsidRPr="001E4C00">
        <w:rPr>
          <w:lang w:val="fr-FR"/>
        </w:rPr>
        <w:t xml:space="preserve">déposants </w:t>
      </w:r>
      <w:r w:rsidRPr="001E4C00">
        <w:rPr>
          <w:lang w:val="fr-FR"/>
        </w:rPr>
        <w:t>étrangers) n</w:t>
      </w:r>
      <w:r w:rsidR="008F70DE" w:rsidRPr="001E4C00">
        <w:rPr>
          <w:lang w:val="fr-FR"/>
        </w:rPr>
        <w:t>’</w:t>
      </w:r>
      <w:r w:rsidRPr="001E4C00">
        <w:rPr>
          <w:lang w:val="fr-FR"/>
        </w:rPr>
        <w:t xml:space="preserve">ont </w:t>
      </w:r>
      <w:r w:rsidR="00C74C61" w:rsidRPr="001E4C00">
        <w:rPr>
          <w:lang w:val="fr-FR"/>
        </w:rPr>
        <w:t xml:space="preserve">enregistré </w:t>
      </w:r>
      <w:r w:rsidRPr="001E4C00">
        <w:rPr>
          <w:lang w:val="fr-FR"/>
        </w:rPr>
        <w:t>qu</w:t>
      </w:r>
      <w:r w:rsidR="008F70DE" w:rsidRPr="001E4C00">
        <w:rPr>
          <w:lang w:val="fr-FR"/>
        </w:rPr>
        <w:t>’</w:t>
      </w:r>
      <w:r w:rsidRPr="001E4C00">
        <w:rPr>
          <w:lang w:val="fr-FR"/>
        </w:rPr>
        <w:t xml:space="preserve">une baisse de 20 à 25% </w:t>
      </w:r>
      <w:r w:rsidR="00C74C61" w:rsidRPr="001E4C00">
        <w:rPr>
          <w:lang w:val="fr-FR"/>
        </w:rPr>
        <w:t xml:space="preserve">en ce qui concerne </w:t>
      </w:r>
      <w:r w:rsidRPr="001E4C00">
        <w:rPr>
          <w:lang w:val="fr-FR"/>
        </w:rPr>
        <w:t>les marques et les breve</w:t>
      </w:r>
      <w:r w:rsidR="00783939" w:rsidRPr="001E4C00">
        <w:rPr>
          <w:lang w:val="fr-FR"/>
        </w:rPr>
        <w:t>ts.  Le</w:t>
      </w:r>
      <w:r w:rsidRPr="001E4C00">
        <w:rPr>
          <w:lang w:val="fr-FR"/>
        </w:rPr>
        <w:t>s statistiques de propriété intellectuelle suivantes ont également été rapportées en 2022 par rapport à 2021</w:t>
      </w:r>
      <w:r w:rsidR="008F70DE" w:rsidRPr="001E4C00">
        <w:rPr>
          <w:lang w:val="fr-FR"/>
        </w:rPr>
        <w:t> :</w:t>
      </w:r>
      <w:r w:rsidRPr="001E4C00">
        <w:rPr>
          <w:lang w:val="fr-FR"/>
        </w:rPr>
        <w:t xml:space="preserve"> une baisse de 44% des demandes </w:t>
      </w:r>
      <w:r w:rsidR="00C74C61" w:rsidRPr="001E4C00">
        <w:rPr>
          <w:lang w:val="fr-FR"/>
        </w:rPr>
        <w:t>d</w:t>
      </w:r>
      <w:r w:rsidR="008F70DE" w:rsidRPr="001E4C00">
        <w:rPr>
          <w:lang w:val="fr-FR"/>
        </w:rPr>
        <w:t>’</w:t>
      </w:r>
      <w:r w:rsidR="00C74C61" w:rsidRPr="001E4C00">
        <w:rPr>
          <w:lang w:val="fr-FR"/>
        </w:rPr>
        <w:t xml:space="preserve">enregistrement </w:t>
      </w:r>
      <w:r w:rsidRPr="001E4C00">
        <w:rPr>
          <w:lang w:val="fr-FR"/>
        </w:rPr>
        <w:t xml:space="preserve">de </w:t>
      </w:r>
      <w:proofErr w:type="gramStart"/>
      <w:r w:rsidRPr="001E4C00">
        <w:rPr>
          <w:lang w:val="fr-FR"/>
        </w:rPr>
        <w:t>marques;  une</w:t>
      </w:r>
      <w:proofErr w:type="gramEnd"/>
      <w:r w:rsidRPr="001E4C00">
        <w:rPr>
          <w:lang w:val="fr-FR"/>
        </w:rPr>
        <w:t xml:space="preserve"> baisse de 55% des demandes </w:t>
      </w:r>
      <w:r w:rsidR="00C74C61" w:rsidRPr="001E4C00">
        <w:rPr>
          <w:lang w:val="fr-FR"/>
        </w:rPr>
        <w:t>d</w:t>
      </w:r>
      <w:r w:rsidR="008F70DE" w:rsidRPr="001E4C00">
        <w:rPr>
          <w:lang w:val="fr-FR"/>
        </w:rPr>
        <w:t>’</w:t>
      </w:r>
      <w:r w:rsidR="00C74C61" w:rsidRPr="001E4C00">
        <w:rPr>
          <w:lang w:val="fr-FR"/>
        </w:rPr>
        <w:t xml:space="preserve">enregistrement </w:t>
      </w:r>
      <w:r w:rsidRPr="001E4C00">
        <w:rPr>
          <w:lang w:val="fr-FR"/>
        </w:rPr>
        <w:t xml:space="preserve">de dessins et modèles industriels;  une baisse de 46% des demandes </w:t>
      </w:r>
      <w:r w:rsidR="00C74C61" w:rsidRPr="001E4C00">
        <w:rPr>
          <w:lang w:val="fr-FR"/>
        </w:rPr>
        <w:t>d</w:t>
      </w:r>
      <w:r w:rsidR="008F70DE" w:rsidRPr="001E4C00">
        <w:rPr>
          <w:lang w:val="fr-FR"/>
        </w:rPr>
        <w:t>’</w:t>
      </w:r>
      <w:r w:rsidR="00C74C61" w:rsidRPr="001E4C00">
        <w:rPr>
          <w:lang w:val="fr-FR"/>
        </w:rPr>
        <w:t xml:space="preserve">enregistrement </w:t>
      </w:r>
      <w:r w:rsidRPr="001E4C00">
        <w:rPr>
          <w:lang w:val="fr-FR"/>
        </w:rPr>
        <w:t>de modèles d</w:t>
      </w:r>
      <w:r w:rsidR="008F70DE" w:rsidRPr="001E4C00">
        <w:rPr>
          <w:lang w:val="fr-FR"/>
        </w:rPr>
        <w:t>’</w:t>
      </w:r>
      <w:r w:rsidRPr="001E4C00">
        <w:rPr>
          <w:lang w:val="fr-FR"/>
        </w:rPr>
        <w:t>utilité;  et une baisse de 19% des demandes de brevet.</w:t>
      </w:r>
    </w:p>
    <w:p w:rsidR="001957C8" w:rsidRPr="001E4C00" w:rsidRDefault="001957C8" w:rsidP="007115E7">
      <w:pPr>
        <w:pStyle w:val="ONUMFS"/>
        <w:rPr>
          <w:lang w:val="fr-FR"/>
        </w:rPr>
      </w:pPr>
      <w:r w:rsidRPr="001E4C00">
        <w:rPr>
          <w:lang w:val="fr-FR"/>
        </w:rPr>
        <w:t xml:space="preserve">La guerre a également eu une incidence sur les acteurs de la propriété intellectuelle, notamment les associations et les </w:t>
      </w:r>
      <w:r w:rsidR="00C74C61" w:rsidRPr="001E4C00">
        <w:rPr>
          <w:lang w:val="fr-FR"/>
        </w:rPr>
        <w:t xml:space="preserve">spécialistes </w:t>
      </w:r>
      <w:r w:rsidRPr="001E4C00">
        <w:rPr>
          <w:lang w:val="fr-FR"/>
        </w:rPr>
        <w:t>de la propriété intellectuel</w:t>
      </w:r>
      <w:r w:rsidR="00783939" w:rsidRPr="001E4C00">
        <w:rPr>
          <w:lang w:val="fr-FR"/>
        </w:rPr>
        <w:t>le.  No</w:t>
      </w:r>
      <w:r w:rsidRPr="001E4C00">
        <w:rPr>
          <w:lang w:val="fr-FR"/>
        </w:rPr>
        <w:t>mbre d</w:t>
      </w:r>
      <w:r w:rsidR="008F70DE" w:rsidRPr="001E4C00">
        <w:rPr>
          <w:lang w:val="fr-FR"/>
        </w:rPr>
        <w:t>’</w:t>
      </w:r>
      <w:r w:rsidRPr="001E4C00">
        <w:rPr>
          <w:lang w:val="fr-FR"/>
        </w:rPr>
        <w:t>entre eux ont rencontré des difficultés dans leurs activités professionnelles, certains s</w:t>
      </w:r>
      <w:r w:rsidR="008F70DE" w:rsidRPr="001E4C00">
        <w:rPr>
          <w:lang w:val="fr-FR"/>
        </w:rPr>
        <w:t>’</w:t>
      </w:r>
      <w:r w:rsidRPr="001E4C00">
        <w:rPr>
          <w:lang w:val="fr-FR"/>
        </w:rPr>
        <w:t>installant dans l</w:t>
      </w:r>
      <w:r w:rsidR="008F70DE" w:rsidRPr="001E4C00">
        <w:rPr>
          <w:lang w:val="fr-FR"/>
        </w:rPr>
        <w:t>’</w:t>
      </w:r>
      <w:r w:rsidRPr="001E4C00">
        <w:rPr>
          <w:lang w:val="fr-FR"/>
        </w:rPr>
        <w:t>ouest de l</w:t>
      </w:r>
      <w:r w:rsidR="008F70DE" w:rsidRPr="001E4C00">
        <w:rPr>
          <w:lang w:val="fr-FR"/>
        </w:rPr>
        <w:t>’</w:t>
      </w:r>
      <w:r w:rsidRPr="001E4C00">
        <w:rPr>
          <w:lang w:val="fr-FR"/>
        </w:rPr>
        <w:t>Ukraine ou à l</w:t>
      </w:r>
      <w:r w:rsidR="008F70DE" w:rsidRPr="001E4C00">
        <w:rPr>
          <w:lang w:val="fr-FR"/>
        </w:rPr>
        <w:t>’</w:t>
      </w:r>
      <w:r w:rsidRPr="001E4C00">
        <w:rPr>
          <w:lang w:val="fr-FR"/>
        </w:rPr>
        <w:t>étrang</w:t>
      </w:r>
      <w:r w:rsidR="00783939" w:rsidRPr="001E4C00">
        <w:rPr>
          <w:lang w:val="fr-FR"/>
        </w:rPr>
        <w:t>er.  Il</w:t>
      </w:r>
      <w:r w:rsidRPr="001E4C00">
        <w:rPr>
          <w:lang w:val="fr-FR"/>
        </w:rPr>
        <w:t>s ont toutefois poursuivi leurs activités en s</w:t>
      </w:r>
      <w:r w:rsidR="008F70DE" w:rsidRPr="001E4C00">
        <w:rPr>
          <w:lang w:val="fr-FR"/>
        </w:rPr>
        <w:t>’</w:t>
      </w:r>
      <w:r w:rsidRPr="001E4C00">
        <w:rPr>
          <w:lang w:val="fr-FR"/>
        </w:rPr>
        <w:t>adaptant à des modèles de travail à distance.  L</w:t>
      </w:r>
      <w:r w:rsidR="008F70DE" w:rsidRPr="001E4C00">
        <w:rPr>
          <w:lang w:val="fr-FR"/>
        </w:rPr>
        <w:t>’</w:t>
      </w:r>
      <w:r w:rsidRPr="001E4C00">
        <w:rPr>
          <w:lang w:val="fr-FR"/>
        </w:rPr>
        <w:t>Association nationale des conseils en brevets (NAPA) a indiqué que 30% de ses membres avaient été réinstallés à l</w:t>
      </w:r>
      <w:r w:rsidR="008F70DE" w:rsidRPr="001E4C00">
        <w:rPr>
          <w:lang w:val="fr-FR"/>
        </w:rPr>
        <w:t>’</w:t>
      </w:r>
      <w:r w:rsidRPr="001E4C00">
        <w:rPr>
          <w:lang w:val="fr-FR"/>
        </w:rPr>
        <w:t>intérieur du pays ou à l</w:t>
      </w:r>
      <w:r w:rsidR="008F70DE" w:rsidRPr="001E4C00">
        <w:rPr>
          <w:lang w:val="fr-FR"/>
        </w:rPr>
        <w:t>’</w:t>
      </w:r>
      <w:r w:rsidRPr="001E4C00">
        <w:rPr>
          <w:lang w:val="fr-FR"/>
        </w:rPr>
        <w:t>étranger, certains membres ayant été gravement touchés par la guerre ou étant restés dans des territoires temporairement occupés.  L</w:t>
      </w:r>
      <w:r w:rsidR="008F70DE" w:rsidRPr="001E4C00">
        <w:rPr>
          <w:lang w:val="fr-FR"/>
        </w:rPr>
        <w:t>’</w:t>
      </w:r>
      <w:r w:rsidRPr="001E4C00">
        <w:rPr>
          <w:lang w:val="fr-FR"/>
        </w:rPr>
        <w:t>Association ukrainienne des marques (UTA) et l</w:t>
      </w:r>
      <w:r w:rsidR="008F70DE" w:rsidRPr="001E4C00">
        <w:rPr>
          <w:lang w:val="fr-FR"/>
        </w:rPr>
        <w:t>’</w:t>
      </w:r>
      <w:r w:rsidRPr="001E4C00">
        <w:rPr>
          <w:lang w:val="fr-FR"/>
        </w:rPr>
        <w:t xml:space="preserve">Association </w:t>
      </w:r>
      <w:proofErr w:type="spellStart"/>
      <w:r w:rsidRPr="001E4C00">
        <w:rPr>
          <w:lang w:val="fr-FR"/>
        </w:rPr>
        <w:t>panukrainienne</w:t>
      </w:r>
      <w:proofErr w:type="spellEnd"/>
      <w:r w:rsidRPr="001E4C00">
        <w:rPr>
          <w:lang w:val="fr-FR"/>
        </w:rPr>
        <w:t xml:space="preserve"> des conseils en brevets sont néanmoins restées actives dans leurs activités de </w:t>
      </w:r>
      <w:r w:rsidR="00627096" w:rsidRPr="001E4C00">
        <w:rPr>
          <w:lang w:val="fr-FR"/>
        </w:rPr>
        <w:t xml:space="preserve">promotion </w:t>
      </w:r>
      <w:r w:rsidRPr="001E4C00">
        <w:rPr>
          <w:lang w:val="fr-FR"/>
        </w:rPr>
        <w:t xml:space="preserve">et ont, par exemple, soutenu la loi spéciale protégeant les intérêts </w:t>
      </w:r>
      <w:r w:rsidR="00EF25CB" w:rsidRPr="001E4C00">
        <w:rPr>
          <w:lang w:val="fr-FR"/>
        </w:rPr>
        <w:t xml:space="preserve">en matière </w:t>
      </w:r>
      <w:r w:rsidRPr="001E4C00">
        <w:rPr>
          <w:lang w:val="fr-FR"/>
        </w:rPr>
        <w:t xml:space="preserve">de propriété intellectuelle pendant la loi martiale adoptée en avril 2022, et dont les principales mesures consistent à prolonger la durée de toute action devant </w:t>
      </w:r>
      <w:r w:rsidR="006D211A" w:rsidRPr="001E4C00">
        <w:rPr>
          <w:lang w:val="fr-FR"/>
        </w:rPr>
        <w:t>l</w:t>
      </w:r>
      <w:r w:rsidR="008F70DE" w:rsidRPr="001E4C00">
        <w:rPr>
          <w:lang w:val="fr-FR"/>
        </w:rPr>
        <w:t>’</w:t>
      </w:r>
      <w:r w:rsidR="006D211A" w:rsidRPr="001E4C00">
        <w:rPr>
          <w:lang w:val="fr-FR"/>
        </w:rPr>
        <w:t xml:space="preserve">office </w:t>
      </w:r>
      <w:r w:rsidRPr="001E4C00">
        <w:rPr>
          <w:lang w:val="fr-FR"/>
        </w:rPr>
        <w:t xml:space="preserve">de la propriété intellectuelle et à prolonger la durée de validité des droits de propriété intellectuelle </w:t>
      </w:r>
      <w:r w:rsidR="006D211A" w:rsidRPr="001E4C00">
        <w:rPr>
          <w:lang w:val="fr-FR"/>
        </w:rPr>
        <w:t xml:space="preserve">expirant </w:t>
      </w:r>
      <w:r w:rsidRPr="001E4C00">
        <w:rPr>
          <w:lang w:val="fr-FR"/>
        </w:rPr>
        <w:t>après l</w:t>
      </w:r>
      <w:r w:rsidR="008F70DE" w:rsidRPr="001E4C00">
        <w:rPr>
          <w:lang w:val="fr-FR"/>
        </w:rPr>
        <w:t>’</w:t>
      </w:r>
      <w:r w:rsidRPr="001E4C00">
        <w:rPr>
          <w:lang w:val="fr-FR"/>
        </w:rPr>
        <w:t>introduction de la loi martiale.  L</w:t>
      </w:r>
      <w:r w:rsidR="008F70DE" w:rsidRPr="001E4C00">
        <w:rPr>
          <w:lang w:val="fr-FR"/>
        </w:rPr>
        <w:t>’</w:t>
      </w:r>
      <w:r w:rsidRPr="001E4C00">
        <w:rPr>
          <w:lang w:val="fr-FR"/>
        </w:rPr>
        <w:t>Association du barreau ukrainien (UBA) a dû déménager et prendre des mesures de sécurité supplémentair</w:t>
      </w:r>
      <w:r w:rsidR="00783939" w:rsidRPr="001E4C00">
        <w:rPr>
          <w:lang w:val="fr-FR"/>
        </w:rPr>
        <w:t>es.  Ce</w:t>
      </w:r>
      <w:r w:rsidRPr="001E4C00">
        <w:rPr>
          <w:lang w:val="fr-FR"/>
        </w:rPr>
        <w:t xml:space="preserve">s associations de propriété intellectuelle ont indiqué que le lancement de la Haute Cour de la propriété intellectuelle était une question urgente pour le développement des secteurs </w:t>
      </w:r>
      <w:r w:rsidR="006D211A" w:rsidRPr="001E4C00">
        <w:rPr>
          <w:lang w:val="fr-FR"/>
        </w:rPr>
        <w:t>de l</w:t>
      </w:r>
      <w:r w:rsidR="008F70DE" w:rsidRPr="001E4C00">
        <w:rPr>
          <w:lang w:val="fr-FR"/>
        </w:rPr>
        <w:t>’</w:t>
      </w:r>
      <w:r w:rsidR="006D211A" w:rsidRPr="001E4C00">
        <w:rPr>
          <w:lang w:val="fr-FR"/>
        </w:rPr>
        <w:t xml:space="preserve">innovation </w:t>
      </w:r>
      <w:r w:rsidRPr="001E4C00">
        <w:rPr>
          <w:lang w:val="fr-FR"/>
        </w:rPr>
        <w:t xml:space="preserve">et </w:t>
      </w:r>
      <w:r w:rsidR="006D211A" w:rsidRPr="001E4C00">
        <w:rPr>
          <w:lang w:val="fr-FR"/>
        </w:rPr>
        <w:t xml:space="preserve">de la créativité </w:t>
      </w:r>
      <w:r w:rsidRPr="001E4C00">
        <w:rPr>
          <w:lang w:val="fr-FR"/>
        </w:rPr>
        <w:t>en Ukraine.</w:t>
      </w:r>
    </w:p>
    <w:p w:rsidR="001957C8" w:rsidRPr="001E4C00" w:rsidRDefault="001957C8" w:rsidP="007115E7">
      <w:pPr>
        <w:pStyle w:val="ONUMFS"/>
        <w:rPr>
          <w:lang w:val="fr-FR"/>
        </w:rPr>
      </w:pPr>
      <w:r w:rsidRPr="001E4C00">
        <w:rPr>
          <w:lang w:val="fr-FR"/>
        </w:rPr>
        <w:t>Les autorités gouvernementales, notamment le Ministère de l</w:t>
      </w:r>
      <w:r w:rsidR="008F70DE" w:rsidRPr="001E4C00">
        <w:rPr>
          <w:lang w:val="fr-FR"/>
        </w:rPr>
        <w:t>’</w:t>
      </w:r>
      <w:r w:rsidRPr="001E4C00">
        <w:rPr>
          <w:lang w:val="fr-FR"/>
        </w:rPr>
        <w:t>économie, le Ministère de la culture et de la politique de l</w:t>
      </w:r>
      <w:r w:rsidR="008F70DE" w:rsidRPr="001E4C00">
        <w:rPr>
          <w:lang w:val="fr-FR"/>
        </w:rPr>
        <w:t>’</w:t>
      </w:r>
      <w:r w:rsidRPr="001E4C00">
        <w:rPr>
          <w:lang w:val="fr-FR"/>
        </w:rPr>
        <w:t xml:space="preserve">information, ainsi que les autorités judiciaires et </w:t>
      </w:r>
      <w:r w:rsidR="00EF25CB" w:rsidRPr="001E4C00">
        <w:rPr>
          <w:lang w:val="fr-FR"/>
        </w:rPr>
        <w:t>celles chargées de l</w:t>
      </w:r>
      <w:r w:rsidR="008F70DE" w:rsidRPr="001E4C00">
        <w:rPr>
          <w:lang w:val="fr-FR"/>
        </w:rPr>
        <w:t>’</w:t>
      </w:r>
      <w:r w:rsidR="00EF25CB" w:rsidRPr="001E4C00">
        <w:rPr>
          <w:lang w:val="fr-FR"/>
        </w:rPr>
        <w:t>application de</w:t>
      </w:r>
      <w:r w:rsidR="006D71FE" w:rsidRPr="001E4C00">
        <w:rPr>
          <w:lang w:val="fr-FR"/>
        </w:rPr>
        <w:t xml:space="preserve"> la</w:t>
      </w:r>
      <w:r w:rsidR="00EF25CB" w:rsidRPr="001E4C00">
        <w:rPr>
          <w:lang w:val="fr-FR"/>
        </w:rPr>
        <w:t xml:space="preserve"> loi</w:t>
      </w:r>
      <w:r w:rsidRPr="001E4C00">
        <w:rPr>
          <w:lang w:val="fr-FR"/>
        </w:rPr>
        <w:t>, ont pris des mesures pour adapter et maintenir les opérations dans les domaines relevant de leur responsabilité pendant la guer</w:t>
      </w:r>
      <w:r w:rsidR="00783939" w:rsidRPr="001E4C00">
        <w:rPr>
          <w:lang w:val="fr-FR"/>
        </w:rPr>
        <w:t>re.  El</w:t>
      </w:r>
      <w:r w:rsidRPr="001E4C00">
        <w:rPr>
          <w:lang w:val="fr-FR"/>
        </w:rPr>
        <w:t>les ont procédé à une optimisation structurelle, lancé des initiatives et élaboré des stratégies pour soutenir et protéger les secteurs de la propriété intellectuelle, de la créativité et de l</w:t>
      </w:r>
      <w:r w:rsidR="008F70DE" w:rsidRPr="001E4C00">
        <w:rPr>
          <w:lang w:val="fr-FR"/>
        </w:rPr>
        <w:t>’</w:t>
      </w:r>
      <w:r w:rsidRPr="001E4C00">
        <w:rPr>
          <w:lang w:val="fr-FR"/>
        </w:rPr>
        <w:t>innovation et pour attirer des partenaires internationaux.</w:t>
      </w:r>
    </w:p>
    <w:p w:rsidR="001957C8" w:rsidRPr="001E4C00" w:rsidRDefault="001957C8" w:rsidP="007115E7">
      <w:pPr>
        <w:pStyle w:val="ONUMFS"/>
        <w:rPr>
          <w:lang w:val="fr-FR"/>
        </w:rPr>
      </w:pPr>
      <w:r w:rsidRPr="001E4C00">
        <w:rPr>
          <w:lang w:val="fr-FR"/>
        </w:rPr>
        <w:t>Malgré de nombreux défis, tels que les fréquentes alertes aux raids aériens, les coupures de courant et l</w:t>
      </w:r>
      <w:r w:rsidR="008F70DE" w:rsidRPr="001E4C00">
        <w:rPr>
          <w:lang w:val="fr-FR"/>
        </w:rPr>
        <w:t>’</w:t>
      </w:r>
      <w:r w:rsidRPr="001E4C00">
        <w:rPr>
          <w:lang w:val="fr-FR"/>
        </w:rPr>
        <w:t>augmentation de la charge de travail des employés, ces autorités ont fait preuve de résilience et d</w:t>
      </w:r>
      <w:r w:rsidR="008F70DE" w:rsidRPr="001E4C00">
        <w:rPr>
          <w:lang w:val="fr-FR"/>
        </w:rPr>
        <w:t>’</w:t>
      </w:r>
      <w:r w:rsidRPr="001E4C00">
        <w:rPr>
          <w:lang w:val="fr-FR"/>
        </w:rPr>
        <w:t>adaptabilité dans le maintien de leurs activités.</w:t>
      </w:r>
    </w:p>
    <w:p w:rsidR="001957C8" w:rsidRPr="001E4C00" w:rsidRDefault="001957C8" w:rsidP="007115E7">
      <w:pPr>
        <w:pStyle w:val="ONUMFS"/>
        <w:rPr>
          <w:lang w:val="fr-FR"/>
        </w:rPr>
      </w:pPr>
      <w:r w:rsidRPr="001E4C00">
        <w:rPr>
          <w:lang w:val="fr-FR"/>
        </w:rPr>
        <w:t>Malgré l</w:t>
      </w:r>
      <w:r w:rsidR="008F70DE" w:rsidRPr="001E4C00">
        <w:rPr>
          <w:lang w:val="fr-FR"/>
        </w:rPr>
        <w:t>’</w:t>
      </w:r>
      <w:r w:rsidRPr="001E4C00">
        <w:rPr>
          <w:lang w:val="fr-FR"/>
        </w:rPr>
        <w:t>impact de la guerre, des acteurs clés comme le Ministère de l</w:t>
      </w:r>
      <w:r w:rsidR="008F70DE" w:rsidRPr="001E4C00">
        <w:rPr>
          <w:lang w:val="fr-FR"/>
        </w:rPr>
        <w:t>’</w:t>
      </w:r>
      <w:r w:rsidRPr="001E4C00">
        <w:rPr>
          <w:lang w:val="fr-FR"/>
        </w:rPr>
        <w:t>économie et l</w:t>
      </w:r>
      <w:r w:rsidR="008F70DE" w:rsidRPr="001E4C00">
        <w:rPr>
          <w:lang w:val="fr-FR"/>
        </w:rPr>
        <w:t>’</w:t>
      </w:r>
      <w:r w:rsidRPr="001E4C00">
        <w:rPr>
          <w:lang w:val="fr-FR"/>
        </w:rPr>
        <w:t>UANIPIO ont stabilisé leur travail et poursuivi leurs activit</w:t>
      </w:r>
      <w:r w:rsidR="00783939" w:rsidRPr="001E4C00">
        <w:rPr>
          <w:lang w:val="fr-FR"/>
        </w:rPr>
        <w:t>és.  Le</w:t>
      </w:r>
      <w:r w:rsidRPr="001E4C00">
        <w:rPr>
          <w:lang w:val="fr-FR"/>
        </w:rPr>
        <w:t>s modèles de travail à distance et l</w:t>
      </w:r>
      <w:r w:rsidR="008F70DE" w:rsidRPr="001E4C00">
        <w:rPr>
          <w:lang w:val="fr-FR"/>
        </w:rPr>
        <w:t>’</w:t>
      </w:r>
      <w:r w:rsidRPr="001E4C00">
        <w:rPr>
          <w:lang w:val="fr-FR"/>
        </w:rPr>
        <w:t>accès aux bases de données sur la propriété intellectuelle ont permis de poursuivre les opérations sans interruption, tandis que les améliorations législatives et réglementaires du système de propriété intellectuelle se poursuive</w:t>
      </w:r>
      <w:r w:rsidR="00783939" w:rsidRPr="001E4C00">
        <w:rPr>
          <w:lang w:val="fr-FR"/>
        </w:rPr>
        <w:t>nt.  Ma</w:t>
      </w:r>
      <w:r w:rsidRPr="001E4C00">
        <w:rPr>
          <w:lang w:val="fr-FR"/>
        </w:rPr>
        <w:t>lgré la fermeture globale de l</w:t>
      </w:r>
      <w:r w:rsidR="008F70DE" w:rsidRPr="001E4C00">
        <w:rPr>
          <w:lang w:val="fr-FR"/>
        </w:rPr>
        <w:t>’</w:t>
      </w:r>
      <w:r w:rsidRPr="001E4C00">
        <w:rPr>
          <w:lang w:val="fr-FR"/>
        </w:rPr>
        <w:t>accès aux registres d</w:t>
      </w:r>
      <w:r w:rsidR="008F70DE" w:rsidRPr="001E4C00">
        <w:rPr>
          <w:lang w:val="fr-FR"/>
        </w:rPr>
        <w:t>’</w:t>
      </w:r>
      <w:r w:rsidRPr="001E4C00">
        <w:rPr>
          <w:lang w:val="fr-FR"/>
        </w:rPr>
        <w:t>État ukrainiens et à d</w:t>
      </w:r>
      <w:r w:rsidR="008F70DE" w:rsidRPr="001E4C00">
        <w:rPr>
          <w:lang w:val="fr-FR"/>
        </w:rPr>
        <w:t>’</w:t>
      </w:r>
      <w:r w:rsidRPr="001E4C00">
        <w:rPr>
          <w:lang w:val="fr-FR"/>
        </w:rPr>
        <w:t xml:space="preserve">autres bases de données, </w:t>
      </w:r>
      <w:r w:rsidR="00EF25CB" w:rsidRPr="001E4C00">
        <w:rPr>
          <w:lang w:val="fr-FR"/>
        </w:rPr>
        <w:t>les activités</w:t>
      </w:r>
      <w:r w:rsidRPr="001E4C00">
        <w:rPr>
          <w:lang w:val="fr-FR"/>
        </w:rPr>
        <w:t xml:space="preserve"> de la base de données sur la propriété intellectuelle </w:t>
      </w:r>
      <w:r w:rsidR="00EF25CB" w:rsidRPr="001E4C00">
        <w:rPr>
          <w:lang w:val="fr-FR"/>
        </w:rPr>
        <w:t xml:space="preserve">sont </w:t>
      </w:r>
      <w:r w:rsidRPr="001E4C00">
        <w:rPr>
          <w:lang w:val="fr-FR"/>
        </w:rPr>
        <w:t>resté</w:t>
      </w:r>
      <w:r w:rsidR="00EF25CB" w:rsidRPr="001E4C00">
        <w:rPr>
          <w:lang w:val="fr-FR"/>
        </w:rPr>
        <w:t>es</w:t>
      </w:r>
      <w:r w:rsidRPr="001E4C00">
        <w:rPr>
          <w:lang w:val="fr-FR"/>
        </w:rPr>
        <w:t xml:space="preserve"> stable</w:t>
      </w:r>
      <w:r w:rsidR="00EF25CB" w:rsidRPr="001E4C00">
        <w:rPr>
          <w:lang w:val="fr-FR"/>
        </w:rPr>
        <w:t>s</w:t>
      </w:r>
      <w:r w:rsidRPr="001E4C00">
        <w:rPr>
          <w:lang w:val="fr-FR"/>
        </w:rPr>
        <w:t xml:space="preserve"> et l</w:t>
      </w:r>
      <w:r w:rsidR="008F70DE" w:rsidRPr="001E4C00">
        <w:rPr>
          <w:lang w:val="fr-FR"/>
        </w:rPr>
        <w:t>’</w:t>
      </w:r>
      <w:r w:rsidRPr="001E4C00">
        <w:rPr>
          <w:lang w:val="fr-FR"/>
        </w:rPr>
        <w:t>accès 24 heures sur 24 aux services électroniques pour remplir les demandes, recevoir les documents et communiquer avec les déposants a été assuré.  L</w:t>
      </w:r>
      <w:r w:rsidR="008F70DE" w:rsidRPr="001E4C00">
        <w:rPr>
          <w:lang w:val="fr-FR"/>
        </w:rPr>
        <w:t>’</w:t>
      </w:r>
      <w:r w:rsidRPr="001E4C00">
        <w:rPr>
          <w:lang w:val="fr-FR"/>
        </w:rPr>
        <w:t>UANIPIO met également en œuvre les dispositions législatives pertinentes afin de prolonger la durée des actions devant l</w:t>
      </w:r>
      <w:r w:rsidR="008F70DE" w:rsidRPr="001E4C00">
        <w:rPr>
          <w:lang w:val="fr-FR"/>
        </w:rPr>
        <w:t>’</w:t>
      </w:r>
      <w:r w:rsidRPr="001E4C00">
        <w:rPr>
          <w:lang w:val="fr-FR"/>
        </w:rPr>
        <w:t>Office et la validité des droits de propriété intellectuelle pendant la loi martiale, conformément à la loi sur la protection des intérêts en matière de propriété intellectuelle pendant la loi martiale</w:t>
      </w:r>
      <w:r w:rsidRPr="001E4C00">
        <w:rPr>
          <w:vertAlign w:val="superscript"/>
          <w:lang w:val="fr-FR" w:eastAsia="en-US"/>
        </w:rPr>
        <w:footnoteReference w:id="31"/>
      </w:r>
      <w:r w:rsidRPr="001E4C00">
        <w:rPr>
          <w:lang w:val="fr-FR"/>
        </w:rPr>
        <w:t>.</w:t>
      </w:r>
    </w:p>
    <w:p w:rsidR="001957C8" w:rsidRPr="001E4C00" w:rsidRDefault="001957C8" w:rsidP="00740EA9">
      <w:pPr>
        <w:pStyle w:val="ONUMFS"/>
        <w:rPr>
          <w:lang w:val="fr-FR"/>
        </w:rPr>
      </w:pPr>
      <w:r w:rsidRPr="001E4C00">
        <w:rPr>
          <w:lang w:val="fr-FR"/>
        </w:rPr>
        <w:t>L</w:t>
      </w:r>
      <w:r w:rsidR="008F70DE" w:rsidRPr="001E4C00">
        <w:rPr>
          <w:lang w:val="fr-FR"/>
        </w:rPr>
        <w:t>’</w:t>
      </w:r>
      <w:r w:rsidRPr="001E4C00">
        <w:rPr>
          <w:lang w:val="fr-FR"/>
        </w:rPr>
        <w:t>UANIPIO et le Ministère de l</w:t>
      </w:r>
      <w:r w:rsidR="008F70DE" w:rsidRPr="001E4C00">
        <w:rPr>
          <w:lang w:val="fr-FR"/>
        </w:rPr>
        <w:t>’</w:t>
      </w:r>
      <w:r w:rsidRPr="001E4C00">
        <w:rPr>
          <w:lang w:val="fr-FR"/>
        </w:rPr>
        <w:t xml:space="preserve">économie continuent </w:t>
      </w:r>
      <w:r w:rsidR="00740EA9" w:rsidRPr="001E4C00">
        <w:rPr>
          <w:lang w:val="fr-FR"/>
        </w:rPr>
        <w:t>d</w:t>
      </w:r>
      <w:r w:rsidR="008F70DE" w:rsidRPr="001E4C00">
        <w:rPr>
          <w:lang w:val="fr-FR"/>
        </w:rPr>
        <w:t>’</w:t>
      </w:r>
      <w:r w:rsidR="00740EA9" w:rsidRPr="001E4C00">
        <w:rPr>
          <w:lang w:val="fr-FR"/>
        </w:rPr>
        <w:t>œuvrer à</w:t>
      </w:r>
      <w:r w:rsidRPr="001E4C00">
        <w:rPr>
          <w:lang w:val="fr-FR"/>
        </w:rPr>
        <w:t xml:space="preserve"> </w:t>
      </w:r>
      <w:r w:rsidR="00740EA9" w:rsidRPr="001E4C00">
        <w:rPr>
          <w:lang w:val="fr-FR"/>
        </w:rPr>
        <w:t>l</w:t>
      </w:r>
      <w:r w:rsidR="008F70DE" w:rsidRPr="001E4C00">
        <w:rPr>
          <w:lang w:val="fr-FR"/>
        </w:rPr>
        <w:t>’</w:t>
      </w:r>
      <w:r w:rsidRPr="001E4C00">
        <w:rPr>
          <w:lang w:val="fr-FR"/>
        </w:rPr>
        <w:t>amélioration</w:t>
      </w:r>
      <w:r w:rsidR="00740EA9" w:rsidRPr="001E4C00">
        <w:rPr>
          <w:lang w:val="fr-FR"/>
        </w:rPr>
        <w:t xml:space="preserve"> du système de la propriété intellectuelle dans les domaine</w:t>
      </w:r>
      <w:r w:rsidRPr="001E4C00">
        <w:rPr>
          <w:lang w:val="fr-FR"/>
        </w:rPr>
        <w:t xml:space="preserve">s </w:t>
      </w:r>
      <w:r w:rsidR="00740EA9" w:rsidRPr="001E4C00">
        <w:rPr>
          <w:lang w:val="fr-FR"/>
        </w:rPr>
        <w:t xml:space="preserve">législatif </w:t>
      </w:r>
      <w:r w:rsidRPr="001E4C00">
        <w:rPr>
          <w:lang w:val="fr-FR"/>
        </w:rPr>
        <w:t>et réglementai</w:t>
      </w:r>
      <w:r w:rsidR="00783939" w:rsidRPr="001E4C00">
        <w:rPr>
          <w:lang w:val="fr-FR"/>
        </w:rPr>
        <w:t>re.  Le</w:t>
      </w:r>
      <w:r w:rsidRPr="001E4C00">
        <w:rPr>
          <w:lang w:val="fr-FR"/>
        </w:rPr>
        <w:t xml:space="preserve"> 12 janvier 2023, le Parlement ukrainien a adopté la loi ukrainienne </w:t>
      </w:r>
      <w:r w:rsidR="00740EA9" w:rsidRPr="001E4C00">
        <w:rPr>
          <w:lang w:val="fr-FR"/>
        </w:rPr>
        <w:t xml:space="preserve">relative à </w:t>
      </w:r>
      <w:r w:rsidRPr="001E4C00">
        <w:rPr>
          <w:lang w:val="fr-FR"/>
        </w:rPr>
        <w:t>l</w:t>
      </w:r>
      <w:r w:rsidR="008F70DE" w:rsidRPr="001E4C00">
        <w:rPr>
          <w:lang w:val="fr-FR"/>
        </w:rPr>
        <w:t>’</w:t>
      </w:r>
      <w:r w:rsidRPr="001E4C00">
        <w:rPr>
          <w:lang w:val="fr-FR"/>
        </w:rPr>
        <w:t xml:space="preserve">adhésion au </w:t>
      </w:r>
      <w:r w:rsidR="00740EA9" w:rsidRPr="001E4C00">
        <w:rPr>
          <w:lang w:val="fr-FR"/>
        </w:rPr>
        <w:t xml:space="preserve">Traité </w:t>
      </w:r>
      <w:r w:rsidRPr="001E4C00">
        <w:rPr>
          <w:lang w:val="fr-FR"/>
        </w:rPr>
        <w:t>de Marrakech</w:t>
      </w:r>
      <w:r w:rsidR="00740EA9" w:rsidRPr="001E4C00">
        <w:rPr>
          <w:lang w:val="fr-FR"/>
        </w:rPr>
        <w:t xml:space="preserve"> visant à faciliter l</w:t>
      </w:r>
      <w:r w:rsidR="008F70DE" w:rsidRPr="001E4C00">
        <w:rPr>
          <w:lang w:val="fr-FR"/>
        </w:rPr>
        <w:t>’</w:t>
      </w:r>
      <w:r w:rsidR="00740EA9" w:rsidRPr="001E4C00">
        <w:rPr>
          <w:lang w:val="fr-FR"/>
        </w:rPr>
        <w:t>accès des déficients visuels et des personnes ayant des difficultés de lecture des textes imprimés aux œuvres publié</w:t>
      </w:r>
      <w:r w:rsidR="00783939" w:rsidRPr="001E4C00">
        <w:rPr>
          <w:lang w:val="fr-FR"/>
        </w:rPr>
        <w:t>es.  En</w:t>
      </w:r>
      <w:r w:rsidRPr="001E4C00">
        <w:rPr>
          <w:lang w:val="fr-FR"/>
        </w:rPr>
        <w:t xml:space="preserve"> outre, le Parlement ukrainien a adopté une nouvelle version de la loi sur le droit d</w:t>
      </w:r>
      <w:r w:rsidR="008F70DE" w:rsidRPr="001E4C00">
        <w:rPr>
          <w:lang w:val="fr-FR"/>
        </w:rPr>
        <w:t>’</w:t>
      </w:r>
      <w:r w:rsidRPr="001E4C00">
        <w:rPr>
          <w:lang w:val="fr-FR"/>
        </w:rPr>
        <w:t xml:space="preserve">auteur et les droits connexes </w:t>
      </w:r>
      <w:r w:rsidR="00740EA9" w:rsidRPr="001E4C00">
        <w:rPr>
          <w:lang w:val="fr-FR"/>
        </w:rPr>
        <w:t xml:space="preserve">visant à </w:t>
      </w:r>
      <w:r w:rsidRPr="001E4C00">
        <w:rPr>
          <w:lang w:val="fr-FR"/>
        </w:rPr>
        <w:t>harmonise</w:t>
      </w:r>
      <w:r w:rsidR="00740EA9" w:rsidRPr="001E4C00">
        <w:rPr>
          <w:lang w:val="fr-FR"/>
        </w:rPr>
        <w:t>r</w:t>
      </w:r>
      <w:r w:rsidRPr="001E4C00">
        <w:rPr>
          <w:lang w:val="fr-FR"/>
        </w:rPr>
        <w:t xml:space="preserve"> une partie des dispositions avec la législation européenne et </w:t>
      </w:r>
      <w:r w:rsidR="00740EA9" w:rsidRPr="001E4C00">
        <w:rPr>
          <w:lang w:val="fr-FR"/>
        </w:rPr>
        <w:t xml:space="preserve">à </w:t>
      </w:r>
      <w:r w:rsidRPr="001E4C00">
        <w:rPr>
          <w:lang w:val="fr-FR"/>
        </w:rPr>
        <w:t>améliore</w:t>
      </w:r>
      <w:r w:rsidR="00740EA9" w:rsidRPr="001E4C00">
        <w:rPr>
          <w:lang w:val="fr-FR"/>
        </w:rPr>
        <w:t>r</w:t>
      </w:r>
      <w:r w:rsidRPr="001E4C00">
        <w:rPr>
          <w:lang w:val="fr-FR"/>
        </w:rPr>
        <w:t xml:space="preserve"> le système d</w:t>
      </w:r>
      <w:r w:rsidR="008F70DE" w:rsidRPr="001E4C00">
        <w:rPr>
          <w:lang w:val="fr-FR"/>
        </w:rPr>
        <w:t>’</w:t>
      </w:r>
      <w:r w:rsidRPr="001E4C00">
        <w:rPr>
          <w:lang w:val="fr-FR"/>
        </w:rPr>
        <w:t xml:space="preserve">obtention de recours pour les titulaires </w:t>
      </w:r>
      <w:r w:rsidR="00D45006" w:rsidRPr="001E4C00">
        <w:rPr>
          <w:lang w:val="fr-FR"/>
        </w:rPr>
        <w:t xml:space="preserve">du </w:t>
      </w:r>
      <w:r w:rsidRPr="001E4C00">
        <w:rPr>
          <w:lang w:val="fr-FR"/>
        </w:rPr>
        <w:t>droit d</w:t>
      </w:r>
      <w:r w:rsidR="008F70DE" w:rsidRPr="001E4C00">
        <w:rPr>
          <w:lang w:val="fr-FR"/>
        </w:rPr>
        <w:t>’</w:t>
      </w:r>
      <w:r w:rsidRPr="001E4C00">
        <w:rPr>
          <w:lang w:val="fr-FR"/>
        </w:rPr>
        <w:t>auteur.</w:t>
      </w:r>
    </w:p>
    <w:p w:rsidR="001957C8" w:rsidRPr="001E4C00" w:rsidRDefault="001957C8" w:rsidP="007115E7">
      <w:pPr>
        <w:pStyle w:val="ONUMFS"/>
        <w:rPr>
          <w:lang w:val="fr-FR"/>
        </w:rPr>
      </w:pPr>
      <w:r w:rsidRPr="001E4C00">
        <w:rPr>
          <w:lang w:val="fr-FR"/>
        </w:rPr>
        <w:t>Peu après le 24 février 2022, en raison de la complexité de la situation à Kiev et pour éviter que la vie et la santé des participants ne soient menacées, les audiences d</w:t>
      </w:r>
      <w:r w:rsidR="008F70DE" w:rsidRPr="001E4C00">
        <w:rPr>
          <w:lang w:val="fr-FR"/>
        </w:rPr>
        <w:t>’</w:t>
      </w:r>
      <w:r w:rsidRPr="001E4C00">
        <w:rPr>
          <w:lang w:val="fr-FR"/>
        </w:rPr>
        <w:t>appel ont été suspendu</w:t>
      </w:r>
      <w:r w:rsidR="00783939" w:rsidRPr="001E4C00">
        <w:rPr>
          <w:lang w:val="fr-FR"/>
        </w:rPr>
        <w:t>es.  Le</w:t>
      </w:r>
      <w:r w:rsidRPr="001E4C00">
        <w:rPr>
          <w:lang w:val="fr-FR"/>
        </w:rPr>
        <w:t xml:space="preserve">s autorités judiciaires ont depuis repris les audiences, à la fois en </w:t>
      </w:r>
      <w:r w:rsidR="00D45006" w:rsidRPr="001E4C00">
        <w:rPr>
          <w:lang w:val="fr-FR"/>
        </w:rPr>
        <w:t xml:space="preserve">présentiel </w:t>
      </w:r>
      <w:r w:rsidRPr="001E4C00">
        <w:rPr>
          <w:lang w:val="fr-FR"/>
        </w:rPr>
        <w:t>et en lig</w:t>
      </w:r>
      <w:r w:rsidR="00783939" w:rsidRPr="001E4C00">
        <w:rPr>
          <w:lang w:val="fr-FR"/>
        </w:rPr>
        <w:t>ne.  Le</w:t>
      </w:r>
      <w:r w:rsidRPr="001E4C00">
        <w:rPr>
          <w:lang w:val="fr-FR"/>
        </w:rPr>
        <w:t xml:space="preserve">s commissions </w:t>
      </w:r>
      <w:r w:rsidR="00D45006" w:rsidRPr="001E4C00">
        <w:rPr>
          <w:lang w:val="fr-FR"/>
        </w:rPr>
        <w:t xml:space="preserve">de recours </w:t>
      </w:r>
      <w:r w:rsidRPr="001E4C00">
        <w:rPr>
          <w:lang w:val="fr-FR"/>
        </w:rPr>
        <w:t>de l</w:t>
      </w:r>
      <w:r w:rsidR="008F70DE" w:rsidRPr="001E4C00">
        <w:rPr>
          <w:lang w:val="fr-FR"/>
        </w:rPr>
        <w:t>’</w:t>
      </w:r>
      <w:r w:rsidRPr="001E4C00">
        <w:rPr>
          <w:lang w:val="fr-FR"/>
        </w:rPr>
        <w:t>UANIPIO se préparent à reprendre bientôt.  L</w:t>
      </w:r>
      <w:r w:rsidR="008F70DE" w:rsidRPr="001E4C00">
        <w:rPr>
          <w:lang w:val="fr-FR"/>
        </w:rPr>
        <w:t>’</w:t>
      </w:r>
      <w:r w:rsidRPr="001E4C00">
        <w:rPr>
          <w:lang w:val="fr-FR"/>
        </w:rPr>
        <w:t>UANIPIO a également rejoint le système de cour électronique mis en place dans le système judiciaire ukrainien.</w:t>
      </w:r>
    </w:p>
    <w:p w:rsidR="001957C8" w:rsidRPr="001E4C00" w:rsidRDefault="001957C8" w:rsidP="007115E7">
      <w:pPr>
        <w:pStyle w:val="ONUMFS"/>
        <w:rPr>
          <w:lang w:val="fr-FR"/>
        </w:rPr>
      </w:pPr>
      <w:r w:rsidRPr="001E4C00">
        <w:rPr>
          <w:lang w:val="fr-FR"/>
        </w:rPr>
        <w:t xml:space="preserve">Le </w:t>
      </w:r>
      <w:r w:rsidR="00D45006" w:rsidRPr="001E4C00">
        <w:rPr>
          <w:lang w:val="fr-FR"/>
        </w:rPr>
        <w:t xml:space="preserve">Bureau </w:t>
      </w:r>
      <w:r w:rsidRPr="001E4C00">
        <w:rPr>
          <w:lang w:val="fr-FR"/>
        </w:rPr>
        <w:t>du Procureur général a indiqué que la guerre n</w:t>
      </w:r>
      <w:r w:rsidR="008F70DE" w:rsidRPr="001E4C00">
        <w:rPr>
          <w:lang w:val="fr-FR"/>
        </w:rPr>
        <w:t>’</w:t>
      </w:r>
      <w:r w:rsidRPr="001E4C00">
        <w:rPr>
          <w:lang w:val="fr-FR"/>
        </w:rPr>
        <w:t>avait pas affecté la détection et l</w:t>
      </w:r>
      <w:r w:rsidR="008F70DE" w:rsidRPr="001E4C00">
        <w:rPr>
          <w:lang w:val="fr-FR"/>
        </w:rPr>
        <w:t>’</w:t>
      </w:r>
      <w:r w:rsidRPr="001E4C00">
        <w:rPr>
          <w:lang w:val="fr-FR"/>
        </w:rPr>
        <w:t>investigation des violations des droits de propriété intellectuel</w:t>
      </w:r>
      <w:r w:rsidR="00783939" w:rsidRPr="001E4C00">
        <w:rPr>
          <w:lang w:val="fr-FR"/>
        </w:rPr>
        <w:t>le.  Le</w:t>
      </w:r>
      <w:r w:rsidRPr="001E4C00">
        <w:rPr>
          <w:lang w:val="fr-FR"/>
        </w:rPr>
        <w:t xml:space="preserve"> </w:t>
      </w:r>
      <w:r w:rsidR="00D45006" w:rsidRPr="001E4C00">
        <w:rPr>
          <w:lang w:val="fr-FR"/>
        </w:rPr>
        <w:t xml:space="preserve">Bureau </w:t>
      </w:r>
      <w:r w:rsidRPr="001E4C00">
        <w:rPr>
          <w:lang w:val="fr-FR"/>
        </w:rPr>
        <w:t>du Procureur général coordonne les activités des organismes chargés de l</w:t>
      </w:r>
      <w:r w:rsidR="008F70DE" w:rsidRPr="001E4C00">
        <w:rPr>
          <w:lang w:val="fr-FR"/>
        </w:rPr>
        <w:t>’</w:t>
      </w:r>
      <w:r w:rsidRPr="001E4C00">
        <w:rPr>
          <w:lang w:val="fr-FR"/>
        </w:rPr>
        <w:t>application de la loi en ce qui concerne les délits de propriété intellectuelle dans l</w:t>
      </w:r>
      <w:r w:rsidR="008F70DE" w:rsidRPr="001E4C00">
        <w:rPr>
          <w:lang w:val="fr-FR"/>
        </w:rPr>
        <w:t>’</w:t>
      </w:r>
      <w:r w:rsidRPr="001E4C00">
        <w:rPr>
          <w:lang w:val="fr-FR"/>
        </w:rPr>
        <w:t>ensemble du pays et a indiqué que les délits d</w:t>
      </w:r>
      <w:r w:rsidR="008F70DE" w:rsidRPr="001E4C00">
        <w:rPr>
          <w:lang w:val="fr-FR"/>
        </w:rPr>
        <w:t>’</w:t>
      </w:r>
      <w:r w:rsidRPr="001E4C00">
        <w:rPr>
          <w:lang w:val="fr-FR"/>
        </w:rPr>
        <w:t xml:space="preserve">atteinte à la propriété intellectuelle ont été </w:t>
      </w:r>
      <w:r w:rsidR="006D71FE" w:rsidRPr="001E4C00">
        <w:rPr>
          <w:lang w:val="fr-FR"/>
        </w:rPr>
        <w:t xml:space="preserve">divisés </w:t>
      </w:r>
      <w:r w:rsidRPr="001E4C00">
        <w:rPr>
          <w:lang w:val="fr-FR"/>
        </w:rPr>
        <w:t>par trois en 2022 par rapport à 2021.</w:t>
      </w:r>
    </w:p>
    <w:p w:rsidR="001957C8" w:rsidRPr="001E4C00" w:rsidRDefault="001957C8" w:rsidP="007115E7">
      <w:pPr>
        <w:pStyle w:val="ONUMFS"/>
        <w:rPr>
          <w:lang w:val="fr-FR"/>
        </w:rPr>
      </w:pPr>
      <w:r w:rsidRPr="001E4C00">
        <w:rPr>
          <w:lang w:val="fr-FR"/>
        </w:rPr>
        <w:t>La Cour suprême a indiqué que le système judiciaire continuait de fonctionner depuis février 2022, bien que les principaux défis aient été relevés</w:t>
      </w:r>
      <w:r w:rsidR="006D71FE" w:rsidRPr="001E4C00">
        <w:rPr>
          <w:lang w:val="fr-FR"/>
        </w:rPr>
        <w:t>, notamment</w:t>
      </w:r>
      <w:r w:rsidRPr="001E4C00">
        <w:rPr>
          <w:lang w:val="fr-FR"/>
        </w:rPr>
        <w:t xml:space="preserve"> la nécessité d</w:t>
      </w:r>
      <w:r w:rsidR="008F70DE" w:rsidRPr="001E4C00">
        <w:rPr>
          <w:lang w:val="fr-FR"/>
        </w:rPr>
        <w:t>’</w:t>
      </w:r>
      <w:r w:rsidRPr="001E4C00">
        <w:rPr>
          <w:lang w:val="fr-FR"/>
        </w:rPr>
        <w:t>assurer l</w:t>
      </w:r>
      <w:r w:rsidR="008F70DE" w:rsidRPr="001E4C00">
        <w:rPr>
          <w:lang w:val="fr-FR"/>
        </w:rPr>
        <w:t>’</w:t>
      </w:r>
      <w:r w:rsidRPr="001E4C00">
        <w:rPr>
          <w:lang w:val="fr-FR"/>
        </w:rPr>
        <w:t>administration de la justice sous la loi martiale, les bombardements, les coupures d</w:t>
      </w:r>
      <w:r w:rsidR="008F70DE" w:rsidRPr="001E4C00">
        <w:rPr>
          <w:lang w:val="fr-FR"/>
        </w:rPr>
        <w:t>’</w:t>
      </w:r>
      <w:r w:rsidRPr="001E4C00">
        <w:rPr>
          <w:lang w:val="fr-FR"/>
        </w:rPr>
        <w:t>électricité et la perturbation de l</w:t>
      </w:r>
      <w:r w:rsidR="008F70DE" w:rsidRPr="001E4C00">
        <w:rPr>
          <w:lang w:val="fr-FR"/>
        </w:rPr>
        <w:t>’</w:t>
      </w:r>
      <w:r w:rsidRPr="001E4C00">
        <w:rPr>
          <w:lang w:val="fr-FR"/>
        </w:rPr>
        <w:t xml:space="preserve">accès à </w:t>
      </w:r>
      <w:proofErr w:type="gramStart"/>
      <w:r w:rsidRPr="001E4C00">
        <w:rPr>
          <w:lang w:val="fr-FR"/>
        </w:rPr>
        <w:t>l</w:t>
      </w:r>
      <w:r w:rsidR="008F70DE" w:rsidRPr="001E4C00">
        <w:rPr>
          <w:lang w:val="fr-FR"/>
        </w:rPr>
        <w:t>’</w:t>
      </w:r>
      <w:r w:rsidRPr="001E4C00">
        <w:rPr>
          <w:lang w:val="fr-FR"/>
        </w:rPr>
        <w:t>Internet;  et</w:t>
      </w:r>
      <w:proofErr w:type="gramEnd"/>
      <w:r w:rsidRPr="001E4C00">
        <w:rPr>
          <w:lang w:val="fr-FR"/>
        </w:rPr>
        <w:t xml:space="preserve"> d</w:t>
      </w:r>
      <w:r w:rsidR="008F70DE" w:rsidRPr="001E4C00">
        <w:rPr>
          <w:lang w:val="fr-FR"/>
        </w:rPr>
        <w:t>’</w:t>
      </w:r>
      <w:r w:rsidRPr="001E4C00">
        <w:rPr>
          <w:lang w:val="fr-FR"/>
        </w:rPr>
        <w:t>assurer la sécurité des justiciables, des juges et du personnel, en plus des affaires judiciair</w:t>
      </w:r>
      <w:r w:rsidR="00783939" w:rsidRPr="001E4C00">
        <w:rPr>
          <w:lang w:val="fr-FR"/>
        </w:rPr>
        <w:t>es.  Ma</w:t>
      </w:r>
      <w:r w:rsidRPr="001E4C00">
        <w:rPr>
          <w:lang w:val="fr-FR"/>
        </w:rPr>
        <w:t>lgré ces circonstances difficiles, la Cour suprême continue d</w:t>
      </w:r>
      <w:r w:rsidR="008F70DE" w:rsidRPr="001E4C00">
        <w:rPr>
          <w:lang w:val="fr-FR"/>
        </w:rPr>
        <w:t>’</w:t>
      </w:r>
      <w:r w:rsidRPr="001E4C00">
        <w:rPr>
          <w:lang w:val="fr-FR"/>
        </w:rPr>
        <w:t>examiner les affaires, en particulier celles qui concernent la propriété intellectuelle, dans les délais fixés par la loi de procédu</w:t>
      </w:r>
      <w:r w:rsidR="00783939" w:rsidRPr="001E4C00">
        <w:rPr>
          <w:lang w:val="fr-FR"/>
        </w:rPr>
        <w:t>re.  La</w:t>
      </w:r>
      <w:r w:rsidRPr="001E4C00">
        <w:rPr>
          <w:lang w:val="fr-FR"/>
        </w:rPr>
        <w:t xml:space="preserve"> procédure de création de la Haute Cour de la propriété intellectuelle est actuellement en cours.</w:t>
      </w:r>
    </w:p>
    <w:p w:rsidR="001957C8" w:rsidRPr="001E4C00" w:rsidRDefault="001957C8" w:rsidP="007115E7">
      <w:pPr>
        <w:pStyle w:val="ONUMFS"/>
        <w:rPr>
          <w:lang w:val="fr-FR"/>
        </w:rPr>
      </w:pPr>
      <w:r w:rsidRPr="001E4C00">
        <w:rPr>
          <w:lang w:val="fr-FR"/>
        </w:rPr>
        <w:t>La guerre a eu un impact sur le réseau de CATI établi dans le cadre du protocole d</w:t>
      </w:r>
      <w:r w:rsidR="008F70DE" w:rsidRPr="001E4C00">
        <w:rPr>
          <w:lang w:val="fr-FR"/>
        </w:rPr>
        <w:t>’</w:t>
      </w:r>
      <w:r w:rsidRPr="001E4C00">
        <w:rPr>
          <w:lang w:val="fr-FR"/>
        </w:rPr>
        <w:t xml:space="preserve">accord de 2018 entre le Ministère </w:t>
      </w:r>
      <w:r w:rsidR="006D71FE" w:rsidRPr="001E4C00">
        <w:rPr>
          <w:lang w:val="fr-FR"/>
        </w:rPr>
        <w:t xml:space="preserve">ukrainien </w:t>
      </w:r>
      <w:r w:rsidRPr="001E4C00">
        <w:rPr>
          <w:lang w:val="fr-FR"/>
        </w:rPr>
        <w:t>du développement économique et du commerce et l</w:t>
      </w:r>
      <w:r w:rsidR="008F70DE" w:rsidRPr="001E4C00">
        <w:rPr>
          <w:lang w:val="fr-FR"/>
        </w:rPr>
        <w:t>’</w:t>
      </w:r>
      <w:r w:rsidRPr="001E4C00">
        <w:rPr>
          <w:lang w:val="fr-FR"/>
        </w:rPr>
        <w:t>O</w:t>
      </w:r>
      <w:r w:rsidR="00783939" w:rsidRPr="001E4C00">
        <w:rPr>
          <w:lang w:val="fr-FR"/>
        </w:rPr>
        <w:t>MPI.  En</w:t>
      </w:r>
      <w:r w:rsidRPr="001E4C00">
        <w:rPr>
          <w:lang w:val="fr-FR"/>
        </w:rPr>
        <w:t xml:space="preserve"> février 2022, 17 CATI avaient été créés, principalement dans des établissements d</w:t>
      </w:r>
      <w:r w:rsidR="008F70DE" w:rsidRPr="001E4C00">
        <w:rPr>
          <w:lang w:val="fr-FR"/>
        </w:rPr>
        <w:t>’</w:t>
      </w:r>
      <w:r w:rsidRPr="001E4C00">
        <w:rPr>
          <w:lang w:val="fr-FR"/>
        </w:rPr>
        <w:t xml:space="preserve">enseignement supérieur, le CATI </w:t>
      </w:r>
      <w:r w:rsidR="006D71FE" w:rsidRPr="001E4C00">
        <w:rPr>
          <w:lang w:val="fr-FR"/>
        </w:rPr>
        <w:t xml:space="preserve">chargé </w:t>
      </w:r>
      <w:r w:rsidRPr="001E4C00">
        <w:rPr>
          <w:lang w:val="fr-FR"/>
        </w:rPr>
        <w:t xml:space="preserve">de </w:t>
      </w:r>
      <w:r w:rsidR="006D71FE" w:rsidRPr="001E4C00">
        <w:rPr>
          <w:lang w:val="fr-FR"/>
        </w:rPr>
        <w:t xml:space="preserve">la </w:t>
      </w:r>
      <w:r w:rsidRPr="001E4C00">
        <w:rPr>
          <w:lang w:val="fr-FR"/>
        </w:rPr>
        <w:t>coordination étant hébergé par l</w:t>
      </w:r>
      <w:r w:rsidR="008F70DE" w:rsidRPr="001E4C00">
        <w:rPr>
          <w:lang w:val="fr-FR"/>
        </w:rPr>
        <w:t>’</w:t>
      </w:r>
      <w:r w:rsidRPr="001E4C00">
        <w:rPr>
          <w:lang w:val="fr-FR"/>
        </w:rPr>
        <w:t>UANIPIO.</w:t>
      </w:r>
    </w:p>
    <w:p w:rsidR="001957C8" w:rsidRPr="001E4C00" w:rsidRDefault="001957C8" w:rsidP="007115E7">
      <w:pPr>
        <w:pStyle w:val="ONUMFS"/>
        <w:rPr>
          <w:lang w:val="fr-FR"/>
        </w:rPr>
      </w:pPr>
      <w:r w:rsidRPr="001E4C00">
        <w:rPr>
          <w:lang w:val="fr-FR"/>
        </w:rPr>
        <w:t>Au début de la guerre, l</w:t>
      </w:r>
      <w:r w:rsidR="008F70DE" w:rsidRPr="001E4C00">
        <w:rPr>
          <w:lang w:val="fr-FR"/>
        </w:rPr>
        <w:t>’</w:t>
      </w:r>
      <w:r w:rsidRPr="001E4C00">
        <w:rPr>
          <w:lang w:val="fr-FR"/>
        </w:rPr>
        <w:t>activité d</w:t>
      </w:r>
      <w:r w:rsidR="008F70DE" w:rsidRPr="001E4C00">
        <w:rPr>
          <w:lang w:val="fr-FR"/>
        </w:rPr>
        <w:t>’</w:t>
      </w:r>
      <w:r w:rsidRPr="001E4C00">
        <w:rPr>
          <w:lang w:val="fr-FR"/>
        </w:rPr>
        <w:t>innovation et, par conséquent, les indicateurs d</w:t>
      </w:r>
      <w:r w:rsidR="008F70DE" w:rsidRPr="001E4C00">
        <w:rPr>
          <w:lang w:val="fr-FR"/>
        </w:rPr>
        <w:t>’</w:t>
      </w:r>
      <w:r w:rsidRPr="001E4C00">
        <w:rPr>
          <w:lang w:val="fr-FR"/>
        </w:rPr>
        <w:t>innovation</w:t>
      </w:r>
      <w:r w:rsidR="001211E1" w:rsidRPr="001E4C00">
        <w:rPr>
          <w:lang w:val="fr-FR"/>
        </w:rPr>
        <w:t>,</w:t>
      </w:r>
      <w:r w:rsidRPr="001E4C00">
        <w:rPr>
          <w:lang w:val="fr-FR"/>
        </w:rPr>
        <w:t xml:space="preserve"> ont diminué, ce qui a </w:t>
      </w:r>
      <w:r w:rsidR="006D71FE" w:rsidRPr="001E4C00">
        <w:rPr>
          <w:lang w:val="fr-FR"/>
        </w:rPr>
        <w:t xml:space="preserve">eu une incidence sur </w:t>
      </w:r>
      <w:r w:rsidRPr="001E4C00">
        <w:rPr>
          <w:lang w:val="fr-FR"/>
        </w:rPr>
        <w:t>le travail des C</w:t>
      </w:r>
      <w:r w:rsidR="00783939" w:rsidRPr="001E4C00">
        <w:rPr>
          <w:lang w:val="fr-FR"/>
        </w:rPr>
        <w:t>ATI.  Au</w:t>
      </w:r>
      <w:r w:rsidRPr="001E4C00">
        <w:rPr>
          <w:lang w:val="fr-FR"/>
        </w:rPr>
        <w:t>jourd</w:t>
      </w:r>
      <w:r w:rsidR="008F70DE" w:rsidRPr="001E4C00">
        <w:rPr>
          <w:lang w:val="fr-FR"/>
        </w:rPr>
        <w:t>’</w:t>
      </w:r>
      <w:r w:rsidRPr="001E4C00">
        <w:rPr>
          <w:lang w:val="fr-FR"/>
        </w:rPr>
        <w:t>hui, l</w:t>
      </w:r>
      <w:r w:rsidR="008F70DE" w:rsidRPr="001E4C00">
        <w:rPr>
          <w:lang w:val="fr-FR"/>
        </w:rPr>
        <w:t>’</w:t>
      </w:r>
      <w:r w:rsidRPr="001E4C00">
        <w:rPr>
          <w:lang w:val="fr-FR"/>
        </w:rPr>
        <w:t>activité dans le domaine de l</w:t>
      </w:r>
      <w:r w:rsidR="008F70DE" w:rsidRPr="001E4C00">
        <w:rPr>
          <w:lang w:val="fr-FR"/>
        </w:rPr>
        <w:t>’</w:t>
      </w:r>
      <w:r w:rsidRPr="001E4C00">
        <w:rPr>
          <w:lang w:val="fr-FR"/>
        </w:rPr>
        <w:t>innovation repre</w:t>
      </w:r>
      <w:r w:rsidR="00783939" w:rsidRPr="001E4C00">
        <w:rPr>
          <w:lang w:val="fr-FR"/>
        </w:rPr>
        <w:t>nd.  Le</w:t>
      </w:r>
      <w:r w:rsidRPr="001E4C00">
        <w:rPr>
          <w:lang w:val="fr-FR"/>
        </w:rPr>
        <w:t>s scientifiques, les chercheurs et les innovateurs s</w:t>
      </w:r>
      <w:r w:rsidR="008F70DE" w:rsidRPr="001E4C00">
        <w:rPr>
          <w:lang w:val="fr-FR"/>
        </w:rPr>
        <w:t>’</w:t>
      </w:r>
      <w:r w:rsidRPr="001E4C00">
        <w:rPr>
          <w:lang w:val="fr-FR"/>
        </w:rPr>
        <w:t>intéressent activement aux questions liées au redressement de l</w:t>
      </w:r>
      <w:r w:rsidR="008F70DE" w:rsidRPr="001E4C00">
        <w:rPr>
          <w:lang w:val="fr-FR"/>
        </w:rPr>
        <w:t>’</w:t>
      </w:r>
      <w:r w:rsidRPr="001E4C00">
        <w:rPr>
          <w:lang w:val="fr-FR"/>
        </w:rPr>
        <w:t>Ukraine pendant et après la guerre.</w:t>
      </w:r>
    </w:p>
    <w:p w:rsidR="001957C8" w:rsidRPr="001E4C00" w:rsidRDefault="001957C8" w:rsidP="007115E7">
      <w:pPr>
        <w:pStyle w:val="ONUMFS"/>
        <w:rPr>
          <w:lang w:val="fr-FR"/>
        </w:rPr>
      </w:pPr>
      <w:r w:rsidRPr="001E4C00">
        <w:rPr>
          <w:lang w:val="fr-FR"/>
        </w:rPr>
        <w:t>La majorité des CATI ont repris la fourniture de leurs servic</w:t>
      </w:r>
      <w:r w:rsidR="00783939" w:rsidRPr="001E4C00">
        <w:rPr>
          <w:lang w:val="fr-FR"/>
        </w:rPr>
        <w:t>es.  Né</w:t>
      </w:r>
      <w:r w:rsidRPr="001E4C00">
        <w:rPr>
          <w:lang w:val="fr-FR"/>
        </w:rPr>
        <w:t>anmoins, certains CATI sont situés dans des établissements d</w:t>
      </w:r>
      <w:r w:rsidR="008F70DE" w:rsidRPr="001E4C00">
        <w:rPr>
          <w:lang w:val="fr-FR"/>
        </w:rPr>
        <w:t>’</w:t>
      </w:r>
      <w:r w:rsidRPr="001E4C00">
        <w:rPr>
          <w:lang w:val="fr-FR"/>
        </w:rPr>
        <w:t xml:space="preserve">enseignement supérieur qui ont été partiellement détruits ou endommagés (par exemple, les CATI situés à </w:t>
      </w:r>
      <w:proofErr w:type="spellStart"/>
      <w:r w:rsidRPr="001E4C00">
        <w:rPr>
          <w:lang w:val="fr-FR"/>
        </w:rPr>
        <w:t>Chernihiv</w:t>
      </w:r>
      <w:proofErr w:type="spellEnd"/>
      <w:r w:rsidRPr="001E4C00">
        <w:rPr>
          <w:lang w:val="fr-FR"/>
        </w:rPr>
        <w:t xml:space="preserve"> et Kharkiv), ce qui rend impossible ou entrave considérablement </w:t>
      </w:r>
      <w:r w:rsidR="001211E1" w:rsidRPr="001E4C00">
        <w:rPr>
          <w:lang w:val="fr-FR"/>
        </w:rPr>
        <w:t>l</w:t>
      </w:r>
      <w:r w:rsidR="008F70DE" w:rsidRPr="001E4C00">
        <w:rPr>
          <w:lang w:val="fr-FR"/>
        </w:rPr>
        <w:t>’</w:t>
      </w:r>
      <w:r w:rsidR="001211E1" w:rsidRPr="001E4C00">
        <w:rPr>
          <w:lang w:val="fr-FR"/>
        </w:rPr>
        <w:t xml:space="preserve">exécution </w:t>
      </w:r>
      <w:r w:rsidRPr="001E4C00">
        <w:rPr>
          <w:lang w:val="fr-FR"/>
        </w:rPr>
        <w:t>des tâches et la fourniture de services par ces C</w:t>
      </w:r>
      <w:r w:rsidR="00783939" w:rsidRPr="001E4C00">
        <w:rPr>
          <w:lang w:val="fr-FR"/>
        </w:rPr>
        <w:t>ATI.  Da</w:t>
      </w:r>
      <w:r w:rsidRPr="001E4C00">
        <w:rPr>
          <w:lang w:val="fr-FR"/>
        </w:rPr>
        <w:t>ns un cas, l</w:t>
      </w:r>
      <w:r w:rsidR="008F70DE" w:rsidRPr="001E4C00">
        <w:rPr>
          <w:lang w:val="fr-FR"/>
        </w:rPr>
        <w:t>’</w:t>
      </w:r>
      <w:r w:rsidRPr="001E4C00">
        <w:rPr>
          <w:lang w:val="fr-FR"/>
        </w:rPr>
        <w:t>institution hôte d</w:t>
      </w:r>
      <w:r w:rsidR="008F70DE" w:rsidRPr="001E4C00">
        <w:rPr>
          <w:lang w:val="fr-FR"/>
        </w:rPr>
        <w:t>’</w:t>
      </w:r>
      <w:r w:rsidRPr="001E4C00">
        <w:rPr>
          <w:lang w:val="fr-FR"/>
        </w:rPr>
        <w:t>un CATI a été transférée dans une autre région et fait actuellement l</w:t>
      </w:r>
      <w:r w:rsidR="008F70DE" w:rsidRPr="001E4C00">
        <w:rPr>
          <w:lang w:val="fr-FR"/>
        </w:rPr>
        <w:t>’</w:t>
      </w:r>
      <w:r w:rsidRPr="001E4C00">
        <w:rPr>
          <w:lang w:val="fr-FR"/>
        </w:rPr>
        <w:t>objet d</w:t>
      </w:r>
      <w:r w:rsidR="008F70DE" w:rsidRPr="001E4C00">
        <w:rPr>
          <w:lang w:val="fr-FR"/>
        </w:rPr>
        <w:t>’</w:t>
      </w:r>
      <w:r w:rsidRPr="001E4C00">
        <w:rPr>
          <w:lang w:val="fr-FR"/>
        </w:rPr>
        <w:t>un</w:t>
      </w:r>
      <w:r w:rsidR="001211E1" w:rsidRPr="001E4C00">
        <w:rPr>
          <w:lang w:val="fr-FR"/>
        </w:rPr>
        <w:t>e</w:t>
      </w:r>
      <w:r w:rsidRPr="001E4C00">
        <w:rPr>
          <w:lang w:val="fr-FR"/>
        </w:rPr>
        <w:t xml:space="preserve"> </w:t>
      </w:r>
      <w:r w:rsidR="001211E1" w:rsidRPr="001E4C00">
        <w:rPr>
          <w:lang w:val="fr-FR"/>
        </w:rPr>
        <w:t xml:space="preserve">procédure </w:t>
      </w:r>
      <w:r w:rsidRPr="001E4C00">
        <w:rPr>
          <w:lang w:val="fr-FR"/>
        </w:rPr>
        <w:t>d</w:t>
      </w:r>
      <w:r w:rsidR="008F70DE" w:rsidRPr="001E4C00">
        <w:rPr>
          <w:lang w:val="fr-FR"/>
        </w:rPr>
        <w:t>’</w:t>
      </w:r>
      <w:r w:rsidRPr="001E4C00">
        <w:rPr>
          <w:lang w:val="fr-FR"/>
        </w:rPr>
        <w:t xml:space="preserve">adaptation et </w:t>
      </w:r>
      <w:r w:rsidR="001211E1" w:rsidRPr="001E4C00">
        <w:rPr>
          <w:lang w:val="fr-FR"/>
        </w:rPr>
        <w:t>d</w:t>
      </w:r>
      <w:r w:rsidR="008F70DE" w:rsidRPr="001E4C00">
        <w:rPr>
          <w:lang w:val="fr-FR"/>
        </w:rPr>
        <w:t>’</w:t>
      </w:r>
      <w:r w:rsidR="001211E1" w:rsidRPr="001E4C00">
        <w:rPr>
          <w:lang w:val="fr-FR"/>
        </w:rPr>
        <w:t>ajusteme</w:t>
      </w:r>
      <w:r w:rsidR="00783939" w:rsidRPr="001E4C00">
        <w:rPr>
          <w:lang w:val="fr-FR"/>
        </w:rPr>
        <w:t>nt.  Un</w:t>
      </w:r>
      <w:r w:rsidRPr="001E4C00">
        <w:rPr>
          <w:lang w:val="fr-FR"/>
        </w:rPr>
        <w:t xml:space="preserve"> nouveau CATI sera bientôt ouvert au sein de l</w:t>
      </w:r>
      <w:r w:rsidR="008F70DE" w:rsidRPr="001E4C00">
        <w:rPr>
          <w:lang w:val="fr-FR"/>
        </w:rPr>
        <w:t>’</w:t>
      </w:r>
      <w:r w:rsidRPr="001E4C00">
        <w:rPr>
          <w:lang w:val="fr-FR"/>
        </w:rPr>
        <w:t>établissement d</w:t>
      </w:r>
      <w:r w:rsidR="008F70DE" w:rsidRPr="001E4C00">
        <w:rPr>
          <w:lang w:val="fr-FR"/>
        </w:rPr>
        <w:t>’</w:t>
      </w:r>
      <w:r w:rsidRPr="001E4C00">
        <w:rPr>
          <w:lang w:val="fr-FR"/>
        </w:rPr>
        <w:t>enseignement supérieur délocalisé.</w:t>
      </w:r>
    </w:p>
    <w:p w:rsidR="001957C8" w:rsidRPr="001E4C00" w:rsidRDefault="001957C8" w:rsidP="00A25FE5">
      <w:pPr>
        <w:pStyle w:val="Heading2"/>
        <w:rPr>
          <w:lang w:val="fr-FR"/>
        </w:rPr>
      </w:pPr>
      <w:r w:rsidRPr="001E4C00">
        <w:rPr>
          <w:lang w:val="fr-FR"/>
        </w:rPr>
        <w:t>2.6.</w:t>
      </w:r>
      <w:r w:rsidRPr="001E4C00">
        <w:rPr>
          <w:lang w:val="fr-FR"/>
        </w:rPr>
        <w:tab/>
        <w:t xml:space="preserve">Tendances récentes </w:t>
      </w:r>
      <w:r w:rsidR="001211E1" w:rsidRPr="001E4C00">
        <w:rPr>
          <w:lang w:val="fr-FR"/>
        </w:rPr>
        <w:t xml:space="preserve">en matière </w:t>
      </w:r>
      <w:r w:rsidRPr="001E4C00">
        <w:rPr>
          <w:lang w:val="fr-FR"/>
        </w:rPr>
        <w:t xml:space="preserve">de dépôts internationaux </w:t>
      </w:r>
      <w:r w:rsidR="001211E1" w:rsidRPr="001E4C00">
        <w:rPr>
          <w:lang w:val="fr-FR"/>
        </w:rPr>
        <w:t xml:space="preserve">au titre des </w:t>
      </w:r>
      <w:r w:rsidRPr="001E4C00">
        <w:rPr>
          <w:lang w:val="fr-FR"/>
        </w:rPr>
        <w:t xml:space="preserve">systèmes du PCT, de Madrid et de </w:t>
      </w:r>
      <w:r w:rsidR="008F70DE" w:rsidRPr="001E4C00">
        <w:rPr>
          <w:lang w:val="fr-FR"/>
        </w:rPr>
        <w:t>La Haye</w:t>
      </w:r>
      <w:r w:rsidRPr="001E4C00">
        <w:rPr>
          <w:lang w:val="fr-FR"/>
        </w:rPr>
        <w:t xml:space="preserve"> </w:t>
      </w:r>
      <w:r w:rsidR="001211E1" w:rsidRPr="001E4C00">
        <w:rPr>
          <w:lang w:val="fr-FR"/>
        </w:rPr>
        <w:t xml:space="preserve">en ce qui concerne </w:t>
      </w:r>
      <w:r w:rsidRPr="001E4C00">
        <w:rPr>
          <w:lang w:val="fr-FR"/>
        </w:rPr>
        <w:t>l</w:t>
      </w:r>
      <w:r w:rsidR="008F70DE" w:rsidRPr="001E4C00">
        <w:rPr>
          <w:lang w:val="fr-FR"/>
        </w:rPr>
        <w:t>’</w:t>
      </w:r>
      <w:r w:rsidRPr="001E4C00">
        <w:rPr>
          <w:lang w:val="fr-FR"/>
        </w:rPr>
        <w:t>Ukraine</w:t>
      </w:r>
    </w:p>
    <w:p w:rsidR="008A3FE2" w:rsidRPr="001E4C00" w:rsidRDefault="001957C8" w:rsidP="00A25FE5">
      <w:pPr>
        <w:pStyle w:val="Heading3"/>
        <w:rPr>
          <w:lang w:val="fr-FR"/>
        </w:rPr>
      </w:pPr>
      <w:r w:rsidRPr="001E4C00">
        <w:rPr>
          <w:lang w:val="fr-FR"/>
        </w:rPr>
        <w:t>2.6.1.</w:t>
      </w:r>
      <w:r w:rsidRPr="001E4C00">
        <w:rPr>
          <w:lang w:val="fr-FR"/>
        </w:rPr>
        <w:tab/>
      </w:r>
      <w:r w:rsidRPr="001E4C00">
        <w:rPr>
          <w:u w:val="single"/>
          <w:lang w:val="fr-FR"/>
        </w:rPr>
        <w:t>Traité de coopération en matière de brevets</w:t>
      </w:r>
    </w:p>
    <w:p w:rsidR="008A3FE2" w:rsidRPr="001E4C00" w:rsidRDefault="001957C8" w:rsidP="007115E7">
      <w:pPr>
        <w:pStyle w:val="ONUMFS"/>
        <w:rPr>
          <w:lang w:val="fr-FR"/>
        </w:rPr>
      </w:pPr>
      <w:r w:rsidRPr="001E4C00">
        <w:rPr>
          <w:lang w:val="fr-FR"/>
        </w:rPr>
        <w:t xml:space="preserve">En 2022, le nombre de dépôts selon le PCT effectués par des déposants ukrainiens a considérablement diminué, </w:t>
      </w:r>
      <w:r w:rsidR="00B61209" w:rsidRPr="001E4C00">
        <w:rPr>
          <w:lang w:val="fr-FR"/>
        </w:rPr>
        <w:t>en</w:t>
      </w:r>
      <w:r w:rsidRPr="001E4C00">
        <w:rPr>
          <w:lang w:val="fr-FR"/>
        </w:rPr>
        <w:t xml:space="preserve"> baisse de 33% par rapport à l</w:t>
      </w:r>
      <w:r w:rsidR="008F70DE" w:rsidRPr="001E4C00">
        <w:rPr>
          <w:lang w:val="fr-FR"/>
        </w:rPr>
        <w:t>’</w:t>
      </w:r>
      <w:r w:rsidRPr="001E4C00">
        <w:rPr>
          <w:lang w:val="fr-FR"/>
        </w:rPr>
        <w:t>année précéden</w:t>
      </w:r>
      <w:r w:rsidR="00783939" w:rsidRPr="001E4C00">
        <w:rPr>
          <w:lang w:val="fr-FR"/>
        </w:rPr>
        <w:t>te.  Al</w:t>
      </w:r>
      <w:r w:rsidRPr="001E4C00">
        <w:rPr>
          <w:lang w:val="fr-FR"/>
        </w:rPr>
        <w:t>ors que le nombre de dépôts a considérablement fluctué au cours des 10 dernières années, le résultat de 2022 est nettement inférieur à la fourchette de 120 à 183 observée depuis 2011.</w:t>
      </w:r>
    </w:p>
    <w:p w:rsidR="00867BF9" w:rsidRPr="001E4C00" w:rsidRDefault="00867BF9" w:rsidP="00F77B9E">
      <w:pPr>
        <w:spacing w:after="220"/>
        <w:jc w:val="center"/>
        <w:rPr>
          <w:lang w:val="fr-FR"/>
        </w:rPr>
      </w:pPr>
      <w:r w:rsidRPr="001E4C00">
        <w:rPr>
          <w:noProof/>
          <w:lang w:val="en-US" w:eastAsia="en-US"/>
        </w:rPr>
        <w:drawing>
          <wp:inline distT="0" distB="0" distL="0" distR="0" wp14:anchorId="1155AC85" wp14:editId="0CDB8AAC">
            <wp:extent cx="5940425" cy="2146300"/>
            <wp:effectExtent l="0" t="0" r="3175" b="6350"/>
            <wp:docPr id="1" name="Picture 1" descr="Dépôts selon le PCT par des déposants ukrainiens" title="Dépôts selon le PCT par des déposants ukrain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146300"/>
                    </a:xfrm>
                    <a:prstGeom prst="rect">
                      <a:avLst/>
                    </a:prstGeom>
                  </pic:spPr>
                </pic:pic>
              </a:graphicData>
            </a:graphic>
          </wp:inline>
        </w:drawing>
      </w:r>
    </w:p>
    <w:p w:rsidR="008A3FE2" w:rsidRPr="001E4C00" w:rsidRDefault="001957C8" w:rsidP="00867BF9">
      <w:pPr>
        <w:pStyle w:val="Heading3"/>
        <w:rPr>
          <w:lang w:val="fr-FR"/>
        </w:rPr>
      </w:pPr>
      <w:r w:rsidRPr="001E4C00">
        <w:rPr>
          <w:lang w:val="fr-FR"/>
        </w:rPr>
        <w:t>2.6.2.</w:t>
      </w:r>
      <w:r w:rsidRPr="001E4C00">
        <w:rPr>
          <w:lang w:val="fr-FR"/>
        </w:rPr>
        <w:tab/>
      </w:r>
      <w:r w:rsidRPr="001E4C00">
        <w:rPr>
          <w:u w:val="single"/>
          <w:lang w:val="fr-FR"/>
        </w:rPr>
        <w:t>Système de Madrid</w:t>
      </w:r>
    </w:p>
    <w:p w:rsidR="008A3FE2" w:rsidRPr="001E4C00" w:rsidRDefault="001957C8" w:rsidP="006B17A0">
      <w:pPr>
        <w:pStyle w:val="ONUMFS"/>
        <w:keepNext/>
        <w:keepLines/>
        <w:rPr>
          <w:lang w:val="fr-FR"/>
        </w:rPr>
      </w:pPr>
      <w:r w:rsidRPr="001E4C00">
        <w:rPr>
          <w:lang w:val="fr-FR"/>
        </w:rPr>
        <w:t>Les demandes d</w:t>
      </w:r>
      <w:r w:rsidR="008F70DE" w:rsidRPr="001E4C00">
        <w:rPr>
          <w:lang w:val="fr-FR"/>
        </w:rPr>
        <w:t>’</w:t>
      </w:r>
      <w:r w:rsidRPr="001E4C00">
        <w:rPr>
          <w:lang w:val="fr-FR"/>
        </w:rPr>
        <w:t>enregistrement international de marques d</w:t>
      </w:r>
      <w:r w:rsidR="008F70DE" w:rsidRPr="001E4C00">
        <w:rPr>
          <w:lang w:val="fr-FR"/>
        </w:rPr>
        <w:t>’</w:t>
      </w:r>
      <w:r w:rsidRPr="001E4C00">
        <w:rPr>
          <w:lang w:val="fr-FR"/>
        </w:rPr>
        <w:t>origine ukrainienne déposées dans le cadre du système de Madrid de l</w:t>
      </w:r>
      <w:r w:rsidR="008F70DE" w:rsidRPr="001E4C00">
        <w:rPr>
          <w:lang w:val="fr-FR"/>
        </w:rPr>
        <w:t>’</w:t>
      </w:r>
      <w:r w:rsidRPr="001E4C00">
        <w:rPr>
          <w:lang w:val="fr-FR"/>
        </w:rPr>
        <w:t>OMPI ont diminué d</w:t>
      </w:r>
      <w:r w:rsidR="008F70DE" w:rsidRPr="001E4C00">
        <w:rPr>
          <w:lang w:val="fr-FR"/>
        </w:rPr>
        <w:t>’</w:t>
      </w:r>
      <w:r w:rsidRPr="001E4C00">
        <w:rPr>
          <w:lang w:val="fr-FR"/>
        </w:rPr>
        <w:t>environ 20% en 2022.  Bien qu</w:t>
      </w:r>
      <w:r w:rsidR="008F70DE" w:rsidRPr="001E4C00">
        <w:rPr>
          <w:lang w:val="fr-FR"/>
        </w:rPr>
        <w:t>’</w:t>
      </w:r>
      <w:r w:rsidRPr="001E4C00">
        <w:rPr>
          <w:lang w:val="fr-FR"/>
        </w:rPr>
        <w:t>il s</w:t>
      </w:r>
      <w:r w:rsidR="008F70DE" w:rsidRPr="001E4C00">
        <w:rPr>
          <w:lang w:val="fr-FR"/>
        </w:rPr>
        <w:t>’</w:t>
      </w:r>
      <w:r w:rsidRPr="001E4C00">
        <w:rPr>
          <w:lang w:val="fr-FR"/>
        </w:rPr>
        <w:t xml:space="preserve">agisse du nombre le plus bas depuis 2010, il convient de noter que les demandes ont suivi une tendance à la baisse, après un pic </w:t>
      </w:r>
      <w:r w:rsidR="00986D17" w:rsidRPr="001E4C00">
        <w:rPr>
          <w:lang w:val="fr-FR"/>
        </w:rPr>
        <w:t>s</w:t>
      </w:r>
      <w:r w:rsidR="008F70DE" w:rsidRPr="001E4C00">
        <w:rPr>
          <w:lang w:val="fr-FR"/>
        </w:rPr>
        <w:t>’</w:t>
      </w:r>
      <w:r w:rsidR="00986D17" w:rsidRPr="001E4C00">
        <w:rPr>
          <w:lang w:val="fr-FR"/>
        </w:rPr>
        <w:t xml:space="preserve">établissant à </w:t>
      </w:r>
      <w:r w:rsidRPr="001E4C00">
        <w:rPr>
          <w:lang w:val="fr-FR"/>
        </w:rPr>
        <w:t>496 demandes en 2019.</w:t>
      </w:r>
    </w:p>
    <w:p w:rsidR="00867BF9" w:rsidRPr="001E4C00" w:rsidRDefault="00867BF9" w:rsidP="00867BF9">
      <w:pPr>
        <w:spacing w:after="220"/>
        <w:jc w:val="center"/>
        <w:rPr>
          <w:lang w:val="fr-FR"/>
        </w:rPr>
      </w:pPr>
      <w:r w:rsidRPr="001E4C00">
        <w:rPr>
          <w:noProof/>
          <w:lang w:val="en-US" w:eastAsia="en-US"/>
        </w:rPr>
        <w:drawing>
          <wp:inline distT="0" distB="0" distL="0" distR="0" wp14:anchorId="4BDA6C2B" wp14:editId="1B256AD8">
            <wp:extent cx="5940425" cy="2144395"/>
            <wp:effectExtent l="0" t="0" r="3175" b="8255"/>
            <wp:docPr id="13" name="Picture 13" descr="Dépôts selon le système de Madrid par des déposants ukrainiens" title="Dépôts selon le système de Madrid par des déposants ukrain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144395"/>
                    </a:xfrm>
                    <a:prstGeom prst="rect">
                      <a:avLst/>
                    </a:prstGeom>
                  </pic:spPr>
                </pic:pic>
              </a:graphicData>
            </a:graphic>
          </wp:inline>
        </w:drawing>
      </w:r>
    </w:p>
    <w:p w:rsidR="001957C8" w:rsidRPr="001E4C00" w:rsidRDefault="001957C8" w:rsidP="00867BF9">
      <w:pPr>
        <w:pStyle w:val="ONUMFS"/>
        <w:rPr>
          <w:lang w:val="fr-FR"/>
        </w:rPr>
      </w:pPr>
      <w:r w:rsidRPr="001E4C00">
        <w:rPr>
          <w:lang w:val="fr-FR"/>
        </w:rPr>
        <w:t>Le déclin de l</w:t>
      </w:r>
      <w:r w:rsidR="008F70DE" w:rsidRPr="001E4C00">
        <w:rPr>
          <w:lang w:val="fr-FR"/>
        </w:rPr>
        <w:t>’</w:t>
      </w:r>
      <w:r w:rsidRPr="001E4C00">
        <w:rPr>
          <w:lang w:val="fr-FR"/>
        </w:rPr>
        <w:t>activité internationale en matière de marques ne s</w:t>
      </w:r>
      <w:r w:rsidR="008F70DE" w:rsidRPr="001E4C00">
        <w:rPr>
          <w:lang w:val="fr-FR"/>
        </w:rPr>
        <w:t>’</w:t>
      </w:r>
      <w:r w:rsidRPr="001E4C00">
        <w:rPr>
          <w:lang w:val="fr-FR"/>
        </w:rPr>
        <w:t>est pas limité aux déposants ukrainie</w:t>
      </w:r>
      <w:r w:rsidR="00783939" w:rsidRPr="001E4C00">
        <w:rPr>
          <w:lang w:val="fr-FR"/>
        </w:rPr>
        <w:t>ns.  Le</w:t>
      </w:r>
      <w:r w:rsidRPr="001E4C00">
        <w:rPr>
          <w:lang w:val="fr-FR"/>
        </w:rPr>
        <w:t xml:space="preserve"> nombre de désignations de l</w:t>
      </w:r>
      <w:r w:rsidR="008F70DE" w:rsidRPr="001E4C00">
        <w:rPr>
          <w:lang w:val="fr-FR"/>
        </w:rPr>
        <w:t>’</w:t>
      </w:r>
      <w:r w:rsidRPr="001E4C00">
        <w:rPr>
          <w:lang w:val="fr-FR"/>
        </w:rPr>
        <w:t xml:space="preserve">Ukraine dans les dépôts de </w:t>
      </w:r>
      <w:r w:rsidR="00986D17" w:rsidRPr="001E4C00">
        <w:rPr>
          <w:lang w:val="fr-FR"/>
        </w:rPr>
        <w:t>demandes d</w:t>
      </w:r>
      <w:r w:rsidR="008F70DE" w:rsidRPr="001E4C00">
        <w:rPr>
          <w:lang w:val="fr-FR"/>
        </w:rPr>
        <w:t>’</w:t>
      </w:r>
      <w:r w:rsidR="00986D17" w:rsidRPr="001E4C00">
        <w:rPr>
          <w:lang w:val="fr-FR"/>
        </w:rPr>
        <w:t xml:space="preserve">enregistrement international de </w:t>
      </w:r>
      <w:r w:rsidRPr="001E4C00">
        <w:rPr>
          <w:lang w:val="fr-FR"/>
        </w:rPr>
        <w:t>marques effectués par des déposants d</w:t>
      </w:r>
      <w:r w:rsidR="008F70DE" w:rsidRPr="001E4C00">
        <w:rPr>
          <w:lang w:val="fr-FR"/>
        </w:rPr>
        <w:t>’</w:t>
      </w:r>
      <w:r w:rsidRPr="001E4C00">
        <w:rPr>
          <w:lang w:val="fr-FR"/>
        </w:rPr>
        <w:t>autres États membres de Madrid a lui aussi considérablement diminué, d</w:t>
      </w:r>
      <w:r w:rsidR="008F70DE" w:rsidRPr="001E4C00">
        <w:rPr>
          <w:lang w:val="fr-FR"/>
        </w:rPr>
        <w:t>’</w:t>
      </w:r>
      <w:r w:rsidRPr="001E4C00">
        <w:rPr>
          <w:lang w:val="fr-FR"/>
        </w:rPr>
        <w:t>environ 25%, passant de 8713 en 2021 à 6518 en 2022.  Là encore, le chiffre de 2022 est le plus bas enregistré au cours de la dernière décennie.</w:t>
      </w:r>
    </w:p>
    <w:p w:rsidR="00867BF9" w:rsidRPr="001E4C00" w:rsidRDefault="00867BF9" w:rsidP="00867BF9">
      <w:pPr>
        <w:spacing w:after="220"/>
        <w:jc w:val="center"/>
        <w:rPr>
          <w:lang w:val="fr-FR"/>
        </w:rPr>
      </w:pPr>
      <w:r w:rsidRPr="001E4C00">
        <w:rPr>
          <w:noProof/>
          <w:lang w:val="en-US" w:eastAsia="en-US"/>
        </w:rPr>
        <w:drawing>
          <wp:inline distT="0" distB="0" distL="0" distR="0" wp14:anchorId="24A03557" wp14:editId="3C4BE7E0">
            <wp:extent cx="5940425" cy="2253615"/>
            <wp:effectExtent l="0" t="0" r="3175" b="0"/>
            <wp:docPr id="14" name="Picture 14" descr="Désignation de l’Ukraine dans les demandes selon le système de Madrid" title="Désignation de l’Ukraine dans les demandes selon le système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253615"/>
                    </a:xfrm>
                    <a:prstGeom prst="rect">
                      <a:avLst/>
                    </a:prstGeom>
                  </pic:spPr>
                </pic:pic>
              </a:graphicData>
            </a:graphic>
          </wp:inline>
        </w:drawing>
      </w:r>
    </w:p>
    <w:p w:rsidR="008A3FE2" w:rsidRPr="001E4C00" w:rsidRDefault="001957C8" w:rsidP="00867BF9">
      <w:pPr>
        <w:pStyle w:val="Heading3"/>
        <w:rPr>
          <w:lang w:val="fr-FR"/>
        </w:rPr>
      </w:pPr>
      <w:r w:rsidRPr="001E4C00">
        <w:rPr>
          <w:lang w:val="fr-FR"/>
        </w:rPr>
        <w:t>2.6.3.</w:t>
      </w:r>
      <w:r w:rsidRPr="001E4C00">
        <w:rPr>
          <w:lang w:val="fr-FR"/>
        </w:rPr>
        <w:tab/>
      </w:r>
      <w:r w:rsidRPr="001E4C00">
        <w:rPr>
          <w:u w:val="single"/>
          <w:lang w:val="fr-FR"/>
        </w:rPr>
        <w:t xml:space="preserve">Système de </w:t>
      </w:r>
      <w:r w:rsidR="008F70DE" w:rsidRPr="001E4C00">
        <w:rPr>
          <w:u w:val="single"/>
          <w:lang w:val="fr-FR"/>
        </w:rPr>
        <w:t>La Haye</w:t>
      </w:r>
    </w:p>
    <w:p w:rsidR="008A3FE2" w:rsidRPr="001E4C00" w:rsidRDefault="001957C8" w:rsidP="006B17A0">
      <w:pPr>
        <w:pStyle w:val="ONUMFS"/>
        <w:keepNext/>
        <w:rPr>
          <w:lang w:val="fr-FR"/>
        </w:rPr>
      </w:pPr>
      <w:r w:rsidRPr="001E4C00">
        <w:rPr>
          <w:lang w:val="fr-FR"/>
        </w:rPr>
        <w:t>Le nombre de demandes d</w:t>
      </w:r>
      <w:r w:rsidR="008F70DE" w:rsidRPr="001E4C00">
        <w:rPr>
          <w:lang w:val="fr-FR"/>
        </w:rPr>
        <w:t>’</w:t>
      </w:r>
      <w:r w:rsidRPr="001E4C00">
        <w:rPr>
          <w:lang w:val="fr-FR"/>
        </w:rPr>
        <w:t xml:space="preserve">origine ukrainienne dans le cadre du système de </w:t>
      </w:r>
      <w:r w:rsidR="008F70DE" w:rsidRPr="001E4C00">
        <w:rPr>
          <w:lang w:val="fr-FR"/>
        </w:rPr>
        <w:t>La Haye</w:t>
      </w:r>
      <w:r w:rsidRPr="001E4C00">
        <w:rPr>
          <w:lang w:val="fr-FR"/>
        </w:rPr>
        <w:t xml:space="preserve"> a beaucoup fluctué ces dernières anné</w:t>
      </w:r>
      <w:r w:rsidR="00783939" w:rsidRPr="001E4C00">
        <w:rPr>
          <w:lang w:val="fr-FR"/>
        </w:rPr>
        <w:t>es.  Né</w:t>
      </w:r>
      <w:r w:rsidRPr="001E4C00">
        <w:rPr>
          <w:lang w:val="fr-FR"/>
        </w:rPr>
        <w:t>anmoins, le chiffre de 2022 représente une baisse de 61% par rapport au chiffre de 2021 et il est le plus bas depuis 2015.</w:t>
      </w:r>
    </w:p>
    <w:p w:rsidR="00867BF9" w:rsidRPr="001E4C00" w:rsidRDefault="00867BF9" w:rsidP="00867BF9">
      <w:pPr>
        <w:spacing w:after="220"/>
        <w:jc w:val="center"/>
        <w:rPr>
          <w:lang w:val="fr-FR"/>
        </w:rPr>
      </w:pPr>
      <w:r w:rsidRPr="001E4C00">
        <w:rPr>
          <w:noProof/>
          <w:lang w:val="en-US" w:eastAsia="en-US"/>
        </w:rPr>
        <w:drawing>
          <wp:inline distT="0" distB="0" distL="0" distR="0" wp14:anchorId="7324C64D" wp14:editId="56B7C8A0">
            <wp:extent cx="5940425" cy="2130425"/>
            <wp:effectExtent l="0" t="0" r="3175" b="3175"/>
            <wp:docPr id="15" name="Picture 15" descr="Dépôts selon le système de La Haye par des déposants ukrainiens" title="Dépôts selon le système de La Haye par des déposants ukrain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130425"/>
                    </a:xfrm>
                    <a:prstGeom prst="rect">
                      <a:avLst/>
                    </a:prstGeom>
                  </pic:spPr>
                </pic:pic>
              </a:graphicData>
            </a:graphic>
          </wp:inline>
        </w:drawing>
      </w:r>
    </w:p>
    <w:p w:rsidR="008A3FE2" w:rsidRPr="001E4C00" w:rsidRDefault="001957C8" w:rsidP="00B96384">
      <w:pPr>
        <w:pStyle w:val="Heading2"/>
        <w:rPr>
          <w:lang w:val="fr-FR"/>
        </w:rPr>
      </w:pPr>
      <w:r w:rsidRPr="001E4C00">
        <w:rPr>
          <w:lang w:val="fr-FR"/>
        </w:rPr>
        <w:t>2.7.</w:t>
      </w:r>
      <w:r w:rsidRPr="001E4C00">
        <w:rPr>
          <w:lang w:val="fr-FR"/>
        </w:rPr>
        <w:tab/>
        <w:t>Politiques et stratégies gouvernementales en matière de propriété intellectuelle, d</w:t>
      </w:r>
      <w:r w:rsidR="008F70DE" w:rsidRPr="001E4C00">
        <w:rPr>
          <w:lang w:val="fr-FR"/>
        </w:rPr>
        <w:t>’</w:t>
      </w:r>
      <w:r w:rsidRPr="001E4C00">
        <w:rPr>
          <w:lang w:val="fr-FR"/>
        </w:rPr>
        <w:t>innovation et de créativité</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Ukraine encourage l</w:t>
      </w:r>
      <w:r w:rsidR="008F70DE" w:rsidRPr="001E4C00">
        <w:rPr>
          <w:lang w:val="fr-FR"/>
        </w:rPr>
        <w:t>’</w:t>
      </w:r>
      <w:r w:rsidRPr="001E4C00">
        <w:rPr>
          <w:lang w:val="fr-FR"/>
        </w:rPr>
        <w:t xml:space="preserve">innovation, la créativité et le développement économique comme soutenu et inscrit dans des politiques stratégiques clés, </w:t>
      </w:r>
      <w:r w:rsidR="008F70DE" w:rsidRPr="001E4C00">
        <w:rPr>
          <w:lang w:val="fr-FR"/>
        </w:rPr>
        <w:t>y compris</w:t>
      </w:r>
      <w:r w:rsidRPr="001E4C00">
        <w:rPr>
          <w:lang w:val="fr-FR"/>
        </w:rPr>
        <w:t xml:space="preserve"> les objectifs de développement durable (ODD) </w:t>
      </w:r>
      <w:r w:rsidR="001D4779" w:rsidRPr="001E4C00">
        <w:rPr>
          <w:lang w:val="fr-FR"/>
        </w:rPr>
        <w:t>pour l</w:t>
      </w:r>
      <w:r w:rsidR="008F70DE" w:rsidRPr="001E4C00">
        <w:rPr>
          <w:lang w:val="fr-FR"/>
        </w:rPr>
        <w:t>’</w:t>
      </w:r>
      <w:r w:rsidRPr="001E4C00">
        <w:rPr>
          <w:lang w:val="fr-FR"/>
        </w:rPr>
        <w:t>Ukraine à l</w:t>
      </w:r>
      <w:r w:rsidR="008F70DE" w:rsidRPr="001E4C00">
        <w:rPr>
          <w:lang w:val="fr-FR"/>
        </w:rPr>
        <w:t>’</w:t>
      </w:r>
      <w:r w:rsidRPr="001E4C00">
        <w:rPr>
          <w:lang w:val="fr-FR"/>
        </w:rPr>
        <w:t>horizon 2030, la stratégie pour le développement de la sphère de l</w:t>
      </w:r>
      <w:r w:rsidR="008F70DE" w:rsidRPr="001E4C00">
        <w:rPr>
          <w:lang w:val="fr-FR"/>
        </w:rPr>
        <w:t>’</w:t>
      </w:r>
      <w:r w:rsidRPr="001E4C00">
        <w:rPr>
          <w:lang w:val="fr-FR"/>
        </w:rPr>
        <w:t>activité innovante à l</w:t>
      </w:r>
      <w:r w:rsidR="008F70DE" w:rsidRPr="001E4C00">
        <w:rPr>
          <w:lang w:val="fr-FR"/>
        </w:rPr>
        <w:t>’</w:t>
      </w:r>
      <w:r w:rsidRPr="001E4C00">
        <w:rPr>
          <w:lang w:val="fr-FR"/>
        </w:rPr>
        <w:t>horizon 2030, la stratégie économique nationale à l</w:t>
      </w:r>
      <w:r w:rsidR="008F70DE" w:rsidRPr="001E4C00">
        <w:rPr>
          <w:lang w:val="fr-FR"/>
        </w:rPr>
        <w:t>’</w:t>
      </w:r>
      <w:r w:rsidRPr="001E4C00">
        <w:rPr>
          <w:lang w:val="fr-FR"/>
        </w:rPr>
        <w:t>horizon 2030, et d</w:t>
      </w:r>
      <w:r w:rsidR="008F70DE" w:rsidRPr="001E4C00">
        <w:rPr>
          <w:lang w:val="fr-FR"/>
        </w:rPr>
        <w:t>’</w:t>
      </w:r>
      <w:r w:rsidRPr="001E4C00">
        <w:rPr>
          <w:lang w:val="fr-FR"/>
        </w:rPr>
        <w:t>autres stratégies sectorielles spécifiqu</w:t>
      </w:r>
      <w:r w:rsidR="00783939" w:rsidRPr="001E4C00">
        <w:rPr>
          <w:lang w:val="fr-FR"/>
        </w:rPr>
        <w:t>es.  Ce</w:t>
      </w:r>
      <w:r w:rsidRPr="001E4C00">
        <w:rPr>
          <w:lang w:val="fr-FR"/>
        </w:rPr>
        <w:t>s stratégies comprennent la promotion de l</w:t>
      </w:r>
      <w:r w:rsidR="008F70DE" w:rsidRPr="001E4C00">
        <w:rPr>
          <w:lang w:val="fr-FR"/>
        </w:rPr>
        <w:t>’</w:t>
      </w:r>
      <w:r w:rsidRPr="001E4C00">
        <w:rPr>
          <w:lang w:val="fr-FR"/>
        </w:rPr>
        <w:t>innovation, la construction d</w:t>
      </w:r>
      <w:r w:rsidR="008F70DE" w:rsidRPr="001E4C00">
        <w:rPr>
          <w:lang w:val="fr-FR"/>
        </w:rPr>
        <w:t>’</w:t>
      </w:r>
      <w:r w:rsidRPr="001E4C00">
        <w:rPr>
          <w:lang w:val="fr-FR"/>
        </w:rPr>
        <w:t>infrastructures durables et la création d</w:t>
      </w:r>
      <w:r w:rsidR="008F70DE" w:rsidRPr="001E4C00">
        <w:rPr>
          <w:lang w:val="fr-FR"/>
        </w:rPr>
        <w:t>’</w:t>
      </w:r>
      <w:r w:rsidRPr="001E4C00">
        <w:rPr>
          <w:lang w:val="fr-FR"/>
        </w:rPr>
        <w:t xml:space="preserve">une économie hautement développée et socialement orientée, </w:t>
      </w:r>
      <w:r w:rsidR="001D4779" w:rsidRPr="001E4C00">
        <w:rPr>
          <w:lang w:val="fr-FR"/>
        </w:rPr>
        <w:t xml:space="preserve">fondée </w:t>
      </w:r>
      <w:r w:rsidRPr="001E4C00">
        <w:rPr>
          <w:lang w:val="fr-FR"/>
        </w:rPr>
        <w:t xml:space="preserve">sur </w:t>
      </w:r>
      <w:r w:rsidR="0040727D" w:rsidRPr="001E4C00">
        <w:rPr>
          <w:lang w:val="fr-FR"/>
        </w:rPr>
        <w:t xml:space="preserve">le savoir </w:t>
      </w:r>
      <w:r w:rsidRPr="001E4C00">
        <w:rPr>
          <w:lang w:val="fr-FR"/>
        </w:rPr>
        <w:t>et l</w:t>
      </w:r>
      <w:r w:rsidR="008F70DE" w:rsidRPr="001E4C00">
        <w:rPr>
          <w:lang w:val="fr-FR"/>
        </w:rPr>
        <w:t>’</w:t>
      </w:r>
      <w:r w:rsidRPr="001E4C00">
        <w:rPr>
          <w:lang w:val="fr-FR"/>
        </w:rPr>
        <w:t>innovati</w:t>
      </w:r>
      <w:r w:rsidR="00783939" w:rsidRPr="001E4C00">
        <w:rPr>
          <w:lang w:val="fr-FR"/>
        </w:rPr>
        <w:t>on.  Pl</w:t>
      </w:r>
      <w:r w:rsidRPr="001E4C00">
        <w:rPr>
          <w:lang w:val="fr-FR"/>
        </w:rPr>
        <w:t>usieurs initiatives ont été proposées pour atteindre ces objectifs, telles que le soutien de l</w:t>
      </w:r>
      <w:r w:rsidR="008F70DE" w:rsidRPr="001E4C00">
        <w:rPr>
          <w:lang w:val="fr-FR"/>
        </w:rPr>
        <w:t>’</w:t>
      </w:r>
      <w:r w:rsidRPr="001E4C00">
        <w:rPr>
          <w:lang w:val="fr-FR"/>
        </w:rPr>
        <w:t>État à l</w:t>
      </w:r>
      <w:r w:rsidR="008F70DE" w:rsidRPr="001E4C00">
        <w:rPr>
          <w:lang w:val="fr-FR"/>
        </w:rPr>
        <w:t>’</w:t>
      </w:r>
      <w:r w:rsidRPr="001E4C00">
        <w:rPr>
          <w:lang w:val="fr-FR"/>
        </w:rPr>
        <w:t>innovation et au transfert de technologie, l</w:t>
      </w:r>
      <w:r w:rsidR="008F70DE" w:rsidRPr="001E4C00">
        <w:rPr>
          <w:lang w:val="fr-FR"/>
        </w:rPr>
        <w:t>’</w:t>
      </w:r>
      <w:r w:rsidRPr="001E4C00">
        <w:rPr>
          <w:lang w:val="fr-FR"/>
        </w:rPr>
        <w:t xml:space="preserve">extension du réseau de CATI, le développement de centres Industrie 4.0, la facilitation des mécanismes de </w:t>
      </w:r>
      <w:r w:rsidR="0040727D" w:rsidRPr="001E4C00">
        <w:rPr>
          <w:lang w:val="fr-FR"/>
        </w:rPr>
        <w:t xml:space="preserve">règlement extrajudiciaire </w:t>
      </w:r>
      <w:r w:rsidRPr="001E4C00">
        <w:rPr>
          <w:lang w:val="fr-FR"/>
        </w:rPr>
        <w:t>des litiges dans le domaine de la propriété intellectuelle, et le fonctionnement efficace de la Haute Cour de la propriété intellectuelle.</w:t>
      </w:r>
    </w:p>
    <w:p w:rsidR="001957C8" w:rsidRPr="001E4C00" w:rsidRDefault="001957C8" w:rsidP="007115E7">
      <w:pPr>
        <w:pStyle w:val="ONUMFS"/>
        <w:rPr>
          <w:lang w:val="fr-FR"/>
        </w:rPr>
      </w:pPr>
      <w:r w:rsidRPr="001E4C00">
        <w:rPr>
          <w:lang w:val="fr-FR"/>
        </w:rPr>
        <w:t>Le Plan de relance national, basé sur la résilience, le redressement, la modernisation et la croissance, sert de cadre global pour la reconstruction et le redressement du pays en synergie avec les réformes en cou</w:t>
      </w:r>
      <w:r w:rsidR="00783939" w:rsidRPr="001E4C00">
        <w:rPr>
          <w:lang w:val="fr-FR"/>
        </w:rPr>
        <w:t>rs.  Le</w:t>
      </w:r>
      <w:r w:rsidRPr="001E4C00">
        <w:rPr>
          <w:lang w:val="fr-FR"/>
        </w:rPr>
        <w:t xml:space="preserve"> projet de stratégie </w:t>
      </w:r>
      <w:r w:rsidR="0040727D" w:rsidRPr="001E4C00">
        <w:rPr>
          <w:lang w:val="fr-FR"/>
        </w:rPr>
        <w:t>d</w:t>
      </w:r>
      <w:r w:rsidRPr="001E4C00">
        <w:rPr>
          <w:lang w:val="fr-FR"/>
        </w:rPr>
        <w:t>e développement de l</w:t>
      </w:r>
      <w:r w:rsidR="008F70DE" w:rsidRPr="001E4C00">
        <w:rPr>
          <w:lang w:val="fr-FR"/>
        </w:rPr>
        <w:t>’</w:t>
      </w:r>
      <w:r w:rsidRPr="001E4C00">
        <w:rPr>
          <w:lang w:val="fr-FR"/>
        </w:rPr>
        <w:t>écosystème de l</w:t>
      </w:r>
      <w:r w:rsidR="008F70DE" w:rsidRPr="001E4C00">
        <w:rPr>
          <w:lang w:val="fr-FR"/>
        </w:rPr>
        <w:t>’</w:t>
      </w:r>
      <w:r w:rsidRPr="001E4C00">
        <w:rPr>
          <w:lang w:val="fr-FR"/>
        </w:rPr>
        <w:t>innovation en Ukraine a été élaboré pour relever les défis et adapter les documents stratégiques à la nouvelle réalité du redressement et de la reconstruction d</w:t>
      </w:r>
      <w:r w:rsidR="008F70DE" w:rsidRPr="001E4C00">
        <w:rPr>
          <w:lang w:val="fr-FR"/>
        </w:rPr>
        <w:t>’</w:t>
      </w:r>
      <w:r w:rsidRPr="001E4C00">
        <w:rPr>
          <w:lang w:val="fr-FR"/>
        </w:rPr>
        <w:t>après</w:t>
      </w:r>
      <w:r w:rsidR="0091158D">
        <w:rPr>
          <w:lang w:val="fr-FR"/>
        </w:rPr>
        <w:noBreakHyphen/>
      </w:r>
      <w:r w:rsidRPr="001E4C00">
        <w:rPr>
          <w:lang w:val="fr-FR"/>
        </w:rPr>
        <w:t>guer</w:t>
      </w:r>
      <w:r w:rsidR="00783939" w:rsidRPr="001E4C00">
        <w:rPr>
          <w:lang w:val="fr-FR"/>
        </w:rPr>
        <w:t>re.  En</w:t>
      </w:r>
      <w:r w:rsidRPr="001E4C00">
        <w:rPr>
          <w:lang w:val="fr-FR"/>
        </w:rPr>
        <w:t>fin, la stratégie nationale de développement de la propriété intellectuelle de l</w:t>
      </w:r>
      <w:r w:rsidR="008F70DE" w:rsidRPr="001E4C00">
        <w:rPr>
          <w:lang w:val="fr-FR"/>
        </w:rPr>
        <w:t>’</w:t>
      </w:r>
      <w:r w:rsidRPr="001E4C00">
        <w:rPr>
          <w:lang w:val="fr-FR"/>
        </w:rPr>
        <w:t>Ukraine pour 2020</w:t>
      </w:r>
      <w:r w:rsidR="0091158D">
        <w:rPr>
          <w:lang w:val="fr-FR"/>
        </w:rPr>
        <w:noBreakHyphen/>
      </w:r>
      <w:r w:rsidRPr="001E4C00">
        <w:rPr>
          <w:lang w:val="fr-FR"/>
        </w:rPr>
        <w:t>2025, élaborée avec le soutien de l</w:t>
      </w:r>
      <w:r w:rsidR="008F70DE" w:rsidRPr="001E4C00">
        <w:rPr>
          <w:lang w:val="fr-FR"/>
        </w:rPr>
        <w:t>’</w:t>
      </w:r>
      <w:r w:rsidRPr="001E4C00">
        <w:rPr>
          <w:lang w:val="fr-FR"/>
        </w:rPr>
        <w:t xml:space="preserve">OMPI, sera adaptée </w:t>
      </w:r>
      <w:r w:rsidR="00D64B21" w:rsidRPr="001E4C00">
        <w:rPr>
          <w:lang w:val="fr-FR"/>
        </w:rPr>
        <w:t xml:space="preserve">de manière à </w:t>
      </w:r>
      <w:r w:rsidRPr="001E4C00">
        <w:rPr>
          <w:lang w:val="fr-FR"/>
        </w:rPr>
        <w:t xml:space="preserve">tenir </w:t>
      </w:r>
      <w:r w:rsidR="00D64B21" w:rsidRPr="001E4C00">
        <w:rPr>
          <w:lang w:val="fr-FR"/>
        </w:rPr>
        <w:t xml:space="preserve">également </w:t>
      </w:r>
      <w:r w:rsidRPr="001E4C00">
        <w:rPr>
          <w:lang w:val="fr-FR"/>
        </w:rPr>
        <w:t>compte des défis actuels d</w:t>
      </w:r>
      <w:r w:rsidR="008F70DE" w:rsidRPr="001E4C00">
        <w:rPr>
          <w:lang w:val="fr-FR"/>
        </w:rPr>
        <w:t>’</w:t>
      </w:r>
      <w:r w:rsidRPr="001E4C00">
        <w:rPr>
          <w:lang w:val="fr-FR"/>
        </w:rPr>
        <w:t>ici à la fin 2023.</w:t>
      </w:r>
    </w:p>
    <w:p w:rsidR="001957C8" w:rsidRPr="001E4C00" w:rsidRDefault="00A25FE5" w:rsidP="00A25FE5">
      <w:pPr>
        <w:pStyle w:val="Heading1"/>
        <w:ind w:left="567" w:hanging="567"/>
        <w:rPr>
          <w:lang w:val="fr-FR"/>
        </w:rPr>
      </w:pPr>
      <w:r w:rsidRPr="001E4C00">
        <w:rPr>
          <w:lang w:val="fr-FR"/>
        </w:rPr>
        <w:t>Consultations avec l</w:t>
      </w:r>
      <w:r w:rsidR="008F70DE" w:rsidRPr="001E4C00">
        <w:rPr>
          <w:lang w:val="fr-FR"/>
        </w:rPr>
        <w:t>’</w:t>
      </w:r>
      <w:r w:rsidRPr="001E4C00">
        <w:rPr>
          <w:lang w:val="fr-FR"/>
        </w:rPr>
        <w:t>Ukraine sur ses besoins particuliers en ce qui concerne son secteur et son écosystème de l</w:t>
      </w:r>
      <w:r w:rsidR="008F70DE" w:rsidRPr="001E4C00">
        <w:rPr>
          <w:lang w:val="fr-FR"/>
        </w:rPr>
        <w:t>’</w:t>
      </w:r>
      <w:r w:rsidRPr="001E4C00">
        <w:rPr>
          <w:lang w:val="fr-FR"/>
        </w:rPr>
        <w:t>innovation et de la créativité</w:t>
      </w:r>
    </w:p>
    <w:p w:rsidR="008A3FE2" w:rsidRPr="001E4C00" w:rsidRDefault="001957C8" w:rsidP="00A25FE5">
      <w:pPr>
        <w:pStyle w:val="Heading2"/>
        <w:rPr>
          <w:lang w:val="fr-FR"/>
        </w:rPr>
      </w:pPr>
      <w:r w:rsidRPr="001E4C00">
        <w:rPr>
          <w:lang w:val="fr-FR"/>
        </w:rPr>
        <w:t>3.1.</w:t>
      </w:r>
      <w:r w:rsidRPr="001E4C00">
        <w:rPr>
          <w:lang w:val="fr-FR"/>
        </w:rPr>
        <w:tab/>
        <w:t>Récapitulatif</w:t>
      </w:r>
    </w:p>
    <w:p w:rsidR="001957C8" w:rsidRPr="001E4C00" w:rsidRDefault="001957C8" w:rsidP="006B17A0">
      <w:pPr>
        <w:pStyle w:val="ONUMFS"/>
        <w:keepNext/>
        <w:rPr>
          <w:lang w:val="fr-FR"/>
        </w:rPr>
      </w:pPr>
      <w:r w:rsidRPr="001E4C00">
        <w:rPr>
          <w:lang w:val="fr-FR"/>
        </w:rPr>
        <w:t>À partir de juillet 2022, le Bureau international a entamé et poursuivi des consultations avec l</w:t>
      </w:r>
      <w:r w:rsidR="008F70DE" w:rsidRPr="001E4C00">
        <w:rPr>
          <w:lang w:val="fr-FR"/>
        </w:rPr>
        <w:t>’</w:t>
      </w:r>
      <w:r w:rsidRPr="001E4C00">
        <w:rPr>
          <w:lang w:val="fr-FR"/>
        </w:rPr>
        <w:t>Ukraine sur ses besoins particuliers en ce qui concerne son secteur et son écosystème de l</w:t>
      </w:r>
      <w:r w:rsidR="008F70DE" w:rsidRPr="001E4C00">
        <w:rPr>
          <w:lang w:val="fr-FR"/>
        </w:rPr>
        <w:t>’</w:t>
      </w:r>
      <w:r w:rsidRPr="001E4C00">
        <w:rPr>
          <w:lang w:val="fr-FR"/>
        </w:rPr>
        <w:t xml:space="preserve">innovation et de la créativité, </w:t>
      </w:r>
      <w:r w:rsidR="008F70DE" w:rsidRPr="001E4C00">
        <w:rPr>
          <w:lang w:val="fr-FR"/>
        </w:rPr>
        <w:t>y compris</w:t>
      </w:r>
      <w:r w:rsidRPr="001E4C00">
        <w:rPr>
          <w:lang w:val="fr-FR"/>
        </w:rPr>
        <w:t xml:space="preserve"> les offices de propriété intellectuelle et les CATI.</w:t>
      </w:r>
    </w:p>
    <w:p w:rsidR="001957C8" w:rsidRPr="001E4C00" w:rsidRDefault="001957C8" w:rsidP="007115E7">
      <w:pPr>
        <w:pStyle w:val="ONUMFS"/>
        <w:rPr>
          <w:lang w:val="fr-FR"/>
        </w:rPr>
      </w:pPr>
      <w:r w:rsidRPr="001E4C00">
        <w:rPr>
          <w:lang w:val="fr-FR"/>
        </w:rPr>
        <w:t>Plus de 25 consultations en ligne et en personne ont eu lieu à Genève, auxquelles ont participé les parties prenantes gouvernementales ukrainiennes concernées, notamment l</w:t>
      </w:r>
      <w:r w:rsidR="008F70DE" w:rsidRPr="001E4C00">
        <w:rPr>
          <w:lang w:val="fr-FR"/>
        </w:rPr>
        <w:t>’</w:t>
      </w:r>
      <w:r w:rsidRPr="001E4C00">
        <w:rPr>
          <w:lang w:val="fr-FR"/>
        </w:rPr>
        <w:t>Institut ukrainien de la propriété intellectuelle (</w:t>
      </w:r>
      <w:proofErr w:type="spellStart"/>
      <w:r w:rsidRPr="001E4C00">
        <w:rPr>
          <w:lang w:val="fr-FR"/>
        </w:rPr>
        <w:t>Ukrpatent</w:t>
      </w:r>
      <w:proofErr w:type="spellEnd"/>
      <w:r w:rsidRPr="001E4C00">
        <w:rPr>
          <w:lang w:val="fr-FR"/>
        </w:rPr>
        <w:t>), l</w:t>
      </w:r>
      <w:r w:rsidR="008F70DE" w:rsidRPr="001E4C00">
        <w:rPr>
          <w:lang w:val="fr-FR"/>
        </w:rPr>
        <w:t>’</w:t>
      </w:r>
      <w:r w:rsidRPr="001E4C00">
        <w:rPr>
          <w:lang w:val="fr-FR"/>
        </w:rPr>
        <w:t>UANIPIO, le Ministère de l</w:t>
      </w:r>
      <w:r w:rsidR="008F70DE" w:rsidRPr="001E4C00">
        <w:rPr>
          <w:lang w:val="fr-FR"/>
        </w:rPr>
        <w:t>’</w:t>
      </w:r>
      <w:r w:rsidRPr="001E4C00">
        <w:rPr>
          <w:lang w:val="fr-FR"/>
        </w:rPr>
        <w:t>économie ukrainien et la Mission permanente de l</w:t>
      </w:r>
      <w:r w:rsidR="008F70DE" w:rsidRPr="001E4C00">
        <w:rPr>
          <w:lang w:val="fr-FR"/>
        </w:rPr>
        <w:t>’</w:t>
      </w:r>
      <w:r w:rsidRPr="001E4C00">
        <w:rPr>
          <w:lang w:val="fr-FR"/>
        </w:rPr>
        <w:t>Ukraine auprès de l</w:t>
      </w:r>
      <w:r w:rsidR="008F70DE" w:rsidRPr="001E4C00">
        <w:rPr>
          <w:lang w:val="fr-FR"/>
        </w:rPr>
        <w:t>’</w:t>
      </w:r>
      <w:r w:rsidRPr="001E4C00">
        <w:rPr>
          <w:lang w:val="fr-FR"/>
        </w:rPr>
        <w:t xml:space="preserve">Office des </w:t>
      </w:r>
      <w:r w:rsidR="008F70DE" w:rsidRPr="001E4C00">
        <w:rPr>
          <w:lang w:val="fr-FR"/>
        </w:rPr>
        <w:t>Nations Unies</w:t>
      </w:r>
      <w:r w:rsidRPr="001E4C00">
        <w:rPr>
          <w:lang w:val="fr-FR"/>
        </w:rPr>
        <w:t xml:space="preserve"> à Genè</w:t>
      </w:r>
      <w:r w:rsidR="00783939" w:rsidRPr="001E4C00">
        <w:rPr>
          <w:lang w:val="fr-FR"/>
        </w:rPr>
        <w:t>ve.  En</w:t>
      </w:r>
      <w:r w:rsidRPr="001E4C00">
        <w:rPr>
          <w:lang w:val="fr-FR"/>
        </w:rPr>
        <w:t xml:space="preserve"> outre, une centaine d</w:t>
      </w:r>
      <w:r w:rsidR="008F70DE" w:rsidRPr="001E4C00">
        <w:rPr>
          <w:lang w:val="fr-FR"/>
        </w:rPr>
        <w:t>’</w:t>
      </w:r>
      <w:r w:rsidRPr="001E4C00">
        <w:rPr>
          <w:lang w:val="fr-FR"/>
        </w:rPr>
        <w:t>acteurs clés du secteur ukrainien de l</w:t>
      </w:r>
      <w:r w:rsidR="008F70DE" w:rsidRPr="001E4C00">
        <w:rPr>
          <w:lang w:val="fr-FR"/>
        </w:rPr>
        <w:t>’</w:t>
      </w:r>
      <w:r w:rsidRPr="001E4C00">
        <w:rPr>
          <w:lang w:val="fr-FR"/>
        </w:rPr>
        <w:t>innovation et de la créativité ont participé à l</w:t>
      </w:r>
      <w:r w:rsidR="008F70DE" w:rsidRPr="001E4C00">
        <w:rPr>
          <w:lang w:val="fr-FR"/>
        </w:rPr>
        <w:t>’</w:t>
      </w:r>
      <w:r w:rsidRPr="001E4C00">
        <w:rPr>
          <w:lang w:val="fr-FR"/>
        </w:rPr>
        <w:t xml:space="preserve">évaluation et aux consultations par </w:t>
      </w:r>
      <w:r w:rsidR="00D64B21" w:rsidRPr="001E4C00">
        <w:rPr>
          <w:lang w:val="fr-FR"/>
        </w:rPr>
        <w:t>l</w:t>
      </w:r>
      <w:r w:rsidR="008F70DE" w:rsidRPr="001E4C00">
        <w:rPr>
          <w:lang w:val="fr-FR"/>
        </w:rPr>
        <w:t>’</w:t>
      </w:r>
      <w:r w:rsidR="00D64B21" w:rsidRPr="001E4C00">
        <w:rPr>
          <w:lang w:val="fr-FR"/>
        </w:rPr>
        <w:t>intermédiaire</w:t>
      </w:r>
      <w:r w:rsidRPr="001E4C00">
        <w:rPr>
          <w:lang w:val="fr-FR"/>
        </w:rPr>
        <w:t xml:space="preserve"> de questionnaires et d</w:t>
      </w:r>
      <w:r w:rsidR="008F70DE" w:rsidRPr="001E4C00">
        <w:rPr>
          <w:lang w:val="fr-FR"/>
        </w:rPr>
        <w:t>’</w:t>
      </w:r>
      <w:r w:rsidRPr="001E4C00">
        <w:rPr>
          <w:lang w:val="fr-FR"/>
        </w:rPr>
        <w:t>entretiens organis</w:t>
      </w:r>
      <w:r w:rsidR="00783939" w:rsidRPr="001E4C00">
        <w:rPr>
          <w:lang w:val="fr-FR"/>
        </w:rPr>
        <w:t>és.  Le</w:t>
      </w:r>
      <w:r w:rsidRPr="001E4C00">
        <w:rPr>
          <w:lang w:val="fr-FR"/>
        </w:rPr>
        <w:t xml:space="preserve"> Bureau international a également été en contact permanent avec le réseau de CATI </w:t>
      </w:r>
      <w:r w:rsidR="00D64B21" w:rsidRPr="001E4C00">
        <w:rPr>
          <w:lang w:val="fr-FR"/>
        </w:rPr>
        <w:t>en Ukraine</w:t>
      </w:r>
      <w:r w:rsidRPr="001E4C00">
        <w:rPr>
          <w:lang w:val="fr-FR"/>
        </w:rPr>
        <w:t>.</w:t>
      </w:r>
    </w:p>
    <w:p w:rsidR="001957C8" w:rsidRPr="001E4C00" w:rsidRDefault="001957C8" w:rsidP="007115E7">
      <w:pPr>
        <w:pStyle w:val="ONUMFS"/>
        <w:rPr>
          <w:lang w:val="fr-FR"/>
        </w:rPr>
      </w:pPr>
      <w:r w:rsidRPr="001E4C00">
        <w:rPr>
          <w:lang w:val="fr-FR"/>
        </w:rPr>
        <w:t>En 2023, trois réunions de haut niveau ont été organisée</w:t>
      </w:r>
      <w:r w:rsidR="00783939" w:rsidRPr="001E4C00">
        <w:rPr>
          <w:lang w:val="fr-FR"/>
        </w:rPr>
        <w:t>s avec la participation de S.E. </w:t>
      </w:r>
      <w:r w:rsidRPr="001E4C00">
        <w:rPr>
          <w:lang w:val="fr-FR"/>
        </w:rPr>
        <w:t>M. </w:t>
      </w:r>
      <w:proofErr w:type="spellStart"/>
      <w:r w:rsidRPr="001E4C00">
        <w:rPr>
          <w:lang w:val="fr-FR"/>
        </w:rPr>
        <w:t>Oleksandr</w:t>
      </w:r>
      <w:proofErr w:type="spellEnd"/>
      <w:r w:rsidRPr="001E4C00">
        <w:rPr>
          <w:lang w:val="fr-FR"/>
        </w:rPr>
        <w:t xml:space="preserve"> </w:t>
      </w:r>
      <w:proofErr w:type="spellStart"/>
      <w:r w:rsidRPr="001E4C00">
        <w:rPr>
          <w:lang w:val="fr-FR"/>
        </w:rPr>
        <w:t>Gryban</w:t>
      </w:r>
      <w:proofErr w:type="spellEnd"/>
      <w:r w:rsidRPr="001E4C00">
        <w:rPr>
          <w:lang w:val="fr-FR"/>
        </w:rPr>
        <w:t>, vice</w:t>
      </w:r>
      <w:r w:rsidR="0091158D">
        <w:rPr>
          <w:lang w:val="fr-FR"/>
        </w:rPr>
        <w:noBreakHyphen/>
      </w:r>
      <w:r w:rsidRPr="001E4C00">
        <w:rPr>
          <w:lang w:val="fr-FR"/>
        </w:rPr>
        <w:t>ministre</w:t>
      </w:r>
      <w:r w:rsidR="00F45D44" w:rsidRPr="001E4C00">
        <w:rPr>
          <w:lang w:val="fr-FR"/>
        </w:rPr>
        <w:t xml:space="preserve"> chargé</w:t>
      </w:r>
      <w:r w:rsidRPr="001E4C00">
        <w:rPr>
          <w:lang w:val="fr-FR"/>
        </w:rPr>
        <w:t xml:space="preserve"> du Ministère de l</w:t>
      </w:r>
      <w:r w:rsidR="008F70DE" w:rsidRPr="001E4C00">
        <w:rPr>
          <w:lang w:val="fr-FR"/>
        </w:rPr>
        <w:t>’</w:t>
      </w:r>
      <w:r w:rsidRPr="001E4C00">
        <w:rPr>
          <w:lang w:val="fr-FR"/>
        </w:rPr>
        <w:t>économie ukraini</w:t>
      </w:r>
      <w:r w:rsidR="00783939" w:rsidRPr="001E4C00">
        <w:rPr>
          <w:lang w:val="fr-FR"/>
        </w:rPr>
        <w:t>en.  En</w:t>
      </w:r>
      <w:r w:rsidRPr="001E4C00">
        <w:rPr>
          <w:lang w:val="fr-FR"/>
        </w:rPr>
        <w:t xml:space="preserve"> outre, le Bureau international a organisé des réunions régulières avec la Mission permanente afin d</w:t>
      </w:r>
      <w:r w:rsidR="008F70DE" w:rsidRPr="001E4C00">
        <w:rPr>
          <w:lang w:val="fr-FR"/>
        </w:rPr>
        <w:t>’</w:t>
      </w:r>
      <w:r w:rsidRPr="001E4C00">
        <w:rPr>
          <w:lang w:val="fr-FR"/>
        </w:rPr>
        <w:t>assurer une communication et une collaboration continues.</w:t>
      </w:r>
    </w:p>
    <w:p w:rsidR="001957C8" w:rsidRPr="001E4C00" w:rsidRDefault="001957C8" w:rsidP="007115E7">
      <w:pPr>
        <w:pStyle w:val="ONUMFS"/>
        <w:rPr>
          <w:lang w:val="fr-FR"/>
        </w:rPr>
      </w:pPr>
      <w:r w:rsidRPr="001E4C00">
        <w:rPr>
          <w:lang w:val="fr-FR"/>
        </w:rPr>
        <w:t>Tous les secteurs de l</w:t>
      </w:r>
      <w:r w:rsidR="008F70DE" w:rsidRPr="001E4C00">
        <w:rPr>
          <w:lang w:val="fr-FR"/>
        </w:rPr>
        <w:t>’</w:t>
      </w:r>
      <w:r w:rsidRPr="001E4C00">
        <w:rPr>
          <w:lang w:val="fr-FR"/>
        </w:rPr>
        <w:t>OMPI ont participé à ce process</w:t>
      </w:r>
      <w:r w:rsidR="00783939" w:rsidRPr="001E4C00">
        <w:rPr>
          <w:lang w:val="fr-FR"/>
        </w:rPr>
        <w:t>us.  Le</w:t>
      </w:r>
      <w:r w:rsidRPr="001E4C00">
        <w:rPr>
          <w:lang w:val="fr-FR"/>
        </w:rPr>
        <w:t xml:space="preserve">s consultations ont permis de recenser les besoins actuels et de classer </w:t>
      </w:r>
      <w:r w:rsidR="00F45D44" w:rsidRPr="001E4C00">
        <w:rPr>
          <w:lang w:val="fr-FR"/>
        </w:rPr>
        <w:t xml:space="preserve">les </w:t>
      </w:r>
      <w:r w:rsidRPr="001E4C00">
        <w:rPr>
          <w:lang w:val="fr-FR"/>
        </w:rPr>
        <w:t xml:space="preserve">mesures </w:t>
      </w:r>
      <w:r w:rsidR="00F45D44" w:rsidRPr="001E4C00">
        <w:rPr>
          <w:lang w:val="fr-FR"/>
        </w:rPr>
        <w:t xml:space="preserve">correspondantes en mesures </w:t>
      </w:r>
      <w:r w:rsidRPr="001E4C00">
        <w:rPr>
          <w:lang w:val="fr-FR"/>
        </w:rPr>
        <w:t>à court, moyen et long ter</w:t>
      </w:r>
      <w:r w:rsidR="00783939" w:rsidRPr="001E4C00">
        <w:rPr>
          <w:lang w:val="fr-FR"/>
        </w:rPr>
        <w:t>me.  Le</w:t>
      </w:r>
      <w:r w:rsidRPr="001E4C00">
        <w:rPr>
          <w:lang w:val="fr-FR"/>
        </w:rPr>
        <w:t xml:space="preserve"> Bureau international continue d</w:t>
      </w:r>
      <w:r w:rsidR="008F70DE" w:rsidRPr="001E4C00">
        <w:rPr>
          <w:lang w:val="fr-FR"/>
        </w:rPr>
        <w:t>’</w:t>
      </w:r>
      <w:r w:rsidRPr="001E4C00">
        <w:rPr>
          <w:lang w:val="fr-FR"/>
        </w:rPr>
        <w:t>organiser des consultations avec tous les acteurs publics et privés concernés afin d</w:t>
      </w:r>
      <w:r w:rsidR="008F70DE" w:rsidRPr="001E4C00">
        <w:rPr>
          <w:lang w:val="fr-FR"/>
        </w:rPr>
        <w:t>’</w:t>
      </w:r>
      <w:r w:rsidRPr="001E4C00">
        <w:rPr>
          <w:lang w:val="fr-FR"/>
        </w:rPr>
        <w:t xml:space="preserve">évaluer les besoins et de fournir une assistance qui produise un impact dans les domaines </w:t>
      </w:r>
      <w:r w:rsidR="00F45D44" w:rsidRPr="001E4C00">
        <w:rPr>
          <w:lang w:val="fr-FR"/>
        </w:rPr>
        <w:t>recensés</w:t>
      </w:r>
      <w:r w:rsidRPr="001E4C00">
        <w:rPr>
          <w:lang w:val="fr-FR"/>
        </w:rPr>
        <w:t>.</w:t>
      </w:r>
    </w:p>
    <w:p w:rsidR="008A3FE2" w:rsidRPr="001E4C00" w:rsidRDefault="001957C8" w:rsidP="00A25FE5">
      <w:pPr>
        <w:pStyle w:val="Heading2"/>
        <w:rPr>
          <w:lang w:val="fr-FR"/>
        </w:rPr>
      </w:pPr>
      <w:r w:rsidRPr="001E4C00">
        <w:rPr>
          <w:lang w:val="fr-FR"/>
        </w:rPr>
        <w:t>3.2.</w:t>
      </w:r>
      <w:r w:rsidRPr="001E4C00">
        <w:rPr>
          <w:lang w:val="fr-FR"/>
        </w:rPr>
        <w:tab/>
        <w:t>Consultations avec les parties prenantes de l</w:t>
      </w:r>
      <w:r w:rsidR="008F70DE" w:rsidRPr="001E4C00">
        <w:rPr>
          <w:lang w:val="fr-FR"/>
        </w:rPr>
        <w:t>’</w:t>
      </w:r>
      <w:r w:rsidRPr="001E4C00">
        <w:rPr>
          <w:lang w:val="fr-FR"/>
        </w:rPr>
        <w:t>écosystème de l</w:t>
      </w:r>
      <w:r w:rsidR="008F70DE" w:rsidRPr="001E4C00">
        <w:rPr>
          <w:lang w:val="fr-FR"/>
        </w:rPr>
        <w:t>’</w:t>
      </w:r>
      <w:r w:rsidRPr="001E4C00">
        <w:rPr>
          <w:lang w:val="fr-FR"/>
        </w:rPr>
        <w:t xml:space="preserve">innovation et de la </w:t>
      </w:r>
      <w:r w:rsidR="00F45D44" w:rsidRPr="001E4C00">
        <w:rPr>
          <w:lang w:val="fr-FR"/>
        </w:rPr>
        <w:t>créativité</w:t>
      </w:r>
    </w:p>
    <w:p w:rsidR="001957C8" w:rsidRPr="001E4C00" w:rsidRDefault="001957C8" w:rsidP="007115E7">
      <w:pPr>
        <w:pStyle w:val="ONUMFS"/>
        <w:rPr>
          <w:lang w:val="fr-FR"/>
        </w:rPr>
      </w:pPr>
      <w:r w:rsidRPr="001E4C00">
        <w:rPr>
          <w:lang w:val="fr-FR"/>
        </w:rPr>
        <w:t>Comme indiqué ci</w:t>
      </w:r>
      <w:r w:rsidR="0091158D">
        <w:rPr>
          <w:lang w:val="fr-FR"/>
        </w:rPr>
        <w:noBreakHyphen/>
      </w:r>
      <w:r w:rsidRPr="001E4C00">
        <w:rPr>
          <w:lang w:val="fr-FR"/>
        </w:rPr>
        <w:t>dessus, et sur la base de consultations menées auprès d</w:t>
      </w:r>
      <w:r w:rsidR="008F70DE" w:rsidRPr="001E4C00">
        <w:rPr>
          <w:lang w:val="fr-FR"/>
        </w:rPr>
        <w:t>’</w:t>
      </w:r>
      <w:r w:rsidRPr="001E4C00">
        <w:rPr>
          <w:lang w:val="fr-FR"/>
        </w:rPr>
        <w:t>une série de parties prenantes et de secteurs de la propriété intellectuelle, les besoins suivants, décrits plus en détail ci</w:t>
      </w:r>
      <w:r w:rsidR="0091158D">
        <w:rPr>
          <w:lang w:val="fr-FR"/>
        </w:rPr>
        <w:noBreakHyphen/>
      </w:r>
      <w:r w:rsidRPr="001E4C00">
        <w:rPr>
          <w:lang w:val="fr-FR"/>
        </w:rPr>
        <w:t xml:space="preserve">dessous, ont été </w:t>
      </w:r>
      <w:r w:rsidR="00F45D44" w:rsidRPr="001E4C00">
        <w:rPr>
          <w:lang w:val="fr-FR"/>
        </w:rPr>
        <w:t>recensés</w:t>
      </w:r>
      <w:r w:rsidR="008F70DE" w:rsidRPr="001E4C00">
        <w:rPr>
          <w:lang w:val="fr-FR"/>
        </w:rPr>
        <w:t> :</w:t>
      </w:r>
    </w:p>
    <w:p w:rsidR="001957C8" w:rsidRPr="001E4C00" w:rsidRDefault="001957C8" w:rsidP="007115E7">
      <w:pPr>
        <w:pStyle w:val="ONUMFS"/>
        <w:rPr>
          <w:lang w:val="fr-FR"/>
        </w:rPr>
      </w:pPr>
      <w:r w:rsidRPr="001E4C00">
        <w:rPr>
          <w:lang w:val="fr-FR"/>
        </w:rPr>
        <w:t xml:space="preserve">Le Ministère </w:t>
      </w:r>
      <w:r w:rsidR="00F45D44" w:rsidRPr="001E4C00">
        <w:rPr>
          <w:lang w:val="fr-FR"/>
        </w:rPr>
        <w:t xml:space="preserve">ukrainien </w:t>
      </w:r>
      <w:r w:rsidRPr="001E4C00">
        <w:rPr>
          <w:lang w:val="fr-FR"/>
        </w:rPr>
        <w:t>de l</w:t>
      </w:r>
      <w:r w:rsidR="008F70DE" w:rsidRPr="001E4C00">
        <w:rPr>
          <w:lang w:val="fr-FR"/>
        </w:rPr>
        <w:t>’</w:t>
      </w:r>
      <w:r w:rsidRPr="001E4C00">
        <w:rPr>
          <w:lang w:val="fr-FR"/>
        </w:rPr>
        <w:t>éducation et des sciences a fait état du besoin immédiat de soutenir et d</w:t>
      </w:r>
      <w:r w:rsidR="008F70DE" w:rsidRPr="001E4C00">
        <w:rPr>
          <w:lang w:val="fr-FR"/>
        </w:rPr>
        <w:t>’</w:t>
      </w:r>
      <w:r w:rsidRPr="001E4C00">
        <w:rPr>
          <w:lang w:val="fr-FR"/>
        </w:rPr>
        <w:t>accroître les activités scientifiques et d</w:t>
      </w:r>
      <w:r w:rsidR="008F70DE" w:rsidRPr="001E4C00">
        <w:rPr>
          <w:lang w:val="fr-FR"/>
        </w:rPr>
        <w:t>’</w:t>
      </w:r>
      <w:r w:rsidRPr="001E4C00">
        <w:rPr>
          <w:lang w:val="fr-FR"/>
        </w:rPr>
        <w:t>innovation en mettant en œuvre des projets visant à développer le réseau d</w:t>
      </w:r>
      <w:r w:rsidR="008F70DE" w:rsidRPr="001E4C00">
        <w:rPr>
          <w:lang w:val="fr-FR"/>
        </w:rPr>
        <w:t>’</w:t>
      </w:r>
      <w:r w:rsidRPr="001E4C00">
        <w:rPr>
          <w:lang w:val="fr-FR"/>
        </w:rPr>
        <w:t xml:space="preserve">infrastructures </w:t>
      </w:r>
      <w:r w:rsidR="00940EA8" w:rsidRPr="001E4C00">
        <w:rPr>
          <w:lang w:val="fr-FR"/>
        </w:rPr>
        <w:t xml:space="preserve">en matière </w:t>
      </w:r>
      <w:r w:rsidRPr="001E4C00">
        <w:rPr>
          <w:lang w:val="fr-FR"/>
        </w:rPr>
        <w:t>d</w:t>
      </w:r>
      <w:r w:rsidR="008F70DE" w:rsidRPr="001E4C00">
        <w:rPr>
          <w:lang w:val="fr-FR"/>
        </w:rPr>
        <w:t>’</w:t>
      </w:r>
      <w:r w:rsidRPr="001E4C00">
        <w:rPr>
          <w:lang w:val="fr-FR"/>
        </w:rPr>
        <w:t>innovation, à intensifier le transfert de technologies et la commercialisation des résultats scientifiques, à mettre en œuvre des projets conjoints avec des universités, des instituts de recherche et des entreprises axées sur l</w:t>
      </w:r>
      <w:r w:rsidR="008F70DE" w:rsidRPr="001E4C00">
        <w:rPr>
          <w:lang w:val="fr-FR"/>
        </w:rPr>
        <w:t>’</w:t>
      </w:r>
      <w:r w:rsidRPr="001E4C00">
        <w:rPr>
          <w:lang w:val="fr-FR"/>
        </w:rPr>
        <w:t xml:space="preserve">innovation en Ukraine, à créer des industries de haute technologie avec la participation </w:t>
      </w:r>
      <w:r w:rsidR="00940EA8" w:rsidRPr="001E4C00">
        <w:rPr>
          <w:lang w:val="fr-FR"/>
        </w:rPr>
        <w:t>d</w:t>
      </w:r>
      <w:r w:rsidR="008F70DE" w:rsidRPr="001E4C00">
        <w:rPr>
          <w:lang w:val="fr-FR"/>
        </w:rPr>
        <w:t>’</w:t>
      </w:r>
      <w:r w:rsidR="00940EA8" w:rsidRPr="001E4C00">
        <w:rPr>
          <w:lang w:val="fr-FR"/>
        </w:rPr>
        <w:t xml:space="preserve">établissements </w:t>
      </w:r>
      <w:r w:rsidRPr="001E4C00">
        <w:rPr>
          <w:lang w:val="fr-FR"/>
        </w:rPr>
        <w:t>d</w:t>
      </w:r>
      <w:r w:rsidR="008F70DE" w:rsidRPr="001E4C00">
        <w:rPr>
          <w:lang w:val="fr-FR"/>
        </w:rPr>
        <w:t>’</w:t>
      </w:r>
      <w:r w:rsidRPr="001E4C00">
        <w:rPr>
          <w:lang w:val="fr-FR"/>
        </w:rPr>
        <w:t>enseignement supérieur et d</w:t>
      </w:r>
      <w:r w:rsidR="008F70DE" w:rsidRPr="001E4C00">
        <w:rPr>
          <w:lang w:val="fr-FR"/>
        </w:rPr>
        <w:t>’</w:t>
      </w:r>
      <w:r w:rsidRPr="001E4C00">
        <w:rPr>
          <w:lang w:val="fr-FR"/>
        </w:rPr>
        <w:t>instituts de recherche afin de combiner le</w:t>
      </w:r>
      <w:r w:rsidR="00940EA8" w:rsidRPr="001E4C00">
        <w:rPr>
          <w:lang w:val="fr-FR"/>
        </w:rPr>
        <w:t>s</w:t>
      </w:r>
      <w:r w:rsidRPr="001E4C00">
        <w:rPr>
          <w:lang w:val="fr-FR"/>
        </w:rPr>
        <w:t xml:space="preserve"> potentiel</w:t>
      </w:r>
      <w:r w:rsidR="00940EA8" w:rsidRPr="001E4C00">
        <w:rPr>
          <w:lang w:val="fr-FR"/>
        </w:rPr>
        <w:t>s</w:t>
      </w:r>
      <w:r w:rsidRPr="001E4C00">
        <w:rPr>
          <w:lang w:val="fr-FR"/>
        </w:rPr>
        <w:t xml:space="preserve"> scientifique et industriel, et à solliciter des subventions pour la mise en œuvre de projets scientifiques, techniques et innovants, ainsi que pour le développement de jeunes entreprises afin de </w:t>
      </w:r>
      <w:r w:rsidR="00940EA8" w:rsidRPr="001E4C00">
        <w:rPr>
          <w:lang w:val="fr-FR"/>
        </w:rPr>
        <w:t xml:space="preserve">rétablir </w:t>
      </w:r>
      <w:r w:rsidRPr="001E4C00">
        <w:rPr>
          <w:lang w:val="fr-FR"/>
        </w:rPr>
        <w:t>l</w:t>
      </w:r>
      <w:r w:rsidR="008F70DE" w:rsidRPr="001E4C00">
        <w:rPr>
          <w:lang w:val="fr-FR"/>
        </w:rPr>
        <w:t>’</w:t>
      </w:r>
      <w:r w:rsidRPr="001E4C00">
        <w:rPr>
          <w:lang w:val="fr-FR"/>
        </w:rPr>
        <w:t>Ukraine et son économie.</w:t>
      </w:r>
    </w:p>
    <w:p w:rsidR="001957C8" w:rsidRPr="001E4C00" w:rsidRDefault="001957C8" w:rsidP="007115E7">
      <w:pPr>
        <w:pStyle w:val="ONUMFS"/>
        <w:rPr>
          <w:lang w:val="fr-FR"/>
        </w:rPr>
      </w:pPr>
      <w:r w:rsidRPr="001E4C00">
        <w:rPr>
          <w:lang w:val="fr-FR"/>
        </w:rPr>
        <w:t xml:space="preserve">Les consultations avec les </w:t>
      </w:r>
      <w:r w:rsidR="00940EA8" w:rsidRPr="001E4C00">
        <w:rPr>
          <w:lang w:val="fr-FR"/>
        </w:rPr>
        <w:t>établissements d</w:t>
      </w:r>
      <w:r w:rsidR="008F70DE" w:rsidRPr="001E4C00">
        <w:rPr>
          <w:lang w:val="fr-FR"/>
        </w:rPr>
        <w:t>’</w:t>
      </w:r>
      <w:r w:rsidR="00940EA8" w:rsidRPr="001E4C00">
        <w:rPr>
          <w:lang w:val="fr-FR"/>
        </w:rPr>
        <w:t>enseignement</w:t>
      </w:r>
      <w:r w:rsidRPr="001E4C00">
        <w:rPr>
          <w:lang w:val="fr-FR"/>
        </w:rPr>
        <w:t xml:space="preserve"> </w:t>
      </w:r>
      <w:r w:rsidR="00940EA8" w:rsidRPr="001E4C00">
        <w:rPr>
          <w:lang w:val="fr-FR"/>
        </w:rPr>
        <w:t xml:space="preserve">et </w:t>
      </w:r>
      <w:r w:rsidRPr="001E4C00">
        <w:rPr>
          <w:lang w:val="fr-FR"/>
        </w:rPr>
        <w:t xml:space="preserve">de recherche et </w:t>
      </w:r>
      <w:r w:rsidR="00940EA8" w:rsidRPr="001E4C00">
        <w:rPr>
          <w:lang w:val="fr-FR"/>
        </w:rPr>
        <w:t xml:space="preserve">les institutions </w:t>
      </w:r>
      <w:r w:rsidRPr="001E4C00">
        <w:rPr>
          <w:lang w:val="fr-FR"/>
        </w:rPr>
        <w:t>culturelles ont mis en évidence le besoin urgent de relever les défis causés par la guerre et non seulement de maintenir le</w:t>
      </w:r>
      <w:r w:rsidR="00940EA8" w:rsidRPr="001E4C00">
        <w:rPr>
          <w:lang w:val="fr-FR"/>
        </w:rPr>
        <w:t>s</w:t>
      </w:r>
      <w:r w:rsidRPr="001E4C00">
        <w:rPr>
          <w:lang w:val="fr-FR"/>
        </w:rPr>
        <w:t xml:space="preserve"> secteur</w:t>
      </w:r>
      <w:r w:rsidR="00940EA8" w:rsidRPr="001E4C00">
        <w:rPr>
          <w:lang w:val="fr-FR"/>
        </w:rPr>
        <w:t>s</w:t>
      </w:r>
      <w:r w:rsidRPr="001E4C00">
        <w:rPr>
          <w:lang w:val="fr-FR"/>
        </w:rPr>
        <w:t xml:space="preserve"> de l</w:t>
      </w:r>
      <w:r w:rsidR="008F70DE" w:rsidRPr="001E4C00">
        <w:rPr>
          <w:lang w:val="fr-FR"/>
        </w:rPr>
        <w:t>’</w:t>
      </w:r>
      <w:r w:rsidRPr="001E4C00">
        <w:rPr>
          <w:lang w:val="fr-FR"/>
        </w:rPr>
        <w:t>éducation, de la science et de l</w:t>
      </w:r>
      <w:r w:rsidR="008F70DE" w:rsidRPr="001E4C00">
        <w:rPr>
          <w:lang w:val="fr-FR"/>
        </w:rPr>
        <w:t>’</w:t>
      </w:r>
      <w:r w:rsidRPr="001E4C00">
        <w:rPr>
          <w:lang w:val="fr-FR"/>
        </w:rPr>
        <w:t>innovation, mais aussi d</w:t>
      </w:r>
      <w:r w:rsidR="008F70DE" w:rsidRPr="001E4C00">
        <w:rPr>
          <w:lang w:val="fr-FR"/>
        </w:rPr>
        <w:t>’</w:t>
      </w:r>
      <w:r w:rsidRPr="001E4C00">
        <w:rPr>
          <w:lang w:val="fr-FR"/>
        </w:rPr>
        <w:t>en stimuler le développeme</w:t>
      </w:r>
      <w:r w:rsidR="00783939" w:rsidRPr="001E4C00">
        <w:rPr>
          <w:lang w:val="fr-FR"/>
        </w:rPr>
        <w:t>nt.  Ce</w:t>
      </w:r>
      <w:r w:rsidRPr="001E4C00">
        <w:rPr>
          <w:lang w:val="fr-FR"/>
        </w:rPr>
        <w:t xml:space="preserve">s besoins comprennent une mise en œuvre plus approfondie du processus de numérisation de tous les </w:t>
      </w:r>
      <w:r w:rsidR="00BA6CF2" w:rsidRPr="001E4C00">
        <w:rPr>
          <w:lang w:val="fr-FR"/>
        </w:rPr>
        <w:t>outils pédagogiques</w:t>
      </w:r>
      <w:r w:rsidRPr="001E4C00">
        <w:rPr>
          <w:lang w:val="fr-FR"/>
        </w:rPr>
        <w:t>;  la reprise du financement des activités scientifiques dans les établissements d</w:t>
      </w:r>
      <w:r w:rsidR="008F70DE" w:rsidRPr="001E4C00">
        <w:rPr>
          <w:lang w:val="fr-FR"/>
        </w:rPr>
        <w:t>’</w:t>
      </w:r>
      <w:r w:rsidRPr="001E4C00">
        <w:rPr>
          <w:lang w:val="fr-FR"/>
        </w:rPr>
        <w:t>enseignement supérieur et de recherche;  l</w:t>
      </w:r>
      <w:r w:rsidR="008F70DE" w:rsidRPr="001E4C00">
        <w:rPr>
          <w:lang w:val="fr-FR"/>
        </w:rPr>
        <w:t>’</w:t>
      </w:r>
      <w:r w:rsidRPr="001E4C00">
        <w:rPr>
          <w:lang w:val="fr-FR"/>
        </w:rPr>
        <w:t xml:space="preserve">expansion des programmes de subventions pour la recherche scientifique;  le partage des </w:t>
      </w:r>
      <w:r w:rsidR="00BA6CF2" w:rsidRPr="001E4C00">
        <w:rPr>
          <w:lang w:val="fr-FR"/>
        </w:rPr>
        <w:t>données d</w:t>
      </w:r>
      <w:r w:rsidR="008F70DE" w:rsidRPr="001E4C00">
        <w:rPr>
          <w:lang w:val="fr-FR"/>
        </w:rPr>
        <w:t>’</w:t>
      </w:r>
      <w:r w:rsidRPr="001E4C00">
        <w:rPr>
          <w:lang w:val="fr-FR"/>
        </w:rPr>
        <w:t>expérience et des meilleures pratiques liées au mécanisme de commercialisation de la propriété intellectuelle et des technologies innovantes;  le soutien à l</w:t>
      </w:r>
      <w:r w:rsidR="008F70DE" w:rsidRPr="001E4C00">
        <w:rPr>
          <w:lang w:val="fr-FR"/>
        </w:rPr>
        <w:t>’</w:t>
      </w:r>
      <w:r w:rsidRPr="001E4C00">
        <w:rPr>
          <w:lang w:val="fr-FR"/>
        </w:rPr>
        <w:t>invitation d</w:t>
      </w:r>
      <w:r w:rsidR="008F70DE" w:rsidRPr="001E4C00">
        <w:rPr>
          <w:lang w:val="fr-FR"/>
        </w:rPr>
        <w:t>’</w:t>
      </w:r>
      <w:r w:rsidRPr="001E4C00">
        <w:rPr>
          <w:lang w:val="fr-FR"/>
        </w:rPr>
        <w:t>experts internationaux sur la propriété intellectuelle, l</w:t>
      </w:r>
      <w:r w:rsidR="008F70DE" w:rsidRPr="001E4C00">
        <w:rPr>
          <w:lang w:val="fr-FR"/>
        </w:rPr>
        <w:t>’</w:t>
      </w:r>
      <w:r w:rsidRPr="001E4C00">
        <w:rPr>
          <w:lang w:val="fr-FR"/>
        </w:rPr>
        <w:t>innovation et les jeunes entreprises pour donner des conférences aux étudiants et aux jeunes scientifiques des établissements d</w:t>
      </w:r>
      <w:r w:rsidR="008F70DE" w:rsidRPr="001E4C00">
        <w:rPr>
          <w:lang w:val="fr-FR"/>
        </w:rPr>
        <w:t>’</w:t>
      </w:r>
      <w:r w:rsidRPr="001E4C00">
        <w:rPr>
          <w:lang w:val="fr-FR"/>
        </w:rPr>
        <w:t>enseignement supérieur;  la formation à la rédaction et à la préparation de la documentation requise pour les projets internationaux, les subventions, les accords, les mémorandums;  et les événements de sensibilisation à la propriété intellectuelle.</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Académie nationale des sciences a fait état des besoins suivants</w:t>
      </w:r>
      <w:r w:rsidR="008F70DE" w:rsidRPr="001E4C00">
        <w:rPr>
          <w:lang w:val="fr-FR"/>
        </w:rPr>
        <w:t> :</w:t>
      </w:r>
      <w:r w:rsidRPr="001E4C00">
        <w:rPr>
          <w:lang w:val="fr-FR"/>
        </w:rPr>
        <w:t xml:space="preserve"> l</w:t>
      </w:r>
      <w:r w:rsidR="008F70DE" w:rsidRPr="001E4C00">
        <w:rPr>
          <w:lang w:val="fr-FR"/>
        </w:rPr>
        <w:t>’</w:t>
      </w:r>
      <w:r w:rsidRPr="001E4C00">
        <w:rPr>
          <w:lang w:val="fr-FR"/>
        </w:rPr>
        <w:t>élaboration de recommandations à l</w:t>
      </w:r>
      <w:r w:rsidR="008F70DE" w:rsidRPr="001E4C00">
        <w:rPr>
          <w:lang w:val="fr-FR"/>
        </w:rPr>
        <w:t>’</w:t>
      </w:r>
      <w:r w:rsidRPr="001E4C00">
        <w:rPr>
          <w:lang w:val="fr-FR"/>
        </w:rPr>
        <w:t>intention des établissements d</w:t>
      </w:r>
      <w:r w:rsidR="008F70DE" w:rsidRPr="001E4C00">
        <w:rPr>
          <w:lang w:val="fr-FR"/>
        </w:rPr>
        <w:t>’</w:t>
      </w:r>
      <w:r w:rsidRPr="001E4C00">
        <w:rPr>
          <w:lang w:val="fr-FR"/>
        </w:rPr>
        <w:t>enseignement supérieur et des institutions scientifiques sur les politiques de propriété intellectuelle pour les universités et les institutions scientifiques et de recherche;  l</w:t>
      </w:r>
      <w:r w:rsidR="008F70DE" w:rsidRPr="001E4C00">
        <w:rPr>
          <w:lang w:val="fr-FR"/>
        </w:rPr>
        <w:t>’</w:t>
      </w:r>
      <w:r w:rsidRPr="001E4C00">
        <w:rPr>
          <w:lang w:val="fr-FR"/>
        </w:rPr>
        <w:t>organisation de subventions ciblées pour mener des recherches dans les institutions de l</w:t>
      </w:r>
      <w:r w:rsidR="008F70DE" w:rsidRPr="001E4C00">
        <w:rPr>
          <w:lang w:val="fr-FR"/>
        </w:rPr>
        <w:t>’</w:t>
      </w:r>
      <w:r w:rsidRPr="001E4C00">
        <w:rPr>
          <w:lang w:val="fr-FR"/>
        </w:rPr>
        <w:t>Académie;  l</w:t>
      </w:r>
      <w:r w:rsidR="008F70DE" w:rsidRPr="001E4C00">
        <w:rPr>
          <w:lang w:val="fr-FR"/>
        </w:rPr>
        <w:t>’</w:t>
      </w:r>
      <w:r w:rsidRPr="001E4C00">
        <w:rPr>
          <w:lang w:val="fr-FR"/>
        </w:rPr>
        <w:t>amélioration des installations de laboratoire des institutions;  et la formation annuelle de spécialistes en gestion de la propriété intellectuelle et en transfert de technologie par l</w:t>
      </w:r>
      <w:r w:rsidR="008F70DE" w:rsidRPr="001E4C00">
        <w:rPr>
          <w:lang w:val="fr-FR"/>
        </w:rPr>
        <w:t>’</w:t>
      </w:r>
      <w:r w:rsidRPr="001E4C00">
        <w:rPr>
          <w:lang w:val="fr-FR"/>
        </w:rPr>
        <w:t>Académie de l</w:t>
      </w:r>
      <w:r w:rsidR="008F70DE" w:rsidRPr="001E4C00">
        <w:rPr>
          <w:lang w:val="fr-FR"/>
        </w:rPr>
        <w:t>’</w:t>
      </w:r>
      <w:r w:rsidRPr="001E4C00">
        <w:rPr>
          <w:lang w:val="fr-FR"/>
        </w:rPr>
        <w:t>OMPI (en collaboration avec l</w:t>
      </w:r>
      <w:r w:rsidR="008F70DE" w:rsidRPr="001E4C00">
        <w:rPr>
          <w:lang w:val="fr-FR"/>
        </w:rPr>
        <w:t>’</w:t>
      </w:r>
      <w:r w:rsidRPr="001E4C00">
        <w:rPr>
          <w:lang w:val="fr-FR"/>
        </w:rPr>
        <w:t>Institut national de formation à la propriété intellectuelle) en Ukraine pour les personnes travaillant dans des institutions scientifiques et d</w:t>
      </w:r>
      <w:r w:rsidR="008F70DE" w:rsidRPr="001E4C00">
        <w:rPr>
          <w:lang w:val="fr-FR"/>
        </w:rPr>
        <w:t>’</w:t>
      </w:r>
      <w:r w:rsidRPr="001E4C00">
        <w:rPr>
          <w:lang w:val="fr-FR"/>
        </w:rPr>
        <w:t>enseignement supérieur, avec la possibilité d</w:t>
      </w:r>
      <w:r w:rsidR="008F70DE" w:rsidRPr="001E4C00">
        <w:rPr>
          <w:lang w:val="fr-FR"/>
        </w:rPr>
        <w:t>’</w:t>
      </w:r>
      <w:r w:rsidRPr="001E4C00">
        <w:rPr>
          <w:lang w:val="fr-FR"/>
        </w:rPr>
        <w:t>obtenir des qualifications et des diplômes (certificats), ce qui permettrait d</w:t>
      </w:r>
      <w:r w:rsidR="008F70DE" w:rsidRPr="001E4C00">
        <w:rPr>
          <w:lang w:val="fr-FR"/>
        </w:rPr>
        <w:t>’</w:t>
      </w:r>
      <w:r w:rsidRPr="001E4C00">
        <w:rPr>
          <w:lang w:val="fr-FR"/>
        </w:rPr>
        <w:t>apporter un soutien qualifié à l</w:t>
      </w:r>
      <w:r w:rsidR="008F70DE" w:rsidRPr="001E4C00">
        <w:rPr>
          <w:lang w:val="fr-FR"/>
        </w:rPr>
        <w:t>’</w:t>
      </w:r>
      <w:r w:rsidRPr="001E4C00">
        <w:rPr>
          <w:lang w:val="fr-FR"/>
        </w:rPr>
        <w:t>activité inventive et à la commercialisation des droits de propriété intellectuelle dans les institutions budgétaires.</w:t>
      </w:r>
    </w:p>
    <w:p w:rsidR="001957C8" w:rsidRPr="001E4C00" w:rsidRDefault="001957C8" w:rsidP="007115E7">
      <w:pPr>
        <w:pStyle w:val="ONUMFS"/>
        <w:rPr>
          <w:lang w:val="fr-FR"/>
        </w:rPr>
      </w:pPr>
      <w:r w:rsidRPr="001E4C00">
        <w:rPr>
          <w:lang w:val="fr-FR"/>
        </w:rPr>
        <w:t xml:space="preserve">Les représentants des industries </w:t>
      </w:r>
      <w:r w:rsidR="00BA6CF2" w:rsidRPr="001E4C00">
        <w:rPr>
          <w:lang w:val="fr-FR"/>
        </w:rPr>
        <w:t>de la création</w:t>
      </w:r>
      <w:r w:rsidRPr="001E4C00">
        <w:rPr>
          <w:lang w:val="fr-FR"/>
        </w:rPr>
        <w:t>, en particulier les représentants de la télévision, de l</w:t>
      </w:r>
      <w:r w:rsidR="008F70DE" w:rsidRPr="001E4C00">
        <w:rPr>
          <w:lang w:val="fr-FR"/>
        </w:rPr>
        <w:t>’</w:t>
      </w:r>
      <w:r w:rsidRPr="001E4C00">
        <w:rPr>
          <w:lang w:val="fr-FR"/>
        </w:rPr>
        <w:t>industrie musicale, de l</w:t>
      </w:r>
      <w:r w:rsidR="008F70DE" w:rsidRPr="001E4C00">
        <w:rPr>
          <w:lang w:val="fr-FR"/>
        </w:rPr>
        <w:t>’</w:t>
      </w:r>
      <w:r w:rsidRPr="001E4C00">
        <w:rPr>
          <w:lang w:val="fr-FR"/>
        </w:rPr>
        <w:t>industrie de l</w:t>
      </w:r>
      <w:r w:rsidR="008F70DE" w:rsidRPr="001E4C00">
        <w:rPr>
          <w:lang w:val="fr-FR"/>
        </w:rPr>
        <w:t>’</w:t>
      </w:r>
      <w:r w:rsidRPr="001E4C00">
        <w:rPr>
          <w:lang w:val="fr-FR"/>
        </w:rPr>
        <w:t xml:space="preserve">édition, des organisations de gestion collective, des producteurs de films et des artistes individuels ont également </w:t>
      </w:r>
      <w:r w:rsidR="00BA6CF2" w:rsidRPr="001E4C00">
        <w:rPr>
          <w:lang w:val="fr-FR"/>
        </w:rPr>
        <w:t xml:space="preserve">recensé </w:t>
      </w:r>
      <w:r w:rsidRPr="001E4C00">
        <w:rPr>
          <w:lang w:val="fr-FR"/>
        </w:rPr>
        <w:t>les besoins immédiats suivants</w:t>
      </w:r>
      <w:r w:rsidR="008F70DE" w:rsidRPr="001E4C00">
        <w:rPr>
          <w:lang w:val="fr-FR"/>
        </w:rPr>
        <w:t> :</w:t>
      </w:r>
      <w:r w:rsidRPr="001E4C00">
        <w:rPr>
          <w:lang w:val="fr-FR"/>
        </w:rPr>
        <w:t xml:space="preserve"> formation professionnelle, ateliers et séminaires;  coopération avec des partenaires étrangers pour créer des projets de coproduction;  création d</w:t>
      </w:r>
      <w:r w:rsidR="008F70DE" w:rsidRPr="001E4C00">
        <w:rPr>
          <w:lang w:val="fr-FR"/>
        </w:rPr>
        <w:t>’</w:t>
      </w:r>
      <w:r w:rsidRPr="001E4C00">
        <w:rPr>
          <w:lang w:val="fr-FR"/>
        </w:rPr>
        <w:t>un canal ou d</w:t>
      </w:r>
      <w:r w:rsidR="008F70DE" w:rsidRPr="001E4C00">
        <w:rPr>
          <w:lang w:val="fr-FR"/>
        </w:rPr>
        <w:t>’</w:t>
      </w:r>
      <w:r w:rsidRPr="001E4C00">
        <w:rPr>
          <w:lang w:val="fr-FR"/>
        </w:rPr>
        <w:t>une plateforme d</w:t>
      </w:r>
      <w:r w:rsidR="008F70DE" w:rsidRPr="001E4C00">
        <w:rPr>
          <w:lang w:val="fr-FR"/>
        </w:rPr>
        <w:t>’</w:t>
      </w:r>
      <w:r w:rsidRPr="001E4C00">
        <w:rPr>
          <w:lang w:val="fr-FR"/>
        </w:rPr>
        <w:t xml:space="preserve">information sur des sources accessibles au public qui fourniraient des informations sur les subventions et les projets pour les industries </w:t>
      </w:r>
      <w:r w:rsidR="00BA6CF2" w:rsidRPr="001E4C00">
        <w:rPr>
          <w:lang w:val="fr-FR"/>
        </w:rPr>
        <w:t>de la création</w:t>
      </w:r>
      <w:r w:rsidRPr="001E4C00">
        <w:rPr>
          <w:lang w:val="fr-FR"/>
        </w:rPr>
        <w:t>;  formation sur les questions liées à la propriété intellectuelle, à l</w:t>
      </w:r>
      <w:r w:rsidR="008F70DE" w:rsidRPr="001E4C00">
        <w:rPr>
          <w:lang w:val="fr-FR"/>
        </w:rPr>
        <w:t>’</w:t>
      </w:r>
      <w:r w:rsidRPr="001E4C00">
        <w:rPr>
          <w:lang w:val="fr-FR"/>
        </w:rPr>
        <w:t xml:space="preserve">exportation et au fonctionnement des plateformes numériques;  aide à la création de programmes de subventions pour les artistes ukrainiens;  </w:t>
      </w:r>
      <w:r w:rsidR="00DF7585" w:rsidRPr="001E4C00">
        <w:rPr>
          <w:lang w:val="fr-FR"/>
        </w:rPr>
        <w:t>mobilisation de ressources et</w:t>
      </w:r>
      <w:r w:rsidR="000701CB" w:rsidRPr="001E4C00">
        <w:rPr>
          <w:lang w:val="fr-FR"/>
        </w:rPr>
        <w:t xml:space="preserve"> </w:t>
      </w:r>
      <w:r w:rsidR="00E81323" w:rsidRPr="001E4C00">
        <w:rPr>
          <w:lang w:val="fr-FR"/>
        </w:rPr>
        <w:t>d</w:t>
      </w:r>
      <w:r w:rsidR="008F70DE" w:rsidRPr="001E4C00">
        <w:rPr>
          <w:lang w:val="fr-FR"/>
        </w:rPr>
        <w:t>’</w:t>
      </w:r>
      <w:r w:rsidR="00E81323" w:rsidRPr="001E4C00">
        <w:rPr>
          <w:lang w:val="fr-FR"/>
        </w:rPr>
        <w:t xml:space="preserve">initiatives </w:t>
      </w:r>
      <w:r w:rsidR="00DF7585" w:rsidRPr="001E4C00">
        <w:rPr>
          <w:lang w:val="fr-FR"/>
        </w:rPr>
        <w:t xml:space="preserve">internationales </w:t>
      </w:r>
      <w:r w:rsidRPr="001E4C00">
        <w:rPr>
          <w:lang w:val="fr-FR"/>
        </w:rPr>
        <w:t>pour la production de films et de séries télévisées ukrainiens;  et amélioration de la législation en faveur des organisations de gestion collective.</w:t>
      </w:r>
    </w:p>
    <w:p w:rsidR="001957C8" w:rsidRPr="001E4C00" w:rsidRDefault="001957C8" w:rsidP="00A25FE5">
      <w:pPr>
        <w:pStyle w:val="Heading2"/>
        <w:rPr>
          <w:lang w:val="fr-FR"/>
        </w:rPr>
      </w:pPr>
      <w:r w:rsidRPr="001E4C00">
        <w:rPr>
          <w:lang w:val="fr-FR"/>
        </w:rPr>
        <w:t>3.3.</w:t>
      </w:r>
      <w:r w:rsidRPr="001E4C00">
        <w:rPr>
          <w:lang w:val="fr-FR"/>
        </w:rPr>
        <w:tab/>
        <w:t>Consultations avec le Gouvernement ukrainien et les offices de propriété intellectuelle</w:t>
      </w:r>
    </w:p>
    <w:p w:rsidR="008A3FE2" w:rsidRPr="001E4C00" w:rsidRDefault="001957C8" w:rsidP="00B96384">
      <w:pPr>
        <w:pStyle w:val="Heading3"/>
        <w:ind w:left="1985" w:hanging="851"/>
        <w:rPr>
          <w:lang w:val="fr-FR"/>
        </w:rPr>
      </w:pPr>
      <w:r w:rsidRPr="001E4C00">
        <w:rPr>
          <w:lang w:val="fr-FR"/>
        </w:rPr>
        <w:t>3.3.1.</w:t>
      </w:r>
      <w:r w:rsidRPr="001E4C00">
        <w:rPr>
          <w:lang w:val="fr-FR"/>
        </w:rPr>
        <w:tab/>
      </w:r>
      <w:r w:rsidRPr="001E4C00">
        <w:rPr>
          <w:u w:val="single"/>
          <w:lang w:val="fr-FR"/>
        </w:rPr>
        <w:t>Réformes institutionnelles en Ukraine</w:t>
      </w:r>
    </w:p>
    <w:p w:rsidR="001957C8" w:rsidRPr="001E4C00" w:rsidRDefault="001957C8" w:rsidP="007115E7">
      <w:pPr>
        <w:pStyle w:val="ONUMFS"/>
        <w:rPr>
          <w:lang w:val="fr-FR"/>
        </w:rPr>
      </w:pPr>
      <w:r w:rsidRPr="001E4C00">
        <w:rPr>
          <w:lang w:val="fr-FR"/>
        </w:rPr>
        <w:t>Le 28 octobre 2022, le Cabinet des ministres de l</w:t>
      </w:r>
      <w:r w:rsidR="008F70DE" w:rsidRPr="001E4C00">
        <w:rPr>
          <w:lang w:val="fr-FR"/>
        </w:rPr>
        <w:t>’</w:t>
      </w:r>
      <w:r w:rsidRPr="001E4C00">
        <w:rPr>
          <w:lang w:val="fr-FR"/>
        </w:rPr>
        <w:t>Ukraine a adopté une résolution en vertu de laquelle les fonctions de l</w:t>
      </w:r>
      <w:r w:rsidR="008F70DE" w:rsidRPr="001E4C00">
        <w:rPr>
          <w:lang w:val="fr-FR"/>
        </w:rPr>
        <w:t>’</w:t>
      </w:r>
      <w:r w:rsidRPr="001E4C00">
        <w:rPr>
          <w:lang w:val="fr-FR"/>
        </w:rPr>
        <w:t>Office national de la propriété intellectuelle ont été transférées de l</w:t>
      </w:r>
      <w:r w:rsidR="008F70DE" w:rsidRPr="001E4C00">
        <w:rPr>
          <w:lang w:val="fr-FR"/>
        </w:rPr>
        <w:t>’</w:t>
      </w:r>
      <w:proofErr w:type="spellStart"/>
      <w:r w:rsidRPr="001E4C00">
        <w:rPr>
          <w:lang w:val="fr-FR"/>
        </w:rPr>
        <w:t>Ukrpatent</w:t>
      </w:r>
      <w:proofErr w:type="spellEnd"/>
      <w:r w:rsidRPr="001E4C00">
        <w:rPr>
          <w:lang w:val="fr-FR"/>
        </w:rPr>
        <w:t xml:space="preserve"> à l</w:t>
      </w:r>
      <w:r w:rsidR="008F70DE" w:rsidRPr="001E4C00">
        <w:rPr>
          <w:lang w:val="fr-FR"/>
        </w:rPr>
        <w:t>’</w:t>
      </w:r>
      <w:r w:rsidRPr="001E4C00">
        <w:rPr>
          <w:lang w:val="fr-FR"/>
        </w:rPr>
        <w:t xml:space="preserve">UANIPIO, alors récemment créée, </w:t>
      </w:r>
      <w:r w:rsidR="008F70DE" w:rsidRPr="001E4C00">
        <w:rPr>
          <w:lang w:val="fr-FR"/>
        </w:rPr>
        <w:t>y compris</w:t>
      </w:r>
      <w:r w:rsidRPr="001E4C00">
        <w:rPr>
          <w:lang w:val="fr-FR"/>
        </w:rPr>
        <w:t xml:space="preserve"> tous les examinateurs, les systèmes informatiques et autres installations et compétences de l</w:t>
      </w:r>
      <w:r w:rsidR="008F70DE" w:rsidRPr="001E4C00">
        <w:rPr>
          <w:lang w:val="fr-FR"/>
        </w:rPr>
        <w:t>’</w:t>
      </w:r>
      <w:proofErr w:type="spellStart"/>
      <w:r w:rsidRPr="001E4C00">
        <w:rPr>
          <w:lang w:val="fr-FR"/>
        </w:rPr>
        <w:t>Ukrpate</w:t>
      </w:r>
      <w:r w:rsidR="00783939" w:rsidRPr="001E4C00">
        <w:rPr>
          <w:lang w:val="fr-FR"/>
        </w:rPr>
        <w:t>nt</w:t>
      </w:r>
      <w:proofErr w:type="spellEnd"/>
      <w:r w:rsidR="00783939" w:rsidRPr="001E4C00">
        <w:rPr>
          <w:lang w:val="fr-FR"/>
        </w:rPr>
        <w:t>.  Co</w:t>
      </w:r>
      <w:r w:rsidRPr="001E4C00">
        <w:rPr>
          <w:lang w:val="fr-FR"/>
        </w:rPr>
        <w:t>nformément à la résolution et aux transferts correspondants, l</w:t>
      </w:r>
      <w:r w:rsidR="008F70DE" w:rsidRPr="001E4C00">
        <w:rPr>
          <w:lang w:val="fr-FR"/>
        </w:rPr>
        <w:t>’</w:t>
      </w:r>
      <w:r w:rsidRPr="001E4C00">
        <w:rPr>
          <w:lang w:val="fr-FR"/>
        </w:rPr>
        <w:t>UANIPIO a assumé les tâches de l</w:t>
      </w:r>
      <w:r w:rsidR="008F70DE" w:rsidRPr="001E4C00">
        <w:rPr>
          <w:lang w:val="fr-FR"/>
        </w:rPr>
        <w:t>’</w:t>
      </w:r>
      <w:r w:rsidRPr="001E4C00">
        <w:rPr>
          <w:lang w:val="fr-FR"/>
        </w:rPr>
        <w:t>Office national de la propriété intellectuelle sous la supervision du Ministère de l</w:t>
      </w:r>
      <w:r w:rsidR="008F70DE" w:rsidRPr="001E4C00">
        <w:rPr>
          <w:lang w:val="fr-FR"/>
        </w:rPr>
        <w:t>’</w:t>
      </w:r>
      <w:r w:rsidRPr="001E4C00">
        <w:rPr>
          <w:lang w:val="fr-FR"/>
        </w:rPr>
        <w:t>économie de l</w:t>
      </w:r>
      <w:r w:rsidR="008F70DE" w:rsidRPr="001E4C00">
        <w:rPr>
          <w:lang w:val="fr-FR"/>
        </w:rPr>
        <w:t>’</w:t>
      </w:r>
      <w:r w:rsidRPr="001E4C00">
        <w:rPr>
          <w:lang w:val="fr-FR"/>
        </w:rPr>
        <w:t>Ukrai</w:t>
      </w:r>
      <w:r w:rsidR="00783939" w:rsidRPr="001E4C00">
        <w:rPr>
          <w:lang w:val="fr-FR"/>
        </w:rPr>
        <w:t>ne.  En</w:t>
      </w:r>
      <w:r w:rsidRPr="001E4C00">
        <w:rPr>
          <w:lang w:val="fr-FR"/>
        </w:rPr>
        <w:t>tre le 22 novembre et janvier 2023, les réformes institutionnelles en Ukraine ont été finalisées.</w:t>
      </w:r>
    </w:p>
    <w:p w:rsidR="008F70DE" w:rsidRPr="001E4C00" w:rsidRDefault="001957C8" w:rsidP="00B96384">
      <w:pPr>
        <w:pStyle w:val="Heading3"/>
        <w:ind w:left="1985" w:hanging="851"/>
        <w:rPr>
          <w:u w:val="single"/>
          <w:lang w:val="fr-FR"/>
        </w:rPr>
      </w:pPr>
      <w:r w:rsidRPr="001E4C00">
        <w:rPr>
          <w:lang w:val="fr-FR"/>
        </w:rPr>
        <w:t>3.3.2.</w:t>
      </w:r>
      <w:r w:rsidRPr="001E4C00">
        <w:rPr>
          <w:lang w:val="fr-FR"/>
        </w:rPr>
        <w:tab/>
      </w:r>
      <w:r w:rsidRPr="001E4C00">
        <w:rPr>
          <w:u w:val="single"/>
          <w:lang w:val="fr-FR"/>
        </w:rPr>
        <w:t xml:space="preserve">Consultations avec le Ministère </w:t>
      </w:r>
      <w:r w:rsidR="00D017E8" w:rsidRPr="001E4C00">
        <w:rPr>
          <w:u w:val="single"/>
          <w:lang w:val="fr-FR"/>
        </w:rPr>
        <w:t xml:space="preserve">ukrainien </w:t>
      </w:r>
      <w:r w:rsidRPr="001E4C00">
        <w:rPr>
          <w:u w:val="single"/>
          <w:lang w:val="fr-FR"/>
        </w:rPr>
        <w:t>de l</w:t>
      </w:r>
      <w:r w:rsidR="008F70DE" w:rsidRPr="001E4C00">
        <w:rPr>
          <w:u w:val="single"/>
          <w:lang w:val="fr-FR"/>
        </w:rPr>
        <w:t>’</w:t>
      </w:r>
      <w:r w:rsidRPr="001E4C00">
        <w:rPr>
          <w:u w:val="single"/>
          <w:lang w:val="fr-FR"/>
        </w:rPr>
        <w:t>économie</w:t>
      </w:r>
    </w:p>
    <w:p w:rsidR="001957C8" w:rsidRPr="001E4C00" w:rsidRDefault="001957C8" w:rsidP="007115E7">
      <w:pPr>
        <w:pStyle w:val="ONUMFS"/>
        <w:rPr>
          <w:lang w:val="fr-FR"/>
        </w:rPr>
      </w:pPr>
      <w:r w:rsidRPr="001E4C00">
        <w:rPr>
          <w:lang w:val="fr-FR"/>
        </w:rPr>
        <w:t>Suite à la décision des États membres concernant l</w:t>
      </w:r>
      <w:r w:rsidR="008F70DE" w:rsidRPr="001E4C00">
        <w:rPr>
          <w:lang w:val="fr-FR"/>
        </w:rPr>
        <w:t>’</w:t>
      </w:r>
      <w:r w:rsidRPr="001E4C00">
        <w:rPr>
          <w:lang w:val="fr-FR"/>
        </w:rPr>
        <w:t xml:space="preserve">assistance et </w:t>
      </w:r>
      <w:r w:rsidR="00D017E8" w:rsidRPr="001E4C00">
        <w:rPr>
          <w:lang w:val="fr-FR"/>
        </w:rPr>
        <w:t>l</w:t>
      </w:r>
      <w:r w:rsidR="008F70DE" w:rsidRPr="001E4C00">
        <w:rPr>
          <w:lang w:val="fr-FR"/>
        </w:rPr>
        <w:t>’</w:t>
      </w:r>
      <w:r w:rsidR="00D017E8" w:rsidRPr="001E4C00">
        <w:rPr>
          <w:lang w:val="fr-FR"/>
        </w:rPr>
        <w:t>appui</w:t>
      </w:r>
      <w:r w:rsidRPr="001E4C00">
        <w:rPr>
          <w:lang w:val="fr-FR"/>
        </w:rPr>
        <w:t xml:space="preserve"> au secteur de l</w:t>
      </w:r>
      <w:r w:rsidR="008F70DE" w:rsidRPr="001E4C00">
        <w:rPr>
          <w:lang w:val="fr-FR"/>
        </w:rPr>
        <w:t>’</w:t>
      </w:r>
      <w:r w:rsidRPr="001E4C00">
        <w:rPr>
          <w:lang w:val="fr-FR"/>
        </w:rPr>
        <w:t>innovation et de la créativité et au système de propriété intellectuelle de l</w:t>
      </w:r>
      <w:r w:rsidR="008F70DE" w:rsidRPr="001E4C00">
        <w:rPr>
          <w:lang w:val="fr-FR"/>
        </w:rPr>
        <w:t>’</w:t>
      </w:r>
      <w:r w:rsidRPr="001E4C00">
        <w:rPr>
          <w:lang w:val="fr-FR"/>
        </w:rPr>
        <w:t xml:space="preserve">Ukraine, le Bureau international a </w:t>
      </w:r>
      <w:r w:rsidR="00D017E8" w:rsidRPr="001E4C00">
        <w:rPr>
          <w:lang w:val="fr-FR"/>
        </w:rPr>
        <w:t>collaboré</w:t>
      </w:r>
      <w:r w:rsidRPr="001E4C00">
        <w:rPr>
          <w:lang w:val="fr-FR"/>
        </w:rPr>
        <w:t xml:space="preserve"> </w:t>
      </w:r>
      <w:r w:rsidR="00D017E8" w:rsidRPr="001E4C00">
        <w:rPr>
          <w:lang w:val="fr-FR"/>
        </w:rPr>
        <w:t xml:space="preserve">étroitement </w:t>
      </w:r>
      <w:r w:rsidRPr="001E4C00">
        <w:rPr>
          <w:lang w:val="fr-FR"/>
        </w:rPr>
        <w:t>avec le Ministère de l</w:t>
      </w:r>
      <w:r w:rsidR="008F70DE" w:rsidRPr="001E4C00">
        <w:rPr>
          <w:lang w:val="fr-FR"/>
        </w:rPr>
        <w:t>’</w:t>
      </w:r>
      <w:r w:rsidRPr="001E4C00">
        <w:rPr>
          <w:lang w:val="fr-FR"/>
        </w:rPr>
        <w:t>économie ukrainien, en particulier avec le département des investissements, de l</w:t>
      </w:r>
      <w:r w:rsidR="008F70DE" w:rsidRPr="001E4C00">
        <w:rPr>
          <w:lang w:val="fr-FR"/>
        </w:rPr>
        <w:t>’</w:t>
      </w:r>
      <w:r w:rsidRPr="001E4C00">
        <w:rPr>
          <w:lang w:val="fr-FR"/>
        </w:rPr>
        <w:t>innovation et de la propriété intellectuel</w:t>
      </w:r>
      <w:r w:rsidR="00783939" w:rsidRPr="001E4C00">
        <w:rPr>
          <w:lang w:val="fr-FR"/>
        </w:rPr>
        <w:t>le.  Le</w:t>
      </w:r>
      <w:r w:rsidRPr="001E4C00">
        <w:rPr>
          <w:lang w:val="fr-FR"/>
        </w:rPr>
        <w:t xml:space="preserve"> Bureau international a organisé au moins six réunions, à différents niveaux, avec des représentants du Ministère de l</w:t>
      </w:r>
      <w:r w:rsidR="008F70DE" w:rsidRPr="001E4C00">
        <w:rPr>
          <w:lang w:val="fr-FR"/>
        </w:rPr>
        <w:t>’</w:t>
      </w:r>
      <w:r w:rsidRPr="001E4C00">
        <w:rPr>
          <w:lang w:val="fr-FR"/>
        </w:rPr>
        <w:t>économie.</w:t>
      </w:r>
    </w:p>
    <w:p w:rsidR="001957C8" w:rsidRPr="001E4C00" w:rsidRDefault="001957C8" w:rsidP="007115E7">
      <w:pPr>
        <w:pStyle w:val="ONUMFS"/>
        <w:rPr>
          <w:lang w:val="fr-FR"/>
        </w:rPr>
      </w:pPr>
      <w:r w:rsidRPr="001E4C00">
        <w:rPr>
          <w:lang w:val="fr-FR"/>
        </w:rPr>
        <w:t>Le 4 novembre 2022, une réunion en ligne a été organisée avec S.E.</w:t>
      </w:r>
      <w:r w:rsidR="00783939" w:rsidRPr="001E4C00">
        <w:rPr>
          <w:lang w:val="fr-FR"/>
        </w:rPr>
        <w:t> </w:t>
      </w:r>
      <w:r w:rsidRPr="001E4C00">
        <w:rPr>
          <w:lang w:val="fr-FR"/>
        </w:rPr>
        <w:t>M. </w:t>
      </w:r>
      <w:proofErr w:type="spellStart"/>
      <w:r w:rsidRPr="001E4C00">
        <w:rPr>
          <w:lang w:val="fr-FR"/>
        </w:rPr>
        <w:t>Oleksandr</w:t>
      </w:r>
      <w:proofErr w:type="spellEnd"/>
      <w:r w:rsidRPr="001E4C00">
        <w:rPr>
          <w:lang w:val="fr-FR"/>
        </w:rPr>
        <w:t xml:space="preserve"> </w:t>
      </w:r>
      <w:proofErr w:type="spellStart"/>
      <w:r w:rsidRPr="001E4C00">
        <w:rPr>
          <w:lang w:val="fr-FR"/>
        </w:rPr>
        <w:t>Gryban</w:t>
      </w:r>
      <w:proofErr w:type="spellEnd"/>
      <w:r w:rsidRPr="001E4C00">
        <w:rPr>
          <w:lang w:val="fr-FR"/>
        </w:rPr>
        <w:t>, vice</w:t>
      </w:r>
      <w:r w:rsidR="0091158D">
        <w:rPr>
          <w:lang w:val="fr-FR"/>
        </w:rPr>
        <w:noBreakHyphen/>
      </w:r>
      <w:r w:rsidRPr="001E4C00">
        <w:rPr>
          <w:lang w:val="fr-FR"/>
        </w:rPr>
        <w:t xml:space="preserve">ministre </w:t>
      </w:r>
      <w:r w:rsidR="00D017E8" w:rsidRPr="001E4C00">
        <w:rPr>
          <w:lang w:val="fr-FR"/>
        </w:rPr>
        <w:t xml:space="preserve">ukrainien </w:t>
      </w:r>
      <w:r w:rsidRPr="001E4C00">
        <w:rPr>
          <w:lang w:val="fr-FR"/>
        </w:rPr>
        <w:t>de l</w:t>
      </w:r>
      <w:r w:rsidR="008F70DE" w:rsidRPr="001E4C00">
        <w:rPr>
          <w:lang w:val="fr-FR"/>
        </w:rPr>
        <w:t>’</w:t>
      </w:r>
      <w:r w:rsidR="00D017E8" w:rsidRPr="001E4C00">
        <w:rPr>
          <w:lang w:val="fr-FR"/>
        </w:rPr>
        <w:t>é</w:t>
      </w:r>
      <w:r w:rsidRPr="001E4C00">
        <w:rPr>
          <w:lang w:val="fr-FR"/>
        </w:rPr>
        <w:t>conomie, afin d</w:t>
      </w:r>
      <w:r w:rsidR="008F70DE" w:rsidRPr="001E4C00">
        <w:rPr>
          <w:lang w:val="fr-FR"/>
        </w:rPr>
        <w:t>’</w:t>
      </w:r>
      <w:r w:rsidRPr="001E4C00">
        <w:rPr>
          <w:lang w:val="fr-FR"/>
        </w:rPr>
        <w:t xml:space="preserve">examiner les étapes ultérieures </w:t>
      </w:r>
      <w:r w:rsidR="00D017E8" w:rsidRPr="001E4C00">
        <w:rPr>
          <w:lang w:val="fr-FR"/>
        </w:rPr>
        <w:t>de</w:t>
      </w:r>
      <w:r w:rsidRPr="001E4C00">
        <w:rPr>
          <w:lang w:val="fr-FR"/>
        </w:rPr>
        <w:t xml:space="preserve"> la mise en œuvre de la décision des États membres de l</w:t>
      </w:r>
      <w:r w:rsidR="008F70DE" w:rsidRPr="001E4C00">
        <w:rPr>
          <w:lang w:val="fr-FR"/>
        </w:rPr>
        <w:t>’</w:t>
      </w:r>
      <w:r w:rsidRPr="001E4C00">
        <w:rPr>
          <w:lang w:val="fr-FR"/>
        </w:rPr>
        <w:t>OMPI relative à l</w:t>
      </w:r>
      <w:r w:rsidR="008F70DE" w:rsidRPr="001E4C00">
        <w:rPr>
          <w:lang w:val="fr-FR"/>
        </w:rPr>
        <w:t>’</w:t>
      </w:r>
      <w:r w:rsidRPr="001E4C00">
        <w:rPr>
          <w:lang w:val="fr-FR"/>
        </w:rPr>
        <w:t xml:space="preserve">assistance et </w:t>
      </w:r>
      <w:r w:rsidR="00D017E8" w:rsidRPr="001E4C00">
        <w:rPr>
          <w:lang w:val="fr-FR"/>
        </w:rPr>
        <w:t>à l</w:t>
      </w:r>
      <w:r w:rsidR="008F70DE" w:rsidRPr="001E4C00">
        <w:rPr>
          <w:lang w:val="fr-FR"/>
        </w:rPr>
        <w:t>’</w:t>
      </w:r>
      <w:r w:rsidR="00D017E8" w:rsidRPr="001E4C00">
        <w:rPr>
          <w:lang w:val="fr-FR"/>
        </w:rPr>
        <w:t>appui</w:t>
      </w:r>
      <w:r w:rsidRPr="001E4C00">
        <w:rPr>
          <w:lang w:val="fr-FR"/>
        </w:rPr>
        <w:t xml:space="preserve"> au secteur de l</w:t>
      </w:r>
      <w:r w:rsidR="008F70DE" w:rsidRPr="001E4C00">
        <w:rPr>
          <w:lang w:val="fr-FR"/>
        </w:rPr>
        <w:t>’</w:t>
      </w:r>
      <w:r w:rsidRPr="001E4C00">
        <w:rPr>
          <w:lang w:val="fr-FR"/>
        </w:rPr>
        <w:t>innovation et de la créativité et au système de propriété intellectuelle de l</w:t>
      </w:r>
      <w:r w:rsidR="008F70DE" w:rsidRPr="001E4C00">
        <w:rPr>
          <w:lang w:val="fr-FR"/>
        </w:rPr>
        <w:t>’</w:t>
      </w:r>
      <w:r w:rsidRPr="001E4C00">
        <w:rPr>
          <w:lang w:val="fr-FR"/>
        </w:rPr>
        <w:t>Ukraine, en particulier</w:t>
      </w:r>
      <w:r w:rsidR="008F70DE" w:rsidRPr="001E4C00">
        <w:rPr>
          <w:lang w:val="fr-FR"/>
        </w:rPr>
        <w:t> :</w:t>
      </w:r>
    </w:p>
    <w:p w:rsidR="001957C8" w:rsidRPr="001E4C00" w:rsidRDefault="00A25FE5" w:rsidP="00A25FE5">
      <w:pPr>
        <w:pStyle w:val="ListParagraph"/>
        <w:numPr>
          <w:ilvl w:val="0"/>
          <w:numId w:val="35"/>
        </w:numPr>
        <w:tabs>
          <w:tab w:val="left" w:pos="1134"/>
        </w:tabs>
        <w:ind w:left="1134" w:hanging="567"/>
        <w:rPr>
          <w:rFonts w:ascii="Arial" w:hAnsi="Arial" w:cs="Arial"/>
          <w:sz w:val="22"/>
          <w:szCs w:val="22"/>
        </w:rPr>
      </w:pPr>
      <w:proofErr w:type="gramStart"/>
      <w:r w:rsidRPr="001E4C00">
        <w:rPr>
          <w:rFonts w:ascii="Arial" w:hAnsi="Arial" w:cs="Arial"/>
          <w:sz w:val="22"/>
          <w:szCs w:val="22"/>
        </w:rPr>
        <w:t>u</w:t>
      </w:r>
      <w:r w:rsidR="001957C8" w:rsidRPr="001E4C00">
        <w:rPr>
          <w:rFonts w:ascii="Arial" w:hAnsi="Arial" w:cs="Arial"/>
          <w:sz w:val="22"/>
          <w:szCs w:val="22"/>
        </w:rPr>
        <w:t>ne</w:t>
      </w:r>
      <w:proofErr w:type="gramEnd"/>
      <w:r w:rsidR="001957C8" w:rsidRPr="001E4C00">
        <w:rPr>
          <w:rFonts w:ascii="Arial" w:hAnsi="Arial" w:cs="Arial"/>
          <w:sz w:val="22"/>
          <w:szCs w:val="22"/>
        </w:rPr>
        <w:t xml:space="preserve"> mise à jour de la situation actuelle dans le domaine de la propriété intellectuelle en Ukraine;</w:t>
      </w:r>
    </w:p>
    <w:p w:rsidR="001957C8" w:rsidRPr="001E4C00" w:rsidRDefault="00A25FE5" w:rsidP="00A25FE5">
      <w:pPr>
        <w:pStyle w:val="ListParagraph"/>
        <w:numPr>
          <w:ilvl w:val="0"/>
          <w:numId w:val="35"/>
        </w:numPr>
        <w:tabs>
          <w:tab w:val="left" w:pos="1134"/>
        </w:tabs>
        <w:ind w:left="1134" w:hanging="567"/>
        <w:rPr>
          <w:rFonts w:ascii="Arial" w:hAnsi="Arial" w:cs="Arial"/>
          <w:sz w:val="22"/>
          <w:szCs w:val="22"/>
        </w:rPr>
      </w:pPr>
      <w:proofErr w:type="gramStart"/>
      <w:r w:rsidRPr="001E4C00">
        <w:rPr>
          <w:rFonts w:ascii="Arial" w:hAnsi="Arial" w:cs="Arial"/>
          <w:sz w:val="22"/>
          <w:szCs w:val="22"/>
        </w:rPr>
        <w:t>u</w:t>
      </w:r>
      <w:r w:rsidR="001957C8" w:rsidRPr="001E4C00">
        <w:rPr>
          <w:rFonts w:ascii="Arial" w:hAnsi="Arial" w:cs="Arial"/>
          <w:sz w:val="22"/>
          <w:szCs w:val="22"/>
        </w:rPr>
        <w:t>ne</w:t>
      </w:r>
      <w:proofErr w:type="gramEnd"/>
      <w:r w:rsidR="001957C8" w:rsidRPr="001E4C00">
        <w:rPr>
          <w:rFonts w:ascii="Arial" w:hAnsi="Arial" w:cs="Arial"/>
          <w:sz w:val="22"/>
          <w:szCs w:val="22"/>
        </w:rPr>
        <w:t xml:space="preserve"> approche de la méthode d</w:t>
      </w:r>
      <w:r w:rsidR="008F70DE" w:rsidRPr="001E4C00">
        <w:rPr>
          <w:rFonts w:ascii="Arial" w:hAnsi="Arial" w:cs="Arial"/>
          <w:sz w:val="22"/>
          <w:szCs w:val="22"/>
        </w:rPr>
        <w:t>’</w:t>
      </w:r>
      <w:r w:rsidR="001957C8" w:rsidRPr="001E4C00">
        <w:rPr>
          <w:rFonts w:ascii="Arial" w:hAnsi="Arial" w:cs="Arial"/>
          <w:sz w:val="22"/>
          <w:szCs w:val="22"/>
        </w:rPr>
        <w:t>évaluation et de sélection des consultants pertinents pour la collecte d</w:t>
      </w:r>
      <w:r w:rsidR="008F70DE" w:rsidRPr="001E4C00">
        <w:rPr>
          <w:rFonts w:ascii="Arial" w:hAnsi="Arial" w:cs="Arial"/>
          <w:sz w:val="22"/>
          <w:szCs w:val="22"/>
        </w:rPr>
        <w:t>’</w:t>
      </w:r>
      <w:r w:rsidR="001957C8" w:rsidRPr="001E4C00">
        <w:rPr>
          <w:rFonts w:ascii="Arial" w:hAnsi="Arial" w:cs="Arial"/>
          <w:sz w:val="22"/>
          <w:szCs w:val="22"/>
        </w:rPr>
        <w:t>informations sur l</w:t>
      </w:r>
      <w:r w:rsidR="008F70DE" w:rsidRPr="001E4C00">
        <w:rPr>
          <w:rFonts w:ascii="Arial" w:hAnsi="Arial" w:cs="Arial"/>
          <w:sz w:val="22"/>
          <w:szCs w:val="22"/>
        </w:rPr>
        <w:t>’</w:t>
      </w:r>
      <w:r w:rsidR="001957C8" w:rsidRPr="001E4C00">
        <w:rPr>
          <w:rFonts w:ascii="Arial" w:hAnsi="Arial" w:cs="Arial"/>
          <w:sz w:val="22"/>
          <w:szCs w:val="22"/>
        </w:rPr>
        <w:t>incidence de la guerre sur le secteur de l</w:t>
      </w:r>
      <w:r w:rsidR="008F70DE" w:rsidRPr="001E4C00">
        <w:rPr>
          <w:rFonts w:ascii="Arial" w:hAnsi="Arial" w:cs="Arial"/>
          <w:sz w:val="22"/>
          <w:szCs w:val="22"/>
        </w:rPr>
        <w:t>’</w:t>
      </w:r>
      <w:r w:rsidR="001957C8" w:rsidRPr="001E4C00">
        <w:rPr>
          <w:rFonts w:ascii="Arial" w:hAnsi="Arial" w:cs="Arial"/>
          <w:sz w:val="22"/>
          <w:szCs w:val="22"/>
        </w:rPr>
        <w:t>innovation et de la créativité et sur le système de la propriété intellectuelle;</w:t>
      </w:r>
    </w:p>
    <w:p w:rsidR="001957C8" w:rsidRPr="001E4C00" w:rsidRDefault="00A25FE5" w:rsidP="00A25FE5">
      <w:pPr>
        <w:pStyle w:val="ListParagraph"/>
        <w:numPr>
          <w:ilvl w:val="0"/>
          <w:numId w:val="35"/>
        </w:numPr>
        <w:tabs>
          <w:tab w:val="left" w:pos="1134"/>
        </w:tabs>
        <w:ind w:left="1134" w:hanging="567"/>
        <w:rPr>
          <w:rFonts w:ascii="Arial" w:hAnsi="Arial" w:cs="Arial"/>
          <w:sz w:val="22"/>
          <w:szCs w:val="22"/>
        </w:rPr>
      </w:pPr>
      <w:proofErr w:type="gramStart"/>
      <w:r w:rsidRPr="001E4C00">
        <w:rPr>
          <w:rFonts w:ascii="Arial" w:hAnsi="Arial" w:cs="Arial"/>
          <w:sz w:val="22"/>
          <w:szCs w:val="22"/>
        </w:rPr>
        <w:t>d</w:t>
      </w:r>
      <w:r w:rsidR="001957C8" w:rsidRPr="001E4C00">
        <w:rPr>
          <w:rFonts w:ascii="Arial" w:hAnsi="Arial" w:cs="Arial"/>
          <w:sz w:val="22"/>
          <w:szCs w:val="22"/>
        </w:rPr>
        <w:t>es</w:t>
      </w:r>
      <w:proofErr w:type="gramEnd"/>
      <w:r w:rsidR="001957C8" w:rsidRPr="001E4C00">
        <w:rPr>
          <w:rFonts w:ascii="Arial" w:hAnsi="Arial" w:cs="Arial"/>
          <w:sz w:val="22"/>
          <w:szCs w:val="22"/>
        </w:rPr>
        <w:t xml:space="preserve"> conseils en matière de législation sur le droit d</w:t>
      </w:r>
      <w:r w:rsidR="008F70DE" w:rsidRPr="001E4C00">
        <w:rPr>
          <w:rFonts w:ascii="Arial" w:hAnsi="Arial" w:cs="Arial"/>
          <w:sz w:val="22"/>
          <w:szCs w:val="22"/>
        </w:rPr>
        <w:t>’</w:t>
      </w:r>
      <w:r w:rsidR="001957C8" w:rsidRPr="001E4C00">
        <w:rPr>
          <w:rFonts w:ascii="Arial" w:hAnsi="Arial" w:cs="Arial"/>
          <w:sz w:val="22"/>
          <w:szCs w:val="22"/>
        </w:rPr>
        <w:t>auteur;</w:t>
      </w:r>
    </w:p>
    <w:p w:rsidR="001957C8" w:rsidRPr="001E4C00" w:rsidRDefault="00A25FE5" w:rsidP="00A25FE5">
      <w:pPr>
        <w:pStyle w:val="ListParagraph"/>
        <w:numPr>
          <w:ilvl w:val="0"/>
          <w:numId w:val="35"/>
        </w:numPr>
        <w:tabs>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a</w:t>
      </w:r>
      <w:proofErr w:type="gramEnd"/>
      <w:r w:rsidR="001957C8" w:rsidRPr="001E4C00">
        <w:rPr>
          <w:rFonts w:ascii="Arial" w:hAnsi="Arial" w:cs="Arial"/>
          <w:sz w:val="22"/>
          <w:szCs w:val="22"/>
        </w:rPr>
        <w:t xml:space="preserve"> fourniture d</w:t>
      </w:r>
      <w:r w:rsidR="008F70DE" w:rsidRPr="001E4C00">
        <w:rPr>
          <w:rFonts w:ascii="Arial" w:hAnsi="Arial" w:cs="Arial"/>
          <w:sz w:val="22"/>
          <w:szCs w:val="22"/>
        </w:rPr>
        <w:t>’</w:t>
      </w:r>
      <w:r w:rsidR="001957C8" w:rsidRPr="001E4C00">
        <w:rPr>
          <w:rFonts w:ascii="Arial" w:hAnsi="Arial" w:cs="Arial"/>
          <w:sz w:val="22"/>
          <w:szCs w:val="22"/>
        </w:rPr>
        <w:t>une expertise internationale et d</w:t>
      </w:r>
      <w:r w:rsidR="008F70DE" w:rsidRPr="001E4C00">
        <w:rPr>
          <w:rFonts w:ascii="Arial" w:hAnsi="Arial" w:cs="Arial"/>
          <w:sz w:val="22"/>
          <w:szCs w:val="22"/>
        </w:rPr>
        <w:t>’</w:t>
      </w:r>
      <w:r w:rsidR="001957C8" w:rsidRPr="001E4C00">
        <w:rPr>
          <w:rFonts w:ascii="Arial" w:hAnsi="Arial" w:cs="Arial"/>
          <w:sz w:val="22"/>
          <w:szCs w:val="22"/>
        </w:rPr>
        <w:t>un soutien pour le maintien des fonctions de l</w:t>
      </w:r>
      <w:r w:rsidR="008F70DE" w:rsidRPr="001E4C00">
        <w:rPr>
          <w:rFonts w:ascii="Arial" w:hAnsi="Arial" w:cs="Arial"/>
          <w:sz w:val="22"/>
          <w:szCs w:val="22"/>
        </w:rPr>
        <w:t>’</w:t>
      </w:r>
      <w:r w:rsidR="001957C8" w:rsidRPr="001E4C00">
        <w:rPr>
          <w:rFonts w:ascii="Arial" w:hAnsi="Arial" w:cs="Arial"/>
          <w:sz w:val="22"/>
          <w:szCs w:val="22"/>
        </w:rPr>
        <w:t>office de la propriété intellectuelle;</w:t>
      </w:r>
    </w:p>
    <w:p w:rsidR="001957C8" w:rsidRPr="001E4C00" w:rsidRDefault="00A25FE5" w:rsidP="00A25FE5">
      <w:pPr>
        <w:pStyle w:val="ListParagraph"/>
        <w:numPr>
          <w:ilvl w:val="0"/>
          <w:numId w:val="35"/>
        </w:numPr>
        <w:tabs>
          <w:tab w:val="left" w:pos="1134"/>
        </w:tabs>
        <w:ind w:left="1134" w:hanging="567"/>
        <w:rPr>
          <w:rFonts w:ascii="Arial" w:hAnsi="Arial" w:cs="Arial"/>
          <w:sz w:val="22"/>
          <w:szCs w:val="22"/>
        </w:rPr>
      </w:pPr>
      <w:proofErr w:type="gramStart"/>
      <w:r w:rsidRPr="001E4C00">
        <w:rPr>
          <w:rFonts w:ascii="Arial" w:hAnsi="Arial" w:cs="Arial"/>
          <w:sz w:val="22"/>
          <w:szCs w:val="22"/>
        </w:rPr>
        <w:t>l</w:t>
      </w:r>
      <w:r w:rsidR="008F70DE" w:rsidRPr="001E4C00">
        <w:rPr>
          <w:rFonts w:ascii="Arial" w:hAnsi="Arial" w:cs="Arial"/>
          <w:sz w:val="22"/>
          <w:szCs w:val="22"/>
        </w:rPr>
        <w:t>’</w:t>
      </w:r>
      <w:r w:rsidR="001957C8" w:rsidRPr="001E4C00">
        <w:rPr>
          <w:rFonts w:ascii="Arial" w:hAnsi="Arial" w:cs="Arial"/>
          <w:sz w:val="22"/>
          <w:szCs w:val="22"/>
        </w:rPr>
        <w:t>élaboration</w:t>
      </w:r>
      <w:proofErr w:type="gramEnd"/>
      <w:r w:rsidR="001957C8" w:rsidRPr="001E4C00">
        <w:rPr>
          <w:rFonts w:ascii="Arial" w:hAnsi="Arial" w:cs="Arial"/>
          <w:sz w:val="22"/>
          <w:szCs w:val="22"/>
        </w:rPr>
        <w:t xml:space="preserve"> par l</w:t>
      </w:r>
      <w:r w:rsidR="008F70DE" w:rsidRPr="001E4C00">
        <w:rPr>
          <w:rFonts w:ascii="Arial" w:hAnsi="Arial" w:cs="Arial"/>
          <w:sz w:val="22"/>
          <w:szCs w:val="22"/>
        </w:rPr>
        <w:t>’</w:t>
      </w:r>
      <w:r w:rsidR="001957C8" w:rsidRPr="001E4C00">
        <w:rPr>
          <w:rFonts w:ascii="Arial" w:hAnsi="Arial" w:cs="Arial"/>
          <w:sz w:val="22"/>
          <w:szCs w:val="22"/>
        </w:rPr>
        <w:t>OMPI d</w:t>
      </w:r>
      <w:r w:rsidR="008F70DE" w:rsidRPr="001E4C00">
        <w:rPr>
          <w:rFonts w:ascii="Arial" w:hAnsi="Arial" w:cs="Arial"/>
          <w:sz w:val="22"/>
          <w:szCs w:val="22"/>
        </w:rPr>
        <w:t>’</w:t>
      </w:r>
      <w:r w:rsidR="001957C8" w:rsidRPr="001E4C00">
        <w:rPr>
          <w:rFonts w:ascii="Arial" w:hAnsi="Arial" w:cs="Arial"/>
          <w:sz w:val="22"/>
          <w:szCs w:val="22"/>
        </w:rPr>
        <w:t xml:space="preserve">outils destinés à </w:t>
      </w:r>
      <w:r w:rsidR="002F695E" w:rsidRPr="001E4C00">
        <w:rPr>
          <w:rFonts w:ascii="Arial" w:hAnsi="Arial" w:cs="Arial"/>
          <w:sz w:val="22"/>
          <w:szCs w:val="22"/>
        </w:rPr>
        <w:t xml:space="preserve">appuyer </w:t>
      </w:r>
      <w:r w:rsidR="001957C8" w:rsidRPr="001E4C00">
        <w:rPr>
          <w:rFonts w:ascii="Arial" w:hAnsi="Arial" w:cs="Arial"/>
          <w:sz w:val="22"/>
          <w:szCs w:val="22"/>
        </w:rPr>
        <w:t xml:space="preserve">les PME et les jeunes entreprises, </w:t>
      </w:r>
      <w:r w:rsidR="008F70DE" w:rsidRPr="001E4C00">
        <w:rPr>
          <w:rFonts w:ascii="Arial" w:hAnsi="Arial" w:cs="Arial"/>
          <w:sz w:val="22"/>
          <w:szCs w:val="22"/>
        </w:rPr>
        <w:t>y compris</w:t>
      </w:r>
      <w:r w:rsidR="001957C8" w:rsidRPr="001E4C00">
        <w:rPr>
          <w:rFonts w:ascii="Arial" w:hAnsi="Arial" w:cs="Arial"/>
          <w:sz w:val="22"/>
          <w:szCs w:val="22"/>
        </w:rPr>
        <w:t xml:space="preserve"> un cours d</w:t>
      </w:r>
      <w:r w:rsidR="008F70DE" w:rsidRPr="001E4C00">
        <w:rPr>
          <w:rFonts w:ascii="Arial" w:hAnsi="Arial" w:cs="Arial"/>
          <w:sz w:val="22"/>
          <w:szCs w:val="22"/>
        </w:rPr>
        <w:t>’</w:t>
      </w:r>
      <w:r w:rsidR="001957C8" w:rsidRPr="001E4C00">
        <w:rPr>
          <w:rFonts w:ascii="Arial" w:hAnsi="Arial" w:cs="Arial"/>
          <w:sz w:val="22"/>
          <w:szCs w:val="22"/>
        </w:rPr>
        <w:t>enseignement à distance (DL</w:t>
      </w:r>
      <w:r w:rsidR="0091158D">
        <w:rPr>
          <w:rFonts w:ascii="Arial" w:hAnsi="Arial" w:cs="Arial"/>
          <w:sz w:val="22"/>
          <w:szCs w:val="22"/>
        </w:rPr>
        <w:noBreakHyphen/>
      </w:r>
      <w:r w:rsidR="001957C8" w:rsidRPr="001E4C00">
        <w:rPr>
          <w:rFonts w:ascii="Arial" w:hAnsi="Arial" w:cs="Arial"/>
          <w:sz w:val="22"/>
          <w:szCs w:val="22"/>
        </w:rPr>
        <w:t>101);</w:t>
      </w:r>
    </w:p>
    <w:p w:rsidR="001957C8" w:rsidRPr="001E4C00" w:rsidRDefault="00A25FE5" w:rsidP="00A25FE5">
      <w:pPr>
        <w:pStyle w:val="ListParagraph"/>
        <w:numPr>
          <w:ilvl w:val="0"/>
          <w:numId w:val="35"/>
        </w:numPr>
        <w:tabs>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a</w:t>
      </w:r>
      <w:proofErr w:type="gramEnd"/>
      <w:r w:rsidR="001957C8" w:rsidRPr="001E4C00">
        <w:rPr>
          <w:rFonts w:ascii="Arial" w:hAnsi="Arial" w:cs="Arial"/>
          <w:sz w:val="22"/>
          <w:szCs w:val="22"/>
        </w:rPr>
        <w:t xml:space="preserve"> participation d</w:t>
      </w:r>
      <w:r w:rsidR="008F70DE" w:rsidRPr="001E4C00">
        <w:rPr>
          <w:rFonts w:ascii="Arial" w:hAnsi="Arial" w:cs="Arial"/>
          <w:sz w:val="22"/>
          <w:szCs w:val="22"/>
        </w:rPr>
        <w:t>’</w:t>
      </w:r>
      <w:r w:rsidR="001957C8" w:rsidRPr="001E4C00">
        <w:rPr>
          <w:rFonts w:ascii="Arial" w:hAnsi="Arial" w:cs="Arial"/>
          <w:sz w:val="22"/>
          <w:szCs w:val="22"/>
        </w:rPr>
        <w:t>entrepreneur</w:t>
      </w:r>
      <w:r w:rsidR="002F695E" w:rsidRPr="001E4C00">
        <w:rPr>
          <w:rFonts w:ascii="Arial" w:hAnsi="Arial" w:cs="Arial"/>
          <w:sz w:val="22"/>
          <w:szCs w:val="22"/>
        </w:rPr>
        <w:t>e</w:t>
      </w:r>
      <w:r w:rsidR="001957C8" w:rsidRPr="001E4C00">
        <w:rPr>
          <w:rFonts w:ascii="Arial" w:hAnsi="Arial" w:cs="Arial"/>
          <w:sz w:val="22"/>
          <w:szCs w:val="22"/>
        </w:rPr>
        <w:t>s au programme de formation, de mentorat et de mise en relation de l</w:t>
      </w:r>
      <w:r w:rsidR="008F70DE" w:rsidRPr="001E4C00">
        <w:rPr>
          <w:rFonts w:ascii="Arial" w:hAnsi="Arial" w:cs="Arial"/>
          <w:sz w:val="22"/>
          <w:szCs w:val="22"/>
        </w:rPr>
        <w:t>’</w:t>
      </w:r>
      <w:r w:rsidR="001957C8" w:rsidRPr="001E4C00">
        <w:rPr>
          <w:rFonts w:ascii="Arial" w:hAnsi="Arial" w:cs="Arial"/>
          <w:sz w:val="22"/>
          <w:szCs w:val="22"/>
        </w:rPr>
        <w:t>OMPI pour les entrepreneur</w:t>
      </w:r>
      <w:r w:rsidR="002F695E" w:rsidRPr="001E4C00">
        <w:rPr>
          <w:rFonts w:ascii="Arial" w:hAnsi="Arial" w:cs="Arial"/>
          <w:sz w:val="22"/>
          <w:szCs w:val="22"/>
        </w:rPr>
        <w:t>e</w:t>
      </w:r>
      <w:r w:rsidR="001957C8" w:rsidRPr="001E4C00">
        <w:rPr>
          <w:rFonts w:ascii="Arial" w:hAnsi="Arial" w:cs="Arial"/>
          <w:sz w:val="22"/>
          <w:szCs w:val="22"/>
        </w:rPr>
        <w:t>s et les communautés locales dans les États d</w:t>
      </w:r>
      <w:r w:rsidR="008F70DE" w:rsidRPr="001E4C00">
        <w:rPr>
          <w:rFonts w:ascii="Arial" w:hAnsi="Arial" w:cs="Arial"/>
          <w:sz w:val="22"/>
          <w:szCs w:val="22"/>
        </w:rPr>
        <w:t>’</w:t>
      </w:r>
      <w:r w:rsidR="001957C8" w:rsidRPr="001E4C00">
        <w:rPr>
          <w:rFonts w:ascii="Arial" w:hAnsi="Arial" w:cs="Arial"/>
          <w:sz w:val="22"/>
          <w:szCs w:val="22"/>
        </w:rPr>
        <w:t>Europe centrale et les États baltes, l</w:t>
      </w:r>
      <w:r w:rsidR="008F70DE" w:rsidRPr="001E4C00">
        <w:rPr>
          <w:rFonts w:ascii="Arial" w:hAnsi="Arial" w:cs="Arial"/>
          <w:sz w:val="22"/>
          <w:szCs w:val="22"/>
        </w:rPr>
        <w:t>’</w:t>
      </w:r>
      <w:r w:rsidR="001957C8" w:rsidRPr="001E4C00">
        <w:rPr>
          <w:rFonts w:ascii="Arial" w:hAnsi="Arial" w:cs="Arial"/>
          <w:sz w:val="22"/>
          <w:szCs w:val="22"/>
        </w:rPr>
        <w:t>accent étant mis sur les textiles traditionnels;</w:t>
      </w:r>
    </w:p>
    <w:p w:rsidR="008A3FE2" w:rsidRPr="001E4C00" w:rsidRDefault="00A25FE5" w:rsidP="00A25FE5">
      <w:pPr>
        <w:pStyle w:val="ListParagraph"/>
        <w:numPr>
          <w:ilvl w:val="0"/>
          <w:numId w:val="35"/>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l</w:t>
      </w:r>
      <w:r w:rsidR="008F70DE" w:rsidRPr="001E4C00">
        <w:rPr>
          <w:rFonts w:ascii="Arial" w:hAnsi="Arial" w:cs="Arial"/>
          <w:sz w:val="22"/>
          <w:szCs w:val="22"/>
        </w:rPr>
        <w:t>’</w:t>
      </w:r>
      <w:r w:rsidR="001957C8" w:rsidRPr="001E4C00">
        <w:rPr>
          <w:rFonts w:ascii="Arial" w:hAnsi="Arial" w:cs="Arial"/>
          <w:sz w:val="22"/>
          <w:szCs w:val="22"/>
        </w:rPr>
        <w:t>impact</w:t>
      </w:r>
      <w:proofErr w:type="gramEnd"/>
      <w:r w:rsidR="001957C8" w:rsidRPr="001E4C00">
        <w:rPr>
          <w:rFonts w:ascii="Arial" w:hAnsi="Arial" w:cs="Arial"/>
          <w:sz w:val="22"/>
          <w:szCs w:val="22"/>
        </w:rPr>
        <w:t xml:space="preserve"> sur le réseau des CATI.</w:t>
      </w:r>
    </w:p>
    <w:p w:rsidR="001957C8" w:rsidRPr="001E4C00" w:rsidRDefault="001957C8" w:rsidP="007115E7">
      <w:pPr>
        <w:pStyle w:val="ONUMFS"/>
        <w:rPr>
          <w:lang w:val="fr-FR"/>
        </w:rPr>
      </w:pPr>
      <w:r w:rsidRPr="001E4C00">
        <w:rPr>
          <w:lang w:val="fr-FR"/>
        </w:rPr>
        <w:t>En plus de la consultation et de la communication continues avec la Mission permanente de l</w:t>
      </w:r>
      <w:r w:rsidR="008F70DE" w:rsidRPr="001E4C00">
        <w:rPr>
          <w:lang w:val="fr-FR"/>
        </w:rPr>
        <w:t>’</w:t>
      </w:r>
      <w:r w:rsidRPr="001E4C00">
        <w:rPr>
          <w:lang w:val="fr-FR"/>
        </w:rPr>
        <w:t>Ukraine à Genève, en 2023, deux réunions en ligne supplémentaires ont été organisées entre les représentants du Secrétariat et M. </w:t>
      </w:r>
      <w:proofErr w:type="spellStart"/>
      <w:r w:rsidRPr="001E4C00">
        <w:rPr>
          <w:lang w:val="fr-FR"/>
        </w:rPr>
        <w:t>Oleksandr</w:t>
      </w:r>
      <w:proofErr w:type="spellEnd"/>
      <w:r w:rsidRPr="001E4C00">
        <w:rPr>
          <w:lang w:val="fr-FR"/>
        </w:rPr>
        <w:t xml:space="preserve"> </w:t>
      </w:r>
      <w:proofErr w:type="spellStart"/>
      <w:r w:rsidRPr="001E4C00">
        <w:rPr>
          <w:lang w:val="fr-FR"/>
        </w:rPr>
        <w:t>Gryban</w:t>
      </w:r>
      <w:proofErr w:type="spellEnd"/>
      <w:r w:rsidRPr="001E4C00">
        <w:rPr>
          <w:lang w:val="fr-FR"/>
        </w:rPr>
        <w:t>, vice</w:t>
      </w:r>
      <w:r w:rsidR="0091158D">
        <w:rPr>
          <w:lang w:val="fr-FR"/>
        </w:rPr>
        <w:noBreakHyphen/>
      </w:r>
      <w:r w:rsidRPr="001E4C00">
        <w:rPr>
          <w:lang w:val="fr-FR"/>
        </w:rPr>
        <w:t xml:space="preserve">ministre </w:t>
      </w:r>
      <w:r w:rsidR="002F695E" w:rsidRPr="001E4C00">
        <w:rPr>
          <w:lang w:val="fr-FR"/>
        </w:rPr>
        <w:t xml:space="preserve">ukrainien </w:t>
      </w:r>
      <w:r w:rsidRPr="001E4C00">
        <w:rPr>
          <w:lang w:val="fr-FR"/>
        </w:rPr>
        <w:t>de l</w:t>
      </w:r>
      <w:r w:rsidR="008F70DE" w:rsidRPr="001E4C00">
        <w:rPr>
          <w:lang w:val="fr-FR"/>
        </w:rPr>
        <w:t>’</w:t>
      </w:r>
      <w:r w:rsidR="002F695E" w:rsidRPr="001E4C00">
        <w:rPr>
          <w:lang w:val="fr-FR"/>
        </w:rPr>
        <w:t>é</w:t>
      </w:r>
      <w:r w:rsidRPr="001E4C00">
        <w:rPr>
          <w:lang w:val="fr-FR"/>
        </w:rPr>
        <w:t>conomie, et Mme </w:t>
      </w:r>
      <w:proofErr w:type="spellStart"/>
      <w:r w:rsidRPr="001E4C00">
        <w:rPr>
          <w:lang w:val="fr-FR"/>
        </w:rPr>
        <w:t>Olena</w:t>
      </w:r>
      <w:proofErr w:type="spellEnd"/>
      <w:r w:rsidRPr="001E4C00">
        <w:rPr>
          <w:lang w:val="fr-FR"/>
        </w:rPr>
        <w:t xml:space="preserve"> </w:t>
      </w:r>
      <w:proofErr w:type="spellStart"/>
      <w:r w:rsidRPr="001E4C00">
        <w:rPr>
          <w:lang w:val="fr-FR"/>
        </w:rPr>
        <w:t>Orliuk</w:t>
      </w:r>
      <w:proofErr w:type="spellEnd"/>
      <w:r w:rsidRPr="001E4C00">
        <w:rPr>
          <w:lang w:val="fr-FR"/>
        </w:rPr>
        <w:t>, directrice de l</w:t>
      </w:r>
      <w:r w:rsidR="008F70DE" w:rsidRPr="001E4C00">
        <w:rPr>
          <w:lang w:val="fr-FR"/>
        </w:rPr>
        <w:t>’</w:t>
      </w:r>
      <w:r w:rsidRPr="001E4C00">
        <w:rPr>
          <w:lang w:val="fr-FR"/>
        </w:rPr>
        <w:t>UANIPIO.  À l</w:t>
      </w:r>
      <w:r w:rsidR="008F70DE" w:rsidRPr="001E4C00">
        <w:rPr>
          <w:lang w:val="fr-FR"/>
        </w:rPr>
        <w:t>’</w:t>
      </w:r>
      <w:r w:rsidRPr="001E4C00">
        <w:rPr>
          <w:lang w:val="fr-FR"/>
        </w:rPr>
        <w:t xml:space="preserve">issue de ces réunions, les participants </w:t>
      </w:r>
      <w:r w:rsidR="002F695E" w:rsidRPr="001E4C00">
        <w:rPr>
          <w:lang w:val="fr-FR"/>
        </w:rPr>
        <w:t>s</w:t>
      </w:r>
      <w:r w:rsidRPr="001E4C00">
        <w:rPr>
          <w:lang w:val="fr-FR"/>
        </w:rPr>
        <w:t>ont convenu</w:t>
      </w:r>
      <w:r w:rsidR="002F695E" w:rsidRPr="001E4C00">
        <w:rPr>
          <w:lang w:val="fr-FR"/>
        </w:rPr>
        <w:t>s</w:t>
      </w:r>
      <w:r w:rsidRPr="001E4C00">
        <w:rPr>
          <w:lang w:val="fr-FR"/>
        </w:rPr>
        <w:t xml:space="preserve"> de poursuivre les consultations avec l</w:t>
      </w:r>
      <w:r w:rsidR="008F70DE" w:rsidRPr="001E4C00">
        <w:rPr>
          <w:lang w:val="fr-FR"/>
        </w:rPr>
        <w:t>’</w:t>
      </w:r>
      <w:r w:rsidRPr="001E4C00">
        <w:rPr>
          <w:lang w:val="fr-FR"/>
        </w:rPr>
        <w:t>UANIPIO en vue de coordonner les activités de coopération bilatérale.</w:t>
      </w:r>
    </w:p>
    <w:p w:rsidR="008A3FE2" w:rsidRPr="001E4C00" w:rsidRDefault="001957C8" w:rsidP="00B96384">
      <w:pPr>
        <w:pStyle w:val="Heading3"/>
        <w:ind w:left="1985" w:hanging="851"/>
        <w:rPr>
          <w:lang w:val="fr-FR"/>
        </w:rPr>
      </w:pPr>
      <w:r w:rsidRPr="001E4C00">
        <w:rPr>
          <w:lang w:val="fr-FR"/>
        </w:rPr>
        <w:t>3.3.3.</w:t>
      </w:r>
      <w:r w:rsidRPr="001E4C00">
        <w:rPr>
          <w:lang w:val="fr-FR"/>
        </w:rPr>
        <w:tab/>
      </w:r>
      <w:r w:rsidRPr="001E4C00">
        <w:rPr>
          <w:u w:val="single"/>
          <w:lang w:val="fr-FR"/>
        </w:rPr>
        <w:t>Consultations avec l</w:t>
      </w:r>
      <w:r w:rsidR="008F70DE" w:rsidRPr="001E4C00">
        <w:rPr>
          <w:u w:val="single"/>
          <w:lang w:val="fr-FR"/>
        </w:rPr>
        <w:t>’</w:t>
      </w:r>
      <w:proofErr w:type="spellStart"/>
      <w:r w:rsidRPr="001E4C00">
        <w:rPr>
          <w:u w:val="single"/>
          <w:lang w:val="fr-FR"/>
        </w:rPr>
        <w:t>Ukrpatent</w:t>
      </w:r>
      <w:proofErr w:type="spellEnd"/>
      <w:r w:rsidRPr="001E4C00">
        <w:rPr>
          <w:u w:val="single"/>
          <w:lang w:val="fr-FR"/>
        </w:rPr>
        <w:t xml:space="preserve"> (ancien office de la propriété intellectuelle) et l</w:t>
      </w:r>
      <w:r w:rsidR="008F70DE" w:rsidRPr="001E4C00">
        <w:rPr>
          <w:u w:val="single"/>
          <w:lang w:val="fr-FR"/>
        </w:rPr>
        <w:t>’</w:t>
      </w:r>
      <w:r w:rsidRPr="001E4C00">
        <w:rPr>
          <w:u w:val="single"/>
          <w:lang w:val="fr-FR"/>
        </w:rPr>
        <w:t>UANIPIO</w:t>
      </w:r>
    </w:p>
    <w:p w:rsidR="008A3FE2" w:rsidRPr="001E4C00" w:rsidRDefault="001957C8" w:rsidP="007115E7">
      <w:pPr>
        <w:pStyle w:val="ONUMFS"/>
        <w:rPr>
          <w:lang w:val="fr-FR"/>
        </w:rPr>
      </w:pPr>
      <w:r w:rsidRPr="001E4C00">
        <w:rPr>
          <w:lang w:val="fr-FR"/>
        </w:rPr>
        <w:t xml:space="preserve">Suite aux nombreuses réunions, échanges de communications, enquêtes et collectes de données, les besoins prioritaires suivants ont été </w:t>
      </w:r>
      <w:r w:rsidR="002F695E" w:rsidRPr="001E4C00">
        <w:rPr>
          <w:lang w:val="fr-FR"/>
        </w:rPr>
        <w:t xml:space="preserve">recensés </w:t>
      </w:r>
      <w:r w:rsidRPr="001E4C00">
        <w:rPr>
          <w:lang w:val="fr-FR"/>
        </w:rPr>
        <w:t>en concertation avec l</w:t>
      </w:r>
      <w:r w:rsidR="008F70DE" w:rsidRPr="001E4C00">
        <w:rPr>
          <w:lang w:val="fr-FR"/>
        </w:rPr>
        <w:t>’</w:t>
      </w:r>
      <w:r w:rsidRPr="001E4C00">
        <w:rPr>
          <w:lang w:val="fr-FR"/>
        </w:rPr>
        <w:t>UANIPIO</w:t>
      </w:r>
      <w:r w:rsidR="008F70DE" w:rsidRPr="001E4C00">
        <w:rPr>
          <w:lang w:val="fr-FR"/>
        </w:rPr>
        <w:t> :</w:t>
      </w:r>
    </w:p>
    <w:p w:rsidR="008A3FE2" w:rsidRPr="001E4C00" w:rsidRDefault="001957C8" w:rsidP="00A25FE5">
      <w:pPr>
        <w:pStyle w:val="ONUMFS"/>
        <w:numPr>
          <w:ilvl w:val="0"/>
          <w:numId w:val="0"/>
        </w:numPr>
        <w:rPr>
          <w:rFonts w:eastAsia="Times New Roman"/>
          <w:szCs w:val="22"/>
          <w:lang w:val="fr-FR"/>
        </w:rPr>
      </w:pPr>
      <w:r w:rsidRPr="001E4C00">
        <w:rPr>
          <w:lang w:val="fr-FR"/>
        </w:rPr>
        <w:t>Priorités à court terme</w:t>
      </w:r>
      <w:r w:rsidR="008F70DE" w:rsidRPr="001E4C00">
        <w:rPr>
          <w:lang w:val="fr-FR"/>
        </w:rPr>
        <w:t> :</w:t>
      </w:r>
    </w:p>
    <w:p w:rsidR="001957C8" w:rsidRPr="001E4C00" w:rsidRDefault="00F77B9E" w:rsidP="00A25FE5">
      <w:pPr>
        <w:pStyle w:val="ListParagraph"/>
        <w:numPr>
          <w:ilvl w:val="0"/>
          <w:numId w:val="36"/>
        </w:numPr>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 xml:space="preserve">accès aux bases de données de brevets et autres, </w:t>
      </w:r>
      <w:r w:rsidR="008F70DE" w:rsidRPr="001E4C00">
        <w:rPr>
          <w:rFonts w:ascii="Arial" w:hAnsi="Arial" w:cs="Arial"/>
          <w:sz w:val="22"/>
          <w:szCs w:val="22"/>
        </w:rPr>
        <w:t>y compris</w:t>
      </w:r>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accès à l</w:t>
      </w:r>
      <w:r w:rsidR="008F70DE" w:rsidRPr="001E4C00">
        <w:rPr>
          <w:rFonts w:ascii="Arial" w:hAnsi="Arial" w:cs="Arial"/>
          <w:sz w:val="22"/>
          <w:szCs w:val="22"/>
        </w:rPr>
        <w:t>’</w:t>
      </w:r>
      <w:r w:rsidR="001957C8" w:rsidRPr="001E4C00">
        <w:rPr>
          <w:rFonts w:ascii="Arial" w:hAnsi="Arial" w:cs="Arial"/>
          <w:sz w:val="22"/>
          <w:szCs w:val="22"/>
        </w:rPr>
        <w:t>information spécialisée en matière de brevets (ASPI) et l</w:t>
      </w:r>
      <w:r w:rsidR="008F70DE" w:rsidRPr="001E4C00">
        <w:rPr>
          <w:rFonts w:ascii="Arial" w:hAnsi="Arial" w:cs="Arial"/>
          <w:sz w:val="22"/>
          <w:szCs w:val="22"/>
        </w:rPr>
        <w:t>’</w:t>
      </w:r>
      <w:r w:rsidR="001957C8" w:rsidRPr="001E4C00">
        <w:rPr>
          <w:rFonts w:ascii="Arial" w:hAnsi="Arial" w:cs="Arial"/>
          <w:sz w:val="22"/>
          <w:szCs w:val="22"/>
        </w:rPr>
        <w:t>accès élargi à Research4Life;</w:t>
      </w:r>
    </w:p>
    <w:p w:rsidR="001957C8" w:rsidRPr="001E4C00" w:rsidRDefault="00F77B9E" w:rsidP="00A25FE5">
      <w:pPr>
        <w:pStyle w:val="ListParagraph"/>
        <w:numPr>
          <w:ilvl w:val="0"/>
          <w:numId w:val="36"/>
        </w:numPr>
        <w:ind w:left="1134" w:hanging="567"/>
        <w:rPr>
          <w:rFonts w:ascii="Arial" w:hAnsi="Arial" w:cs="Arial"/>
          <w:sz w:val="22"/>
          <w:szCs w:val="22"/>
        </w:rPr>
      </w:pPr>
      <w:proofErr w:type="gramStart"/>
      <w:r w:rsidRPr="001E4C00">
        <w:rPr>
          <w:rFonts w:ascii="Arial" w:hAnsi="Arial" w:cs="Arial"/>
          <w:sz w:val="22"/>
          <w:szCs w:val="22"/>
        </w:rPr>
        <w:t>a</w:t>
      </w:r>
      <w:r w:rsidR="001957C8" w:rsidRPr="001E4C00">
        <w:rPr>
          <w:rFonts w:ascii="Arial" w:hAnsi="Arial" w:cs="Arial"/>
          <w:sz w:val="22"/>
          <w:szCs w:val="22"/>
        </w:rPr>
        <w:t>pporter</w:t>
      </w:r>
      <w:proofErr w:type="gramEnd"/>
      <w:r w:rsidR="001957C8" w:rsidRPr="001E4C00">
        <w:rPr>
          <w:rFonts w:ascii="Arial" w:hAnsi="Arial" w:cs="Arial"/>
          <w:sz w:val="22"/>
          <w:szCs w:val="22"/>
        </w:rPr>
        <w:t xml:space="preserve"> un soutien législatif en matière de droits d</w:t>
      </w:r>
      <w:r w:rsidR="008F70DE" w:rsidRPr="001E4C00">
        <w:rPr>
          <w:rFonts w:ascii="Arial" w:hAnsi="Arial" w:cs="Arial"/>
          <w:sz w:val="22"/>
          <w:szCs w:val="22"/>
        </w:rPr>
        <w:t>’</w:t>
      </w:r>
      <w:r w:rsidR="001957C8" w:rsidRPr="001E4C00">
        <w:rPr>
          <w:rFonts w:ascii="Arial" w:hAnsi="Arial" w:cs="Arial"/>
          <w:sz w:val="22"/>
          <w:szCs w:val="22"/>
        </w:rPr>
        <w:t xml:space="preserve">auteur, </w:t>
      </w:r>
      <w:r w:rsidR="008F70DE" w:rsidRPr="001E4C00">
        <w:rPr>
          <w:rFonts w:ascii="Arial" w:hAnsi="Arial" w:cs="Arial"/>
          <w:sz w:val="22"/>
          <w:szCs w:val="22"/>
        </w:rPr>
        <w:t>y compris</w:t>
      </w:r>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avis d</w:t>
      </w:r>
      <w:r w:rsidR="008F70DE" w:rsidRPr="001E4C00">
        <w:rPr>
          <w:rFonts w:ascii="Arial" w:hAnsi="Arial" w:cs="Arial"/>
          <w:sz w:val="22"/>
          <w:szCs w:val="22"/>
        </w:rPr>
        <w:t>’</w:t>
      </w:r>
      <w:r w:rsidR="001957C8" w:rsidRPr="001E4C00">
        <w:rPr>
          <w:rFonts w:ascii="Arial" w:hAnsi="Arial" w:cs="Arial"/>
          <w:sz w:val="22"/>
          <w:szCs w:val="22"/>
        </w:rPr>
        <w:t>experts et l</w:t>
      </w:r>
      <w:r w:rsidR="008F70DE" w:rsidRPr="001E4C00">
        <w:rPr>
          <w:rFonts w:ascii="Arial" w:hAnsi="Arial" w:cs="Arial"/>
          <w:sz w:val="22"/>
          <w:szCs w:val="22"/>
        </w:rPr>
        <w:t>’</w:t>
      </w:r>
      <w:r w:rsidR="001957C8" w:rsidRPr="001E4C00">
        <w:rPr>
          <w:rFonts w:ascii="Arial" w:hAnsi="Arial" w:cs="Arial"/>
          <w:sz w:val="22"/>
          <w:szCs w:val="22"/>
        </w:rPr>
        <w:t>examen de la nouvelle loi sur les droits d</w:t>
      </w:r>
      <w:r w:rsidR="008F70DE" w:rsidRPr="001E4C00">
        <w:rPr>
          <w:rFonts w:ascii="Arial" w:hAnsi="Arial" w:cs="Arial"/>
          <w:sz w:val="22"/>
          <w:szCs w:val="22"/>
        </w:rPr>
        <w:t>’</w:t>
      </w:r>
      <w:r w:rsidR="001957C8" w:rsidRPr="001E4C00">
        <w:rPr>
          <w:rFonts w:ascii="Arial" w:hAnsi="Arial" w:cs="Arial"/>
          <w:sz w:val="22"/>
          <w:szCs w:val="22"/>
        </w:rPr>
        <w:t>auteur et les droits connexes et des projets de règlements, ainsi que pour l</w:t>
      </w:r>
      <w:r w:rsidR="008F70DE" w:rsidRPr="001E4C00">
        <w:rPr>
          <w:rFonts w:ascii="Arial" w:hAnsi="Arial" w:cs="Arial"/>
          <w:sz w:val="22"/>
          <w:szCs w:val="22"/>
        </w:rPr>
        <w:t>’</w:t>
      </w:r>
      <w:r w:rsidR="001957C8" w:rsidRPr="001E4C00">
        <w:rPr>
          <w:rFonts w:ascii="Arial" w:hAnsi="Arial" w:cs="Arial"/>
          <w:sz w:val="22"/>
          <w:szCs w:val="22"/>
        </w:rPr>
        <w:t>adaptation des processus d</w:t>
      </w:r>
      <w:r w:rsidR="008F70DE" w:rsidRPr="001E4C00">
        <w:rPr>
          <w:rFonts w:ascii="Arial" w:hAnsi="Arial" w:cs="Arial"/>
          <w:sz w:val="22"/>
          <w:szCs w:val="22"/>
        </w:rPr>
        <w:t>’</w:t>
      </w:r>
      <w:r w:rsidR="001957C8" w:rsidRPr="001E4C00">
        <w:rPr>
          <w:rFonts w:ascii="Arial" w:hAnsi="Arial" w:cs="Arial"/>
          <w:sz w:val="22"/>
          <w:szCs w:val="22"/>
        </w:rPr>
        <w:t>accréditation des organisations de gestion collective;</w:t>
      </w:r>
    </w:p>
    <w:p w:rsidR="001957C8" w:rsidRPr="001E4C00" w:rsidRDefault="00F77B9E" w:rsidP="00A25FE5">
      <w:pPr>
        <w:pStyle w:val="ListParagraph"/>
        <w:numPr>
          <w:ilvl w:val="0"/>
          <w:numId w:val="36"/>
        </w:numPr>
        <w:ind w:left="1134" w:hanging="567"/>
        <w:rPr>
          <w:rFonts w:ascii="Arial" w:hAnsi="Arial" w:cs="Arial"/>
          <w:sz w:val="22"/>
          <w:szCs w:val="22"/>
        </w:rPr>
      </w:pPr>
      <w:proofErr w:type="gramStart"/>
      <w:r w:rsidRPr="001E4C00">
        <w:rPr>
          <w:rFonts w:ascii="Arial" w:hAnsi="Arial" w:cs="Arial"/>
          <w:sz w:val="22"/>
          <w:szCs w:val="22"/>
        </w:rPr>
        <w:t>a</w:t>
      </w:r>
      <w:r w:rsidR="001957C8" w:rsidRPr="001E4C00">
        <w:rPr>
          <w:rFonts w:ascii="Arial" w:hAnsi="Arial" w:cs="Arial"/>
          <w:sz w:val="22"/>
          <w:szCs w:val="22"/>
        </w:rPr>
        <w:t>pporter</w:t>
      </w:r>
      <w:proofErr w:type="gramEnd"/>
      <w:r w:rsidR="001957C8" w:rsidRPr="001E4C00">
        <w:rPr>
          <w:rFonts w:ascii="Arial" w:hAnsi="Arial" w:cs="Arial"/>
          <w:sz w:val="22"/>
          <w:szCs w:val="22"/>
        </w:rPr>
        <w:t xml:space="preserve"> un soutien à la traduction en ukrainien des guides destinés aux PME et aux jeunes entreprises de l</w:t>
      </w:r>
      <w:r w:rsidR="008F70DE" w:rsidRPr="001E4C00">
        <w:rPr>
          <w:rFonts w:ascii="Arial" w:hAnsi="Arial" w:cs="Arial"/>
          <w:sz w:val="22"/>
          <w:szCs w:val="22"/>
        </w:rPr>
        <w:t>’</w:t>
      </w:r>
      <w:r w:rsidR="001957C8" w:rsidRPr="001E4C00">
        <w:rPr>
          <w:rFonts w:ascii="Arial" w:hAnsi="Arial" w:cs="Arial"/>
          <w:sz w:val="22"/>
          <w:szCs w:val="22"/>
        </w:rPr>
        <w:t>outil de diagnostic en matière de propriété intellectuelle et du cours DL</w:t>
      </w:r>
      <w:r w:rsidR="0091158D">
        <w:rPr>
          <w:rFonts w:ascii="Arial" w:hAnsi="Arial" w:cs="Arial"/>
          <w:sz w:val="22"/>
          <w:szCs w:val="22"/>
        </w:rPr>
        <w:noBreakHyphen/>
      </w:r>
      <w:r w:rsidR="001957C8" w:rsidRPr="001E4C00">
        <w:rPr>
          <w:rFonts w:ascii="Arial" w:hAnsi="Arial" w:cs="Arial"/>
          <w:sz w:val="22"/>
          <w:szCs w:val="22"/>
        </w:rPr>
        <w:t>101;</w:t>
      </w:r>
    </w:p>
    <w:p w:rsidR="001957C8" w:rsidRPr="001E4C00" w:rsidRDefault="00F77B9E" w:rsidP="00A25FE5">
      <w:pPr>
        <w:pStyle w:val="ListParagraph"/>
        <w:numPr>
          <w:ilvl w:val="0"/>
          <w:numId w:val="36"/>
        </w:numPr>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la mise en œuvre du </w:t>
      </w:r>
      <w:r w:rsidR="002F695E" w:rsidRPr="001E4C00">
        <w:rPr>
          <w:rFonts w:ascii="Arial" w:hAnsi="Arial" w:cs="Arial"/>
          <w:sz w:val="22"/>
          <w:szCs w:val="22"/>
        </w:rPr>
        <w:t xml:space="preserve">Traité </w:t>
      </w:r>
      <w:r w:rsidR="001957C8" w:rsidRPr="001E4C00">
        <w:rPr>
          <w:rFonts w:ascii="Arial" w:hAnsi="Arial" w:cs="Arial"/>
          <w:sz w:val="22"/>
          <w:szCs w:val="22"/>
        </w:rPr>
        <w:t xml:space="preserve">de Marrakech, </w:t>
      </w:r>
      <w:r w:rsidR="008F70DE" w:rsidRPr="001E4C00">
        <w:rPr>
          <w:rFonts w:ascii="Arial" w:hAnsi="Arial" w:cs="Arial"/>
          <w:sz w:val="22"/>
          <w:szCs w:val="22"/>
        </w:rPr>
        <w:t>y compris</w:t>
      </w:r>
      <w:r w:rsidR="001957C8" w:rsidRPr="001E4C00">
        <w:rPr>
          <w:rFonts w:ascii="Arial" w:hAnsi="Arial" w:cs="Arial"/>
          <w:sz w:val="22"/>
          <w:szCs w:val="22"/>
        </w:rPr>
        <w:t xml:space="preserve"> la communication avec l</w:t>
      </w:r>
      <w:r w:rsidR="008F70DE" w:rsidRPr="001E4C00">
        <w:rPr>
          <w:rFonts w:ascii="Arial" w:hAnsi="Arial" w:cs="Arial"/>
          <w:sz w:val="22"/>
          <w:szCs w:val="22"/>
        </w:rPr>
        <w:t>’</w:t>
      </w:r>
      <w:r w:rsidR="001957C8" w:rsidRPr="001E4C00">
        <w:rPr>
          <w:rFonts w:ascii="Arial" w:hAnsi="Arial" w:cs="Arial"/>
          <w:sz w:val="22"/>
          <w:szCs w:val="22"/>
        </w:rPr>
        <w:t>Accessible Books Consortium (ABC);</w:t>
      </w:r>
    </w:p>
    <w:p w:rsidR="001957C8" w:rsidRPr="001E4C00" w:rsidRDefault="00F77B9E" w:rsidP="00A25FE5">
      <w:pPr>
        <w:pStyle w:val="ListParagraph"/>
        <w:numPr>
          <w:ilvl w:val="0"/>
          <w:numId w:val="36"/>
        </w:numPr>
        <w:ind w:left="1134" w:hanging="567"/>
        <w:rPr>
          <w:rFonts w:ascii="Arial" w:hAnsi="Arial" w:cs="Arial"/>
          <w:sz w:val="22"/>
          <w:szCs w:val="22"/>
        </w:rPr>
      </w:pPr>
      <w:proofErr w:type="gramStart"/>
      <w:r w:rsidRPr="001E4C00">
        <w:rPr>
          <w:rFonts w:ascii="Arial" w:hAnsi="Arial" w:cs="Arial"/>
          <w:sz w:val="22"/>
          <w:szCs w:val="22"/>
        </w:rPr>
        <w:t>c</w:t>
      </w:r>
      <w:r w:rsidR="001957C8" w:rsidRPr="001E4C00">
        <w:rPr>
          <w:rFonts w:ascii="Arial" w:hAnsi="Arial" w:cs="Arial"/>
          <w:sz w:val="22"/>
          <w:szCs w:val="22"/>
        </w:rPr>
        <w:t>ontinuer</w:t>
      </w:r>
      <w:proofErr w:type="gramEnd"/>
      <w:r w:rsidR="001957C8" w:rsidRPr="001E4C00">
        <w:rPr>
          <w:rFonts w:ascii="Arial" w:hAnsi="Arial" w:cs="Arial"/>
          <w:sz w:val="22"/>
          <w:szCs w:val="22"/>
        </w:rPr>
        <w:t xml:space="preserve"> à soutenir le fonctionnement de l</w:t>
      </w:r>
      <w:r w:rsidR="008F70DE" w:rsidRPr="001E4C00">
        <w:rPr>
          <w:rFonts w:ascii="Arial" w:hAnsi="Arial" w:cs="Arial"/>
          <w:sz w:val="22"/>
          <w:szCs w:val="22"/>
        </w:rPr>
        <w:t>’</w:t>
      </w:r>
      <w:r w:rsidR="001957C8" w:rsidRPr="001E4C00">
        <w:rPr>
          <w:rFonts w:ascii="Arial" w:hAnsi="Arial" w:cs="Arial"/>
          <w:sz w:val="22"/>
          <w:szCs w:val="22"/>
        </w:rPr>
        <w:t>institution nationale de formation en matière de propriété intellectuelle;</w:t>
      </w:r>
    </w:p>
    <w:p w:rsidR="001957C8" w:rsidRPr="001E4C00" w:rsidRDefault="00F77B9E" w:rsidP="00A25FE5">
      <w:pPr>
        <w:pStyle w:val="ListParagraph"/>
        <w:numPr>
          <w:ilvl w:val="0"/>
          <w:numId w:val="36"/>
        </w:numPr>
        <w:ind w:left="1134" w:hanging="567"/>
        <w:rPr>
          <w:rFonts w:ascii="Arial" w:hAnsi="Arial" w:cs="Arial"/>
          <w:sz w:val="22"/>
          <w:szCs w:val="22"/>
        </w:rPr>
      </w:pPr>
      <w:proofErr w:type="gramStart"/>
      <w:r w:rsidRPr="001E4C00">
        <w:rPr>
          <w:rFonts w:ascii="Arial" w:hAnsi="Arial" w:cs="Arial"/>
          <w:sz w:val="22"/>
          <w:szCs w:val="22"/>
        </w:rPr>
        <w:t>c</w:t>
      </w:r>
      <w:r w:rsidR="001957C8" w:rsidRPr="001E4C00">
        <w:rPr>
          <w:rFonts w:ascii="Arial" w:hAnsi="Arial" w:cs="Arial"/>
          <w:sz w:val="22"/>
          <w:szCs w:val="22"/>
        </w:rPr>
        <w:t>ontinuer</w:t>
      </w:r>
      <w:proofErr w:type="gramEnd"/>
      <w:r w:rsidR="001957C8" w:rsidRPr="001E4C00">
        <w:rPr>
          <w:rFonts w:ascii="Arial" w:hAnsi="Arial" w:cs="Arial"/>
          <w:sz w:val="22"/>
          <w:szCs w:val="22"/>
        </w:rPr>
        <w:t xml:space="preserve"> à soutenir les institutions du réseau</w:t>
      </w:r>
      <w:r w:rsidR="002F695E" w:rsidRPr="001E4C00">
        <w:rPr>
          <w:rFonts w:ascii="Arial" w:hAnsi="Arial" w:cs="Arial"/>
          <w:sz w:val="22"/>
          <w:szCs w:val="22"/>
        </w:rPr>
        <w:t xml:space="preserve"> de</w:t>
      </w:r>
      <w:r w:rsidR="001957C8" w:rsidRPr="001E4C00">
        <w:rPr>
          <w:rFonts w:ascii="Arial" w:hAnsi="Arial" w:cs="Arial"/>
          <w:sz w:val="22"/>
          <w:szCs w:val="22"/>
        </w:rPr>
        <w:t> CATI;</w:t>
      </w:r>
    </w:p>
    <w:p w:rsidR="001957C8" w:rsidRPr="001E4C00" w:rsidRDefault="00F77B9E" w:rsidP="00A25FE5">
      <w:pPr>
        <w:pStyle w:val="ListParagraph"/>
        <w:numPr>
          <w:ilvl w:val="0"/>
          <w:numId w:val="36"/>
        </w:numPr>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le développement du centre de médiation en matière de propriété intellectuelle établi à l</w:t>
      </w:r>
      <w:r w:rsidR="008F70DE" w:rsidRPr="001E4C00">
        <w:rPr>
          <w:rFonts w:ascii="Arial" w:hAnsi="Arial" w:cs="Arial"/>
          <w:sz w:val="22"/>
          <w:szCs w:val="22"/>
        </w:rPr>
        <w:t>’</w:t>
      </w:r>
      <w:r w:rsidR="001957C8" w:rsidRPr="001E4C00">
        <w:rPr>
          <w:rFonts w:ascii="Arial" w:hAnsi="Arial" w:cs="Arial"/>
          <w:sz w:val="22"/>
          <w:szCs w:val="22"/>
        </w:rPr>
        <w:t>UANIPIO;</w:t>
      </w:r>
    </w:p>
    <w:p w:rsidR="008A3FE2" w:rsidRPr="001E4C00" w:rsidRDefault="00F77B9E" w:rsidP="00A25FE5">
      <w:pPr>
        <w:pStyle w:val="ListParagraph"/>
        <w:numPr>
          <w:ilvl w:val="0"/>
          <w:numId w:val="36"/>
        </w:numPr>
        <w:spacing w:after="220"/>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attractivité de l</w:t>
      </w:r>
      <w:r w:rsidR="008F70DE" w:rsidRPr="001E4C00">
        <w:rPr>
          <w:rFonts w:ascii="Arial" w:hAnsi="Arial" w:cs="Arial"/>
          <w:sz w:val="22"/>
          <w:szCs w:val="22"/>
        </w:rPr>
        <w:t>’</w:t>
      </w:r>
      <w:r w:rsidR="001957C8" w:rsidRPr="001E4C00">
        <w:rPr>
          <w:rFonts w:ascii="Arial" w:hAnsi="Arial" w:cs="Arial"/>
          <w:sz w:val="22"/>
          <w:szCs w:val="22"/>
        </w:rPr>
        <w:t>assistance technique et des ressources internationales pour répondre aux besoins du secteur ukrainien de la propriété intellectuelle et de l</w:t>
      </w:r>
      <w:r w:rsidR="008F70DE" w:rsidRPr="001E4C00">
        <w:rPr>
          <w:rFonts w:ascii="Arial" w:hAnsi="Arial" w:cs="Arial"/>
          <w:sz w:val="22"/>
          <w:szCs w:val="22"/>
        </w:rPr>
        <w:t>’</w:t>
      </w:r>
      <w:r w:rsidR="001957C8" w:rsidRPr="001E4C00">
        <w:rPr>
          <w:rFonts w:ascii="Arial" w:hAnsi="Arial" w:cs="Arial"/>
          <w:sz w:val="22"/>
          <w:szCs w:val="22"/>
        </w:rPr>
        <w:t xml:space="preserve">innovation, </w:t>
      </w:r>
      <w:r w:rsidR="008F70DE" w:rsidRPr="001E4C00">
        <w:rPr>
          <w:rFonts w:ascii="Arial" w:hAnsi="Arial" w:cs="Arial"/>
          <w:sz w:val="22"/>
          <w:szCs w:val="22"/>
        </w:rPr>
        <w:t>y compris</w:t>
      </w:r>
      <w:r w:rsidR="001957C8" w:rsidRPr="001E4C00">
        <w:rPr>
          <w:rFonts w:ascii="Arial" w:hAnsi="Arial" w:cs="Arial"/>
          <w:sz w:val="22"/>
          <w:szCs w:val="22"/>
        </w:rPr>
        <w:t xml:space="preserve"> des moyens techniques et d</w:t>
      </w:r>
      <w:r w:rsidR="008F70DE" w:rsidRPr="001E4C00">
        <w:rPr>
          <w:rFonts w:ascii="Arial" w:hAnsi="Arial" w:cs="Arial"/>
          <w:sz w:val="22"/>
          <w:szCs w:val="22"/>
        </w:rPr>
        <w:t>’</w:t>
      </w:r>
      <w:r w:rsidR="001957C8" w:rsidRPr="001E4C00">
        <w:rPr>
          <w:rFonts w:ascii="Arial" w:hAnsi="Arial" w:cs="Arial"/>
          <w:sz w:val="22"/>
          <w:szCs w:val="22"/>
        </w:rPr>
        <w:t xml:space="preserve">autres formes de soutien </w:t>
      </w:r>
      <w:r w:rsidR="002F695E" w:rsidRPr="001E4C00">
        <w:rPr>
          <w:rFonts w:ascii="Arial" w:hAnsi="Arial" w:cs="Arial"/>
          <w:sz w:val="22"/>
          <w:szCs w:val="22"/>
        </w:rPr>
        <w:t>au</w:t>
      </w:r>
      <w:r w:rsidR="001957C8" w:rsidRPr="001E4C00">
        <w:rPr>
          <w:rFonts w:ascii="Arial" w:hAnsi="Arial" w:cs="Arial"/>
          <w:sz w:val="22"/>
          <w:szCs w:val="22"/>
        </w:rPr>
        <w:t xml:space="preserve"> fonctionnement de l</w:t>
      </w:r>
      <w:r w:rsidR="008F70DE" w:rsidRPr="001E4C00">
        <w:rPr>
          <w:rFonts w:ascii="Arial" w:hAnsi="Arial" w:cs="Arial"/>
          <w:sz w:val="22"/>
          <w:szCs w:val="22"/>
        </w:rPr>
        <w:t>’</w:t>
      </w:r>
      <w:r w:rsidR="001957C8" w:rsidRPr="001E4C00">
        <w:rPr>
          <w:rFonts w:ascii="Arial" w:hAnsi="Arial" w:cs="Arial"/>
          <w:sz w:val="22"/>
          <w:szCs w:val="22"/>
        </w:rPr>
        <w:t>UANIPIO.</w:t>
      </w:r>
    </w:p>
    <w:p w:rsidR="008A3FE2" w:rsidRPr="001E4C00" w:rsidRDefault="001957C8" w:rsidP="00A25FE5">
      <w:pPr>
        <w:pStyle w:val="ONUMFS"/>
        <w:numPr>
          <w:ilvl w:val="0"/>
          <w:numId w:val="0"/>
        </w:numPr>
        <w:rPr>
          <w:rFonts w:eastAsia="Times New Roman"/>
          <w:szCs w:val="22"/>
          <w:lang w:val="fr-FR"/>
        </w:rPr>
      </w:pPr>
      <w:r w:rsidRPr="001E4C00">
        <w:rPr>
          <w:lang w:val="fr-FR"/>
        </w:rPr>
        <w:t>Priorités à moyen terme</w:t>
      </w:r>
      <w:r w:rsidR="008F70DE" w:rsidRPr="001E4C00">
        <w:rPr>
          <w:lang w:val="fr-FR"/>
        </w:rPr>
        <w:t> :</w:t>
      </w:r>
    </w:p>
    <w:p w:rsidR="001957C8" w:rsidRPr="001E4C00" w:rsidRDefault="00F77B9E" w:rsidP="00A25FE5">
      <w:pPr>
        <w:pStyle w:val="ListParagraph"/>
        <w:numPr>
          <w:ilvl w:val="0"/>
          <w:numId w:val="37"/>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la mise en œuvre du système de dépôt </w:t>
      </w:r>
      <w:proofErr w:type="spellStart"/>
      <w:r w:rsidR="001957C8" w:rsidRPr="001E4C00">
        <w:rPr>
          <w:rFonts w:ascii="Arial" w:hAnsi="Arial" w:cs="Arial"/>
          <w:sz w:val="22"/>
          <w:szCs w:val="22"/>
        </w:rPr>
        <w:t>ePCT</w:t>
      </w:r>
      <w:proofErr w:type="spellEnd"/>
      <w:r w:rsidR="001957C8" w:rsidRPr="001E4C00">
        <w:rPr>
          <w:rFonts w:ascii="Arial" w:hAnsi="Arial" w:cs="Arial"/>
          <w:sz w:val="22"/>
          <w:szCs w:val="22"/>
        </w:rPr>
        <w:t xml:space="preserve"> pour les </w:t>
      </w:r>
      <w:r w:rsidR="002F695E" w:rsidRPr="001E4C00">
        <w:rPr>
          <w:rFonts w:ascii="Arial" w:hAnsi="Arial" w:cs="Arial"/>
          <w:sz w:val="22"/>
          <w:szCs w:val="22"/>
        </w:rPr>
        <w:t xml:space="preserve">déposants </w:t>
      </w:r>
      <w:r w:rsidR="001957C8" w:rsidRPr="001E4C00">
        <w:rPr>
          <w:rFonts w:ascii="Arial" w:hAnsi="Arial" w:cs="Arial"/>
          <w:sz w:val="22"/>
          <w:szCs w:val="22"/>
        </w:rPr>
        <w:t>à l</w:t>
      </w:r>
      <w:r w:rsidR="008F70DE" w:rsidRPr="001E4C00">
        <w:rPr>
          <w:rFonts w:ascii="Arial" w:hAnsi="Arial" w:cs="Arial"/>
          <w:sz w:val="22"/>
          <w:szCs w:val="22"/>
        </w:rPr>
        <w:t>’</w:t>
      </w:r>
      <w:r w:rsidR="001957C8" w:rsidRPr="001E4C00">
        <w:rPr>
          <w:rFonts w:ascii="Arial" w:hAnsi="Arial" w:cs="Arial"/>
          <w:sz w:val="22"/>
          <w:szCs w:val="22"/>
        </w:rPr>
        <w:t>UANIPIO;</w:t>
      </w:r>
    </w:p>
    <w:p w:rsidR="001957C8" w:rsidRPr="001E4C00" w:rsidRDefault="00F77B9E" w:rsidP="00A25FE5">
      <w:pPr>
        <w:pStyle w:val="ListParagraph"/>
        <w:numPr>
          <w:ilvl w:val="0"/>
          <w:numId w:val="37"/>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les projets de solutions et d</w:t>
      </w:r>
      <w:r w:rsidR="008F70DE" w:rsidRPr="001E4C00">
        <w:rPr>
          <w:rFonts w:ascii="Arial" w:hAnsi="Arial" w:cs="Arial"/>
          <w:sz w:val="22"/>
          <w:szCs w:val="22"/>
        </w:rPr>
        <w:t>’</w:t>
      </w:r>
      <w:r w:rsidR="001957C8" w:rsidRPr="001E4C00">
        <w:rPr>
          <w:rFonts w:ascii="Arial" w:hAnsi="Arial" w:cs="Arial"/>
          <w:sz w:val="22"/>
          <w:szCs w:val="22"/>
        </w:rPr>
        <w:t>infrastructures informatiques (notamment l</w:t>
      </w:r>
      <w:r w:rsidR="008F70DE" w:rsidRPr="001E4C00">
        <w:rPr>
          <w:rFonts w:ascii="Arial" w:hAnsi="Arial" w:cs="Arial"/>
          <w:sz w:val="22"/>
          <w:szCs w:val="22"/>
        </w:rPr>
        <w:t>’</w:t>
      </w:r>
      <w:r w:rsidR="001957C8" w:rsidRPr="001E4C00">
        <w:rPr>
          <w:rFonts w:ascii="Arial" w:hAnsi="Arial" w:cs="Arial"/>
          <w:sz w:val="22"/>
          <w:szCs w:val="22"/>
        </w:rPr>
        <w:t>hébergement en nuage) afin d</w:t>
      </w:r>
      <w:r w:rsidR="008F70DE" w:rsidRPr="001E4C00">
        <w:rPr>
          <w:rFonts w:ascii="Arial" w:hAnsi="Arial" w:cs="Arial"/>
          <w:sz w:val="22"/>
          <w:szCs w:val="22"/>
        </w:rPr>
        <w:t>’</w:t>
      </w:r>
      <w:r w:rsidR="001957C8" w:rsidRPr="001E4C00">
        <w:rPr>
          <w:rFonts w:ascii="Arial" w:hAnsi="Arial" w:cs="Arial"/>
          <w:sz w:val="22"/>
          <w:szCs w:val="22"/>
        </w:rPr>
        <w:t>améliorer l</w:t>
      </w:r>
      <w:r w:rsidR="008F70DE" w:rsidRPr="001E4C00">
        <w:rPr>
          <w:rFonts w:ascii="Arial" w:hAnsi="Arial" w:cs="Arial"/>
          <w:sz w:val="22"/>
          <w:szCs w:val="22"/>
        </w:rPr>
        <w:t>’</w:t>
      </w:r>
      <w:r w:rsidR="001957C8" w:rsidRPr="001E4C00">
        <w:rPr>
          <w:rFonts w:ascii="Arial" w:hAnsi="Arial" w:cs="Arial"/>
          <w:sz w:val="22"/>
          <w:szCs w:val="22"/>
        </w:rPr>
        <w:t>efficacité de l</w:t>
      </w:r>
      <w:r w:rsidR="008F70DE" w:rsidRPr="001E4C00">
        <w:rPr>
          <w:rFonts w:ascii="Arial" w:hAnsi="Arial" w:cs="Arial"/>
          <w:sz w:val="22"/>
          <w:szCs w:val="22"/>
        </w:rPr>
        <w:t>’</w:t>
      </w:r>
      <w:r w:rsidR="001957C8" w:rsidRPr="001E4C00">
        <w:rPr>
          <w:rFonts w:ascii="Arial" w:hAnsi="Arial" w:cs="Arial"/>
          <w:sz w:val="22"/>
          <w:szCs w:val="22"/>
        </w:rPr>
        <w:t>UANIPIO;</w:t>
      </w:r>
    </w:p>
    <w:p w:rsidR="001957C8" w:rsidRPr="001E4C00" w:rsidRDefault="00F77B9E" w:rsidP="00A25FE5">
      <w:pPr>
        <w:pStyle w:val="ListParagraph"/>
        <w:numPr>
          <w:ilvl w:val="0"/>
          <w:numId w:val="37"/>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élaboration de projets d</w:t>
      </w:r>
      <w:r w:rsidR="008F70DE" w:rsidRPr="001E4C00">
        <w:rPr>
          <w:rFonts w:ascii="Arial" w:hAnsi="Arial" w:cs="Arial"/>
          <w:sz w:val="22"/>
          <w:szCs w:val="22"/>
        </w:rPr>
        <w:t>’</w:t>
      </w:r>
      <w:r w:rsidR="001957C8" w:rsidRPr="001E4C00">
        <w:rPr>
          <w:rFonts w:ascii="Arial" w:hAnsi="Arial" w:cs="Arial"/>
          <w:sz w:val="22"/>
          <w:szCs w:val="22"/>
        </w:rPr>
        <w:t xml:space="preserve">assistance technique, de formations </w:t>
      </w:r>
      <w:r w:rsidR="002F695E" w:rsidRPr="001E4C00">
        <w:rPr>
          <w:rFonts w:ascii="Arial" w:hAnsi="Arial" w:cs="Arial"/>
          <w:sz w:val="22"/>
          <w:szCs w:val="22"/>
        </w:rPr>
        <w:t>en présentiel</w:t>
      </w:r>
      <w:r w:rsidR="001957C8" w:rsidRPr="001E4C00">
        <w:rPr>
          <w:rFonts w:ascii="Arial" w:hAnsi="Arial" w:cs="Arial"/>
          <w:sz w:val="22"/>
          <w:szCs w:val="22"/>
        </w:rPr>
        <w:t xml:space="preserve"> et en ligne, et d</w:t>
      </w:r>
      <w:r w:rsidR="008F70DE" w:rsidRPr="001E4C00">
        <w:rPr>
          <w:rFonts w:ascii="Arial" w:hAnsi="Arial" w:cs="Arial"/>
          <w:sz w:val="22"/>
          <w:szCs w:val="22"/>
        </w:rPr>
        <w:t>’</w:t>
      </w:r>
      <w:r w:rsidR="001957C8" w:rsidRPr="001E4C00">
        <w:rPr>
          <w:rFonts w:ascii="Arial" w:hAnsi="Arial" w:cs="Arial"/>
          <w:sz w:val="22"/>
          <w:szCs w:val="22"/>
        </w:rPr>
        <w:t>autres formes de soutien aux femmes et aux jeunes, en mettant l</w:t>
      </w:r>
      <w:r w:rsidR="008F70DE" w:rsidRPr="001E4C00">
        <w:rPr>
          <w:rFonts w:ascii="Arial" w:hAnsi="Arial" w:cs="Arial"/>
          <w:sz w:val="22"/>
          <w:szCs w:val="22"/>
        </w:rPr>
        <w:t>’</w:t>
      </w:r>
      <w:r w:rsidR="001957C8" w:rsidRPr="001E4C00">
        <w:rPr>
          <w:rFonts w:ascii="Arial" w:hAnsi="Arial" w:cs="Arial"/>
          <w:sz w:val="22"/>
          <w:szCs w:val="22"/>
        </w:rPr>
        <w:t>accent sur le renforcement des capacités et la croissance économique dans le domaine de la propriété intellectuelle;</w:t>
      </w:r>
    </w:p>
    <w:p w:rsidR="008A3FE2" w:rsidRPr="001E4C00" w:rsidRDefault="00F77B9E" w:rsidP="00A25FE5">
      <w:pPr>
        <w:pStyle w:val="ListParagraph"/>
        <w:numPr>
          <w:ilvl w:val="0"/>
          <w:numId w:val="37"/>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é</w:t>
      </w:r>
      <w:r w:rsidR="001957C8" w:rsidRPr="001E4C00">
        <w:rPr>
          <w:rFonts w:ascii="Arial" w:hAnsi="Arial" w:cs="Arial"/>
          <w:sz w:val="22"/>
          <w:szCs w:val="22"/>
        </w:rPr>
        <w:t>tudier</w:t>
      </w:r>
      <w:proofErr w:type="gramEnd"/>
      <w:r w:rsidR="001957C8" w:rsidRPr="001E4C00">
        <w:rPr>
          <w:rFonts w:ascii="Arial" w:hAnsi="Arial" w:cs="Arial"/>
          <w:sz w:val="22"/>
          <w:szCs w:val="22"/>
        </w:rPr>
        <w:t xml:space="preserve"> la possibilité de soutenir la mise en œuvre du programme </w:t>
      </w:r>
      <w:r w:rsidR="002F695E" w:rsidRPr="001E4C00">
        <w:rPr>
          <w:rFonts w:ascii="Arial" w:hAnsi="Arial" w:cs="Arial"/>
          <w:sz w:val="22"/>
          <w:szCs w:val="22"/>
        </w:rPr>
        <w:t>d</w:t>
      </w:r>
      <w:r w:rsidR="008F70DE" w:rsidRPr="001E4C00">
        <w:rPr>
          <w:rFonts w:ascii="Arial" w:hAnsi="Arial" w:cs="Arial"/>
          <w:sz w:val="22"/>
          <w:szCs w:val="22"/>
        </w:rPr>
        <w:t>’</w:t>
      </w:r>
      <w:r w:rsidR="002F695E" w:rsidRPr="001E4C00">
        <w:rPr>
          <w:rFonts w:ascii="Arial" w:hAnsi="Arial" w:cs="Arial"/>
          <w:sz w:val="22"/>
          <w:szCs w:val="22"/>
        </w:rPr>
        <w:t xml:space="preserve">aide </w:t>
      </w:r>
      <w:r w:rsidR="001957C8" w:rsidRPr="001E4C00">
        <w:rPr>
          <w:rFonts w:ascii="Arial" w:hAnsi="Arial" w:cs="Arial"/>
          <w:sz w:val="22"/>
          <w:szCs w:val="22"/>
        </w:rPr>
        <w:t>aux inventeurs en Ukraine.</w:t>
      </w:r>
    </w:p>
    <w:p w:rsidR="008A3FE2" w:rsidRPr="001E4C00" w:rsidRDefault="001957C8" w:rsidP="00A25FE5">
      <w:pPr>
        <w:pStyle w:val="ONUMFS"/>
        <w:numPr>
          <w:ilvl w:val="0"/>
          <w:numId w:val="0"/>
        </w:numPr>
        <w:rPr>
          <w:rFonts w:eastAsia="Times New Roman"/>
          <w:szCs w:val="22"/>
          <w:lang w:val="fr-FR"/>
        </w:rPr>
      </w:pPr>
      <w:r w:rsidRPr="001E4C00">
        <w:rPr>
          <w:lang w:val="fr-FR"/>
        </w:rPr>
        <w:t>Priorités à long terme</w:t>
      </w:r>
      <w:r w:rsidR="008F70DE" w:rsidRPr="001E4C00">
        <w:rPr>
          <w:lang w:val="fr-FR"/>
        </w:rPr>
        <w:t> :</w:t>
      </w:r>
    </w:p>
    <w:p w:rsidR="001957C8" w:rsidRPr="001E4C00" w:rsidRDefault="00F77B9E" w:rsidP="00A25FE5">
      <w:pPr>
        <w:pStyle w:val="ListParagraph"/>
        <w:numPr>
          <w:ilvl w:val="0"/>
          <w:numId w:val="37"/>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le développement, l</w:t>
      </w:r>
      <w:r w:rsidR="008F70DE" w:rsidRPr="001E4C00">
        <w:rPr>
          <w:rFonts w:ascii="Arial" w:hAnsi="Arial" w:cs="Arial"/>
          <w:sz w:val="22"/>
          <w:szCs w:val="22"/>
        </w:rPr>
        <w:t>’</w:t>
      </w:r>
      <w:r w:rsidR="001957C8" w:rsidRPr="001E4C00">
        <w:rPr>
          <w:rFonts w:ascii="Arial" w:hAnsi="Arial" w:cs="Arial"/>
          <w:sz w:val="22"/>
          <w:szCs w:val="22"/>
        </w:rPr>
        <w:t>adoption et la mise en œuvre du projet d</w:t>
      </w:r>
      <w:r w:rsidR="008F70DE" w:rsidRPr="001E4C00">
        <w:rPr>
          <w:rFonts w:ascii="Arial" w:hAnsi="Arial" w:cs="Arial"/>
          <w:sz w:val="22"/>
          <w:szCs w:val="22"/>
        </w:rPr>
        <w:t>’</w:t>
      </w:r>
      <w:r w:rsidR="001957C8" w:rsidRPr="001E4C00">
        <w:rPr>
          <w:rFonts w:ascii="Arial" w:hAnsi="Arial" w:cs="Arial"/>
          <w:sz w:val="22"/>
          <w:szCs w:val="22"/>
        </w:rPr>
        <w:t>audit de la</w:t>
      </w:r>
      <w:r w:rsidRPr="001E4C00">
        <w:rPr>
          <w:rFonts w:ascii="Arial" w:hAnsi="Arial" w:cs="Arial"/>
          <w:sz w:val="22"/>
          <w:szCs w:val="22"/>
        </w:rPr>
        <w:t xml:space="preserve"> propriété intellectuelle;</w:t>
      </w:r>
    </w:p>
    <w:p w:rsidR="001957C8" w:rsidRPr="001E4C00" w:rsidRDefault="00F77B9E" w:rsidP="00A25FE5">
      <w:pPr>
        <w:pStyle w:val="ListParagraph"/>
        <w:numPr>
          <w:ilvl w:val="0"/>
          <w:numId w:val="37"/>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adaptation de la stratégie nationale en matière de propriété intellectuelle;</w:t>
      </w:r>
    </w:p>
    <w:p w:rsidR="001957C8" w:rsidRPr="001E4C00" w:rsidRDefault="00F77B9E" w:rsidP="00A25FE5">
      <w:pPr>
        <w:pStyle w:val="ListParagraph"/>
        <w:numPr>
          <w:ilvl w:val="0"/>
          <w:numId w:val="37"/>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élaboration d</w:t>
      </w:r>
      <w:r w:rsidR="008F70DE" w:rsidRPr="001E4C00">
        <w:rPr>
          <w:rFonts w:ascii="Arial" w:hAnsi="Arial" w:cs="Arial"/>
          <w:sz w:val="22"/>
          <w:szCs w:val="22"/>
        </w:rPr>
        <w:t>’</w:t>
      </w:r>
      <w:r w:rsidR="001957C8" w:rsidRPr="001E4C00">
        <w:rPr>
          <w:rFonts w:ascii="Arial" w:hAnsi="Arial" w:cs="Arial"/>
          <w:sz w:val="22"/>
          <w:szCs w:val="22"/>
        </w:rPr>
        <w:t>un programme visant à introduire l</w:t>
      </w:r>
      <w:r w:rsidR="008F70DE" w:rsidRPr="001E4C00">
        <w:rPr>
          <w:rFonts w:ascii="Arial" w:hAnsi="Arial" w:cs="Arial"/>
          <w:sz w:val="22"/>
          <w:szCs w:val="22"/>
        </w:rPr>
        <w:t>’</w:t>
      </w:r>
      <w:r w:rsidR="001957C8" w:rsidRPr="001E4C00">
        <w:rPr>
          <w:rFonts w:ascii="Arial" w:hAnsi="Arial" w:cs="Arial"/>
          <w:sz w:val="22"/>
          <w:szCs w:val="22"/>
        </w:rPr>
        <w:t>intelligence artificielle (IA) dans les travaux de l</w:t>
      </w:r>
      <w:r w:rsidR="008F70DE" w:rsidRPr="001E4C00">
        <w:rPr>
          <w:rFonts w:ascii="Arial" w:hAnsi="Arial" w:cs="Arial"/>
          <w:sz w:val="22"/>
          <w:szCs w:val="22"/>
        </w:rPr>
        <w:t>’</w:t>
      </w:r>
      <w:r w:rsidR="001957C8" w:rsidRPr="001E4C00">
        <w:rPr>
          <w:rFonts w:ascii="Arial" w:hAnsi="Arial" w:cs="Arial"/>
          <w:sz w:val="22"/>
          <w:szCs w:val="22"/>
        </w:rPr>
        <w:t>UANIPIO, en particulier pour la traduction de la documentation relative aux brevets.</w:t>
      </w:r>
    </w:p>
    <w:p w:rsidR="001957C8" w:rsidRPr="001E4C00" w:rsidRDefault="001957C8" w:rsidP="00B96384">
      <w:pPr>
        <w:pStyle w:val="Heading2"/>
        <w:rPr>
          <w:lang w:val="fr-FR"/>
        </w:rPr>
      </w:pPr>
      <w:r w:rsidRPr="001E4C00">
        <w:rPr>
          <w:lang w:val="fr-FR"/>
        </w:rPr>
        <w:t>3.4.</w:t>
      </w:r>
      <w:r w:rsidRPr="001E4C00">
        <w:rPr>
          <w:lang w:val="fr-FR"/>
        </w:rPr>
        <w:tab/>
        <w:t>Consultations avec les CATI</w:t>
      </w:r>
    </w:p>
    <w:p w:rsidR="001957C8" w:rsidRPr="001E4C00" w:rsidRDefault="001957C8" w:rsidP="007115E7">
      <w:pPr>
        <w:pStyle w:val="ONUMFS"/>
        <w:rPr>
          <w:color w:val="000000"/>
          <w:lang w:val="fr-FR"/>
        </w:rPr>
      </w:pPr>
      <w:r w:rsidRPr="001E4C00">
        <w:rPr>
          <w:lang w:val="fr-FR"/>
        </w:rPr>
        <w:t>L</w:t>
      </w:r>
      <w:r w:rsidR="008F70DE" w:rsidRPr="001E4C00">
        <w:rPr>
          <w:lang w:val="fr-FR"/>
        </w:rPr>
        <w:t>’</w:t>
      </w:r>
      <w:r w:rsidRPr="001E4C00">
        <w:rPr>
          <w:lang w:val="fr-FR"/>
        </w:rPr>
        <w:t>OMPI a maintenu des consultations en ligne avec les représentants du réseau de CATI ukrainiens et a élaboré un questionnaire qui a été envoyé à tous les CATI afin de recueillir des informations pertinentes.</w:t>
      </w:r>
    </w:p>
    <w:p w:rsidR="008A3FE2" w:rsidRPr="001E4C00" w:rsidRDefault="007537DD" w:rsidP="007537DD">
      <w:pPr>
        <w:pStyle w:val="ONUMFS"/>
        <w:numPr>
          <w:ilvl w:val="0"/>
          <w:numId w:val="0"/>
        </w:numPr>
        <w:rPr>
          <w:rFonts w:eastAsia="Times New Roman"/>
          <w:szCs w:val="22"/>
          <w:lang w:val="fr-FR"/>
        </w:rPr>
      </w:pPr>
      <w:r w:rsidRPr="001E4C00">
        <w:rPr>
          <w:lang w:val="fr-FR"/>
        </w:rPr>
        <w:t>L</w:t>
      </w:r>
      <w:r w:rsidR="001957C8" w:rsidRPr="001E4C00">
        <w:rPr>
          <w:lang w:val="fr-FR"/>
        </w:rPr>
        <w:t xml:space="preserve">es domaines </w:t>
      </w:r>
      <w:r w:rsidR="002F695E" w:rsidRPr="001E4C00">
        <w:rPr>
          <w:lang w:val="fr-FR"/>
        </w:rPr>
        <w:t>d</w:t>
      </w:r>
      <w:r w:rsidR="008F70DE" w:rsidRPr="001E4C00">
        <w:rPr>
          <w:lang w:val="fr-FR"/>
        </w:rPr>
        <w:t>’</w:t>
      </w:r>
      <w:r w:rsidR="002F695E" w:rsidRPr="001E4C00">
        <w:rPr>
          <w:lang w:val="fr-FR"/>
        </w:rPr>
        <w:t>appui</w:t>
      </w:r>
      <w:r w:rsidR="001957C8" w:rsidRPr="001E4C00">
        <w:rPr>
          <w:lang w:val="fr-FR"/>
        </w:rPr>
        <w:t xml:space="preserve"> suivants ont notamment été </w:t>
      </w:r>
      <w:r w:rsidR="002F695E" w:rsidRPr="001E4C00">
        <w:rPr>
          <w:lang w:val="fr-FR"/>
        </w:rPr>
        <w:t>recensés</w:t>
      </w:r>
      <w:r w:rsidR="008F70DE" w:rsidRPr="001E4C00">
        <w:rPr>
          <w:lang w:val="fr-FR"/>
        </w:rPr>
        <w:t> :</w:t>
      </w:r>
    </w:p>
    <w:p w:rsidR="001957C8" w:rsidRPr="001E4C00" w:rsidRDefault="00652BB5" w:rsidP="007537DD">
      <w:pPr>
        <w:pStyle w:val="ListParagraph"/>
        <w:numPr>
          <w:ilvl w:val="0"/>
          <w:numId w:val="38"/>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w:t>
      </w:r>
      <w:r w:rsidR="008F70DE" w:rsidRPr="001E4C00">
        <w:rPr>
          <w:rFonts w:ascii="Arial" w:hAnsi="Arial" w:cs="Arial"/>
          <w:sz w:val="22"/>
          <w:szCs w:val="22"/>
        </w:rPr>
        <w:t>’</w:t>
      </w:r>
      <w:r w:rsidR="001957C8" w:rsidRPr="001E4C00">
        <w:rPr>
          <w:rFonts w:ascii="Arial" w:hAnsi="Arial" w:cs="Arial"/>
          <w:sz w:val="22"/>
          <w:szCs w:val="22"/>
        </w:rPr>
        <w:t>accès aux bases de données sur la propriété intellectuelle;</w:t>
      </w:r>
    </w:p>
    <w:p w:rsidR="001957C8" w:rsidRPr="001E4C00" w:rsidRDefault="00652BB5" w:rsidP="007537DD">
      <w:pPr>
        <w:pStyle w:val="ListParagraph"/>
        <w:numPr>
          <w:ilvl w:val="0"/>
          <w:numId w:val="38"/>
        </w:numPr>
        <w:tabs>
          <w:tab w:val="left" w:pos="1134"/>
        </w:tabs>
        <w:ind w:left="1134" w:hanging="567"/>
        <w:rPr>
          <w:rFonts w:ascii="Arial" w:hAnsi="Arial" w:cs="Arial"/>
          <w:sz w:val="22"/>
          <w:szCs w:val="22"/>
        </w:rPr>
      </w:pPr>
      <w:proofErr w:type="gramStart"/>
      <w:r w:rsidRPr="001E4C00">
        <w:rPr>
          <w:rFonts w:ascii="Arial" w:hAnsi="Arial" w:cs="Arial"/>
          <w:sz w:val="22"/>
          <w:szCs w:val="22"/>
        </w:rPr>
        <w:t>f</w:t>
      </w:r>
      <w:r w:rsidR="001957C8" w:rsidRPr="001E4C00">
        <w:rPr>
          <w:rFonts w:ascii="Arial" w:hAnsi="Arial" w:cs="Arial"/>
          <w:sz w:val="22"/>
          <w:szCs w:val="22"/>
        </w:rPr>
        <w:t>ournir</w:t>
      </w:r>
      <w:proofErr w:type="gramEnd"/>
      <w:r w:rsidR="001957C8" w:rsidRPr="001E4C00">
        <w:rPr>
          <w:rFonts w:ascii="Arial" w:hAnsi="Arial" w:cs="Arial"/>
          <w:sz w:val="22"/>
          <w:szCs w:val="22"/>
        </w:rPr>
        <w:t xml:space="preserve"> des activités de renforcement des capacités et des formations </w:t>
      </w:r>
      <w:r w:rsidR="002F695E" w:rsidRPr="001E4C00">
        <w:rPr>
          <w:rFonts w:ascii="Arial" w:hAnsi="Arial" w:cs="Arial"/>
          <w:sz w:val="22"/>
          <w:szCs w:val="22"/>
        </w:rPr>
        <w:t xml:space="preserve">à </w:t>
      </w:r>
      <w:r w:rsidR="001957C8" w:rsidRPr="001E4C00">
        <w:rPr>
          <w:rFonts w:ascii="Arial" w:hAnsi="Arial" w:cs="Arial"/>
          <w:sz w:val="22"/>
          <w:szCs w:val="22"/>
        </w:rPr>
        <w:t>la propriété intellectuelle;</w:t>
      </w:r>
    </w:p>
    <w:p w:rsidR="001957C8" w:rsidRPr="001E4C00" w:rsidRDefault="00652BB5" w:rsidP="007537DD">
      <w:pPr>
        <w:pStyle w:val="ListParagraph"/>
        <w:numPr>
          <w:ilvl w:val="0"/>
          <w:numId w:val="38"/>
        </w:numPr>
        <w:tabs>
          <w:tab w:val="left" w:pos="1134"/>
        </w:tabs>
        <w:ind w:left="1134" w:hanging="567"/>
        <w:rPr>
          <w:rFonts w:ascii="Arial" w:hAnsi="Arial" w:cs="Arial"/>
          <w:sz w:val="22"/>
          <w:szCs w:val="22"/>
        </w:rPr>
      </w:pPr>
      <w:proofErr w:type="gramStart"/>
      <w:r w:rsidRPr="001E4C00">
        <w:rPr>
          <w:rFonts w:ascii="Arial" w:hAnsi="Arial" w:cs="Arial"/>
          <w:sz w:val="22"/>
          <w:szCs w:val="22"/>
        </w:rPr>
        <w:t>a</w:t>
      </w:r>
      <w:r w:rsidR="001957C8" w:rsidRPr="001E4C00">
        <w:rPr>
          <w:rFonts w:ascii="Arial" w:hAnsi="Arial" w:cs="Arial"/>
          <w:sz w:val="22"/>
          <w:szCs w:val="22"/>
        </w:rPr>
        <w:t>pporter</w:t>
      </w:r>
      <w:proofErr w:type="gramEnd"/>
      <w:r w:rsidR="001957C8" w:rsidRPr="001E4C00">
        <w:rPr>
          <w:rFonts w:ascii="Arial" w:hAnsi="Arial" w:cs="Arial"/>
          <w:sz w:val="22"/>
          <w:szCs w:val="22"/>
        </w:rPr>
        <w:t xml:space="preserve"> un soutien à l</w:t>
      </w:r>
      <w:r w:rsidR="008F70DE" w:rsidRPr="001E4C00">
        <w:rPr>
          <w:rFonts w:ascii="Arial" w:hAnsi="Arial" w:cs="Arial"/>
          <w:sz w:val="22"/>
          <w:szCs w:val="22"/>
        </w:rPr>
        <w:t>’</w:t>
      </w:r>
      <w:r w:rsidR="001957C8" w:rsidRPr="001E4C00">
        <w:rPr>
          <w:rFonts w:ascii="Arial" w:hAnsi="Arial" w:cs="Arial"/>
          <w:sz w:val="22"/>
          <w:szCs w:val="22"/>
        </w:rPr>
        <w:t>évaluation de la propriété intellectuelle et aux pratiques de soutien au démarrage;</w:t>
      </w:r>
    </w:p>
    <w:p w:rsidR="001957C8" w:rsidRPr="001E4C00" w:rsidRDefault="00652BB5" w:rsidP="007537DD">
      <w:pPr>
        <w:pStyle w:val="ListParagraph"/>
        <w:numPr>
          <w:ilvl w:val="0"/>
          <w:numId w:val="38"/>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le développement des processus de transfert de technologie et de commercialisation;</w:t>
      </w:r>
    </w:p>
    <w:p w:rsidR="001957C8" w:rsidRPr="001E4C00" w:rsidRDefault="00652BB5" w:rsidP="007537DD">
      <w:pPr>
        <w:pStyle w:val="ListParagraph"/>
        <w:numPr>
          <w:ilvl w:val="0"/>
          <w:numId w:val="38"/>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outenir</w:t>
      </w:r>
      <w:proofErr w:type="gramEnd"/>
      <w:r w:rsidR="001957C8" w:rsidRPr="001E4C00">
        <w:rPr>
          <w:rFonts w:ascii="Arial" w:hAnsi="Arial" w:cs="Arial"/>
          <w:sz w:val="22"/>
          <w:szCs w:val="22"/>
        </w:rPr>
        <w:t xml:space="preserve"> la coopération internationale et la mise en réseau;</w:t>
      </w:r>
    </w:p>
    <w:p w:rsidR="008A3FE2" w:rsidRPr="001E4C00" w:rsidRDefault="00652BB5" w:rsidP="007537DD">
      <w:pPr>
        <w:pStyle w:val="ListParagraph"/>
        <w:numPr>
          <w:ilvl w:val="0"/>
          <w:numId w:val="38"/>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f</w:t>
      </w:r>
      <w:r w:rsidR="001957C8" w:rsidRPr="001E4C00">
        <w:rPr>
          <w:rFonts w:ascii="Arial" w:hAnsi="Arial" w:cs="Arial"/>
          <w:sz w:val="22"/>
          <w:szCs w:val="22"/>
        </w:rPr>
        <w:t>ournir</w:t>
      </w:r>
      <w:proofErr w:type="gramEnd"/>
      <w:r w:rsidR="001957C8" w:rsidRPr="001E4C00">
        <w:rPr>
          <w:rFonts w:ascii="Arial" w:hAnsi="Arial" w:cs="Arial"/>
          <w:sz w:val="22"/>
          <w:szCs w:val="22"/>
        </w:rPr>
        <w:t xml:space="preserve"> un appui à la traduction et à l</w:t>
      </w:r>
      <w:r w:rsidR="008F70DE" w:rsidRPr="001E4C00">
        <w:rPr>
          <w:rFonts w:ascii="Arial" w:hAnsi="Arial" w:cs="Arial"/>
          <w:sz w:val="22"/>
          <w:szCs w:val="22"/>
        </w:rPr>
        <w:t>’</w:t>
      </w:r>
      <w:r w:rsidR="001957C8" w:rsidRPr="001E4C00">
        <w:rPr>
          <w:rFonts w:ascii="Arial" w:hAnsi="Arial" w:cs="Arial"/>
          <w:sz w:val="22"/>
          <w:szCs w:val="22"/>
        </w:rPr>
        <w:t>adaptation des outils et publications pertinents de l</w:t>
      </w:r>
      <w:r w:rsidR="008F70DE" w:rsidRPr="001E4C00">
        <w:rPr>
          <w:rFonts w:ascii="Arial" w:hAnsi="Arial" w:cs="Arial"/>
          <w:sz w:val="22"/>
          <w:szCs w:val="22"/>
        </w:rPr>
        <w:t>’</w:t>
      </w:r>
      <w:r w:rsidR="007537DD" w:rsidRPr="001E4C00">
        <w:rPr>
          <w:rFonts w:ascii="Arial" w:hAnsi="Arial" w:cs="Arial"/>
          <w:sz w:val="22"/>
          <w:szCs w:val="22"/>
        </w:rPr>
        <w:t>OMPI.</w:t>
      </w:r>
    </w:p>
    <w:p w:rsidR="001957C8" w:rsidRPr="001E4C00" w:rsidRDefault="007537DD" w:rsidP="007537DD">
      <w:pPr>
        <w:pStyle w:val="Heading1"/>
        <w:ind w:left="567" w:hanging="567"/>
        <w:rPr>
          <w:lang w:val="fr-FR"/>
        </w:rPr>
      </w:pPr>
      <w:r w:rsidRPr="001E4C00">
        <w:rPr>
          <w:lang w:val="fr-FR"/>
        </w:rPr>
        <w:t>Aide à l</w:t>
      </w:r>
      <w:r w:rsidR="008F70DE" w:rsidRPr="001E4C00">
        <w:rPr>
          <w:lang w:val="fr-FR"/>
        </w:rPr>
        <w:t>’</w:t>
      </w:r>
      <w:r w:rsidRPr="001E4C00">
        <w:rPr>
          <w:lang w:val="fr-FR"/>
        </w:rPr>
        <w:t>Ukraine pour la restauration et la reconstruction de son secteur et de son écosystème</w:t>
      </w:r>
      <w:r w:rsidR="002F695E" w:rsidRPr="001E4C00">
        <w:rPr>
          <w:lang w:val="fr-FR"/>
        </w:rPr>
        <w:t xml:space="preserve"> de la propriété intellectuelle</w:t>
      </w:r>
    </w:p>
    <w:p w:rsidR="008A3FE2" w:rsidRPr="001E4C00" w:rsidRDefault="001957C8" w:rsidP="007537DD">
      <w:pPr>
        <w:pStyle w:val="Heading2"/>
        <w:rPr>
          <w:lang w:val="fr-FR"/>
        </w:rPr>
      </w:pPr>
      <w:r w:rsidRPr="001E4C00">
        <w:rPr>
          <w:lang w:val="fr-FR"/>
        </w:rPr>
        <w:t>4.1.</w:t>
      </w:r>
      <w:r w:rsidRPr="001E4C00">
        <w:rPr>
          <w:lang w:val="fr-FR"/>
        </w:rPr>
        <w:tab/>
        <w:t>Récapitulatif</w:t>
      </w:r>
    </w:p>
    <w:p w:rsidR="001957C8" w:rsidRPr="001E4C00" w:rsidRDefault="001957C8" w:rsidP="006B17A0">
      <w:pPr>
        <w:pStyle w:val="ONUMFS"/>
        <w:keepNext/>
        <w:keepLines/>
        <w:rPr>
          <w:lang w:val="fr-FR"/>
        </w:rPr>
      </w:pPr>
      <w:r w:rsidRPr="001E4C00">
        <w:rPr>
          <w:lang w:val="fr-FR"/>
        </w:rPr>
        <w:t>En juillet 2022, l</w:t>
      </w:r>
      <w:r w:rsidR="008F70DE" w:rsidRPr="001E4C00">
        <w:rPr>
          <w:lang w:val="fr-FR"/>
        </w:rPr>
        <w:t>’</w:t>
      </w:r>
      <w:r w:rsidRPr="001E4C00">
        <w:rPr>
          <w:lang w:val="fr-FR"/>
        </w:rPr>
        <w:t>OMPI a soutenu le rétablissement et le développement du secteur et de l</w:t>
      </w:r>
      <w:r w:rsidR="008F70DE" w:rsidRPr="001E4C00">
        <w:rPr>
          <w:lang w:val="fr-FR"/>
        </w:rPr>
        <w:t>’</w:t>
      </w:r>
      <w:r w:rsidRPr="001E4C00">
        <w:rPr>
          <w:lang w:val="fr-FR"/>
        </w:rPr>
        <w:t xml:space="preserve">écosystème de la propriété intellectuelle en Ukraine </w:t>
      </w:r>
      <w:r w:rsidR="002F695E" w:rsidRPr="001E4C00">
        <w:rPr>
          <w:lang w:val="fr-FR"/>
        </w:rPr>
        <w:t>grâce à la fourniture</w:t>
      </w:r>
      <w:r w:rsidRPr="001E4C00">
        <w:rPr>
          <w:lang w:val="fr-FR"/>
        </w:rPr>
        <w:t xml:space="preserve"> d</w:t>
      </w:r>
      <w:r w:rsidR="008F70DE" w:rsidRPr="001E4C00">
        <w:rPr>
          <w:lang w:val="fr-FR"/>
        </w:rPr>
        <w:t>’</w:t>
      </w:r>
      <w:r w:rsidRPr="001E4C00">
        <w:rPr>
          <w:lang w:val="fr-FR"/>
        </w:rPr>
        <w:t>une assistance technique axée sur l</w:t>
      </w:r>
      <w:r w:rsidR="008F70DE" w:rsidRPr="001E4C00">
        <w:rPr>
          <w:lang w:val="fr-FR"/>
        </w:rPr>
        <w:t>’</w:t>
      </w:r>
      <w:r w:rsidRPr="001E4C00">
        <w:rPr>
          <w:lang w:val="fr-FR"/>
        </w:rPr>
        <w:t>impact, d</w:t>
      </w:r>
      <w:r w:rsidR="008F70DE" w:rsidRPr="001E4C00">
        <w:rPr>
          <w:lang w:val="fr-FR"/>
        </w:rPr>
        <w:t>’</w:t>
      </w:r>
      <w:r w:rsidRPr="001E4C00">
        <w:rPr>
          <w:lang w:val="fr-FR"/>
        </w:rPr>
        <w:t>une assistance juridique, d</w:t>
      </w:r>
      <w:r w:rsidR="008F70DE" w:rsidRPr="001E4C00">
        <w:rPr>
          <w:lang w:val="fr-FR"/>
        </w:rPr>
        <w:t>’</w:t>
      </w:r>
      <w:r w:rsidRPr="001E4C00">
        <w:rPr>
          <w:lang w:val="fr-FR"/>
        </w:rPr>
        <w:t>un soutien au renforcement des capacités et d</w:t>
      </w:r>
      <w:r w:rsidR="008F70DE" w:rsidRPr="001E4C00">
        <w:rPr>
          <w:lang w:val="fr-FR"/>
        </w:rPr>
        <w:t>’</w:t>
      </w:r>
      <w:r w:rsidRPr="001E4C00">
        <w:rPr>
          <w:lang w:val="fr-FR"/>
        </w:rPr>
        <w:t>autres formes d</w:t>
      </w:r>
      <w:r w:rsidR="008F70DE" w:rsidRPr="001E4C00">
        <w:rPr>
          <w:lang w:val="fr-FR"/>
        </w:rPr>
        <w:t>’</w:t>
      </w:r>
      <w:r w:rsidRPr="001E4C00">
        <w:rPr>
          <w:lang w:val="fr-FR"/>
        </w:rPr>
        <w:t>assistan</w:t>
      </w:r>
      <w:r w:rsidR="00783939" w:rsidRPr="001E4C00">
        <w:rPr>
          <w:lang w:val="fr-FR"/>
        </w:rPr>
        <w:t>ce.  Ce</w:t>
      </w:r>
      <w:r w:rsidRPr="001E4C00">
        <w:rPr>
          <w:lang w:val="fr-FR"/>
        </w:rPr>
        <w:t>s activités visaient à soutenir les institutions gouvernementales, notamment l</w:t>
      </w:r>
      <w:r w:rsidR="008F70DE" w:rsidRPr="001E4C00">
        <w:rPr>
          <w:lang w:val="fr-FR"/>
        </w:rPr>
        <w:t>’</w:t>
      </w:r>
      <w:r w:rsidRPr="001E4C00">
        <w:rPr>
          <w:lang w:val="fr-FR"/>
        </w:rPr>
        <w:t>UANIPIO, le réseau de CATI, les établissements de formation à la propriété intellectuelle, le système juridique et d</w:t>
      </w:r>
      <w:r w:rsidR="008F70DE" w:rsidRPr="001E4C00">
        <w:rPr>
          <w:lang w:val="fr-FR"/>
        </w:rPr>
        <w:t>’</w:t>
      </w:r>
      <w:r w:rsidRPr="001E4C00">
        <w:rPr>
          <w:lang w:val="fr-FR"/>
        </w:rPr>
        <w:t>application des droits, et les utilisateurs du système de propriété intellectuelle en Ukrai</w:t>
      </w:r>
      <w:r w:rsidR="00783939" w:rsidRPr="001E4C00">
        <w:rPr>
          <w:lang w:val="fr-FR"/>
        </w:rPr>
        <w:t>ne.  Le</w:t>
      </w:r>
      <w:r w:rsidRPr="001E4C00">
        <w:rPr>
          <w:lang w:val="fr-FR"/>
        </w:rPr>
        <w:t>s activités entreprises, en cours et initiées comprennent</w:t>
      </w:r>
      <w:r w:rsidR="008F70DE" w:rsidRPr="001E4C00">
        <w:rPr>
          <w:lang w:val="fr-FR"/>
        </w:rPr>
        <w:t> :</w:t>
      </w:r>
    </w:p>
    <w:p w:rsidR="001957C8" w:rsidRPr="001E4C00" w:rsidRDefault="00E62DFA" w:rsidP="007537DD">
      <w:pPr>
        <w:pStyle w:val="ListParagraph"/>
        <w:numPr>
          <w:ilvl w:val="0"/>
          <w:numId w:val="39"/>
        </w:numPr>
        <w:tabs>
          <w:tab w:val="left" w:pos="1134"/>
        </w:tabs>
        <w:ind w:left="1134" w:hanging="567"/>
        <w:rPr>
          <w:rFonts w:ascii="Arial" w:hAnsi="Arial" w:cs="Arial"/>
          <w:sz w:val="22"/>
          <w:szCs w:val="22"/>
        </w:rPr>
      </w:pPr>
      <w:proofErr w:type="gramStart"/>
      <w:r w:rsidRPr="001E4C00">
        <w:rPr>
          <w:rFonts w:ascii="Arial" w:hAnsi="Arial" w:cs="Arial"/>
          <w:sz w:val="22"/>
          <w:szCs w:val="22"/>
        </w:rPr>
        <w:t>la</w:t>
      </w:r>
      <w:proofErr w:type="gramEnd"/>
      <w:r w:rsidRPr="001E4C00">
        <w:rPr>
          <w:rFonts w:ascii="Arial" w:hAnsi="Arial" w:cs="Arial"/>
          <w:sz w:val="22"/>
          <w:szCs w:val="22"/>
        </w:rPr>
        <w:t xml:space="preserve"> </w:t>
      </w:r>
      <w:r w:rsidR="00652BB5" w:rsidRPr="001E4C00">
        <w:rPr>
          <w:rFonts w:ascii="Arial" w:hAnsi="Arial" w:cs="Arial"/>
          <w:sz w:val="22"/>
          <w:szCs w:val="22"/>
        </w:rPr>
        <w:t>f</w:t>
      </w:r>
      <w:r w:rsidR="001957C8" w:rsidRPr="001E4C00">
        <w:rPr>
          <w:rFonts w:ascii="Arial" w:hAnsi="Arial" w:cs="Arial"/>
          <w:sz w:val="22"/>
          <w:szCs w:val="22"/>
        </w:rPr>
        <w:t>ourni</w:t>
      </w:r>
      <w:r w:rsidRPr="001E4C00">
        <w:rPr>
          <w:rFonts w:ascii="Arial" w:hAnsi="Arial" w:cs="Arial"/>
          <w:sz w:val="22"/>
          <w:szCs w:val="22"/>
        </w:rPr>
        <w:t>ture</w:t>
      </w:r>
      <w:r w:rsidR="00652BB5" w:rsidRPr="001E4C00">
        <w:rPr>
          <w:rFonts w:ascii="Arial" w:hAnsi="Arial" w:cs="Arial"/>
          <w:sz w:val="22"/>
          <w:szCs w:val="22"/>
        </w:rPr>
        <w:t xml:space="preserve"> </w:t>
      </w:r>
      <w:r w:rsidRPr="001E4C00">
        <w:rPr>
          <w:rFonts w:ascii="Arial" w:hAnsi="Arial" w:cs="Arial"/>
          <w:sz w:val="22"/>
          <w:szCs w:val="22"/>
        </w:rPr>
        <w:t>d</w:t>
      </w:r>
      <w:r w:rsidR="008F70DE" w:rsidRPr="001E4C00">
        <w:rPr>
          <w:rFonts w:ascii="Arial" w:hAnsi="Arial" w:cs="Arial"/>
          <w:sz w:val="22"/>
          <w:szCs w:val="22"/>
        </w:rPr>
        <w:t>’</w:t>
      </w:r>
      <w:r w:rsidR="001957C8" w:rsidRPr="001E4C00">
        <w:rPr>
          <w:rFonts w:ascii="Arial" w:hAnsi="Arial" w:cs="Arial"/>
          <w:sz w:val="22"/>
          <w:szCs w:val="22"/>
        </w:rPr>
        <w:t>un accès à l</w:t>
      </w:r>
      <w:r w:rsidR="008F70DE" w:rsidRPr="001E4C00">
        <w:rPr>
          <w:rFonts w:ascii="Arial" w:hAnsi="Arial" w:cs="Arial"/>
          <w:sz w:val="22"/>
          <w:szCs w:val="22"/>
        </w:rPr>
        <w:t>’</w:t>
      </w:r>
      <w:r w:rsidR="001957C8" w:rsidRPr="001E4C00">
        <w:rPr>
          <w:rFonts w:ascii="Arial" w:hAnsi="Arial" w:cs="Arial"/>
          <w:sz w:val="22"/>
          <w:szCs w:val="22"/>
        </w:rPr>
        <w:t xml:space="preserve">information et aux technologies pour soutenir la </w:t>
      </w:r>
      <w:r w:rsidRPr="001E4C00">
        <w:rPr>
          <w:rFonts w:ascii="Arial" w:hAnsi="Arial" w:cs="Arial"/>
          <w:sz w:val="22"/>
          <w:szCs w:val="22"/>
        </w:rPr>
        <w:t xml:space="preserve">poursuite </w:t>
      </w:r>
      <w:r w:rsidR="001957C8" w:rsidRPr="001E4C00">
        <w:rPr>
          <w:rFonts w:ascii="Arial" w:hAnsi="Arial" w:cs="Arial"/>
          <w:sz w:val="22"/>
          <w:szCs w:val="22"/>
        </w:rPr>
        <w:t>des activités et le développement de l</w:t>
      </w:r>
      <w:r w:rsidR="008F70DE" w:rsidRPr="001E4C00">
        <w:rPr>
          <w:rFonts w:ascii="Arial" w:hAnsi="Arial" w:cs="Arial"/>
          <w:sz w:val="22"/>
          <w:szCs w:val="22"/>
        </w:rPr>
        <w:t>’</w:t>
      </w:r>
      <w:r w:rsidR="001957C8" w:rsidRPr="001E4C00">
        <w:rPr>
          <w:rFonts w:ascii="Arial" w:hAnsi="Arial" w:cs="Arial"/>
          <w:sz w:val="22"/>
          <w:szCs w:val="22"/>
        </w:rPr>
        <w:t>UANIPIO, des institutions gouvernementales, des CATI et des utilisateurs publics tels que les PME, les jeunes entreprises, les chercheurs, les créateurs et les utilisateurs ayant des difficultés de lecture des textes imprimés;</w:t>
      </w:r>
    </w:p>
    <w:p w:rsidR="001957C8" w:rsidRPr="001E4C00" w:rsidRDefault="00E62DFA" w:rsidP="007537DD">
      <w:pPr>
        <w:pStyle w:val="ListParagraph"/>
        <w:numPr>
          <w:ilvl w:val="0"/>
          <w:numId w:val="39"/>
        </w:numPr>
        <w:tabs>
          <w:tab w:val="left" w:pos="1134"/>
        </w:tabs>
        <w:ind w:left="1134" w:hanging="567"/>
        <w:rPr>
          <w:rFonts w:ascii="Arial" w:hAnsi="Arial" w:cs="Arial"/>
          <w:sz w:val="22"/>
          <w:szCs w:val="22"/>
        </w:rPr>
      </w:pPr>
      <w:proofErr w:type="gramStart"/>
      <w:r w:rsidRPr="001E4C00">
        <w:rPr>
          <w:rFonts w:ascii="Arial" w:hAnsi="Arial" w:cs="Arial"/>
          <w:sz w:val="22"/>
          <w:szCs w:val="22"/>
        </w:rPr>
        <w:t>la</w:t>
      </w:r>
      <w:proofErr w:type="gramEnd"/>
      <w:r w:rsidRPr="001E4C00">
        <w:rPr>
          <w:rFonts w:ascii="Arial" w:hAnsi="Arial" w:cs="Arial"/>
          <w:sz w:val="22"/>
          <w:szCs w:val="22"/>
        </w:rPr>
        <w:t xml:space="preserve"> </w:t>
      </w:r>
      <w:r w:rsidR="00652BB5" w:rsidRPr="001E4C00">
        <w:rPr>
          <w:rFonts w:ascii="Arial" w:hAnsi="Arial" w:cs="Arial"/>
          <w:sz w:val="22"/>
          <w:szCs w:val="22"/>
        </w:rPr>
        <w:t>f</w:t>
      </w:r>
      <w:r w:rsidR="001957C8" w:rsidRPr="001E4C00">
        <w:rPr>
          <w:rFonts w:ascii="Arial" w:hAnsi="Arial" w:cs="Arial"/>
          <w:sz w:val="22"/>
          <w:szCs w:val="22"/>
        </w:rPr>
        <w:t>ourni</w:t>
      </w:r>
      <w:r w:rsidRPr="001E4C00">
        <w:rPr>
          <w:rFonts w:ascii="Arial" w:hAnsi="Arial" w:cs="Arial"/>
          <w:sz w:val="22"/>
          <w:szCs w:val="22"/>
        </w:rPr>
        <w:t>ture</w:t>
      </w:r>
      <w:r w:rsidR="001957C8" w:rsidRPr="001E4C00">
        <w:rPr>
          <w:rFonts w:ascii="Arial" w:hAnsi="Arial" w:cs="Arial"/>
          <w:sz w:val="22"/>
          <w:szCs w:val="22"/>
        </w:rPr>
        <w:t xml:space="preserve"> de conseils politiques et législatifs sur l</w:t>
      </w:r>
      <w:r w:rsidR="008F70DE" w:rsidRPr="001E4C00">
        <w:rPr>
          <w:rFonts w:ascii="Arial" w:hAnsi="Arial" w:cs="Arial"/>
          <w:sz w:val="22"/>
          <w:szCs w:val="22"/>
        </w:rPr>
        <w:t>’</w:t>
      </w:r>
      <w:r w:rsidR="001957C8" w:rsidRPr="001E4C00">
        <w:rPr>
          <w:rFonts w:ascii="Arial" w:hAnsi="Arial" w:cs="Arial"/>
          <w:sz w:val="22"/>
          <w:szCs w:val="22"/>
        </w:rPr>
        <w:t>élaboration et la mise en œuvre de la nouvelle stratégie nationale en matière de propriété intellectuelle, de la loi et des règlements sur le droit d</w:t>
      </w:r>
      <w:r w:rsidR="008F70DE" w:rsidRPr="001E4C00">
        <w:rPr>
          <w:rFonts w:ascii="Arial" w:hAnsi="Arial" w:cs="Arial"/>
          <w:sz w:val="22"/>
          <w:szCs w:val="22"/>
        </w:rPr>
        <w:t>’</w:t>
      </w:r>
      <w:r w:rsidR="001957C8" w:rsidRPr="001E4C00">
        <w:rPr>
          <w:rFonts w:ascii="Arial" w:hAnsi="Arial" w:cs="Arial"/>
          <w:sz w:val="22"/>
          <w:szCs w:val="22"/>
        </w:rPr>
        <w:t>auteur et du système de gestion collective de l</w:t>
      </w:r>
      <w:r w:rsidR="008F70DE" w:rsidRPr="001E4C00">
        <w:rPr>
          <w:rFonts w:ascii="Arial" w:hAnsi="Arial" w:cs="Arial"/>
          <w:sz w:val="22"/>
          <w:szCs w:val="22"/>
        </w:rPr>
        <w:t>’</w:t>
      </w:r>
      <w:r w:rsidR="001957C8" w:rsidRPr="001E4C00">
        <w:rPr>
          <w:rFonts w:ascii="Arial" w:hAnsi="Arial" w:cs="Arial"/>
          <w:sz w:val="22"/>
          <w:szCs w:val="22"/>
        </w:rPr>
        <w:t>Ukraine;</w:t>
      </w:r>
    </w:p>
    <w:p w:rsidR="001957C8" w:rsidRPr="001E4C00" w:rsidRDefault="00E62DFA" w:rsidP="007537DD">
      <w:pPr>
        <w:pStyle w:val="ListParagraph"/>
        <w:numPr>
          <w:ilvl w:val="0"/>
          <w:numId w:val="39"/>
        </w:numPr>
        <w:tabs>
          <w:tab w:val="left" w:pos="1134"/>
        </w:tabs>
        <w:ind w:left="1134" w:hanging="567"/>
        <w:rPr>
          <w:rFonts w:ascii="Arial" w:hAnsi="Arial" w:cs="Arial"/>
          <w:sz w:val="22"/>
          <w:szCs w:val="22"/>
        </w:rPr>
      </w:pPr>
      <w:proofErr w:type="gramStart"/>
      <w:r w:rsidRPr="001E4C00">
        <w:rPr>
          <w:rFonts w:ascii="Arial" w:hAnsi="Arial" w:cs="Arial"/>
          <w:sz w:val="22"/>
          <w:szCs w:val="22"/>
        </w:rPr>
        <w:t>le</w:t>
      </w:r>
      <w:proofErr w:type="gramEnd"/>
      <w:r w:rsidRPr="001E4C00">
        <w:rPr>
          <w:rFonts w:ascii="Arial" w:hAnsi="Arial" w:cs="Arial"/>
          <w:sz w:val="22"/>
          <w:szCs w:val="22"/>
        </w:rPr>
        <w:t xml:space="preserve"> </w:t>
      </w:r>
      <w:r w:rsidR="00652BB5" w:rsidRPr="001E4C00">
        <w:rPr>
          <w:rFonts w:ascii="Arial" w:hAnsi="Arial" w:cs="Arial"/>
          <w:sz w:val="22"/>
          <w:szCs w:val="22"/>
        </w:rPr>
        <w:t>s</w:t>
      </w:r>
      <w:r w:rsidR="001957C8" w:rsidRPr="001E4C00">
        <w:rPr>
          <w:rFonts w:ascii="Arial" w:hAnsi="Arial" w:cs="Arial"/>
          <w:sz w:val="22"/>
          <w:szCs w:val="22"/>
        </w:rPr>
        <w:t>outien au développement des activités de propriété intellectuelle de l</w:t>
      </w:r>
      <w:r w:rsidR="008F70DE" w:rsidRPr="001E4C00">
        <w:rPr>
          <w:rFonts w:ascii="Arial" w:hAnsi="Arial" w:cs="Arial"/>
          <w:sz w:val="22"/>
          <w:szCs w:val="22"/>
        </w:rPr>
        <w:t>’</w:t>
      </w:r>
      <w:r w:rsidR="001957C8" w:rsidRPr="001E4C00">
        <w:rPr>
          <w:rFonts w:ascii="Arial" w:hAnsi="Arial" w:cs="Arial"/>
          <w:sz w:val="22"/>
          <w:szCs w:val="22"/>
        </w:rPr>
        <w:t>UANIPIO;</w:t>
      </w:r>
    </w:p>
    <w:p w:rsidR="001957C8" w:rsidRPr="001E4C00" w:rsidRDefault="00E62DFA" w:rsidP="007537DD">
      <w:pPr>
        <w:pStyle w:val="ListParagraph"/>
        <w:numPr>
          <w:ilvl w:val="0"/>
          <w:numId w:val="39"/>
        </w:numPr>
        <w:tabs>
          <w:tab w:val="left" w:pos="1134"/>
        </w:tabs>
        <w:ind w:left="1134" w:hanging="567"/>
        <w:rPr>
          <w:rFonts w:ascii="Arial" w:hAnsi="Arial" w:cs="Arial"/>
          <w:sz w:val="22"/>
          <w:szCs w:val="22"/>
        </w:rPr>
      </w:pPr>
      <w:proofErr w:type="gramStart"/>
      <w:r w:rsidRPr="001E4C00">
        <w:rPr>
          <w:rFonts w:ascii="Arial" w:hAnsi="Arial" w:cs="Arial"/>
          <w:sz w:val="22"/>
          <w:szCs w:val="22"/>
        </w:rPr>
        <w:t>le</w:t>
      </w:r>
      <w:proofErr w:type="gramEnd"/>
      <w:r w:rsidRPr="001E4C00">
        <w:rPr>
          <w:rFonts w:ascii="Arial" w:hAnsi="Arial" w:cs="Arial"/>
          <w:sz w:val="22"/>
          <w:szCs w:val="22"/>
        </w:rPr>
        <w:t xml:space="preserve"> </w:t>
      </w:r>
      <w:r w:rsidR="00652BB5" w:rsidRPr="001E4C00">
        <w:rPr>
          <w:rFonts w:ascii="Arial" w:hAnsi="Arial" w:cs="Arial"/>
          <w:sz w:val="22"/>
          <w:szCs w:val="22"/>
        </w:rPr>
        <w:t>s</w:t>
      </w:r>
      <w:r w:rsidR="001957C8" w:rsidRPr="001E4C00">
        <w:rPr>
          <w:rFonts w:ascii="Arial" w:hAnsi="Arial" w:cs="Arial"/>
          <w:sz w:val="22"/>
          <w:szCs w:val="22"/>
        </w:rPr>
        <w:t>outien à l</w:t>
      </w:r>
      <w:r w:rsidR="008F70DE" w:rsidRPr="001E4C00">
        <w:rPr>
          <w:rFonts w:ascii="Arial" w:hAnsi="Arial" w:cs="Arial"/>
          <w:sz w:val="22"/>
          <w:szCs w:val="22"/>
        </w:rPr>
        <w:t>’</w:t>
      </w:r>
      <w:r w:rsidR="001957C8" w:rsidRPr="001E4C00">
        <w:rPr>
          <w:rFonts w:ascii="Arial" w:hAnsi="Arial" w:cs="Arial"/>
          <w:sz w:val="22"/>
          <w:szCs w:val="22"/>
        </w:rPr>
        <w:t>institution de formation à la propriété intellectuelle (IPTI);</w:t>
      </w:r>
    </w:p>
    <w:p w:rsidR="001957C8" w:rsidRPr="001E4C00" w:rsidRDefault="00E62DFA" w:rsidP="007537DD">
      <w:pPr>
        <w:pStyle w:val="ListParagraph"/>
        <w:numPr>
          <w:ilvl w:val="0"/>
          <w:numId w:val="39"/>
        </w:numPr>
        <w:tabs>
          <w:tab w:val="left" w:pos="1134"/>
        </w:tabs>
        <w:ind w:left="1134" w:hanging="567"/>
        <w:rPr>
          <w:rFonts w:ascii="Arial" w:hAnsi="Arial" w:cs="Arial"/>
          <w:sz w:val="22"/>
          <w:szCs w:val="22"/>
        </w:rPr>
      </w:pPr>
      <w:proofErr w:type="gramStart"/>
      <w:r w:rsidRPr="001E4C00">
        <w:rPr>
          <w:rFonts w:ascii="Arial" w:hAnsi="Arial" w:cs="Arial"/>
          <w:sz w:val="22"/>
          <w:szCs w:val="22"/>
        </w:rPr>
        <w:t>l</w:t>
      </w:r>
      <w:r w:rsidR="008F70DE" w:rsidRPr="001E4C00">
        <w:rPr>
          <w:rFonts w:ascii="Arial" w:hAnsi="Arial" w:cs="Arial"/>
          <w:sz w:val="22"/>
          <w:szCs w:val="22"/>
        </w:rPr>
        <w:t>’</w:t>
      </w:r>
      <w:r w:rsidR="00652BB5" w:rsidRPr="001E4C00">
        <w:rPr>
          <w:rFonts w:ascii="Arial" w:hAnsi="Arial" w:cs="Arial"/>
          <w:sz w:val="22"/>
          <w:szCs w:val="22"/>
        </w:rPr>
        <w:t>a</w:t>
      </w:r>
      <w:r w:rsidR="001957C8" w:rsidRPr="001E4C00">
        <w:rPr>
          <w:rFonts w:ascii="Arial" w:hAnsi="Arial" w:cs="Arial"/>
          <w:sz w:val="22"/>
          <w:szCs w:val="22"/>
        </w:rPr>
        <w:t>ppui</w:t>
      </w:r>
      <w:proofErr w:type="gramEnd"/>
      <w:r w:rsidR="001957C8" w:rsidRPr="001E4C00">
        <w:rPr>
          <w:rFonts w:ascii="Arial" w:hAnsi="Arial" w:cs="Arial"/>
          <w:sz w:val="22"/>
          <w:szCs w:val="22"/>
        </w:rPr>
        <w:t xml:space="preserve"> aux autorités chargées de l</w:t>
      </w:r>
      <w:r w:rsidR="008F70DE" w:rsidRPr="001E4C00">
        <w:rPr>
          <w:rFonts w:ascii="Arial" w:hAnsi="Arial" w:cs="Arial"/>
          <w:sz w:val="22"/>
          <w:szCs w:val="22"/>
        </w:rPr>
        <w:t>’</w:t>
      </w:r>
      <w:r w:rsidR="001957C8" w:rsidRPr="001E4C00">
        <w:rPr>
          <w:rFonts w:ascii="Arial" w:hAnsi="Arial" w:cs="Arial"/>
          <w:sz w:val="22"/>
          <w:szCs w:val="22"/>
        </w:rPr>
        <w:t>application des droits de propriété intellectuelle;</w:t>
      </w:r>
    </w:p>
    <w:p w:rsidR="001957C8" w:rsidRPr="001E4C00" w:rsidRDefault="00E62DFA" w:rsidP="007537DD">
      <w:pPr>
        <w:pStyle w:val="ListParagraph"/>
        <w:numPr>
          <w:ilvl w:val="0"/>
          <w:numId w:val="39"/>
        </w:numPr>
        <w:tabs>
          <w:tab w:val="left" w:pos="1134"/>
        </w:tabs>
        <w:ind w:left="1134" w:hanging="567"/>
        <w:rPr>
          <w:rFonts w:ascii="Arial" w:hAnsi="Arial" w:cs="Arial"/>
          <w:sz w:val="22"/>
          <w:szCs w:val="22"/>
        </w:rPr>
      </w:pPr>
      <w:proofErr w:type="gramStart"/>
      <w:r w:rsidRPr="001E4C00">
        <w:rPr>
          <w:rFonts w:ascii="Arial" w:hAnsi="Arial" w:cs="Arial"/>
          <w:sz w:val="22"/>
          <w:szCs w:val="22"/>
        </w:rPr>
        <w:t>le</w:t>
      </w:r>
      <w:proofErr w:type="gramEnd"/>
      <w:r w:rsidRPr="001E4C00">
        <w:rPr>
          <w:rFonts w:ascii="Arial" w:hAnsi="Arial" w:cs="Arial"/>
          <w:sz w:val="22"/>
          <w:szCs w:val="22"/>
        </w:rPr>
        <w:t xml:space="preserve"> </w:t>
      </w:r>
      <w:r w:rsidR="00652BB5" w:rsidRPr="001E4C00">
        <w:rPr>
          <w:rFonts w:ascii="Arial" w:hAnsi="Arial" w:cs="Arial"/>
          <w:sz w:val="22"/>
          <w:szCs w:val="22"/>
        </w:rPr>
        <w:t>s</w:t>
      </w:r>
      <w:r w:rsidR="001957C8" w:rsidRPr="001E4C00">
        <w:rPr>
          <w:rFonts w:ascii="Arial" w:hAnsi="Arial" w:cs="Arial"/>
          <w:sz w:val="22"/>
          <w:szCs w:val="22"/>
        </w:rPr>
        <w:t>outien à la politique de règlement extrajudiciaire des litiges et aux activités de sensibilisation;</w:t>
      </w:r>
    </w:p>
    <w:p w:rsidR="001957C8" w:rsidRPr="001E4C00" w:rsidRDefault="00E62DFA" w:rsidP="007537DD">
      <w:pPr>
        <w:pStyle w:val="ListParagraph"/>
        <w:numPr>
          <w:ilvl w:val="0"/>
          <w:numId w:val="39"/>
        </w:numPr>
        <w:tabs>
          <w:tab w:val="left" w:pos="1134"/>
        </w:tabs>
        <w:ind w:left="1134" w:hanging="567"/>
        <w:rPr>
          <w:rFonts w:ascii="Arial" w:hAnsi="Arial" w:cs="Arial"/>
          <w:sz w:val="22"/>
          <w:szCs w:val="22"/>
        </w:rPr>
      </w:pPr>
      <w:proofErr w:type="gramStart"/>
      <w:r w:rsidRPr="001E4C00">
        <w:rPr>
          <w:rFonts w:ascii="Arial" w:hAnsi="Arial" w:cs="Arial"/>
          <w:sz w:val="22"/>
          <w:szCs w:val="22"/>
        </w:rPr>
        <w:t>le</w:t>
      </w:r>
      <w:proofErr w:type="gramEnd"/>
      <w:r w:rsidRPr="001E4C00">
        <w:rPr>
          <w:rFonts w:ascii="Arial" w:hAnsi="Arial" w:cs="Arial"/>
          <w:sz w:val="22"/>
          <w:szCs w:val="22"/>
        </w:rPr>
        <w:t xml:space="preserve"> </w:t>
      </w:r>
      <w:r w:rsidR="00652BB5" w:rsidRPr="001E4C00">
        <w:rPr>
          <w:rFonts w:ascii="Arial" w:hAnsi="Arial" w:cs="Arial"/>
          <w:sz w:val="22"/>
          <w:szCs w:val="22"/>
        </w:rPr>
        <w:t>s</w:t>
      </w:r>
      <w:r w:rsidR="001957C8" w:rsidRPr="001E4C00">
        <w:rPr>
          <w:rFonts w:ascii="Arial" w:hAnsi="Arial" w:cs="Arial"/>
          <w:sz w:val="22"/>
          <w:szCs w:val="22"/>
        </w:rPr>
        <w:t xml:space="preserve">outien et </w:t>
      </w:r>
      <w:r w:rsidRPr="001E4C00">
        <w:rPr>
          <w:rFonts w:ascii="Arial" w:hAnsi="Arial" w:cs="Arial"/>
          <w:sz w:val="22"/>
          <w:szCs w:val="22"/>
        </w:rPr>
        <w:t>l</w:t>
      </w:r>
      <w:r w:rsidR="008F70DE" w:rsidRPr="001E4C00">
        <w:rPr>
          <w:rFonts w:ascii="Arial" w:hAnsi="Arial" w:cs="Arial"/>
          <w:sz w:val="22"/>
          <w:szCs w:val="22"/>
        </w:rPr>
        <w:t>’</w:t>
      </w:r>
      <w:r w:rsidR="001957C8" w:rsidRPr="001E4C00">
        <w:rPr>
          <w:rFonts w:ascii="Arial" w:hAnsi="Arial" w:cs="Arial"/>
          <w:sz w:val="22"/>
          <w:szCs w:val="22"/>
        </w:rPr>
        <w:t xml:space="preserve">assistance aux institutions gouvernementales, aux PME, aux créateurs et aux inventeurs en matière </w:t>
      </w:r>
      <w:r w:rsidRPr="001E4C00">
        <w:rPr>
          <w:rFonts w:ascii="Arial" w:hAnsi="Arial" w:cs="Arial"/>
          <w:sz w:val="22"/>
          <w:szCs w:val="22"/>
        </w:rPr>
        <w:t>de recensement</w:t>
      </w:r>
      <w:r w:rsidR="001957C8" w:rsidRPr="001E4C00">
        <w:rPr>
          <w:rFonts w:ascii="Arial" w:hAnsi="Arial" w:cs="Arial"/>
          <w:sz w:val="22"/>
          <w:szCs w:val="22"/>
        </w:rPr>
        <w:t>, d</w:t>
      </w:r>
      <w:r w:rsidR="008F70DE" w:rsidRPr="001E4C00">
        <w:rPr>
          <w:rFonts w:ascii="Arial" w:hAnsi="Arial" w:cs="Arial"/>
          <w:sz w:val="22"/>
          <w:szCs w:val="22"/>
        </w:rPr>
        <w:t>’</w:t>
      </w:r>
      <w:r w:rsidR="001957C8" w:rsidRPr="001E4C00">
        <w:rPr>
          <w:rFonts w:ascii="Arial" w:hAnsi="Arial" w:cs="Arial"/>
          <w:sz w:val="22"/>
          <w:szCs w:val="22"/>
        </w:rPr>
        <w:t>évaluation et d</w:t>
      </w:r>
      <w:r w:rsidR="008F70DE" w:rsidRPr="001E4C00">
        <w:rPr>
          <w:rFonts w:ascii="Arial" w:hAnsi="Arial" w:cs="Arial"/>
          <w:sz w:val="22"/>
          <w:szCs w:val="22"/>
        </w:rPr>
        <w:t>’</w:t>
      </w:r>
      <w:r w:rsidR="001957C8" w:rsidRPr="001E4C00">
        <w:rPr>
          <w:rFonts w:ascii="Arial" w:hAnsi="Arial" w:cs="Arial"/>
          <w:sz w:val="22"/>
          <w:szCs w:val="22"/>
        </w:rPr>
        <w:t>exploitation de leur propriété intellectuelle;</w:t>
      </w:r>
    </w:p>
    <w:p w:rsidR="001957C8" w:rsidRPr="001E4C00" w:rsidRDefault="001D5144" w:rsidP="007537DD">
      <w:pPr>
        <w:pStyle w:val="ListParagraph"/>
        <w:numPr>
          <w:ilvl w:val="0"/>
          <w:numId w:val="39"/>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le</w:t>
      </w:r>
      <w:proofErr w:type="gramEnd"/>
      <w:r w:rsidRPr="001E4C00">
        <w:rPr>
          <w:rFonts w:ascii="Arial" w:hAnsi="Arial" w:cs="Arial"/>
          <w:sz w:val="22"/>
          <w:szCs w:val="22"/>
        </w:rPr>
        <w:t xml:space="preserve"> </w:t>
      </w:r>
      <w:r w:rsidR="00652BB5" w:rsidRPr="001E4C00">
        <w:rPr>
          <w:rFonts w:ascii="Arial" w:hAnsi="Arial" w:cs="Arial"/>
          <w:sz w:val="22"/>
          <w:szCs w:val="22"/>
        </w:rPr>
        <w:t>r</w:t>
      </w:r>
      <w:r w:rsidR="001957C8" w:rsidRPr="001E4C00">
        <w:rPr>
          <w:rFonts w:ascii="Arial" w:hAnsi="Arial" w:cs="Arial"/>
          <w:sz w:val="22"/>
          <w:szCs w:val="22"/>
        </w:rPr>
        <w:t xml:space="preserve">enforcement des capacités </w:t>
      </w:r>
      <w:r w:rsidRPr="001E4C00">
        <w:rPr>
          <w:rFonts w:ascii="Arial" w:hAnsi="Arial" w:cs="Arial"/>
          <w:sz w:val="22"/>
          <w:szCs w:val="22"/>
        </w:rPr>
        <w:t xml:space="preserve">grâce à </w:t>
      </w:r>
      <w:r w:rsidR="001957C8" w:rsidRPr="001E4C00">
        <w:rPr>
          <w:rFonts w:ascii="Arial" w:hAnsi="Arial" w:cs="Arial"/>
          <w:sz w:val="22"/>
          <w:szCs w:val="22"/>
        </w:rPr>
        <w:t>la participation à des projets, des programmes de formation et des ateliers destinés à diverses parties prenantes d</w:t>
      </w:r>
      <w:r w:rsidR="008F70DE" w:rsidRPr="001E4C00">
        <w:rPr>
          <w:rFonts w:ascii="Arial" w:hAnsi="Arial" w:cs="Arial"/>
          <w:sz w:val="22"/>
          <w:szCs w:val="22"/>
        </w:rPr>
        <w:t>’</w:t>
      </w:r>
      <w:r w:rsidR="001957C8" w:rsidRPr="001E4C00">
        <w:rPr>
          <w:rFonts w:ascii="Arial" w:hAnsi="Arial" w:cs="Arial"/>
          <w:sz w:val="22"/>
          <w:szCs w:val="22"/>
        </w:rPr>
        <w:t>Ukraine.</w:t>
      </w:r>
    </w:p>
    <w:p w:rsidR="001957C8" w:rsidRPr="001E4C00" w:rsidRDefault="001957C8" w:rsidP="007537DD">
      <w:pPr>
        <w:pStyle w:val="Heading2"/>
        <w:rPr>
          <w:lang w:val="fr-FR"/>
        </w:rPr>
      </w:pPr>
      <w:r w:rsidRPr="001E4C00">
        <w:rPr>
          <w:lang w:val="fr-FR"/>
        </w:rPr>
        <w:t>4.2.</w:t>
      </w:r>
      <w:r w:rsidRPr="001E4C00">
        <w:rPr>
          <w:lang w:val="fr-FR"/>
        </w:rPr>
        <w:tab/>
        <w:t>Fourniture d</w:t>
      </w:r>
      <w:r w:rsidR="008F70DE" w:rsidRPr="001E4C00">
        <w:rPr>
          <w:lang w:val="fr-FR"/>
        </w:rPr>
        <w:t>’</w:t>
      </w:r>
      <w:r w:rsidRPr="001E4C00">
        <w:rPr>
          <w:lang w:val="fr-FR"/>
        </w:rPr>
        <w:t>un accès à l</w:t>
      </w:r>
      <w:r w:rsidR="008F70DE" w:rsidRPr="001E4C00">
        <w:rPr>
          <w:lang w:val="fr-FR"/>
        </w:rPr>
        <w:t>’</w:t>
      </w:r>
      <w:r w:rsidRPr="001E4C00">
        <w:rPr>
          <w:lang w:val="fr-FR"/>
        </w:rPr>
        <w:t>information et aux technologies</w:t>
      </w:r>
    </w:p>
    <w:p w:rsidR="008A3FE2" w:rsidRPr="001E4C00" w:rsidRDefault="001957C8" w:rsidP="007537DD">
      <w:pPr>
        <w:pStyle w:val="Heading3"/>
        <w:rPr>
          <w:lang w:val="fr-FR"/>
        </w:rPr>
      </w:pPr>
      <w:r w:rsidRPr="001E4C00">
        <w:rPr>
          <w:lang w:val="fr-FR"/>
        </w:rPr>
        <w:t>4.2.1.</w:t>
      </w:r>
      <w:r w:rsidRPr="001E4C00">
        <w:rPr>
          <w:lang w:val="fr-FR"/>
        </w:rPr>
        <w:tab/>
      </w:r>
      <w:r w:rsidRPr="001E4C00">
        <w:rPr>
          <w:u w:val="single"/>
          <w:lang w:val="fr-FR"/>
        </w:rPr>
        <w:t>Accès aux services de l</w:t>
      </w:r>
      <w:r w:rsidR="008F70DE" w:rsidRPr="001E4C00">
        <w:rPr>
          <w:u w:val="single"/>
          <w:lang w:val="fr-FR"/>
        </w:rPr>
        <w:t>’</w:t>
      </w:r>
      <w:r w:rsidRPr="001E4C00">
        <w:rPr>
          <w:u w:val="single"/>
          <w:lang w:val="fr-FR"/>
        </w:rPr>
        <w:t>OMPI</w:t>
      </w:r>
    </w:p>
    <w:p w:rsidR="001957C8" w:rsidRPr="001E4C00" w:rsidRDefault="001957C8" w:rsidP="001D5144">
      <w:pPr>
        <w:pStyle w:val="ONUMFS"/>
        <w:rPr>
          <w:lang w:val="fr-FR"/>
        </w:rPr>
      </w:pPr>
      <w:r w:rsidRPr="001E4C00">
        <w:rPr>
          <w:lang w:val="fr-FR"/>
        </w:rPr>
        <w:t>L</w:t>
      </w:r>
      <w:r w:rsidR="008F70DE" w:rsidRPr="001E4C00">
        <w:rPr>
          <w:lang w:val="fr-FR"/>
        </w:rPr>
        <w:t>’</w:t>
      </w:r>
      <w:r w:rsidRPr="001E4C00">
        <w:rPr>
          <w:lang w:val="fr-FR"/>
        </w:rPr>
        <w:t>OMPI a facilité la continuité des activités de l</w:t>
      </w:r>
      <w:r w:rsidR="008F70DE" w:rsidRPr="001E4C00">
        <w:rPr>
          <w:lang w:val="fr-FR"/>
        </w:rPr>
        <w:t>’</w:t>
      </w:r>
      <w:r w:rsidRPr="001E4C00">
        <w:rPr>
          <w:lang w:val="fr-FR"/>
        </w:rPr>
        <w:t xml:space="preserve">UANIPIO en tant </w:t>
      </w:r>
      <w:r w:rsidR="001D5144" w:rsidRPr="001E4C00">
        <w:rPr>
          <w:lang w:val="fr-FR"/>
        </w:rPr>
        <w:t>qu</w:t>
      </w:r>
      <w:r w:rsidR="008F70DE" w:rsidRPr="001E4C00">
        <w:rPr>
          <w:lang w:val="fr-FR"/>
        </w:rPr>
        <w:t>’</w:t>
      </w:r>
      <w:r w:rsidR="001D5144" w:rsidRPr="001E4C00">
        <w:rPr>
          <w:lang w:val="fr-FR"/>
        </w:rPr>
        <w:t xml:space="preserve">office </w:t>
      </w:r>
      <w:r w:rsidRPr="001E4C00">
        <w:rPr>
          <w:lang w:val="fr-FR"/>
        </w:rPr>
        <w:t xml:space="preserve">national de la propriété intellectuelle en préservant les comptes des utilisateurs de </w:t>
      </w:r>
      <w:r w:rsidR="001D5144" w:rsidRPr="001E4C00">
        <w:rPr>
          <w:lang w:val="fr-FR"/>
        </w:rPr>
        <w:t>l</w:t>
      </w:r>
      <w:r w:rsidR="008F70DE" w:rsidRPr="001E4C00">
        <w:rPr>
          <w:lang w:val="fr-FR"/>
        </w:rPr>
        <w:t>’</w:t>
      </w:r>
      <w:r w:rsidR="001D5144" w:rsidRPr="001E4C00">
        <w:rPr>
          <w:lang w:val="fr-FR"/>
        </w:rPr>
        <w:t xml:space="preserve">office </w:t>
      </w:r>
      <w:r w:rsidRPr="001E4C00">
        <w:rPr>
          <w:lang w:val="fr-FR"/>
        </w:rPr>
        <w:t>et l</w:t>
      </w:r>
      <w:r w:rsidR="008F70DE" w:rsidRPr="001E4C00">
        <w:rPr>
          <w:lang w:val="fr-FR"/>
        </w:rPr>
        <w:t>’</w:t>
      </w:r>
      <w:r w:rsidRPr="001E4C00">
        <w:rPr>
          <w:lang w:val="fr-FR"/>
        </w:rPr>
        <w:t>accès aux services de l</w:t>
      </w:r>
      <w:r w:rsidR="008F70DE" w:rsidRPr="001E4C00">
        <w:rPr>
          <w:lang w:val="fr-FR"/>
        </w:rPr>
        <w:t>’</w:t>
      </w:r>
      <w:r w:rsidRPr="001E4C00">
        <w:rPr>
          <w:lang w:val="fr-FR"/>
        </w:rPr>
        <w:t>OMPI, tels qu</w:t>
      </w:r>
      <w:r w:rsidR="008F70DE" w:rsidRPr="001E4C00">
        <w:rPr>
          <w:lang w:val="fr-FR"/>
        </w:rPr>
        <w:t>’</w:t>
      </w:r>
      <w:proofErr w:type="spellStart"/>
      <w:r w:rsidRPr="001E4C00">
        <w:rPr>
          <w:lang w:val="fr-FR"/>
        </w:rPr>
        <w:t>ePCT</w:t>
      </w:r>
      <w:proofErr w:type="spellEnd"/>
      <w:r w:rsidRPr="001E4C00">
        <w:rPr>
          <w:lang w:val="fr-FR"/>
        </w:rPr>
        <w:t>, le système d</w:t>
      </w:r>
      <w:r w:rsidR="008F70DE" w:rsidRPr="001E4C00">
        <w:rPr>
          <w:lang w:val="fr-FR"/>
        </w:rPr>
        <w:t>’</w:t>
      </w:r>
      <w:r w:rsidRPr="001E4C00">
        <w:rPr>
          <w:lang w:val="fr-FR"/>
        </w:rPr>
        <w:t>échange électronique de données du PCT (PCT</w:t>
      </w:r>
      <w:r w:rsidR="0091158D">
        <w:rPr>
          <w:lang w:val="fr-FR"/>
        </w:rPr>
        <w:noBreakHyphen/>
      </w:r>
      <w:r w:rsidRPr="001E4C00">
        <w:rPr>
          <w:lang w:val="fr-FR"/>
        </w:rPr>
        <w:t xml:space="preserve">EDI) et le portail </w:t>
      </w:r>
      <w:r w:rsidR="001D5144" w:rsidRPr="001E4C00">
        <w:rPr>
          <w:lang w:val="fr-FR"/>
        </w:rPr>
        <w:t xml:space="preserve">des offices du système de </w:t>
      </w:r>
      <w:r w:rsidRPr="001E4C00">
        <w:rPr>
          <w:lang w:val="fr-FR"/>
        </w:rPr>
        <w:t>Madrid, et en mettant à jour les informations pertinentes sur le portail de propriété intellectuelle de l</w:t>
      </w:r>
      <w:r w:rsidR="008F70DE" w:rsidRPr="001E4C00">
        <w:rPr>
          <w:lang w:val="fr-FR"/>
        </w:rPr>
        <w:t>’</w:t>
      </w:r>
      <w:r w:rsidRPr="001E4C00">
        <w:rPr>
          <w:lang w:val="fr-FR"/>
        </w:rPr>
        <w:t xml:space="preserve">OMPI, telles que les informations relatives aux profils des membres </w:t>
      </w:r>
      <w:r w:rsidR="001D5144" w:rsidRPr="001E4C00">
        <w:rPr>
          <w:lang w:val="fr-FR"/>
        </w:rPr>
        <w:t xml:space="preserve">des systèmes </w:t>
      </w:r>
      <w:r w:rsidRPr="001E4C00">
        <w:rPr>
          <w:lang w:val="fr-FR"/>
        </w:rPr>
        <w:t xml:space="preserve">de </w:t>
      </w:r>
      <w:r w:rsidR="008F70DE" w:rsidRPr="001E4C00">
        <w:rPr>
          <w:lang w:val="fr-FR"/>
        </w:rPr>
        <w:t>La Haye</w:t>
      </w:r>
      <w:r w:rsidRPr="001E4C00">
        <w:rPr>
          <w:lang w:val="fr-FR"/>
        </w:rPr>
        <w:t xml:space="preserve"> et de Madrid.</w:t>
      </w:r>
    </w:p>
    <w:p w:rsidR="008A3FE2" w:rsidRPr="001E4C00" w:rsidRDefault="001957C8" w:rsidP="007537DD">
      <w:pPr>
        <w:pStyle w:val="Heading3"/>
        <w:rPr>
          <w:lang w:val="fr-FR"/>
        </w:rPr>
      </w:pPr>
      <w:r w:rsidRPr="001E4C00">
        <w:rPr>
          <w:lang w:val="fr-FR"/>
        </w:rPr>
        <w:t>4.2.2.</w:t>
      </w:r>
      <w:r w:rsidRPr="001E4C00">
        <w:rPr>
          <w:lang w:val="fr-FR"/>
        </w:rPr>
        <w:tab/>
      </w:r>
      <w:r w:rsidRPr="001E4C00">
        <w:rPr>
          <w:u w:val="single"/>
          <w:lang w:val="fr-FR"/>
        </w:rPr>
        <w:t xml:space="preserve">Accès </w:t>
      </w:r>
      <w:r w:rsidR="003153B8" w:rsidRPr="001E4C00">
        <w:rPr>
          <w:u w:val="single"/>
          <w:lang w:val="fr-FR"/>
        </w:rPr>
        <w:t xml:space="preserve">aux données de </w:t>
      </w:r>
      <w:r w:rsidRPr="001E4C00">
        <w:rPr>
          <w:u w:val="single"/>
          <w:lang w:val="fr-FR"/>
        </w:rPr>
        <w:t xml:space="preserve">brevets et </w:t>
      </w:r>
      <w:r w:rsidR="003153B8" w:rsidRPr="001E4C00">
        <w:rPr>
          <w:u w:val="single"/>
          <w:lang w:val="fr-FR"/>
        </w:rPr>
        <w:t xml:space="preserve">à la littérature </w:t>
      </w:r>
      <w:r w:rsidRPr="001E4C00">
        <w:rPr>
          <w:u w:val="single"/>
          <w:lang w:val="fr-FR"/>
        </w:rPr>
        <w:t>non</w:t>
      </w:r>
      <w:r w:rsidR="0091158D">
        <w:rPr>
          <w:u w:val="single"/>
          <w:lang w:val="fr-FR"/>
        </w:rPr>
        <w:noBreakHyphen/>
      </w:r>
      <w:r w:rsidRPr="001E4C00">
        <w:rPr>
          <w:u w:val="single"/>
          <w:lang w:val="fr-FR"/>
        </w:rPr>
        <w:t>brevet</w:t>
      </w:r>
    </w:p>
    <w:p w:rsidR="001957C8" w:rsidRPr="001E4C00" w:rsidRDefault="001957C8" w:rsidP="007115E7">
      <w:pPr>
        <w:pStyle w:val="ONUMFS"/>
        <w:rPr>
          <w:lang w:val="fr-FR"/>
        </w:rPr>
      </w:pPr>
      <w:r w:rsidRPr="001E4C00">
        <w:rPr>
          <w:lang w:val="fr-FR"/>
        </w:rPr>
        <w:t>Le Bureau international continue également de fournir une assistance aux institutions ukrainiennes dans le cadre de deux programmes public</w:t>
      </w:r>
      <w:r w:rsidR="0091158D">
        <w:rPr>
          <w:lang w:val="fr-FR"/>
        </w:rPr>
        <w:noBreakHyphen/>
      </w:r>
      <w:r w:rsidRPr="001E4C00">
        <w:rPr>
          <w:lang w:val="fr-FR"/>
        </w:rPr>
        <w:t>privé de l</w:t>
      </w:r>
      <w:r w:rsidR="008F70DE" w:rsidRPr="001E4C00">
        <w:rPr>
          <w:lang w:val="fr-FR"/>
        </w:rPr>
        <w:t>’</w:t>
      </w:r>
      <w:r w:rsidRPr="001E4C00">
        <w:rPr>
          <w:lang w:val="fr-FR"/>
        </w:rPr>
        <w:t>OMPI</w:t>
      </w:r>
      <w:r w:rsidR="008F70DE" w:rsidRPr="001E4C00">
        <w:rPr>
          <w:lang w:val="fr-FR"/>
        </w:rPr>
        <w:t> :</w:t>
      </w:r>
      <w:r w:rsidRPr="001E4C00">
        <w:rPr>
          <w:lang w:val="fr-FR"/>
        </w:rPr>
        <w:t xml:space="preserve"> le programme d</w:t>
      </w:r>
      <w:r w:rsidR="008F70DE" w:rsidRPr="001E4C00">
        <w:rPr>
          <w:lang w:val="fr-FR"/>
        </w:rPr>
        <w:t>’</w:t>
      </w:r>
      <w:r w:rsidRPr="001E4C00">
        <w:rPr>
          <w:lang w:val="fr-FR"/>
        </w:rPr>
        <w:t>accès à la recherche pour le développement et l</w:t>
      </w:r>
      <w:r w:rsidR="008F70DE" w:rsidRPr="001E4C00">
        <w:rPr>
          <w:lang w:val="fr-FR"/>
        </w:rPr>
        <w:t>’</w:t>
      </w:r>
      <w:r w:rsidRPr="001E4C00">
        <w:rPr>
          <w:lang w:val="fr-FR"/>
        </w:rPr>
        <w:t xml:space="preserve">innovation (ARDI), qui donne accès </w:t>
      </w:r>
      <w:r w:rsidR="001034C3" w:rsidRPr="001E4C00">
        <w:rPr>
          <w:lang w:val="fr-FR"/>
        </w:rPr>
        <w:t xml:space="preserve">sur abonnement </w:t>
      </w:r>
      <w:r w:rsidRPr="001E4C00">
        <w:rPr>
          <w:lang w:val="fr-FR"/>
        </w:rPr>
        <w:t>à des revues scientifiques et techniques, et le programme d</w:t>
      </w:r>
      <w:r w:rsidR="008F70DE" w:rsidRPr="001E4C00">
        <w:rPr>
          <w:lang w:val="fr-FR"/>
        </w:rPr>
        <w:t>’</w:t>
      </w:r>
      <w:r w:rsidRPr="001E4C00">
        <w:rPr>
          <w:lang w:val="fr-FR"/>
        </w:rPr>
        <w:t>accès à l</w:t>
      </w:r>
      <w:r w:rsidR="008F70DE" w:rsidRPr="001E4C00">
        <w:rPr>
          <w:lang w:val="fr-FR"/>
        </w:rPr>
        <w:t>’</w:t>
      </w:r>
      <w:r w:rsidRPr="001E4C00">
        <w:rPr>
          <w:lang w:val="fr-FR"/>
        </w:rPr>
        <w:t xml:space="preserve">information spécialisée en matière de brevets (ASPI), qui donne accès à </w:t>
      </w:r>
      <w:r w:rsidR="00751271" w:rsidRPr="001E4C00">
        <w:rPr>
          <w:lang w:val="fr-FR"/>
        </w:rPr>
        <w:t xml:space="preserve">des services de pointe </w:t>
      </w:r>
      <w:r w:rsidRPr="001E4C00">
        <w:rPr>
          <w:lang w:val="fr-FR"/>
        </w:rPr>
        <w:t>en matière de recherche et d</w:t>
      </w:r>
      <w:r w:rsidR="008F70DE" w:rsidRPr="001E4C00">
        <w:rPr>
          <w:lang w:val="fr-FR"/>
        </w:rPr>
        <w:t>’</w:t>
      </w:r>
      <w:r w:rsidRPr="001E4C00">
        <w:rPr>
          <w:lang w:val="fr-FR"/>
        </w:rPr>
        <w:t xml:space="preserve">analyse de </w:t>
      </w:r>
      <w:r w:rsidR="00751271" w:rsidRPr="001E4C00">
        <w:rPr>
          <w:lang w:val="fr-FR"/>
        </w:rPr>
        <w:t xml:space="preserve">bases de données commerciales de </w:t>
      </w:r>
      <w:r w:rsidRPr="001E4C00">
        <w:rPr>
          <w:lang w:val="fr-FR"/>
        </w:rPr>
        <w:t>brevets.</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ARDI fait partie du partenariat Research4Life, qui comprend des programmes de l</w:t>
      </w:r>
      <w:r w:rsidR="008F70DE" w:rsidRPr="001E4C00">
        <w:rPr>
          <w:lang w:val="fr-FR"/>
        </w:rPr>
        <w:t>’</w:t>
      </w:r>
      <w:r w:rsidRPr="001E4C00">
        <w:rPr>
          <w:lang w:val="fr-FR"/>
        </w:rPr>
        <w:t>Organisation mondiale de la Santé (OMS), de l</w:t>
      </w:r>
      <w:r w:rsidR="008F70DE" w:rsidRPr="001E4C00">
        <w:rPr>
          <w:lang w:val="fr-FR"/>
        </w:rPr>
        <w:t>’</w:t>
      </w:r>
      <w:r w:rsidRPr="001E4C00">
        <w:rPr>
          <w:lang w:val="fr-FR"/>
        </w:rPr>
        <w:t xml:space="preserve">Organisation des </w:t>
      </w:r>
      <w:r w:rsidR="008F70DE" w:rsidRPr="001E4C00">
        <w:rPr>
          <w:lang w:val="fr-FR"/>
        </w:rPr>
        <w:t>Nations Unies</w:t>
      </w:r>
      <w:r w:rsidRPr="001E4C00">
        <w:rPr>
          <w:lang w:val="fr-FR"/>
        </w:rPr>
        <w:t xml:space="preserve"> pour l</w:t>
      </w:r>
      <w:r w:rsidR="008F70DE" w:rsidRPr="001E4C00">
        <w:rPr>
          <w:lang w:val="fr-FR"/>
        </w:rPr>
        <w:t>’</w:t>
      </w:r>
      <w:r w:rsidRPr="001E4C00">
        <w:rPr>
          <w:lang w:val="fr-FR"/>
        </w:rPr>
        <w:t>alimentation et l</w:t>
      </w:r>
      <w:r w:rsidR="008F70DE" w:rsidRPr="001E4C00">
        <w:rPr>
          <w:lang w:val="fr-FR"/>
        </w:rPr>
        <w:t>’</w:t>
      </w:r>
      <w:r w:rsidRPr="001E4C00">
        <w:rPr>
          <w:lang w:val="fr-FR"/>
        </w:rPr>
        <w:t xml:space="preserve">agriculture (FAO), du Programme des </w:t>
      </w:r>
      <w:r w:rsidR="008F70DE" w:rsidRPr="001E4C00">
        <w:rPr>
          <w:lang w:val="fr-FR"/>
        </w:rPr>
        <w:t>Nations Unies</w:t>
      </w:r>
      <w:r w:rsidRPr="001E4C00">
        <w:rPr>
          <w:lang w:val="fr-FR"/>
        </w:rPr>
        <w:t xml:space="preserve"> pour l</w:t>
      </w:r>
      <w:r w:rsidR="008F70DE" w:rsidRPr="001E4C00">
        <w:rPr>
          <w:lang w:val="fr-FR"/>
        </w:rPr>
        <w:t>’</w:t>
      </w:r>
      <w:r w:rsidRPr="001E4C00">
        <w:rPr>
          <w:lang w:val="fr-FR"/>
        </w:rPr>
        <w:t>environnement (PNUE) et de l</w:t>
      </w:r>
      <w:r w:rsidR="008F70DE" w:rsidRPr="001E4C00">
        <w:rPr>
          <w:lang w:val="fr-FR"/>
        </w:rPr>
        <w:t>’</w:t>
      </w:r>
      <w:r w:rsidRPr="001E4C00">
        <w:rPr>
          <w:lang w:val="fr-FR"/>
        </w:rPr>
        <w:t>Organisation internationale du Travail (OIT).  Les éditeurs partenaires de Research4Life ont accepté de renoncer aux paiements nécessaires de la part des institutions ukrainiennes et ont également pris des mesures pour élargir l</w:t>
      </w:r>
      <w:r w:rsidR="008F70DE" w:rsidRPr="001E4C00">
        <w:rPr>
          <w:lang w:val="fr-FR"/>
        </w:rPr>
        <w:t>’</w:t>
      </w:r>
      <w:r w:rsidRPr="001E4C00">
        <w:rPr>
          <w:lang w:val="fr-FR"/>
        </w:rPr>
        <w:t xml:space="preserve">accès </w:t>
      </w:r>
      <w:r w:rsidR="00751271" w:rsidRPr="001E4C00">
        <w:rPr>
          <w:lang w:val="fr-FR"/>
        </w:rPr>
        <w:t xml:space="preserve">des institutions ukrainiennes </w:t>
      </w:r>
      <w:r w:rsidRPr="001E4C00">
        <w:rPr>
          <w:lang w:val="fr-FR"/>
        </w:rPr>
        <w:t>aux sources d</w:t>
      </w:r>
      <w:r w:rsidR="008F70DE" w:rsidRPr="001E4C00">
        <w:rPr>
          <w:lang w:val="fr-FR"/>
        </w:rPr>
        <w:t>’</w:t>
      </w:r>
      <w:r w:rsidRPr="001E4C00">
        <w:rPr>
          <w:lang w:val="fr-FR"/>
        </w:rPr>
        <w:t>informati</w:t>
      </w:r>
      <w:r w:rsidR="00783939" w:rsidRPr="001E4C00">
        <w:rPr>
          <w:lang w:val="fr-FR"/>
        </w:rPr>
        <w:t>on.  La</w:t>
      </w:r>
      <w:r w:rsidRPr="001E4C00">
        <w:rPr>
          <w:lang w:val="fr-FR"/>
        </w:rPr>
        <w:t xml:space="preserve"> liste complète des éditeurs proposant des services est disponible à l</w:t>
      </w:r>
      <w:r w:rsidR="008F70DE" w:rsidRPr="001E4C00">
        <w:rPr>
          <w:lang w:val="fr-FR"/>
        </w:rPr>
        <w:t>’</w:t>
      </w:r>
      <w:r w:rsidRPr="001E4C00">
        <w:rPr>
          <w:lang w:val="fr-FR"/>
        </w:rPr>
        <w:t>adresse suivante</w:t>
      </w:r>
      <w:r w:rsidR="008F70DE" w:rsidRPr="001E4C00">
        <w:rPr>
          <w:lang w:val="fr-FR"/>
        </w:rPr>
        <w:t> :</w:t>
      </w:r>
      <w:r w:rsidRPr="001E4C00">
        <w:rPr>
          <w:lang w:val="fr-FR"/>
        </w:rPr>
        <w:t xml:space="preserve"> </w:t>
      </w:r>
      <w:hyperlink r:id="rId12" w:history="1">
        <w:r w:rsidRPr="001E4C00">
          <w:rPr>
            <w:color w:val="0000EE"/>
            <w:u w:val="single" w:color="0000EE"/>
            <w:lang w:val="fr-FR"/>
          </w:rPr>
          <w:t>https://portal.research4life.org/country_offer</w:t>
        </w:r>
      </w:hyperlink>
      <w:r w:rsidRPr="001E4C00">
        <w:rPr>
          <w:lang w:val="fr-FR"/>
        </w:rPr>
        <w:t>.</w:t>
      </w:r>
    </w:p>
    <w:p w:rsidR="001957C8" w:rsidRPr="001E4C00" w:rsidRDefault="001957C8" w:rsidP="007115E7">
      <w:pPr>
        <w:pStyle w:val="ONUMFS"/>
        <w:rPr>
          <w:lang w:val="fr-FR"/>
        </w:rPr>
      </w:pPr>
      <w:r w:rsidRPr="001E4C00">
        <w:rPr>
          <w:lang w:val="fr-FR"/>
        </w:rPr>
        <w:t>Après coordination par l</w:t>
      </w:r>
      <w:r w:rsidR="008F70DE" w:rsidRPr="001E4C00">
        <w:rPr>
          <w:lang w:val="fr-FR"/>
        </w:rPr>
        <w:t>’</w:t>
      </w:r>
      <w:r w:rsidRPr="001E4C00">
        <w:rPr>
          <w:lang w:val="fr-FR"/>
        </w:rPr>
        <w:t>OMPI, le partenariat ASPI permettra aux offices de propriété industrielle et aux institutions universitaires et de recherche locales d</w:t>
      </w:r>
      <w:r w:rsidR="008F70DE" w:rsidRPr="001E4C00">
        <w:rPr>
          <w:lang w:val="fr-FR"/>
        </w:rPr>
        <w:t>’</w:t>
      </w:r>
      <w:r w:rsidRPr="001E4C00">
        <w:rPr>
          <w:lang w:val="fr-FR"/>
        </w:rPr>
        <w:t>Ukraine d</w:t>
      </w:r>
      <w:r w:rsidR="008F70DE" w:rsidRPr="001E4C00">
        <w:rPr>
          <w:lang w:val="fr-FR"/>
        </w:rPr>
        <w:t>’</w:t>
      </w:r>
      <w:r w:rsidRPr="001E4C00">
        <w:rPr>
          <w:lang w:val="fr-FR"/>
        </w:rPr>
        <w:t>accéder gratuitement aux outils et services d</w:t>
      </w:r>
      <w:r w:rsidR="008F70DE" w:rsidRPr="001E4C00">
        <w:rPr>
          <w:lang w:val="fr-FR"/>
        </w:rPr>
        <w:t>’</w:t>
      </w:r>
      <w:r w:rsidRPr="001E4C00">
        <w:rPr>
          <w:lang w:val="fr-FR"/>
        </w:rPr>
        <w:t>information en matière de brevets disponibles dans le cadre du programme, et ce jusqu</w:t>
      </w:r>
      <w:r w:rsidR="008F70DE" w:rsidRPr="001E4C00">
        <w:rPr>
          <w:lang w:val="fr-FR"/>
        </w:rPr>
        <w:t>’</w:t>
      </w:r>
      <w:r w:rsidRPr="001E4C00">
        <w:rPr>
          <w:lang w:val="fr-FR"/>
        </w:rPr>
        <w:t xml:space="preserve">au 31 décembre 2023.  Les institutions </w:t>
      </w:r>
      <w:r w:rsidR="005C4A53" w:rsidRPr="001E4C00">
        <w:rPr>
          <w:lang w:val="fr-FR"/>
        </w:rPr>
        <w:t xml:space="preserve">remplissant les conditions requises </w:t>
      </w:r>
      <w:r w:rsidRPr="001E4C00">
        <w:rPr>
          <w:lang w:val="fr-FR"/>
        </w:rPr>
        <w:t>peuvent bénéficier d</w:t>
      </w:r>
      <w:r w:rsidR="008F70DE" w:rsidRPr="001E4C00">
        <w:rPr>
          <w:lang w:val="fr-FR"/>
        </w:rPr>
        <w:t>’</w:t>
      </w:r>
      <w:r w:rsidRPr="001E4C00">
        <w:rPr>
          <w:lang w:val="fr-FR"/>
        </w:rPr>
        <w:t>un compte pour chaque service offert par l</w:t>
      </w:r>
      <w:r w:rsidR="008F70DE" w:rsidRPr="001E4C00">
        <w:rPr>
          <w:lang w:val="fr-FR"/>
        </w:rPr>
        <w:t>’</w:t>
      </w:r>
      <w:r w:rsidRPr="001E4C00">
        <w:rPr>
          <w:lang w:val="fr-FR"/>
        </w:rPr>
        <w:t>ASPI.</w:t>
      </w:r>
    </w:p>
    <w:p w:rsidR="001957C8" w:rsidRPr="001E4C00" w:rsidRDefault="001957C8" w:rsidP="007115E7">
      <w:pPr>
        <w:pStyle w:val="ONUMFS"/>
        <w:rPr>
          <w:lang w:val="fr-FR"/>
        </w:rPr>
      </w:pPr>
      <w:r w:rsidRPr="001E4C00">
        <w:rPr>
          <w:lang w:val="fr-FR"/>
        </w:rPr>
        <w:t>Outre l</w:t>
      </w:r>
      <w:r w:rsidR="008F70DE" w:rsidRPr="001E4C00">
        <w:rPr>
          <w:lang w:val="fr-FR"/>
        </w:rPr>
        <w:t>’</w:t>
      </w:r>
      <w:r w:rsidRPr="001E4C00">
        <w:rPr>
          <w:lang w:val="fr-FR"/>
        </w:rPr>
        <w:t>accès gratuit aux programmes ARDI et ASPI, une formation de suivi est prévue pour aider les utilisateurs à rechercher et à utiliser efficacement les informations et les connaissances contenues dans les bases de données ARDI et A</w:t>
      </w:r>
      <w:r w:rsidR="00783939" w:rsidRPr="001E4C00">
        <w:rPr>
          <w:lang w:val="fr-FR"/>
        </w:rPr>
        <w:t>SPI.  Re</w:t>
      </w:r>
      <w:r w:rsidRPr="001E4C00">
        <w:rPr>
          <w:lang w:val="fr-FR"/>
        </w:rPr>
        <w:t>search4Life dispose de formateurs spécialisés pour ses programmes, et les partenaires d</w:t>
      </w:r>
      <w:r w:rsidR="008F70DE" w:rsidRPr="001E4C00">
        <w:rPr>
          <w:lang w:val="fr-FR"/>
        </w:rPr>
        <w:t>’</w:t>
      </w:r>
      <w:r w:rsidRPr="001E4C00">
        <w:rPr>
          <w:lang w:val="fr-FR"/>
        </w:rPr>
        <w:t xml:space="preserve">ASPI ont offert leur soutien pour fournir une formation spécifique pour </w:t>
      </w:r>
      <w:r w:rsidR="005C4A53" w:rsidRPr="001E4C00">
        <w:rPr>
          <w:lang w:val="fr-FR"/>
        </w:rPr>
        <w:t xml:space="preserve">certaines </w:t>
      </w:r>
      <w:r w:rsidRPr="001E4C00">
        <w:rPr>
          <w:lang w:val="fr-FR"/>
        </w:rPr>
        <w:t>bases de données.</w:t>
      </w:r>
    </w:p>
    <w:p w:rsidR="008A3FE2" w:rsidRPr="001E4C00" w:rsidRDefault="001957C8" w:rsidP="00B96384">
      <w:pPr>
        <w:pStyle w:val="Heading3"/>
        <w:ind w:left="1985" w:hanging="851"/>
        <w:rPr>
          <w:lang w:val="fr-FR"/>
        </w:rPr>
      </w:pPr>
      <w:r w:rsidRPr="001E4C00">
        <w:rPr>
          <w:lang w:val="fr-FR"/>
        </w:rPr>
        <w:t>4.2.3.</w:t>
      </w:r>
      <w:r w:rsidRPr="001E4C00">
        <w:rPr>
          <w:lang w:val="fr-FR"/>
        </w:rPr>
        <w:tab/>
      </w:r>
      <w:r w:rsidRPr="001E4C00">
        <w:rPr>
          <w:u w:val="single"/>
          <w:lang w:val="fr-FR"/>
        </w:rPr>
        <w:t>Accès pour les personnes ayant des difficultés de lecture des textes imprimés</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OMPI, en coopération avec l</w:t>
      </w:r>
      <w:r w:rsidR="008F70DE" w:rsidRPr="001E4C00">
        <w:rPr>
          <w:lang w:val="fr-FR"/>
        </w:rPr>
        <w:t>’</w:t>
      </w:r>
      <w:r w:rsidRPr="001E4C00">
        <w:rPr>
          <w:lang w:val="fr-FR"/>
        </w:rPr>
        <w:t>ABC, a facilité le soutien aux utilisateurs ukrainiens ayant des difficultés de lecture des textes imprim</w:t>
      </w:r>
      <w:r w:rsidR="00783939" w:rsidRPr="001E4C00">
        <w:rPr>
          <w:lang w:val="fr-FR"/>
        </w:rPr>
        <w:t xml:space="preserve">és.  À </w:t>
      </w:r>
      <w:r w:rsidRPr="001E4C00">
        <w:rPr>
          <w:lang w:val="fr-FR"/>
        </w:rPr>
        <w:t>la suite de l</w:t>
      </w:r>
      <w:r w:rsidR="008F70DE" w:rsidRPr="001E4C00">
        <w:rPr>
          <w:lang w:val="fr-FR"/>
        </w:rPr>
        <w:t>’</w:t>
      </w:r>
      <w:r w:rsidRPr="001E4C00">
        <w:rPr>
          <w:lang w:val="fr-FR"/>
        </w:rPr>
        <w:t>accord d</w:t>
      </w:r>
      <w:r w:rsidR="008F70DE" w:rsidRPr="001E4C00">
        <w:rPr>
          <w:lang w:val="fr-FR"/>
        </w:rPr>
        <w:t>’</w:t>
      </w:r>
      <w:r w:rsidRPr="001E4C00">
        <w:rPr>
          <w:lang w:val="fr-FR"/>
        </w:rPr>
        <w:t xml:space="preserve">entité autorisée signé </w:t>
      </w:r>
      <w:r w:rsidR="005C4A53" w:rsidRPr="001E4C00">
        <w:rPr>
          <w:lang w:val="fr-FR"/>
        </w:rPr>
        <w:t xml:space="preserve">le 10 décembre 2019 </w:t>
      </w:r>
      <w:r w:rsidRPr="001E4C00">
        <w:rPr>
          <w:lang w:val="fr-FR"/>
        </w:rPr>
        <w:t xml:space="preserve">entre la Bibliothèque centrale spécialisée pour les aveugles </w:t>
      </w:r>
      <w:proofErr w:type="spellStart"/>
      <w:r w:rsidRPr="001E4C00">
        <w:rPr>
          <w:lang w:val="fr-FR"/>
        </w:rPr>
        <w:t>Ostrovskyi</w:t>
      </w:r>
      <w:proofErr w:type="spellEnd"/>
      <w:r w:rsidRPr="001E4C00">
        <w:rPr>
          <w:lang w:val="fr-FR"/>
        </w:rPr>
        <w:t xml:space="preserve"> (CLBU) et l</w:t>
      </w:r>
      <w:r w:rsidR="008F70DE" w:rsidRPr="001E4C00">
        <w:rPr>
          <w:lang w:val="fr-FR"/>
        </w:rPr>
        <w:t>’</w:t>
      </w:r>
      <w:r w:rsidRPr="001E4C00">
        <w:rPr>
          <w:lang w:val="fr-FR"/>
        </w:rPr>
        <w:t>ABC, la CLBU a partagé avec l</w:t>
      </w:r>
      <w:r w:rsidR="008F70DE" w:rsidRPr="001E4C00">
        <w:rPr>
          <w:lang w:val="fr-FR"/>
        </w:rPr>
        <w:t>’</w:t>
      </w:r>
      <w:r w:rsidRPr="001E4C00">
        <w:rPr>
          <w:lang w:val="fr-FR"/>
        </w:rPr>
        <w:t>ABC un flux de métadonnées décrivant 71 livres accessibl</w:t>
      </w:r>
      <w:r w:rsidR="00783939" w:rsidRPr="001E4C00">
        <w:rPr>
          <w:lang w:val="fr-FR"/>
        </w:rPr>
        <w:t>es.  En</w:t>
      </w:r>
      <w:r w:rsidRPr="001E4C00">
        <w:rPr>
          <w:lang w:val="fr-FR"/>
        </w:rPr>
        <w:t xml:space="preserve"> mars 2023, la CLBU a confirmé la possibilité de </w:t>
      </w:r>
      <w:r w:rsidR="0078458C" w:rsidRPr="001E4C00">
        <w:rPr>
          <w:lang w:val="fr-FR"/>
        </w:rPr>
        <w:t xml:space="preserve">mettre à disposition </w:t>
      </w:r>
      <w:r w:rsidRPr="001E4C00">
        <w:rPr>
          <w:lang w:val="fr-FR"/>
        </w:rPr>
        <w:t xml:space="preserve">davantage de livres accessibles en intégrant les 71 titres initialement </w:t>
      </w:r>
      <w:r w:rsidR="005C4A53" w:rsidRPr="001E4C00">
        <w:rPr>
          <w:lang w:val="fr-FR"/>
        </w:rPr>
        <w:t>communiqu</w:t>
      </w:r>
      <w:r w:rsidR="00783939" w:rsidRPr="001E4C00">
        <w:rPr>
          <w:lang w:val="fr-FR"/>
        </w:rPr>
        <w:t>és.  Un</w:t>
      </w:r>
      <w:r w:rsidRPr="001E4C00">
        <w:rPr>
          <w:lang w:val="fr-FR"/>
        </w:rPr>
        <w:t xml:space="preserve"> catalogue contenant les titres </w:t>
      </w:r>
      <w:r w:rsidR="0078458C" w:rsidRPr="001E4C00">
        <w:rPr>
          <w:lang w:val="fr-FR"/>
        </w:rPr>
        <w:t xml:space="preserve">fournis </w:t>
      </w:r>
      <w:r w:rsidRPr="001E4C00">
        <w:rPr>
          <w:lang w:val="fr-FR"/>
        </w:rPr>
        <w:t>a été intégré dans le Service mondial du livre de l</w:t>
      </w:r>
      <w:r w:rsidR="008F70DE" w:rsidRPr="001E4C00">
        <w:rPr>
          <w:lang w:val="fr-FR"/>
        </w:rPr>
        <w:t>’</w:t>
      </w:r>
      <w:r w:rsidRPr="001E4C00">
        <w:rPr>
          <w:lang w:val="fr-FR"/>
        </w:rPr>
        <w:t>ABC pour que la CLBU puisse examiner la qualité de l</w:t>
      </w:r>
      <w:r w:rsidR="008F70DE" w:rsidRPr="001E4C00">
        <w:rPr>
          <w:lang w:val="fr-FR"/>
        </w:rPr>
        <w:t>’</w:t>
      </w:r>
      <w:r w:rsidRPr="001E4C00">
        <w:rPr>
          <w:lang w:val="fr-FR"/>
        </w:rPr>
        <w:t>intégrati</w:t>
      </w:r>
      <w:r w:rsidR="00783939" w:rsidRPr="001E4C00">
        <w:rPr>
          <w:lang w:val="fr-FR"/>
        </w:rPr>
        <w:t>on.  Dè</w:t>
      </w:r>
      <w:r w:rsidRPr="001E4C00">
        <w:rPr>
          <w:lang w:val="fr-FR"/>
        </w:rPr>
        <w:t>s l</w:t>
      </w:r>
      <w:r w:rsidR="008F70DE" w:rsidRPr="001E4C00">
        <w:rPr>
          <w:lang w:val="fr-FR"/>
        </w:rPr>
        <w:t>’</w:t>
      </w:r>
      <w:r w:rsidRPr="001E4C00">
        <w:rPr>
          <w:lang w:val="fr-FR"/>
        </w:rPr>
        <w:t>approbation de la CLBU, le catalogue sera visible par toutes les entités autorisées participantes et la CLBU aura un accès complet au servi</w:t>
      </w:r>
      <w:r w:rsidR="00783939" w:rsidRPr="001E4C00">
        <w:rPr>
          <w:lang w:val="fr-FR"/>
        </w:rPr>
        <w:t>ce.  En</w:t>
      </w:r>
      <w:r w:rsidRPr="001E4C00">
        <w:rPr>
          <w:lang w:val="fr-FR"/>
        </w:rPr>
        <w:t xml:space="preserve"> outre, la CLBU peut télécharger n</w:t>
      </w:r>
      <w:r w:rsidR="008F70DE" w:rsidRPr="001E4C00">
        <w:rPr>
          <w:lang w:val="fr-FR"/>
        </w:rPr>
        <w:t>’</w:t>
      </w:r>
      <w:r w:rsidRPr="001E4C00">
        <w:rPr>
          <w:lang w:val="fr-FR"/>
        </w:rPr>
        <w:t>importe quel titre du registre des livres pour lesquels des autorisations ont été obtenues auprès des titulaires de droits en vue de leur distribution en Ukraine.</w:t>
      </w:r>
    </w:p>
    <w:p w:rsidR="001957C8" w:rsidRPr="001E4C00" w:rsidRDefault="001957C8" w:rsidP="00287EBB">
      <w:pPr>
        <w:pStyle w:val="Heading2"/>
        <w:rPr>
          <w:lang w:val="fr-FR"/>
        </w:rPr>
      </w:pPr>
      <w:r w:rsidRPr="001E4C00">
        <w:rPr>
          <w:lang w:val="fr-FR"/>
        </w:rPr>
        <w:t>4.3.</w:t>
      </w:r>
      <w:r w:rsidRPr="001E4C00">
        <w:rPr>
          <w:lang w:val="fr-FR"/>
        </w:rPr>
        <w:tab/>
        <w:t>Fourniture de conseils politiques et législatifs</w:t>
      </w:r>
    </w:p>
    <w:p w:rsidR="001957C8" w:rsidRPr="001E4C00" w:rsidRDefault="001957C8" w:rsidP="007115E7">
      <w:pPr>
        <w:pStyle w:val="ONUMFS"/>
        <w:rPr>
          <w:lang w:val="fr-FR"/>
        </w:rPr>
      </w:pPr>
      <w:r w:rsidRPr="001E4C00">
        <w:rPr>
          <w:lang w:val="fr-FR"/>
        </w:rPr>
        <w:t>En 2019, le Bureau international a soutenu l</w:t>
      </w:r>
      <w:r w:rsidR="008F70DE" w:rsidRPr="001E4C00">
        <w:rPr>
          <w:lang w:val="fr-FR"/>
        </w:rPr>
        <w:t>’</w:t>
      </w:r>
      <w:r w:rsidRPr="001E4C00">
        <w:rPr>
          <w:lang w:val="fr-FR"/>
        </w:rPr>
        <w:t>élaboration de la stratégie nationale en matière de propriété intellectuelle en Ukrai</w:t>
      </w:r>
      <w:r w:rsidR="00783939" w:rsidRPr="001E4C00">
        <w:rPr>
          <w:lang w:val="fr-FR"/>
        </w:rPr>
        <w:t>ne.  La</w:t>
      </w:r>
      <w:r w:rsidRPr="001E4C00">
        <w:rPr>
          <w:lang w:val="fr-FR"/>
        </w:rPr>
        <w:t xml:space="preserve"> stratégie a été soumise à l</w:t>
      </w:r>
      <w:r w:rsidR="008F70DE" w:rsidRPr="001E4C00">
        <w:rPr>
          <w:lang w:val="fr-FR"/>
        </w:rPr>
        <w:t>’</w:t>
      </w:r>
      <w:r w:rsidRPr="001E4C00">
        <w:rPr>
          <w:lang w:val="fr-FR"/>
        </w:rPr>
        <w:t>approbation du gouvernement et n</w:t>
      </w:r>
      <w:r w:rsidR="008F70DE" w:rsidRPr="001E4C00">
        <w:rPr>
          <w:lang w:val="fr-FR"/>
        </w:rPr>
        <w:t>’</w:t>
      </w:r>
      <w:r w:rsidRPr="001E4C00">
        <w:rPr>
          <w:lang w:val="fr-FR"/>
        </w:rPr>
        <w:t>est pas encore mise en œuv</w:t>
      </w:r>
      <w:r w:rsidR="00783939" w:rsidRPr="001E4C00">
        <w:rPr>
          <w:lang w:val="fr-FR"/>
        </w:rPr>
        <w:t>re.  En</w:t>
      </w:r>
      <w:r w:rsidRPr="001E4C00">
        <w:rPr>
          <w:lang w:val="fr-FR"/>
        </w:rPr>
        <w:t xml:space="preserve"> mars 2023, l</w:t>
      </w:r>
      <w:r w:rsidR="008F70DE" w:rsidRPr="001E4C00">
        <w:rPr>
          <w:lang w:val="fr-FR"/>
        </w:rPr>
        <w:t>’</w:t>
      </w:r>
      <w:r w:rsidRPr="001E4C00">
        <w:rPr>
          <w:lang w:val="fr-FR"/>
        </w:rPr>
        <w:t xml:space="preserve">Ukraine a demandé </w:t>
      </w:r>
      <w:r w:rsidR="0078458C" w:rsidRPr="001E4C00">
        <w:rPr>
          <w:lang w:val="fr-FR"/>
        </w:rPr>
        <w:t>l</w:t>
      </w:r>
      <w:r w:rsidR="008F70DE" w:rsidRPr="001E4C00">
        <w:rPr>
          <w:lang w:val="fr-FR"/>
        </w:rPr>
        <w:t>’</w:t>
      </w:r>
      <w:r w:rsidR="0078458C" w:rsidRPr="001E4C00">
        <w:rPr>
          <w:lang w:val="fr-FR"/>
        </w:rPr>
        <w:t xml:space="preserve">assistance </w:t>
      </w:r>
      <w:r w:rsidRPr="001E4C00">
        <w:rPr>
          <w:lang w:val="fr-FR"/>
        </w:rPr>
        <w:t>de l</w:t>
      </w:r>
      <w:r w:rsidR="008F70DE" w:rsidRPr="001E4C00">
        <w:rPr>
          <w:lang w:val="fr-FR"/>
        </w:rPr>
        <w:t>’</w:t>
      </w:r>
      <w:r w:rsidRPr="001E4C00">
        <w:rPr>
          <w:lang w:val="fr-FR"/>
        </w:rPr>
        <w:t>OMPI pour l</w:t>
      </w:r>
      <w:r w:rsidR="008F70DE" w:rsidRPr="001E4C00">
        <w:rPr>
          <w:lang w:val="fr-FR"/>
        </w:rPr>
        <w:t>’</w:t>
      </w:r>
      <w:r w:rsidRPr="001E4C00">
        <w:rPr>
          <w:lang w:val="fr-FR"/>
        </w:rPr>
        <w:t>examen et l</w:t>
      </w:r>
      <w:r w:rsidR="008F70DE" w:rsidRPr="001E4C00">
        <w:rPr>
          <w:lang w:val="fr-FR"/>
        </w:rPr>
        <w:t>’</w:t>
      </w:r>
      <w:r w:rsidRPr="001E4C00">
        <w:rPr>
          <w:lang w:val="fr-FR"/>
        </w:rPr>
        <w:t>adoption de la stratégie nationale de propriété intellectuelle à la suite des résultats de l</w:t>
      </w:r>
      <w:r w:rsidR="008F70DE" w:rsidRPr="001E4C00">
        <w:rPr>
          <w:lang w:val="fr-FR"/>
        </w:rPr>
        <w:t>’</w:t>
      </w:r>
      <w:r w:rsidRPr="001E4C00">
        <w:rPr>
          <w:lang w:val="fr-FR"/>
        </w:rPr>
        <w:t>évaluation de l</w:t>
      </w:r>
      <w:r w:rsidR="008F70DE" w:rsidRPr="001E4C00">
        <w:rPr>
          <w:lang w:val="fr-FR"/>
        </w:rPr>
        <w:t>’</w:t>
      </w:r>
      <w:r w:rsidRPr="001E4C00">
        <w:rPr>
          <w:lang w:val="fr-FR"/>
        </w:rPr>
        <w:t>écosystème national de propriété intellectuel</w:t>
      </w:r>
      <w:r w:rsidR="00783939" w:rsidRPr="001E4C00">
        <w:rPr>
          <w:lang w:val="fr-FR"/>
        </w:rPr>
        <w:t>le.  De</w:t>
      </w:r>
      <w:r w:rsidRPr="001E4C00">
        <w:rPr>
          <w:lang w:val="fr-FR"/>
        </w:rPr>
        <w:t>s consultations initiales ont eu lieu avec l</w:t>
      </w:r>
      <w:r w:rsidR="008F70DE" w:rsidRPr="001E4C00">
        <w:rPr>
          <w:lang w:val="fr-FR"/>
        </w:rPr>
        <w:t>’</w:t>
      </w:r>
      <w:r w:rsidRPr="001E4C00">
        <w:rPr>
          <w:lang w:val="fr-FR"/>
        </w:rPr>
        <w:t>UANIPIO et d</w:t>
      </w:r>
      <w:r w:rsidR="008F70DE" w:rsidRPr="001E4C00">
        <w:rPr>
          <w:lang w:val="fr-FR"/>
        </w:rPr>
        <w:t>’</w:t>
      </w:r>
      <w:r w:rsidRPr="001E4C00">
        <w:rPr>
          <w:lang w:val="fr-FR"/>
        </w:rPr>
        <w:t xml:space="preserve">autres mesures seront </w:t>
      </w:r>
      <w:r w:rsidR="0078458C" w:rsidRPr="001E4C00">
        <w:rPr>
          <w:lang w:val="fr-FR"/>
        </w:rPr>
        <w:t xml:space="preserve">prises en concertation </w:t>
      </w:r>
      <w:r w:rsidRPr="001E4C00">
        <w:rPr>
          <w:lang w:val="fr-FR"/>
        </w:rPr>
        <w:t>avec l</w:t>
      </w:r>
      <w:r w:rsidR="008F70DE" w:rsidRPr="001E4C00">
        <w:rPr>
          <w:lang w:val="fr-FR"/>
        </w:rPr>
        <w:t>’</w:t>
      </w:r>
      <w:r w:rsidRPr="001E4C00">
        <w:rPr>
          <w:lang w:val="fr-FR"/>
        </w:rPr>
        <w:t>office de la propriété intellectuelle à la suite des résultats de l</w:t>
      </w:r>
      <w:r w:rsidR="008F70DE" w:rsidRPr="001E4C00">
        <w:rPr>
          <w:lang w:val="fr-FR"/>
        </w:rPr>
        <w:t>’</w:t>
      </w:r>
      <w:r w:rsidRPr="001E4C00">
        <w:rPr>
          <w:lang w:val="fr-FR"/>
        </w:rPr>
        <w:t>évaluation.</w:t>
      </w:r>
    </w:p>
    <w:p w:rsidR="001957C8" w:rsidRPr="001E4C00" w:rsidRDefault="001957C8" w:rsidP="006B17A0">
      <w:pPr>
        <w:pStyle w:val="ONUMFS"/>
        <w:keepNext/>
        <w:rPr>
          <w:lang w:val="fr-FR"/>
        </w:rPr>
      </w:pPr>
      <w:r w:rsidRPr="001E4C00">
        <w:rPr>
          <w:lang w:val="fr-FR"/>
        </w:rPr>
        <w:t>L</w:t>
      </w:r>
      <w:r w:rsidR="008F70DE" w:rsidRPr="001E4C00">
        <w:rPr>
          <w:lang w:val="fr-FR"/>
        </w:rPr>
        <w:t>’</w:t>
      </w:r>
      <w:r w:rsidRPr="001E4C00">
        <w:rPr>
          <w:lang w:val="fr-FR"/>
        </w:rPr>
        <w:t>OMPI a également fourni des conseils législatifs concernant la nouvelle législation ukrainienne spécialisée dans le droit d</w:t>
      </w:r>
      <w:r w:rsidR="008F70DE" w:rsidRPr="001E4C00">
        <w:rPr>
          <w:lang w:val="fr-FR"/>
        </w:rPr>
        <w:t>’</w:t>
      </w:r>
      <w:r w:rsidRPr="001E4C00">
        <w:rPr>
          <w:lang w:val="fr-FR"/>
        </w:rPr>
        <w:t>auteur et les droits connexes et le système de gestion collective de l</w:t>
      </w:r>
      <w:r w:rsidR="008F70DE" w:rsidRPr="001E4C00">
        <w:rPr>
          <w:lang w:val="fr-FR"/>
        </w:rPr>
        <w:t>’</w:t>
      </w:r>
      <w:r w:rsidRPr="001E4C00">
        <w:rPr>
          <w:lang w:val="fr-FR"/>
        </w:rPr>
        <w:t>Ukrai</w:t>
      </w:r>
      <w:r w:rsidR="00783939" w:rsidRPr="001E4C00">
        <w:rPr>
          <w:lang w:val="fr-FR"/>
        </w:rPr>
        <w:t>ne.  La</w:t>
      </w:r>
      <w:r w:rsidRPr="001E4C00">
        <w:rPr>
          <w:lang w:val="fr-FR"/>
        </w:rPr>
        <w:t xml:space="preserve"> mise en œuvre de la loi a été reportée en raison de réformes institutionnell</w:t>
      </w:r>
      <w:r w:rsidR="00783939" w:rsidRPr="001E4C00">
        <w:rPr>
          <w:lang w:val="fr-FR"/>
        </w:rPr>
        <w:t>es.  Ce</w:t>
      </w:r>
      <w:r w:rsidRPr="001E4C00">
        <w:rPr>
          <w:lang w:val="fr-FR"/>
        </w:rPr>
        <w:t>la a conduit à des consultations de suivi en mars 2023, au cours desquelles un soutien supplémentaire a été demandé en ce qui concerne les points suivants</w:t>
      </w:r>
      <w:r w:rsidR="008F70DE" w:rsidRPr="001E4C00">
        <w:rPr>
          <w:lang w:val="fr-FR"/>
        </w:rPr>
        <w:t> :</w:t>
      </w:r>
    </w:p>
    <w:p w:rsidR="001957C8" w:rsidRPr="001E4C00" w:rsidRDefault="00652BB5" w:rsidP="00287EBB">
      <w:pPr>
        <w:pStyle w:val="ListParagraph"/>
        <w:numPr>
          <w:ilvl w:val="0"/>
          <w:numId w:val="40"/>
        </w:numPr>
        <w:tabs>
          <w:tab w:val="left" w:pos="1134"/>
        </w:tabs>
        <w:ind w:left="1134" w:hanging="567"/>
        <w:rPr>
          <w:rFonts w:ascii="Arial" w:hAnsi="Arial" w:cs="Arial"/>
          <w:sz w:val="22"/>
          <w:szCs w:val="22"/>
        </w:rPr>
      </w:pPr>
      <w:proofErr w:type="gramStart"/>
      <w:r w:rsidRPr="001E4C00">
        <w:rPr>
          <w:rFonts w:ascii="Arial" w:hAnsi="Arial" w:cs="Arial"/>
          <w:sz w:val="22"/>
          <w:szCs w:val="22"/>
        </w:rPr>
        <w:t>a</w:t>
      </w:r>
      <w:r w:rsidR="001957C8" w:rsidRPr="001E4C00">
        <w:rPr>
          <w:rFonts w:ascii="Arial" w:hAnsi="Arial" w:cs="Arial"/>
          <w:sz w:val="22"/>
          <w:szCs w:val="22"/>
        </w:rPr>
        <w:t>ppui</w:t>
      </w:r>
      <w:proofErr w:type="gramEnd"/>
      <w:r w:rsidR="001957C8" w:rsidRPr="001E4C00">
        <w:rPr>
          <w:rFonts w:ascii="Arial" w:hAnsi="Arial" w:cs="Arial"/>
          <w:sz w:val="22"/>
          <w:szCs w:val="22"/>
        </w:rPr>
        <w:t xml:space="preserve"> de l</w:t>
      </w:r>
      <w:r w:rsidR="008F70DE" w:rsidRPr="001E4C00">
        <w:rPr>
          <w:rFonts w:ascii="Arial" w:hAnsi="Arial" w:cs="Arial"/>
          <w:sz w:val="22"/>
          <w:szCs w:val="22"/>
        </w:rPr>
        <w:t>’</w:t>
      </w:r>
      <w:r w:rsidR="001957C8" w:rsidRPr="001E4C00">
        <w:rPr>
          <w:rFonts w:ascii="Arial" w:hAnsi="Arial" w:cs="Arial"/>
          <w:sz w:val="22"/>
          <w:szCs w:val="22"/>
        </w:rPr>
        <w:t>OMPI pour la rédaction de règlements d</w:t>
      </w:r>
      <w:r w:rsidR="008F70DE" w:rsidRPr="001E4C00">
        <w:rPr>
          <w:rFonts w:ascii="Arial" w:hAnsi="Arial" w:cs="Arial"/>
          <w:sz w:val="22"/>
          <w:szCs w:val="22"/>
        </w:rPr>
        <w:t>’</w:t>
      </w:r>
      <w:r w:rsidR="001957C8" w:rsidRPr="001E4C00">
        <w:rPr>
          <w:rFonts w:ascii="Arial" w:hAnsi="Arial" w:cs="Arial"/>
          <w:sz w:val="22"/>
          <w:szCs w:val="22"/>
        </w:rPr>
        <w:t>application de la nouvelle loi sur le droit d</w:t>
      </w:r>
      <w:r w:rsidR="008F70DE" w:rsidRPr="001E4C00">
        <w:rPr>
          <w:rFonts w:ascii="Arial" w:hAnsi="Arial" w:cs="Arial"/>
          <w:sz w:val="22"/>
          <w:szCs w:val="22"/>
        </w:rPr>
        <w:t>’</w:t>
      </w:r>
      <w:r w:rsidRPr="001E4C00">
        <w:rPr>
          <w:rFonts w:ascii="Arial" w:hAnsi="Arial" w:cs="Arial"/>
          <w:sz w:val="22"/>
          <w:szCs w:val="22"/>
        </w:rPr>
        <w:t>auteur;</w:t>
      </w:r>
    </w:p>
    <w:p w:rsidR="001957C8" w:rsidRPr="001E4C00" w:rsidRDefault="00652BB5" w:rsidP="00287EBB">
      <w:pPr>
        <w:pStyle w:val="ListParagraph"/>
        <w:numPr>
          <w:ilvl w:val="0"/>
          <w:numId w:val="40"/>
        </w:numPr>
        <w:tabs>
          <w:tab w:val="left" w:pos="1134"/>
        </w:tabs>
        <w:ind w:left="1134" w:hanging="567"/>
        <w:rPr>
          <w:rFonts w:ascii="Arial" w:hAnsi="Arial" w:cs="Arial"/>
          <w:sz w:val="22"/>
          <w:szCs w:val="22"/>
        </w:rPr>
      </w:pPr>
      <w:proofErr w:type="gramStart"/>
      <w:r w:rsidRPr="001E4C00">
        <w:rPr>
          <w:rFonts w:ascii="Arial" w:hAnsi="Arial" w:cs="Arial"/>
          <w:sz w:val="22"/>
          <w:szCs w:val="22"/>
        </w:rPr>
        <w:t>a</w:t>
      </w:r>
      <w:r w:rsidR="001957C8" w:rsidRPr="001E4C00">
        <w:rPr>
          <w:rFonts w:ascii="Arial" w:hAnsi="Arial" w:cs="Arial"/>
          <w:sz w:val="22"/>
          <w:szCs w:val="22"/>
        </w:rPr>
        <w:t>ppui</w:t>
      </w:r>
      <w:proofErr w:type="gramEnd"/>
      <w:r w:rsidR="001957C8" w:rsidRPr="001E4C00">
        <w:rPr>
          <w:rFonts w:ascii="Arial" w:hAnsi="Arial" w:cs="Arial"/>
          <w:sz w:val="22"/>
          <w:szCs w:val="22"/>
        </w:rPr>
        <w:t xml:space="preserve"> de l</w:t>
      </w:r>
      <w:r w:rsidR="008F70DE" w:rsidRPr="001E4C00">
        <w:rPr>
          <w:rFonts w:ascii="Arial" w:hAnsi="Arial" w:cs="Arial"/>
          <w:sz w:val="22"/>
          <w:szCs w:val="22"/>
        </w:rPr>
        <w:t>’</w:t>
      </w:r>
      <w:r w:rsidR="001957C8" w:rsidRPr="001E4C00">
        <w:rPr>
          <w:rFonts w:ascii="Arial" w:hAnsi="Arial" w:cs="Arial"/>
          <w:sz w:val="22"/>
          <w:szCs w:val="22"/>
        </w:rPr>
        <w:t>OMPI pour l</w:t>
      </w:r>
      <w:r w:rsidR="008F70DE" w:rsidRPr="001E4C00">
        <w:rPr>
          <w:rFonts w:ascii="Arial" w:hAnsi="Arial" w:cs="Arial"/>
          <w:sz w:val="22"/>
          <w:szCs w:val="22"/>
        </w:rPr>
        <w:t>’</w:t>
      </w:r>
      <w:r w:rsidR="001957C8" w:rsidRPr="001E4C00">
        <w:rPr>
          <w:rFonts w:ascii="Arial" w:hAnsi="Arial" w:cs="Arial"/>
          <w:sz w:val="22"/>
          <w:szCs w:val="22"/>
        </w:rPr>
        <w:t>analyse et les commentaires sur deux règlements déjà élaborés par l</w:t>
      </w:r>
      <w:r w:rsidR="008F70DE" w:rsidRPr="001E4C00">
        <w:rPr>
          <w:rFonts w:ascii="Arial" w:hAnsi="Arial" w:cs="Arial"/>
          <w:sz w:val="22"/>
          <w:szCs w:val="22"/>
        </w:rPr>
        <w:t>’</w:t>
      </w:r>
      <w:r w:rsidR="001957C8" w:rsidRPr="001E4C00">
        <w:rPr>
          <w:rFonts w:ascii="Arial" w:hAnsi="Arial" w:cs="Arial"/>
          <w:sz w:val="22"/>
          <w:szCs w:val="22"/>
        </w:rPr>
        <w:t>Ukraine mais pas encore adoptés;</w:t>
      </w:r>
    </w:p>
    <w:p w:rsidR="001957C8" w:rsidRPr="001E4C00" w:rsidRDefault="00652BB5" w:rsidP="00287EBB">
      <w:pPr>
        <w:pStyle w:val="ListParagraph"/>
        <w:numPr>
          <w:ilvl w:val="0"/>
          <w:numId w:val="40"/>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outien</w:t>
      </w:r>
      <w:proofErr w:type="gramEnd"/>
      <w:r w:rsidR="001957C8" w:rsidRPr="001E4C00">
        <w:rPr>
          <w:rFonts w:ascii="Arial" w:hAnsi="Arial" w:cs="Arial"/>
          <w:sz w:val="22"/>
          <w:szCs w:val="22"/>
        </w:rPr>
        <w:t xml:space="preserve"> de l</w:t>
      </w:r>
      <w:r w:rsidR="008F70DE" w:rsidRPr="001E4C00">
        <w:rPr>
          <w:rFonts w:ascii="Arial" w:hAnsi="Arial" w:cs="Arial"/>
          <w:sz w:val="22"/>
          <w:szCs w:val="22"/>
        </w:rPr>
        <w:t>’</w:t>
      </w:r>
      <w:r w:rsidR="001957C8" w:rsidRPr="001E4C00">
        <w:rPr>
          <w:rFonts w:ascii="Arial" w:hAnsi="Arial" w:cs="Arial"/>
          <w:sz w:val="22"/>
          <w:szCs w:val="22"/>
        </w:rPr>
        <w:t>OMPI pour l</w:t>
      </w:r>
      <w:r w:rsidR="008F70DE" w:rsidRPr="001E4C00">
        <w:rPr>
          <w:rFonts w:ascii="Arial" w:hAnsi="Arial" w:cs="Arial"/>
          <w:sz w:val="22"/>
          <w:szCs w:val="22"/>
        </w:rPr>
        <w:t>’</w:t>
      </w:r>
      <w:r w:rsidR="001957C8" w:rsidRPr="001E4C00">
        <w:rPr>
          <w:rFonts w:ascii="Arial" w:hAnsi="Arial" w:cs="Arial"/>
          <w:sz w:val="22"/>
          <w:szCs w:val="22"/>
        </w:rPr>
        <w:t>adaptation des procédures d</w:t>
      </w:r>
      <w:r w:rsidR="008F70DE" w:rsidRPr="001E4C00">
        <w:rPr>
          <w:rFonts w:ascii="Arial" w:hAnsi="Arial" w:cs="Arial"/>
          <w:sz w:val="22"/>
          <w:szCs w:val="22"/>
        </w:rPr>
        <w:t>’</w:t>
      </w:r>
      <w:r w:rsidR="001957C8" w:rsidRPr="001E4C00">
        <w:rPr>
          <w:rFonts w:ascii="Arial" w:hAnsi="Arial" w:cs="Arial"/>
          <w:sz w:val="22"/>
          <w:szCs w:val="22"/>
        </w:rPr>
        <w:t>accréditation des organisations de gestion collective;</w:t>
      </w:r>
    </w:p>
    <w:p w:rsidR="001957C8" w:rsidRPr="001E4C00" w:rsidRDefault="00652BB5" w:rsidP="00287EBB">
      <w:pPr>
        <w:pStyle w:val="ListParagraph"/>
        <w:numPr>
          <w:ilvl w:val="0"/>
          <w:numId w:val="40"/>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outien</w:t>
      </w:r>
      <w:proofErr w:type="gramEnd"/>
      <w:r w:rsidR="001957C8" w:rsidRPr="001E4C00">
        <w:rPr>
          <w:rFonts w:ascii="Arial" w:hAnsi="Arial" w:cs="Arial"/>
          <w:sz w:val="22"/>
          <w:szCs w:val="22"/>
        </w:rPr>
        <w:t xml:space="preserve"> de l</w:t>
      </w:r>
      <w:r w:rsidR="008F70DE" w:rsidRPr="001E4C00">
        <w:rPr>
          <w:rFonts w:ascii="Arial" w:hAnsi="Arial" w:cs="Arial"/>
          <w:sz w:val="22"/>
          <w:szCs w:val="22"/>
        </w:rPr>
        <w:t>’</w:t>
      </w:r>
      <w:r w:rsidR="001957C8" w:rsidRPr="001E4C00">
        <w:rPr>
          <w:rFonts w:ascii="Arial" w:hAnsi="Arial" w:cs="Arial"/>
          <w:sz w:val="22"/>
          <w:szCs w:val="22"/>
        </w:rPr>
        <w:t>OMPI dans la rédaction de nouvelles dispositions de la loi dans le contexte de l</w:t>
      </w:r>
      <w:r w:rsidR="008F70DE" w:rsidRPr="001E4C00">
        <w:rPr>
          <w:rFonts w:ascii="Arial" w:hAnsi="Arial" w:cs="Arial"/>
          <w:sz w:val="22"/>
          <w:szCs w:val="22"/>
        </w:rPr>
        <w:t>’</w:t>
      </w:r>
      <w:r w:rsidR="001957C8" w:rsidRPr="001E4C00">
        <w:rPr>
          <w:rFonts w:ascii="Arial" w:hAnsi="Arial" w:cs="Arial"/>
          <w:sz w:val="22"/>
          <w:szCs w:val="22"/>
        </w:rPr>
        <w:t>impact négatif de la guerre sur les secteurs ukrainiens du droit d</w:t>
      </w:r>
      <w:r w:rsidR="008F70DE" w:rsidRPr="001E4C00">
        <w:rPr>
          <w:rFonts w:ascii="Arial" w:hAnsi="Arial" w:cs="Arial"/>
          <w:sz w:val="22"/>
          <w:szCs w:val="22"/>
        </w:rPr>
        <w:t>’</w:t>
      </w:r>
      <w:r w:rsidR="001957C8" w:rsidRPr="001E4C00">
        <w:rPr>
          <w:rFonts w:ascii="Arial" w:hAnsi="Arial" w:cs="Arial"/>
          <w:sz w:val="22"/>
          <w:szCs w:val="22"/>
        </w:rPr>
        <w:t>auteur et de la création;</w:t>
      </w:r>
    </w:p>
    <w:p w:rsidR="001957C8" w:rsidRPr="001E4C00" w:rsidRDefault="00652BB5" w:rsidP="00287EBB">
      <w:pPr>
        <w:pStyle w:val="ListParagraph"/>
        <w:numPr>
          <w:ilvl w:val="0"/>
          <w:numId w:val="40"/>
        </w:numPr>
        <w:tabs>
          <w:tab w:val="left" w:pos="1134"/>
        </w:tabs>
        <w:ind w:left="1134" w:hanging="567"/>
        <w:rPr>
          <w:rFonts w:ascii="Arial" w:hAnsi="Arial" w:cs="Arial"/>
          <w:sz w:val="22"/>
          <w:szCs w:val="22"/>
        </w:rPr>
      </w:pPr>
      <w:proofErr w:type="gramStart"/>
      <w:r w:rsidRPr="001E4C00">
        <w:rPr>
          <w:rFonts w:ascii="Arial" w:hAnsi="Arial" w:cs="Arial"/>
          <w:sz w:val="22"/>
          <w:szCs w:val="22"/>
        </w:rPr>
        <w:t>s</w:t>
      </w:r>
      <w:r w:rsidR="001957C8" w:rsidRPr="001E4C00">
        <w:rPr>
          <w:rFonts w:ascii="Arial" w:hAnsi="Arial" w:cs="Arial"/>
          <w:sz w:val="22"/>
          <w:szCs w:val="22"/>
        </w:rPr>
        <w:t>outien</w:t>
      </w:r>
      <w:proofErr w:type="gramEnd"/>
      <w:r w:rsidR="001957C8" w:rsidRPr="001E4C00">
        <w:rPr>
          <w:rFonts w:ascii="Arial" w:hAnsi="Arial" w:cs="Arial"/>
          <w:sz w:val="22"/>
          <w:szCs w:val="22"/>
        </w:rPr>
        <w:t xml:space="preserve"> à la traduction de la loi sur le droit d</w:t>
      </w:r>
      <w:r w:rsidR="008F70DE" w:rsidRPr="001E4C00">
        <w:rPr>
          <w:rFonts w:ascii="Arial" w:hAnsi="Arial" w:cs="Arial"/>
          <w:sz w:val="22"/>
          <w:szCs w:val="22"/>
        </w:rPr>
        <w:t>’</w:t>
      </w:r>
      <w:r w:rsidR="001957C8" w:rsidRPr="001E4C00">
        <w:rPr>
          <w:rFonts w:ascii="Arial" w:hAnsi="Arial" w:cs="Arial"/>
          <w:sz w:val="22"/>
          <w:szCs w:val="22"/>
        </w:rPr>
        <w:t>auteur et des projets de règlements susmentionnés;</w:t>
      </w:r>
    </w:p>
    <w:p w:rsidR="008A3FE2" w:rsidRPr="001E4C00" w:rsidRDefault="00652BB5" w:rsidP="00287EBB">
      <w:pPr>
        <w:pStyle w:val="ListParagraph"/>
        <w:numPr>
          <w:ilvl w:val="0"/>
          <w:numId w:val="40"/>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f</w:t>
      </w:r>
      <w:r w:rsidR="001957C8" w:rsidRPr="001E4C00">
        <w:rPr>
          <w:rFonts w:ascii="Arial" w:hAnsi="Arial" w:cs="Arial"/>
          <w:sz w:val="22"/>
          <w:szCs w:val="22"/>
        </w:rPr>
        <w:t>ourniture</w:t>
      </w:r>
      <w:proofErr w:type="gramEnd"/>
      <w:r w:rsidR="001957C8" w:rsidRPr="001E4C00">
        <w:rPr>
          <w:rFonts w:ascii="Arial" w:hAnsi="Arial" w:cs="Arial"/>
          <w:sz w:val="22"/>
          <w:szCs w:val="22"/>
        </w:rPr>
        <w:t xml:space="preserve"> d</w:t>
      </w:r>
      <w:r w:rsidR="008F70DE" w:rsidRPr="001E4C00">
        <w:rPr>
          <w:rFonts w:ascii="Arial" w:hAnsi="Arial" w:cs="Arial"/>
          <w:sz w:val="22"/>
          <w:szCs w:val="22"/>
        </w:rPr>
        <w:t>’</w:t>
      </w:r>
      <w:r w:rsidR="001957C8" w:rsidRPr="001E4C00">
        <w:rPr>
          <w:rFonts w:ascii="Arial" w:hAnsi="Arial" w:cs="Arial"/>
          <w:sz w:val="22"/>
          <w:szCs w:val="22"/>
        </w:rPr>
        <w:t>un avis d</w:t>
      </w:r>
      <w:r w:rsidR="008F70DE" w:rsidRPr="001E4C00">
        <w:rPr>
          <w:rFonts w:ascii="Arial" w:hAnsi="Arial" w:cs="Arial"/>
          <w:sz w:val="22"/>
          <w:szCs w:val="22"/>
        </w:rPr>
        <w:t>’</w:t>
      </w:r>
      <w:r w:rsidR="001957C8" w:rsidRPr="001E4C00">
        <w:rPr>
          <w:rFonts w:ascii="Arial" w:hAnsi="Arial" w:cs="Arial"/>
          <w:sz w:val="22"/>
          <w:szCs w:val="22"/>
        </w:rPr>
        <w:t>expert sur la loi sur le droit d</w:t>
      </w:r>
      <w:r w:rsidR="008F70DE" w:rsidRPr="001E4C00">
        <w:rPr>
          <w:rFonts w:ascii="Arial" w:hAnsi="Arial" w:cs="Arial"/>
          <w:sz w:val="22"/>
          <w:szCs w:val="22"/>
        </w:rPr>
        <w:t>’</w:t>
      </w:r>
      <w:r w:rsidR="001957C8" w:rsidRPr="001E4C00">
        <w:rPr>
          <w:rFonts w:ascii="Arial" w:hAnsi="Arial" w:cs="Arial"/>
          <w:sz w:val="22"/>
          <w:szCs w:val="22"/>
        </w:rPr>
        <w:t>auteur afin d</w:t>
      </w:r>
      <w:r w:rsidR="008F70DE" w:rsidRPr="001E4C00">
        <w:rPr>
          <w:rFonts w:ascii="Arial" w:hAnsi="Arial" w:cs="Arial"/>
          <w:sz w:val="22"/>
          <w:szCs w:val="22"/>
        </w:rPr>
        <w:t>’</w:t>
      </w:r>
      <w:r w:rsidR="001957C8" w:rsidRPr="001E4C00">
        <w:rPr>
          <w:rFonts w:ascii="Arial" w:hAnsi="Arial" w:cs="Arial"/>
          <w:sz w:val="22"/>
          <w:szCs w:val="22"/>
        </w:rPr>
        <w:t>envisager tous les résultats possibles de la mise en œuvre et de les prendre en compte pour l</w:t>
      </w:r>
      <w:r w:rsidR="008F70DE" w:rsidRPr="001E4C00">
        <w:rPr>
          <w:rFonts w:ascii="Arial" w:hAnsi="Arial" w:cs="Arial"/>
          <w:sz w:val="22"/>
          <w:szCs w:val="22"/>
        </w:rPr>
        <w:t>’</w:t>
      </w:r>
      <w:r w:rsidR="001957C8" w:rsidRPr="001E4C00">
        <w:rPr>
          <w:rFonts w:ascii="Arial" w:hAnsi="Arial" w:cs="Arial"/>
          <w:sz w:val="22"/>
          <w:szCs w:val="22"/>
        </w:rPr>
        <w:t>élaboration ultérieure de règlements ou d</w:t>
      </w:r>
      <w:r w:rsidR="008F70DE" w:rsidRPr="001E4C00">
        <w:rPr>
          <w:rFonts w:ascii="Arial" w:hAnsi="Arial" w:cs="Arial"/>
          <w:sz w:val="22"/>
          <w:szCs w:val="22"/>
        </w:rPr>
        <w:t>’</w:t>
      </w:r>
      <w:r w:rsidR="001957C8" w:rsidRPr="001E4C00">
        <w:rPr>
          <w:rFonts w:ascii="Arial" w:hAnsi="Arial" w:cs="Arial"/>
          <w:sz w:val="22"/>
          <w:szCs w:val="22"/>
        </w:rPr>
        <w:t>amendements à la loi.</w:t>
      </w:r>
    </w:p>
    <w:p w:rsidR="001957C8" w:rsidRPr="001E4C00" w:rsidRDefault="001957C8" w:rsidP="007115E7">
      <w:pPr>
        <w:pStyle w:val="ONUMFS"/>
        <w:rPr>
          <w:lang w:val="fr-FR"/>
        </w:rPr>
      </w:pPr>
      <w:r w:rsidRPr="001E4C00">
        <w:rPr>
          <w:lang w:val="fr-FR"/>
        </w:rPr>
        <w:t>À la suite de consultations entre le Bureau international et le gouvernement, un expert international a été engagé pour fournir l</w:t>
      </w:r>
      <w:r w:rsidR="008F70DE" w:rsidRPr="001E4C00">
        <w:rPr>
          <w:lang w:val="fr-FR"/>
        </w:rPr>
        <w:t>’</w:t>
      </w:r>
      <w:r w:rsidRPr="001E4C00">
        <w:rPr>
          <w:lang w:val="fr-FR"/>
        </w:rPr>
        <w:t xml:space="preserve">appui demandé, </w:t>
      </w:r>
      <w:r w:rsidR="008F70DE" w:rsidRPr="001E4C00">
        <w:rPr>
          <w:lang w:val="fr-FR"/>
        </w:rPr>
        <w:t>y compris</w:t>
      </w:r>
      <w:r w:rsidRPr="001E4C00">
        <w:rPr>
          <w:lang w:val="fr-FR"/>
        </w:rPr>
        <w:t xml:space="preserve"> la rédaction d</w:t>
      </w:r>
      <w:r w:rsidR="008F70DE" w:rsidRPr="001E4C00">
        <w:rPr>
          <w:lang w:val="fr-FR"/>
        </w:rPr>
        <w:t>’</w:t>
      </w:r>
      <w:r w:rsidRPr="001E4C00">
        <w:rPr>
          <w:lang w:val="fr-FR"/>
        </w:rPr>
        <w:t>une nouvelle procédure d</w:t>
      </w:r>
      <w:r w:rsidR="008F70DE" w:rsidRPr="001E4C00">
        <w:rPr>
          <w:lang w:val="fr-FR"/>
        </w:rPr>
        <w:t>’</w:t>
      </w:r>
      <w:r w:rsidRPr="001E4C00">
        <w:rPr>
          <w:lang w:val="fr-FR"/>
        </w:rPr>
        <w:t>accréditation des organisations de gestion collective, adaptée à la situation exceptionnelle actuelle.  L</w:t>
      </w:r>
      <w:r w:rsidR="008F70DE" w:rsidRPr="001E4C00">
        <w:rPr>
          <w:lang w:val="fr-FR"/>
        </w:rPr>
        <w:t>’</w:t>
      </w:r>
      <w:r w:rsidRPr="001E4C00">
        <w:rPr>
          <w:lang w:val="fr-FR"/>
        </w:rPr>
        <w:t>OMPI, en coordination avec l</w:t>
      </w:r>
      <w:r w:rsidR="008F70DE" w:rsidRPr="001E4C00">
        <w:rPr>
          <w:lang w:val="fr-FR"/>
        </w:rPr>
        <w:t>’</w:t>
      </w:r>
      <w:r w:rsidRPr="001E4C00">
        <w:rPr>
          <w:lang w:val="fr-FR"/>
        </w:rPr>
        <w:t>UANIPIO, continue de mettre en œuvre les activités convenues.</w:t>
      </w:r>
    </w:p>
    <w:p w:rsidR="001957C8" w:rsidRPr="001E4C00" w:rsidRDefault="001957C8" w:rsidP="00287EBB">
      <w:pPr>
        <w:pStyle w:val="Heading2"/>
        <w:rPr>
          <w:lang w:val="fr-FR"/>
        </w:rPr>
      </w:pPr>
      <w:r w:rsidRPr="001E4C00">
        <w:rPr>
          <w:lang w:val="fr-FR"/>
        </w:rPr>
        <w:t>4.4.</w:t>
      </w:r>
      <w:r w:rsidRPr="001E4C00">
        <w:rPr>
          <w:lang w:val="fr-FR"/>
        </w:rPr>
        <w:tab/>
        <w:t>Soutien au développement commercial de l</w:t>
      </w:r>
      <w:r w:rsidR="008F70DE" w:rsidRPr="001E4C00">
        <w:rPr>
          <w:lang w:val="fr-FR"/>
        </w:rPr>
        <w:t>’</w:t>
      </w:r>
      <w:r w:rsidRPr="001E4C00">
        <w:rPr>
          <w:lang w:val="fr-FR"/>
        </w:rPr>
        <w:t>office de propriété intellectuelle</w:t>
      </w:r>
    </w:p>
    <w:p w:rsidR="001957C8" w:rsidRPr="001E4C00" w:rsidRDefault="001957C8" w:rsidP="007115E7">
      <w:pPr>
        <w:pStyle w:val="ONUMFS"/>
        <w:rPr>
          <w:lang w:val="fr-FR"/>
        </w:rPr>
      </w:pPr>
      <w:r w:rsidRPr="001E4C00">
        <w:rPr>
          <w:lang w:val="fr-FR"/>
        </w:rPr>
        <w:t>Le Bureau international a tenu des consultations sur l</w:t>
      </w:r>
      <w:r w:rsidR="008F70DE" w:rsidRPr="001E4C00">
        <w:rPr>
          <w:lang w:val="fr-FR"/>
        </w:rPr>
        <w:t>’</w:t>
      </w:r>
      <w:r w:rsidRPr="001E4C00">
        <w:rPr>
          <w:lang w:val="fr-FR"/>
        </w:rPr>
        <w:t>évaluation des besoins avec des fonctionnaires du Ministère de l</w:t>
      </w:r>
      <w:r w:rsidR="008F70DE" w:rsidRPr="001E4C00">
        <w:rPr>
          <w:lang w:val="fr-FR"/>
        </w:rPr>
        <w:t>’</w:t>
      </w:r>
      <w:r w:rsidRPr="001E4C00">
        <w:rPr>
          <w:lang w:val="fr-FR"/>
        </w:rPr>
        <w:t>économie et de l</w:t>
      </w:r>
      <w:r w:rsidR="008F70DE" w:rsidRPr="001E4C00">
        <w:rPr>
          <w:lang w:val="fr-FR"/>
        </w:rPr>
        <w:t>’</w:t>
      </w:r>
      <w:r w:rsidRPr="001E4C00">
        <w:rPr>
          <w:lang w:val="fr-FR"/>
        </w:rPr>
        <w:t>UANIPIO concernant l</w:t>
      </w:r>
      <w:r w:rsidR="008F70DE" w:rsidRPr="001E4C00">
        <w:rPr>
          <w:lang w:val="fr-FR"/>
        </w:rPr>
        <w:t>’</w:t>
      </w:r>
      <w:r w:rsidRPr="001E4C00">
        <w:rPr>
          <w:lang w:val="fr-FR"/>
        </w:rPr>
        <w:t>assistance technique et d</w:t>
      </w:r>
      <w:r w:rsidR="008F70DE" w:rsidRPr="001E4C00">
        <w:rPr>
          <w:lang w:val="fr-FR"/>
        </w:rPr>
        <w:t>’</w:t>
      </w:r>
      <w:r w:rsidRPr="001E4C00">
        <w:rPr>
          <w:lang w:val="fr-FR"/>
        </w:rPr>
        <w:t>autres solutions pour assurer la continuité et le développement des activités de l</w:t>
      </w:r>
      <w:r w:rsidR="008F70DE" w:rsidRPr="001E4C00">
        <w:rPr>
          <w:lang w:val="fr-FR"/>
        </w:rPr>
        <w:t>’</w:t>
      </w:r>
      <w:r w:rsidRPr="001E4C00">
        <w:rPr>
          <w:lang w:val="fr-FR"/>
        </w:rPr>
        <w:t>UANIPIO en tant qu</w:t>
      </w:r>
      <w:r w:rsidR="008F70DE" w:rsidRPr="001E4C00">
        <w:rPr>
          <w:lang w:val="fr-FR"/>
        </w:rPr>
        <w:t>’</w:t>
      </w:r>
      <w:r w:rsidRPr="001E4C00">
        <w:rPr>
          <w:lang w:val="fr-FR"/>
        </w:rPr>
        <w:t xml:space="preserve">autorité nationale </w:t>
      </w:r>
      <w:r w:rsidR="009707AD" w:rsidRPr="001E4C00">
        <w:rPr>
          <w:lang w:val="fr-FR"/>
        </w:rPr>
        <w:t xml:space="preserve">chargée </w:t>
      </w:r>
      <w:r w:rsidRPr="001E4C00">
        <w:rPr>
          <w:lang w:val="fr-FR"/>
        </w:rPr>
        <w:t>de la propriété intellectuel</w:t>
      </w:r>
      <w:r w:rsidR="00783939" w:rsidRPr="001E4C00">
        <w:rPr>
          <w:lang w:val="fr-FR"/>
        </w:rPr>
        <w:t>le.  La</w:t>
      </w:r>
      <w:r w:rsidRPr="001E4C00">
        <w:rPr>
          <w:lang w:val="fr-FR"/>
        </w:rPr>
        <w:t xml:space="preserve"> prochaine étape des consultations et des échanges techniques portera sur la faisabilité d</w:t>
      </w:r>
      <w:r w:rsidR="008F70DE" w:rsidRPr="001E4C00">
        <w:rPr>
          <w:lang w:val="fr-FR"/>
        </w:rPr>
        <w:t>’</w:t>
      </w:r>
      <w:r w:rsidRPr="001E4C00">
        <w:rPr>
          <w:lang w:val="fr-FR"/>
        </w:rPr>
        <w:t>un soutien à l</w:t>
      </w:r>
      <w:r w:rsidR="008F70DE" w:rsidRPr="001E4C00">
        <w:rPr>
          <w:lang w:val="fr-FR"/>
        </w:rPr>
        <w:t>’</w:t>
      </w:r>
      <w:r w:rsidRPr="001E4C00">
        <w:rPr>
          <w:lang w:val="fr-FR"/>
        </w:rPr>
        <w:t>amélioration des plateformes numériques utilisées par l</w:t>
      </w:r>
      <w:r w:rsidR="008F70DE" w:rsidRPr="001E4C00">
        <w:rPr>
          <w:lang w:val="fr-FR"/>
        </w:rPr>
        <w:t>’</w:t>
      </w:r>
      <w:r w:rsidRPr="001E4C00">
        <w:rPr>
          <w:lang w:val="fr-FR"/>
        </w:rPr>
        <w:t>UANIPIO.</w:t>
      </w:r>
    </w:p>
    <w:p w:rsidR="001957C8" w:rsidRPr="001E4C00" w:rsidRDefault="001957C8" w:rsidP="00287EBB">
      <w:pPr>
        <w:pStyle w:val="Heading2"/>
        <w:rPr>
          <w:lang w:val="fr-FR"/>
        </w:rPr>
      </w:pPr>
      <w:r w:rsidRPr="001E4C00">
        <w:rPr>
          <w:lang w:val="fr-FR"/>
        </w:rPr>
        <w:t>4.5.</w:t>
      </w:r>
      <w:r w:rsidRPr="001E4C00">
        <w:rPr>
          <w:lang w:val="fr-FR"/>
        </w:rPr>
        <w:tab/>
        <w:t>Soutien à l</w:t>
      </w:r>
      <w:r w:rsidR="008F70DE" w:rsidRPr="001E4C00">
        <w:rPr>
          <w:lang w:val="fr-FR"/>
        </w:rPr>
        <w:t>’</w:t>
      </w:r>
      <w:r w:rsidRPr="001E4C00">
        <w:rPr>
          <w:lang w:val="fr-FR"/>
        </w:rPr>
        <w:t>institut de formation à la propriété intellectuelle</w:t>
      </w:r>
    </w:p>
    <w:p w:rsidR="001957C8" w:rsidRPr="001E4C00" w:rsidRDefault="001957C8" w:rsidP="007115E7">
      <w:pPr>
        <w:pStyle w:val="ONUMFS"/>
        <w:rPr>
          <w:lang w:val="fr-FR"/>
        </w:rPr>
      </w:pPr>
      <w:r w:rsidRPr="001E4C00">
        <w:rPr>
          <w:lang w:val="fr-FR"/>
        </w:rPr>
        <w:t>L</w:t>
      </w:r>
      <w:r w:rsidR="008F70DE" w:rsidRPr="001E4C00">
        <w:rPr>
          <w:lang w:val="fr-FR"/>
        </w:rPr>
        <w:t>’</w:t>
      </w:r>
      <w:r w:rsidR="00E82A13" w:rsidRPr="001E4C00">
        <w:rPr>
          <w:lang w:val="fr-FR"/>
        </w:rPr>
        <w:t>I</w:t>
      </w:r>
      <w:r w:rsidRPr="001E4C00">
        <w:rPr>
          <w:lang w:val="fr-FR"/>
        </w:rPr>
        <w:t xml:space="preserve">nstitut </w:t>
      </w:r>
      <w:r w:rsidR="009707AD" w:rsidRPr="001E4C00">
        <w:rPr>
          <w:lang w:val="fr-FR"/>
        </w:rPr>
        <w:t xml:space="preserve">ukrainien </w:t>
      </w:r>
      <w:r w:rsidRPr="001E4C00">
        <w:rPr>
          <w:lang w:val="fr-FR"/>
        </w:rPr>
        <w:t>de formation à la propriété intellectuelle (IPTI) a été lancé en 2019.  Un modèle commercial a été élaboré par l</w:t>
      </w:r>
      <w:r w:rsidR="008F70DE" w:rsidRPr="001E4C00">
        <w:rPr>
          <w:lang w:val="fr-FR"/>
        </w:rPr>
        <w:t>’</w:t>
      </w:r>
      <w:r w:rsidRPr="001E4C00">
        <w:rPr>
          <w:lang w:val="fr-FR"/>
        </w:rPr>
        <w:t>Académie de l</w:t>
      </w:r>
      <w:r w:rsidR="008F70DE" w:rsidRPr="001E4C00">
        <w:rPr>
          <w:lang w:val="fr-FR"/>
        </w:rPr>
        <w:t>’</w:t>
      </w:r>
      <w:r w:rsidRPr="001E4C00">
        <w:rPr>
          <w:lang w:val="fr-FR"/>
        </w:rPr>
        <w:t>OMPI pour l</w:t>
      </w:r>
      <w:r w:rsidR="008F70DE" w:rsidRPr="001E4C00">
        <w:rPr>
          <w:lang w:val="fr-FR"/>
        </w:rPr>
        <w:t>’</w:t>
      </w:r>
      <w:r w:rsidRPr="001E4C00">
        <w:rPr>
          <w:lang w:val="fr-FR"/>
        </w:rPr>
        <w:t>IPTI, comprenant notamment une analyse de marché, un catalogue de cours à proposer par l</w:t>
      </w:r>
      <w:r w:rsidR="008F70DE" w:rsidRPr="001E4C00">
        <w:rPr>
          <w:lang w:val="fr-FR"/>
        </w:rPr>
        <w:t>’</w:t>
      </w:r>
      <w:r w:rsidRPr="001E4C00">
        <w:rPr>
          <w:lang w:val="fr-FR"/>
        </w:rPr>
        <w:t>Académie ukrainienne de la propriété intellectuelle et une évaluation des ressources humaines et financières pour répondre aux besoins de cette académ</w:t>
      </w:r>
      <w:r w:rsidR="00783939" w:rsidRPr="001E4C00">
        <w:rPr>
          <w:lang w:val="fr-FR"/>
        </w:rPr>
        <w:t>ie.  Pl</w:t>
      </w:r>
      <w:r w:rsidRPr="001E4C00">
        <w:rPr>
          <w:lang w:val="fr-FR"/>
        </w:rPr>
        <w:t>us de 40 formateurs ukrainiens ont suivi une formation dans le cadre d</w:t>
      </w:r>
      <w:r w:rsidR="008F70DE" w:rsidRPr="001E4C00">
        <w:rPr>
          <w:lang w:val="fr-FR"/>
        </w:rPr>
        <w:t>’</w:t>
      </w:r>
      <w:r w:rsidRPr="001E4C00">
        <w:rPr>
          <w:lang w:val="fr-FR"/>
        </w:rPr>
        <w:t>un programme de formation des formateurs en 2020</w:t>
      </w:r>
      <w:r w:rsidR="0091158D">
        <w:rPr>
          <w:lang w:val="fr-FR"/>
        </w:rPr>
        <w:noBreakHyphen/>
      </w:r>
      <w:r w:rsidRPr="001E4C00">
        <w:rPr>
          <w:lang w:val="fr-FR"/>
        </w:rPr>
        <w:t>2022 sur des modules portant sur les méthodes d</w:t>
      </w:r>
      <w:r w:rsidR="008F70DE" w:rsidRPr="001E4C00">
        <w:rPr>
          <w:lang w:val="fr-FR"/>
        </w:rPr>
        <w:t>’</w:t>
      </w:r>
      <w:r w:rsidRPr="001E4C00">
        <w:rPr>
          <w:lang w:val="fr-FR"/>
        </w:rPr>
        <w:t>enseignement de base, la gestion de la propriété intellectuelle et le droit d</w:t>
      </w:r>
      <w:r w:rsidR="008F70DE" w:rsidRPr="001E4C00">
        <w:rPr>
          <w:lang w:val="fr-FR"/>
        </w:rPr>
        <w:t>’</w:t>
      </w:r>
      <w:r w:rsidRPr="001E4C00">
        <w:rPr>
          <w:lang w:val="fr-FR"/>
        </w:rPr>
        <w:t>auteur et la gestion collecti</w:t>
      </w:r>
      <w:r w:rsidR="00783939" w:rsidRPr="001E4C00">
        <w:rPr>
          <w:lang w:val="fr-FR"/>
        </w:rPr>
        <w:t>ve.  Le</w:t>
      </w:r>
      <w:r w:rsidRPr="001E4C00">
        <w:rPr>
          <w:lang w:val="fr-FR"/>
        </w:rPr>
        <w:t xml:space="preserve"> quatrième module sur les méthodes d</w:t>
      </w:r>
      <w:r w:rsidR="008F70DE" w:rsidRPr="001E4C00">
        <w:rPr>
          <w:lang w:val="fr-FR"/>
        </w:rPr>
        <w:t>’</w:t>
      </w:r>
      <w:r w:rsidRPr="001E4C00">
        <w:rPr>
          <w:lang w:val="fr-FR"/>
        </w:rPr>
        <w:t>enseignement avancées devrait être finalisé en 2023 dans un format asynchro</w:t>
      </w:r>
      <w:r w:rsidR="00783939" w:rsidRPr="001E4C00">
        <w:rPr>
          <w:lang w:val="fr-FR"/>
        </w:rPr>
        <w:t>ne.  Pa</w:t>
      </w:r>
      <w:r w:rsidRPr="001E4C00">
        <w:rPr>
          <w:lang w:val="fr-FR"/>
        </w:rPr>
        <w:t>rallèlement, l</w:t>
      </w:r>
      <w:r w:rsidR="008F70DE" w:rsidRPr="001E4C00">
        <w:rPr>
          <w:lang w:val="fr-FR"/>
        </w:rPr>
        <w:t>’</w:t>
      </w:r>
      <w:r w:rsidRPr="001E4C00">
        <w:rPr>
          <w:lang w:val="fr-FR"/>
        </w:rPr>
        <w:t>IPTI a indiqué avoir organisé plus de 50 événements pour plus de 5500 participants, dont près de la moitié sont des femmes et 40% sont issus du secteur pri</w:t>
      </w:r>
      <w:r w:rsidR="00783939" w:rsidRPr="001E4C00">
        <w:rPr>
          <w:lang w:val="fr-FR"/>
        </w:rPr>
        <w:t>vé.  En</w:t>
      </w:r>
      <w:r w:rsidRPr="001E4C00">
        <w:rPr>
          <w:lang w:val="fr-FR"/>
        </w:rPr>
        <w:t> 2023, le programme prévoit de cibler environ 120 participants au cours des programmes pilotes qu</w:t>
      </w:r>
      <w:r w:rsidR="008F70DE" w:rsidRPr="001E4C00">
        <w:rPr>
          <w:lang w:val="fr-FR"/>
        </w:rPr>
        <w:t>’</w:t>
      </w:r>
      <w:r w:rsidRPr="001E4C00">
        <w:rPr>
          <w:lang w:val="fr-FR"/>
        </w:rPr>
        <w:t>il est prévu d</w:t>
      </w:r>
      <w:r w:rsidR="008F70DE" w:rsidRPr="001E4C00">
        <w:rPr>
          <w:lang w:val="fr-FR"/>
        </w:rPr>
        <w:t>’</w:t>
      </w:r>
      <w:r w:rsidRPr="001E4C00">
        <w:rPr>
          <w:lang w:val="fr-FR"/>
        </w:rPr>
        <w:t>organiser avec le soutien de l</w:t>
      </w:r>
      <w:r w:rsidR="008F70DE" w:rsidRPr="001E4C00">
        <w:rPr>
          <w:lang w:val="fr-FR"/>
        </w:rPr>
        <w:t>’</w:t>
      </w:r>
      <w:r w:rsidRPr="001E4C00">
        <w:rPr>
          <w:lang w:val="fr-FR"/>
        </w:rPr>
        <w:t xml:space="preserve">OMPI, </w:t>
      </w:r>
      <w:r w:rsidR="009707AD" w:rsidRPr="001E4C00">
        <w:rPr>
          <w:lang w:val="fr-FR"/>
        </w:rPr>
        <w:t>sur les thèmes suivants</w:t>
      </w:r>
      <w:r w:rsidR="008F70DE" w:rsidRPr="001E4C00">
        <w:rPr>
          <w:lang w:val="fr-FR"/>
        </w:rPr>
        <w:t> :</w:t>
      </w:r>
      <w:r w:rsidRPr="001E4C00">
        <w:rPr>
          <w:lang w:val="fr-FR"/>
        </w:rPr>
        <w:t xml:space="preserve"> i) les conseils en </w:t>
      </w:r>
      <w:proofErr w:type="gramStart"/>
      <w:r w:rsidRPr="001E4C00">
        <w:rPr>
          <w:lang w:val="fr-FR"/>
        </w:rPr>
        <w:t>brevets;  ii</w:t>
      </w:r>
      <w:proofErr w:type="gramEnd"/>
      <w:r w:rsidRPr="001E4C00">
        <w:rPr>
          <w:lang w:val="fr-FR"/>
        </w:rPr>
        <w:t>) la propriété intellectuelle et les technologies émergentes;  et iii) le transfert de technologie pour les universités.</w:t>
      </w:r>
    </w:p>
    <w:p w:rsidR="008A3FE2" w:rsidRPr="001E4C00" w:rsidRDefault="001957C8" w:rsidP="00287EBB">
      <w:pPr>
        <w:pStyle w:val="Heading2"/>
        <w:rPr>
          <w:lang w:val="fr-FR"/>
        </w:rPr>
      </w:pPr>
      <w:r w:rsidRPr="001E4C00">
        <w:rPr>
          <w:lang w:val="fr-FR"/>
        </w:rPr>
        <w:t>4.6.</w:t>
      </w:r>
      <w:r w:rsidRPr="001E4C00">
        <w:rPr>
          <w:lang w:val="fr-FR"/>
        </w:rPr>
        <w:tab/>
        <w:t>Appui aux autorités chargées de l</w:t>
      </w:r>
      <w:r w:rsidR="008F70DE" w:rsidRPr="001E4C00">
        <w:rPr>
          <w:lang w:val="fr-FR"/>
        </w:rPr>
        <w:t>’</w:t>
      </w:r>
      <w:r w:rsidRPr="001E4C00">
        <w:rPr>
          <w:lang w:val="fr-FR"/>
        </w:rPr>
        <w:t>application des droits de propriété intellectuelle</w:t>
      </w:r>
    </w:p>
    <w:p w:rsidR="001957C8" w:rsidRPr="001E4C00" w:rsidRDefault="001957C8" w:rsidP="007115E7">
      <w:pPr>
        <w:pStyle w:val="ONUMFS"/>
        <w:rPr>
          <w:sz w:val="20"/>
          <w:szCs w:val="22"/>
          <w:lang w:val="fr-FR"/>
        </w:rPr>
      </w:pPr>
      <w:r w:rsidRPr="001E4C00">
        <w:rPr>
          <w:lang w:val="fr-FR"/>
        </w:rPr>
        <w:t>L</w:t>
      </w:r>
      <w:r w:rsidR="008F70DE" w:rsidRPr="001E4C00">
        <w:rPr>
          <w:lang w:val="fr-FR"/>
        </w:rPr>
        <w:t>’</w:t>
      </w:r>
      <w:r w:rsidRPr="001E4C00">
        <w:rPr>
          <w:lang w:val="fr-FR"/>
        </w:rPr>
        <w:t>Ukraine est un contributeur autorisé à la plateforme WIPO ALERT depuis le 23 septembre 2020.  Parallèlement à l</w:t>
      </w:r>
      <w:r w:rsidR="008F70DE" w:rsidRPr="001E4C00">
        <w:rPr>
          <w:lang w:val="fr-FR"/>
        </w:rPr>
        <w:t>’</w:t>
      </w:r>
      <w:r w:rsidRPr="001E4C00">
        <w:rPr>
          <w:lang w:val="fr-FR"/>
        </w:rPr>
        <w:t>activité législative renforcée liée à la promulgation d</w:t>
      </w:r>
      <w:r w:rsidR="008F70DE" w:rsidRPr="001E4C00">
        <w:rPr>
          <w:lang w:val="fr-FR"/>
        </w:rPr>
        <w:t>’</w:t>
      </w:r>
      <w:r w:rsidRPr="001E4C00">
        <w:rPr>
          <w:lang w:val="fr-FR"/>
        </w:rPr>
        <w:t>une nouvelle loi sur le droit d</w:t>
      </w:r>
      <w:r w:rsidR="008F70DE" w:rsidRPr="001E4C00">
        <w:rPr>
          <w:lang w:val="fr-FR"/>
        </w:rPr>
        <w:t>’</w:t>
      </w:r>
      <w:r w:rsidRPr="001E4C00">
        <w:rPr>
          <w:lang w:val="fr-FR"/>
        </w:rPr>
        <w:t>auteur et les droits connexes et d</w:t>
      </w:r>
      <w:r w:rsidR="008F70DE" w:rsidRPr="001E4C00">
        <w:rPr>
          <w:lang w:val="fr-FR"/>
        </w:rPr>
        <w:t>’</w:t>
      </w:r>
      <w:r w:rsidRPr="001E4C00">
        <w:rPr>
          <w:lang w:val="fr-FR"/>
        </w:rPr>
        <w:t>une nouvelle loi sur les médias (le 31 mars 2023), le Parlement ukrainien a introduit une modification à l</w:t>
      </w:r>
      <w:r w:rsidR="008F70DE" w:rsidRPr="001E4C00">
        <w:rPr>
          <w:lang w:val="fr-FR"/>
        </w:rPr>
        <w:t>’</w:t>
      </w:r>
      <w:r w:rsidRPr="001E4C00">
        <w:rPr>
          <w:lang w:val="fr-FR"/>
        </w:rPr>
        <w:t>article 8, partie 11, de la loi sur la publicité afin d</w:t>
      </w:r>
      <w:r w:rsidR="008F70DE" w:rsidRPr="001E4C00">
        <w:rPr>
          <w:lang w:val="fr-FR"/>
        </w:rPr>
        <w:t>’</w:t>
      </w:r>
      <w:r w:rsidRPr="001E4C00">
        <w:rPr>
          <w:lang w:val="fr-FR"/>
        </w:rPr>
        <w:t>inclure une référence implicite à WIPO ALERT dans les termes suivants</w:t>
      </w:r>
      <w:r w:rsidR="008F70DE" w:rsidRPr="001E4C00">
        <w:rPr>
          <w:lang w:val="fr-FR"/>
        </w:rPr>
        <w:t> :</w:t>
      </w:r>
    </w:p>
    <w:p w:rsidR="008A3FE2" w:rsidRPr="001E4C00" w:rsidRDefault="001957C8" w:rsidP="00287EBB">
      <w:pPr>
        <w:pStyle w:val="ONUMFS"/>
        <w:numPr>
          <w:ilvl w:val="0"/>
          <w:numId w:val="0"/>
        </w:numPr>
        <w:rPr>
          <w:rFonts w:eastAsia="Times New Roman"/>
          <w:color w:val="000000"/>
          <w:szCs w:val="24"/>
          <w:lang w:val="fr-FR"/>
        </w:rPr>
      </w:pPr>
      <w:r w:rsidRPr="001E4C00">
        <w:rPr>
          <w:i/>
          <w:lang w:val="fr-FR"/>
        </w:rPr>
        <w:t>“Il est interdit de faire de la publicité sur Internet sur des sites Web inclus par l</w:t>
      </w:r>
      <w:r w:rsidR="008F70DE" w:rsidRPr="001E4C00">
        <w:rPr>
          <w:i/>
          <w:lang w:val="fr-FR"/>
        </w:rPr>
        <w:t>’</w:t>
      </w:r>
      <w:r w:rsidRPr="001E4C00">
        <w:rPr>
          <w:i/>
          <w:lang w:val="fr-FR"/>
        </w:rPr>
        <w:t>Organisation Mondiale de la Propriété Intellectuelle dans la liste pertinente (base de données) des sites Web auxquels les détenteurs de droits d</w:t>
      </w:r>
      <w:r w:rsidR="008F70DE" w:rsidRPr="001E4C00">
        <w:rPr>
          <w:i/>
          <w:lang w:val="fr-FR"/>
        </w:rPr>
        <w:t>’</w:t>
      </w:r>
      <w:r w:rsidRPr="001E4C00">
        <w:rPr>
          <w:i/>
          <w:lang w:val="fr-FR"/>
        </w:rPr>
        <w:t>auteur ont soumis des réclamations concernant le respect des droits de propriété intellectuelle</w:t>
      </w:r>
      <w:r w:rsidRPr="001E4C00">
        <w:rPr>
          <w:i/>
          <w:color w:val="000000"/>
          <w:lang w:val="fr-FR"/>
        </w:rPr>
        <w:t>.”</w:t>
      </w:r>
    </w:p>
    <w:p w:rsidR="001957C8" w:rsidRPr="001E4C00" w:rsidRDefault="001957C8" w:rsidP="00F20E7D">
      <w:pPr>
        <w:pStyle w:val="ONUMFS"/>
        <w:rPr>
          <w:lang w:val="fr-FR"/>
        </w:rPr>
      </w:pPr>
      <w:r w:rsidRPr="001E4C00">
        <w:rPr>
          <w:lang w:val="fr-FR"/>
        </w:rPr>
        <w:t>Le 30 mai 2023, le Parlement ukrainien a adopté de nouveaux amendements à la loi sur la publicité, en vertu desquels les procédures nécessaires à la pleine participation de l</w:t>
      </w:r>
      <w:r w:rsidR="008F70DE" w:rsidRPr="001E4C00">
        <w:rPr>
          <w:lang w:val="fr-FR"/>
        </w:rPr>
        <w:t>’</w:t>
      </w:r>
      <w:r w:rsidRPr="001E4C00">
        <w:rPr>
          <w:lang w:val="fr-FR"/>
        </w:rPr>
        <w:t>Ukraine au programme WIPO ALERT seront mises en pla</w:t>
      </w:r>
      <w:r w:rsidR="00783939" w:rsidRPr="001E4C00">
        <w:rPr>
          <w:lang w:val="fr-FR"/>
        </w:rPr>
        <w:t>ce.  Gr</w:t>
      </w:r>
      <w:r w:rsidRPr="001E4C00">
        <w:rPr>
          <w:lang w:val="fr-FR"/>
        </w:rPr>
        <w:t xml:space="preserve">âce à ces </w:t>
      </w:r>
      <w:r w:rsidR="00F20E7D" w:rsidRPr="001E4C00">
        <w:rPr>
          <w:lang w:val="fr-FR"/>
        </w:rPr>
        <w:t>amendements</w:t>
      </w:r>
      <w:r w:rsidRPr="001E4C00">
        <w:rPr>
          <w:lang w:val="fr-FR"/>
        </w:rPr>
        <w:t>, le programme WIPO ALERT entre pour la première fois dans la législation nationa</w:t>
      </w:r>
      <w:r w:rsidR="00783939" w:rsidRPr="001E4C00">
        <w:rPr>
          <w:lang w:val="fr-FR"/>
        </w:rPr>
        <w:t>le.  En</w:t>
      </w:r>
      <w:r w:rsidRPr="001E4C00">
        <w:rPr>
          <w:lang w:val="fr-FR"/>
        </w:rPr>
        <w:t xml:space="preserve"> conséquence, la Division </w:t>
      </w:r>
      <w:r w:rsidR="00F20E7D" w:rsidRPr="001E4C00">
        <w:rPr>
          <w:lang w:val="fr-FR"/>
        </w:rPr>
        <w:t xml:space="preserve">de la promotion </w:t>
      </w:r>
      <w:r w:rsidRPr="001E4C00">
        <w:rPr>
          <w:lang w:val="fr-FR"/>
        </w:rPr>
        <w:t>du respect de la propriété intellectuelle de l</w:t>
      </w:r>
      <w:r w:rsidR="008F70DE" w:rsidRPr="001E4C00">
        <w:rPr>
          <w:lang w:val="fr-FR"/>
        </w:rPr>
        <w:t>’</w:t>
      </w:r>
      <w:r w:rsidRPr="001E4C00">
        <w:rPr>
          <w:lang w:val="fr-FR"/>
        </w:rPr>
        <w:t xml:space="preserve">OMPI </w:t>
      </w:r>
      <w:r w:rsidR="00F20E7D" w:rsidRPr="001E4C00">
        <w:rPr>
          <w:lang w:val="fr-FR"/>
        </w:rPr>
        <w:t xml:space="preserve">a reçu </w:t>
      </w:r>
      <w:r w:rsidRPr="001E4C00">
        <w:rPr>
          <w:lang w:val="fr-FR"/>
        </w:rPr>
        <w:t xml:space="preserve">et </w:t>
      </w:r>
      <w:r w:rsidR="00F20E7D" w:rsidRPr="001E4C00">
        <w:rPr>
          <w:lang w:val="fr-FR"/>
        </w:rPr>
        <w:t xml:space="preserve">traité </w:t>
      </w:r>
      <w:r w:rsidRPr="001E4C00">
        <w:rPr>
          <w:lang w:val="fr-FR"/>
        </w:rPr>
        <w:t>plusieurs demandes d</w:t>
      </w:r>
      <w:r w:rsidR="008F70DE" w:rsidRPr="001E4C00">
        <w:rPr>
          <w:lang w:val="fr-FR"/>
        </w:rPr>
        <w:t>’</w:t>
      </w:r>
      <w:r w:rsidRPr="001E4C00">
        <w:rPr>
          <w:lang w:val="fr-FR"/>
        </w:rPr>
        <w:t>adhésion émanant d</w:t>
      </w:r>
      <w:r w:rsidR="008F70DE" w:rsidRPr="001E4C00">
        <w:rPr>
          <w:lang w:val="fr-FR"/>
        </w:rPr>
        <w:t>’</w:t>
      </w:r>
      <w:r w:rsidRPr="001E4C00">
        <w:rPr>
          <w:lang w:val="fr-FR"/>
        </w:rPr>
        <w:t xml:space="preserve">acteurs ukrainiens du secteur de la publicité </w:t>
      </w:r>
      <w:r w:rsidR="00F20E7D" w:rsidRPr="001E4C00">
        <w:rPr>
          <w:lang w:val="fr-FR"/>
        </w:rPr>
        <w:t xml:space="preserve">souhaitant </w:t>
      </w:r>
      <w:r w:rsidRPr="001E4C00">
        <w:rPr>
          <w:lang w:val="fr-FR"/>
        </w:rPr>
        <w:t>devenir des utilisateurs autorisés afin de se conformer à la nouvelle loi, et d</w:t>
      </w:r>
      <w:r w:rsidR="008F70DE" w:rsidRPr="001E4C00">
        <w:rPr>
          <w:lang w:val="fr-FR"/>
        </w:rPr>
        <w:t>’</w:t>
      </w:r>
      <w:r w:rsidRPr="001E4C00">
        <w:rPr>
          <w:lang w:val="fr-FR"/>
        </w:rPr>
        <w:t>autres demandes sont attendues dans les semaines à venir.</w:t>
      </w:r>
    </w:p>
    <w:p w:rsidR="001957C8" w:rsidRPr="001E4C00" w:rsidRDefault="001957C8" w:rsidP="00287EBB">
      <w:pPr>
        <w:pStyle w:val="Heading2"/>
        <w:rPr>
          <w:lang w:val="fr-FR"/>
        </w:rPr>
      </w:pPr>
      <w:r w:rsidRPr="001E4C00">
        <w:rPr>
          <w:lang w:val="fr-FR"/>
        </w:rPr>
        <w:t>4.7.</w:t>
      </w:r>
      <w:r w:rsidRPr="001E4C00">
        <w:rPr>
          <w:lang w:val="fr-FR"/>
        </w:rPr>
        <w:tab/>
        <w:t>Soutien à la politique de règlement extrajudiciaire des litiges et à la sensibilisation</w:t>
      </w:r>
    </w:p>
    <w:p w:rsidR="001957C8" w:rsidRPr="001E4C00" w:rsidRDefault="001957C8" w:rsidP="007115E7">
      <w:pPr>
        <w:pStyle w:val="ONUMFS"/>
        <w:rPr>
          <w:lang w:val="fr-FR"/>
        </w:rPr>
      </w:pPr>
      <w:r w:rsidRPr="001E4C00">
        <w:rPr>
          <w:lang w:val="fr-FR"/>
        </w:rPr>
        <w:t>En 2018, l</w:t>
      </w:r>
      <w:r w:rsidR="008F70DE" w:rsidRPr="001E4C00">
        <w:rPr>
          <w:lang w:val="fr-FR"/>
        </w:rPr>
        <w:t>’</w:t>
      </w:r>
      <w:r w:rsidRPr="001E4C00">
        <w:rPr>
          <w:lang w:val="fr-FR"/>
        </w:rPr>
        <w:t>OMPI et le Ministère ukrainien du développement économique et du commerce ont conclu un protocole d</w:t>
      </w:r>
      <w:r w:rsidR="008F70DE" w:rsidRPr="001E4C00">
        <w:rPr>
          <w:lang w:val="fr-FR"/>
        </w:rPr>
        <w:t>’</w:t>
      </w:r>
      <w:r w:rsidRPr="001E4C00">
        <w:rPr>
          <w:lang w:val="fr-FR"/>
        </w:rPr>
        <w:t>accord, sur la base duquel le Centre d</w:t>
      </w:r>
      <w:r w:rsidR="008F70DE" w:rsidRPr="001E4C00">
        <w:rPr>
          <w:lang w:val="fr-FR"/>
        </w:rPr>
        <w:t>’</w:t>
      </w:r>
      <w:r w:rsidRPr="001E4C00">
        <w:rPr>
          <w:lang w:val="fr-FR"/>
        </w:rPr>
        <w:t>arbitrage et de médiation de l</w:t>
      </w:r>
      <w:r w:rsidR="008F70DE" w:rsidRPr="001E4C00">
        <w:rPr>
          <w:lang w:val="fr-FR"/>
        </w:rPr>
        <w:t>’</w:t>
      </w:r>
      <w:r w:rsidRPr="001E4C00">
        <w:rPr>
          <w:lang w:val="fr-FR"/>
        </w:rPr>
        <w:t>OMPI s</w:t>
      </w:r>
      <w:r w:rsidR="008F70DE" w:rsidRPr="001E4C00">
        <w:rPr>
          <w:lang w:val="fr-FR"/>
        </w:rPr>
        <w:t>’</w:t>
      </w:r>
      <w:r w:rsidRPr="001E4C00">
        <w:rPr>
          <w:lang w:val="fr-FR"/>
        </w:rPr>
        <w:t xml:space="preserve">est engagé auprès des parties prenantes ukrainiennes </w:t>
      </w:r>
      <w:r w:rsidR="00F20E7D" w:rsidRPr="001E4C00">
        <w:rPr>
          <w:lang w:val="fr-FR"/>
        </w:rPr>
        <w:t xml:space="preserve">en ce qui concerne </w:t>
      </w:r>
      <w:r w:rsidRPr="001E4C00">
        <w:rPr>
          <w:lang w:val="fr-FR"/>
        </w:rPr>
        <w:t>le règlement extrajudiciaire des litiges de propriété intellectuelle et le règlement des litiges relatifs aux noms de domaine, en collaboration avec le Ministère ukrainien du développement économique et du commerce, des associations de propriété intellectuelle et de règlement extrajudiciaire des litiges et des cabinets d</w:t>
      </w:r>
      <w:r w:rsidR="008F70DE" w:rsidRPr="001E4C00">
        <w:rPr>
          <w:lang w:val="fr-FR"/>
        </w:rPr>
        <w:t>’</w:t>
      </w:r>
      <w:r w:rsidRPr="001E4C00">
        <w:rPr>
          <w:lang w:val="fr-FR"/>
        </w:rPr>
        <w:t>avocats ukrainie</w:t>
      </w:r>
      <w:r w:rsidR="00783939" w:rsidRPr="001E4C00">
        <w:rPr>
          <w:lang w:val="fr-FR"/>
        </w:rPr>
        <w:t>ns.  Ju</w:t>
      </w:r>
      <w:r w:rsidRPr="001E4C00">
        <w:rPr>
          <w:lang w:val="fr-FR"/>
        </w:rPr>
        <w:t>squ</w:t>
      </w:r>
      <w:r w:rsidR="008F70DE" w:rsidRPr="001E4C00">
        <w:rPr>
          <w:lang w:val="fr-FR"/>
        </w:rPr>
        <w:t>’</w:t>
      </w:r>
      <w:r w:rsidRPr="001E4C00">
        <w:rPr>
          <w:lang w:val="fr-FR"/>
        </w:rPr>
        <w:t xml:space="preserve">à présent, cet engagement a consisté à organiser des séminaires en ligne, à former des </w:t>
      </w:r>
      <w:r w:rsidR="00F20E7D" w:rsidRPr="001E4C00">
        <w:rPr>
          <w:lang w:val="fr-FR"/>
        </w:rPr>
        <w:t xml:space="preserve">spécialistes </w:t>
      </w:r>
      <w:r w:rsidRPr="001E4C00">
        <w:rPr>
          <w:lang w:val="fr-FR"/>
        </w:rPr>
        <w:t>de la propriété intellectuelle et du règlement des litiges basés en Ukraine et à inviter des experts à s</w:t>
      </w:r>
      <w:r w:rsidR="008F70DE" w:rsidRPr="001E4C00">
        <w:rPr>
          <w:lang w:val="fr-FR"/>
        </w:rPr>
        <w:t>’</w:t>
      </w:r>
      <w:r w:rsidRPr="001E4C00">
        <w:rPr>
          <w:lang w:val="fr-FR"/>
        </w:rPr>
        <w:t>inscrire sur la liste des médiateurs ou arbitres de l</w:t>
      </w:r>
      <w:r w:rsidR="008F70DE" w:rsidRPr="001E4C00">
        <w:rPr>
          <w:lang w:val="fr-FR"/>
        </w:rPr>
        <w:t>’</w:t>
      </w:r>
      <w:r w:rsidRPr="001E4C00">
        <w:rPr>
          <w:lang w:val="fr-FR"/>
        </w:rPr>
        <w:t>OMPI.</w:t>
      </w:r>
    </w:p>
    <w:p w:rsidR="001957C8" w:rsidRPr="001E4C00" w:rsidRDefault="001957C8" w:rsidP="00B96384">
      <w:pPr>
        <w:pStyle w:val="Heading2"/>
        <w:keepLines/>
        <w:rPr>
          <w:lang w:val="fr-FR"/>
        </w:rPr>
      </w:pPr>
      <w:r w:rsidRPr="001E4C00">
        <w:rPr>
          <w:lang w:val="fr-FR"/>
        </w:rPr>
        <w:t>4.8.</w:t>
      </w:r>
      <w:r w:rsidRPr="001E4C00">
        <w:rPr>
          <w:lang w:val="fr-FR"/>
        </w:rPr>
        <w:tab/>
        <w:t xml:space="preserve">Soutien et assistance aux institutions gouvernementales, aux PME, aux créateurs et aux inventeurs en matière </w:t>
      </w:r>
      <w:r w:rsidR="00F20E7D" w:rsidRPr="001E4C00">
        <w:rPr>
          <w:lang w:val="fr-FR"/>
        </w:rPr>
        <w:t>de recensement</w:t>
      </w:r>
      <w:r w:rsidRPr="001E4C00">
        <w:rPr>
          <w:lang w:val="fr-FR"/>
        </w:rPr>
        <w:t>, d</w:t>
      </w:r>
      <w:r w:rsidR="008F70DE" w:rsidRPr="001E4C00">
        <w:rPr>
          <w:lang w:val="fr-FR"/>
        </w:rPr>
        <w:t>’</w:t>
      </w:r>
      <w:r w:rsidRPr="001E4C00">
        <w:rPr>
          <w:lang w:val="fr-FR"/>
        </w:rPr>
        <w:t>évaluation et d</w:t>
      </w:r>
      <w:r w:rsidR="008F70DE" w:rsidRPr="001E4C00">
        <w:rPr>
          <w:lang w:val="fr-FR"/>
        </w:rPr>
        <w:t>’</w:t>
      </w:r>
      <w:r w:rsidRPr="001E4C00">
        <w:rPr>
          <w:lang w:val="fr-FR"/>
        </w:rPr>
        <w:t>exploitation de leur propriété intellectuelle</w:t>
      </w:r>
    </w:p>
    <w:p w:rsidR="008A3FE2" w:rsidRPr="001E4C00" w:rsidRDefault="001957C8" w:rsidP="00B96384">
      <w:pPr>
        <w:pStyle w:val="Heading3"/>
        <w:ind w:left="1985" w:hanging="851"/>
        <w:rPr>
          <w:lang w:val="fr-FR"/>
        </w:rPr>
      </w:pPr>
      <w:r w:rsidRPr="001E4C00">
        <w:rPr>
          <w:lang w:val="fr-FR"/>
        </w:rPr>
        <w:t>4.8.1.</w:t>
      </w:r>
      <w:r w:rsidRPr="001E4C00">
        <w:rPr>
          <w:lang w:val="fr-FR"/>
        </w:rPr>
        <w:tab/>
      </w:r>
      <w:r w:rsidRPr="001E4C00">
        <w:rPr>
          <w:u w:val="single"/>
          <w:lang w:val="fr-FR"/>
        </w:rPr>
        <w:t>Traduction et adaptation des outils de soutien aux PME et aux jeunes entreprises</w:t>
      </w:r>
    </w:p>
    <w:p w:rsidR="001957C8" w:rsidRPr="001E4C00" w:rsidRDefault="001957C8" w:rsidP="007115E7">
      <w:pPr>
        <w:pStyle w:val="ONUMFS"/>
        <w:rPr>
          <w:lang w:val="fr-FR"/>
        </w:rPr>
      </w:pPr>
      <w:r w:rsidRPr="001E4C00">
        <w:rPr>
          <w:lang w:val="fr-FR"/>
        </w:rPr>
        <w:t>Le Bureau international et l</w:t>
      </w:r>
      <w:r w:rsidR="008F70DE" w:rsidRPr="001E4C00">
        <w:rPr>
          <w:lang w:val="fr-FR"/>
        </w:rPr>
        <w:t>’</w:t>
      </w:r>
      <w:r w:rsidRPr="001E4C00">
        <w:rPr>
          <w:lang w:val="fr-FR"/>
        </w:rPr>
        <w:t>UANIPIO sont convenus de procéder à la traduction en ukrainien et à l</w:t>
      </w:r>
      <w:r w:rsidR="008F70DE" w:rsidRPr="001E4C00">
        <w:rPr>
          <w:lang w:val="fr-FR"/>
        </w:rPr>
        <w:t>’</w:t>
      </w:r>
      <w:r w:rsidRPr="001E4C00">
        <w:rPr>
          <w:lang w:val="fr-FR"/>
        </w:rPr>
        <w:t>adaptation des documents et outils d</w:t>
      </w:r>
      <w:r w:rsidR="008F70DE" w:rsidRPr="001E4C00">
        <w:rPr>
          <w:lang w:val="fr-FR"/>
        </w:rPr>
        <w:t>’</w:t>
      </w:r>
      <w:r w:rsidRPr="001E4C00">
        <w:rPr>
          <w:lang w:val="fr-FR"/>
        </w:rPr>
        <w:t>appui de l</w:t>
      </w:r>
      <w:r w:rsidR="008F70DE" w:rsidRPr="001E4C00">
        <w:rPr>
          <w:lang w:val="fr-FR"/>
        </w:rPr>
        <w:t>’</w:t>
      </w:r>
      <w:r w:rsidRPr="001E4C00">
        <w:rPr>
          <w:lang w:val="fr-FR"/>
        </w:rPr>
        <w:t>OMPI destinés aux PME et aux jeunes entreprises, notamment l</w:t>
      </w:r>
      <w:r w:rsidR="008F70DE" w:rsidRPr="001E4C00">
        <w:rPr>
          <w:lang w:val="fr-FR"/>
        </w:rPr>
        <w:t>’</w:t>
      </w:r>
      <w:r w:rsidRPr="001E4C00">
        <w:rPr>
          <w:lang w:val="fr-FR"/>
        </w:rPr>
        <w:t>outil de diagnostic en matière de propriété intellectuelle et le guide de la propriété intellectuelle à l</w:t>
      </w:r>
      <w:r w:rsidR="008F70DE" w:rsidRPr="001E4C00">
        <w:rPr>
          <w:lang w:val="fr-FR"/>
        </w:rPr>
        <w:t>’</w:t>
      </w:r>
      <w:r w:rsidRPr="001E4C00">
        <w:rPr>
          <w:lang w:val="fr-FR"/>
        </w:rPr>
        <w:t>intention des jeunes entrepris</w:t>
      </w:r>
      <w:r w:rsidR="00783939" w:rsidRPr="001E4C00">
        <w:rPr>
          <w:lang w:val="fr-FR"/>
        </w:rPr>
        <w:t>es.  Le</w:t>
      </w:r>
      <w:r w:rsidRPr="001E4C00">
        <w:rPr>
          <w:lang w:val="fr-FR"/>
        </w:rPr>
        <w:t>s activités de traduction et d</w:t>
      </w:r>
      <w:r w:rsidR="008F70DE" w:rsidRPr="001E4C00">
        <w:rPr>
          <w:lang w:val="fr-FR"/>
        </w:rPr>
        <w:t>’</w:t>
      </w:r>
      <w:r w:rsidRPr="001E4C00">
        <w:rPr>
          <w:lang w:val="fr-FR"/>
        </w:rPr>
        <w:t>adaptation devraient commencer dès que les experts chargés de l</w:t>
      </w:r>
      <w:r w:rsidR="008F70DE" w:rsidRPr="001E4C00">
        <w:rPr>
          <w:lang w:val="fr-FR"/>
        </w:rPr>
        <w:t>’</w:t>
      </w:r>
      <w:r w:rsidRPr="001E4C00">
        <w:rPr>
          <w:lang w:val="fr-FR"/>
        </w:rPr>
        <w:t>adaptation des ressources auront été désignés.</w:t>
      </w:r>
    </w:p>
    <w:p w:rsidR="008A3FE2" w:rsidRPr="001E4C00" w:rsidRDefault="001957C8" w:rsidP="00B96384">
      <w:pPr>
        <w:pStyle w:val="Heading3"/>
        <w:ind w:left="1985" w:hanging="851"/>
        <w:rPr>
          <w:lang w:val="fr-FR"/>
        </w:rPr>
      </w:pPr>
      <w:r w:rsidRPr="001E4C00">
        <w:rPr>
          <w:lang w:val="fr-FR"/>
        </w:rPr>
        <w:t>4.8.2.</w:t>
      </w:r>
      <w:r w:rsidRPr="001E4C00">
        <w:rPr>
          <w:lang w:val="fr-FR"/>
        </w:rPr>
        <w:tab/>
      </w:r>
      <w:r w:rsidRPr="001E4C00">
        <w:rPr>
          <w:u w:val="single"/>
          <w:lang w:val="fr-FR"/>
        </w:rPr>
        <w:t xml:space="preserve">Projets </w:t>
      </w:r>
      <w:r w:rsidR="007B165F" w:rsidRPr="001E4C00">
        <w:rPr>
          <w:u w:val="single"/>
          <w:lang w:val="fr-FR"/>
        </w:rPr>
        <w:t xml:space="preserve">relatifs à </w:t>
      </w:r>
      <w:r w:rsidRPr="001E4C00">
        <w:rPr>
          <w:u w:val="single"/>
          <w:lang w:val="fr-FR"/>
        </w:rPr>
        <w:t>l</w:t>
      </w:r>
      <w:r w:rsidR="008F70DE" w:rsidRPr="001E4C00">
        <w:rPr>
          <w:u w:val="single"/>
          <w:lang w:val="fr-FR"/>
        </w:rPr>
        <w:t>’</w:t>
      </w:r>
      <w:r w:rsidRPr="001E4C00">
        <w:rPr>
          <w:u w:val="single"/>
          <w:lang w:val="fr-FR"/>
        </w:rPr>
        <w:t xml:space="preserve">accès et </w:t>
      </w:r>
      <w:r w:rsidR="007B165F" w:rsidRPr="001E4C00">
        <w:rPr>
          <w:u w:val="single"/>
          <w:lang w:val="fr-FR"/>
        </w:rPr>
        <w:t xml:space="preserve">à </w:t>
      </w:r>
      <w:r w:rsidRPr="001E4C00">
        <w:rPr>
          <w:u w:val="single"/>
          <w:lang w:val="fr-FR"/>
        </w:rPr>
        <w:t>l</w:t>
      </w:r>
      <w:r w:rsidR="008F70DE" w:rsidRPr="001E4C00">
        <w:rPr>
          <w:u w:val="single"/>
          <w:lang w:val="fr-FR"/>
        </w:rPr>
        <w:t>’</w:t>
      </w:r>
      <w:r w:rsidRPr="001E4C00">
        <w:rPr>
          <w:u w:val="single"/>
          <w:lang w:val="fr-FR"/>
        </w:rPr>
        <w:t xml:space="preserve">utilisation des actifs de propriété intellectuelle </w:t>
      </w:r>
      <w:r w:rsidR="007B165F" w:rsidRPr="001E4C00">
        <w:rPr>
          <w:u w:val="single"/>
          <w:lang w:val="fr-FR"/>
        </w:rPr>
        <w:t xml:space="preserve">créés ou </w:t>
      </w:r>
      <w:r w:rsidRPr="001E4C00">
        <w:rPr>
          <w:u w:val="single"/>
          <w:lang w:val="fr-FR"/>
        </w:rPr>
        <w:t>financés par les pouvoirs publics</w:t>
      </w:r>
    </w:p>
    <w:p w:rsidR="001957C8" w:rsidRPr="001E4C00" w:rsidRDefault="001957C8" w:rsidP="007115E7">
      <w:pPr>
        <w:pStyle w:val="ONUMFS"/>
        <w:rPr>
          <w:lang w:val="fr-FR"/>
        </w:rPr>
      </w:pPr>
      <w:r w:rsidRPr="001E4C00">
        <w:rPr>
          <w:lang w:val="fr-FR"/>
        </w:rPr>
        <w:t xml:space="preserve">En février 2020, le Bureau international a lancé un projet </w:t>
      </w:r>
      <w:r w:rsidR="007B165F" w:rsidRPr="001E4C00">
        <w:rPr>
          <w:lang w:val="fr-FR"/>
        </w:rPr>
        <w:t xml:space="preserve">relatif à </w:t>
      </w:r>
      <w:r w:rsidRPr="001E4C00">
        <w:rPr>
          <w:lang w:val="fr-FR"/>
        </w:rPr>
        <w:t>l</w:t>
      </w:r>
      <w:r w:rsidR="008F70DE" w:rsidRPr="001E4C00">
        <w:rPr>
          <w:lang w:val="fr-FR"/>
        </w:rPr>
        <w:t>’</w:t>
      </w:r>
      <w:r w:rsidRPr="001E4C00">
        <w:rPr>
          <w:lang w:val="fr-FR"/>
        </w:rPr>
        <w:t xml:space="preserve">accès et </w:t>
      </w:r>
      <w:r w:rsidR="007B165F" w:rsidRPr="001E4C00">
        <w:rPr>
          <w:lang w:val="fr-FR"/>
        </w:rPr>
        <w:t xml:space="preserve">à </w:t>
      </w:r>
      <w:r w:rsidRPr="001E4C00">
        <w:rPr>
          <w:lang w:val="fr-FR"/>
        </w:rPr>
        <w:t>l</w:t>
      </w:r>
      <w:r w:rsidR="008F70DE" w:rsidRPr="001E4C00">
        <w:rPr>
          <w:lang w:val="fr-FR"/>
        </w:rPr>
        <w:t>’</w:t>
      </w:r>
      <w:r w:rsidRPr="001E4C00">
        <w:rPr>
          <w:lang w:val="fr-FR"/>
        </w:rPr>
        <w:t xml:space="preserve">utilisation des actifs de propriété intellectuelle </w:t>
      </w:r>
      <w:r w:rsidR="007B165F" w:rsidRPr="001E4C00">
        <w:rPr>
          <w:lang w:val="fr-FR"/>
        </w:rPr>
        <w:t xml:space="preserve">créés ou </w:t>
      </w:r>
      <w:r w:rsidRPr="001E4C00">
        <w:rPr>
          <w:lang w:val="fr-FR"/>
        </w:rPr>
        <w:t>financés par le gouvernement en Ukrai</w:t>
      </w:r>
      <w:r w:rsidR="00783939" w:rsidRPr="001E4C00">
        <w:rPr>
          <w:lang w:val="fr-FR"/>
        </w:rPr>
        <w:t>ne.  L’o</w:t>
      </w:r>
      <w:r w:rsidRPr="001E4C00">
        <w:rPr>
          <w:lang w:val="fr-FR"/>
        </w:rPr>
        <w:t xml:space="preserve">bjectif du projet était </w:t>
      </w:r>
      <w:r w:rsidR="007B165F" w:rsidRPr="001E4C00">
        <w:rPr>
          <w:lang w:val="fr-FR"/>
        </w:rPr>
        <w:t xml:space="preserve">de recenser </w:t>
      </w:r>
      <w:r w:rsidRPr="001E4C00">
        <w:rPr>
          <w:lang w:val="fr-FR"/>
        </w:rPr>
        <w:t>les défis et de recommander des mesures potentielles afin d</w:t>
      </w:r>
      <w:r w:rsidR="008F70DE" w:rsidRPr="001E4C00">
        <w:rPr>
          <w:lang w:val="fr-FR"/>
        </w:rPr>
        <w:t>’</w:t>
      </w:r>
      <w:r w:rsidRPr="001E4C00">
        <w:rPr>
          <w:lang w:val="fr-FR"/>
        </w:rPr>
        <w:t>améliorer les pratiques de gestion existantes des actifs de propriété intellectuelle financés</w:t>
      </w:r>
      <w:r w:rsidR="007B165F" w:rsidRPr="001E4C00">
        <w:rPr>
          <w:lang w:val="fr-FR"/>
        </w:rPr>
        <w:t xml:space="preserve"> ou créés </w:t>
      </w:r>
      <w:r w:rsidRPr="001E4C00">
        <w:rPr>
          <w:lang w:val="fr-FR"/>
        </w:rPr>
        <w:t>par le secteur gouvernemental</w:t>
      </w:r>
      <w:r w:rsidR="009C02A1" w:rsidRPr="001E4C00">
        <w:rPr>
          <w:lang w:val="fr-FR"/>
        </w:rPr>
        <w:t>,</w:t>
      </w:r>
      <w:r w:rsidRPr="001E4C00">
        <w:rPr>
          <w:lang w:val="fr-FR"/>
        </w:rPr>
        <w:t xml:space="preserve"> d</w:t>
      </w:r>
      <w:r w:rsidR="008F70DE" w:rsidRPr="001E4C00">
        <w:rPr>
          <w:lang w:val="fr-FR"/>
        </w:rPr>
        <w:t>’</w:t>
      </w:r>
      <w:r w:rsidRPr="001E4C00">
        <w:rPr>
          <w:lang w:val="fr-FR"/>
        </w:rPr>
        <w:t xml:space="preserve">assurer la transparence de la gestion de ces actifs de propriété intellectuelle financés par le </w:t>
      </w:r>
      <w:r w:rsidR="008C3D30" w:rsidRPr="001E4C00">
        <w:rPr>
          <w:lang w:val="fr-FR"/>
        </w:rPr>
        <w:t>Gouvernement</w:t>
      </w:r>
      <w:r w:rsidRPr="001E4C00">
        <w:rPr>
          <w:lang w:val="fr-FR"/>
        </w:rPr>
        <w:t xml:space="preserve"> </w:t>
      </w:r>
      <w:r w:rsidR="009C02A1" w:rsidRPr="001E4C00">
        <w:rPr>
          <w:lang w:val="fr-FR"/>
        </w:rPr>
        <w:t>u</w:t>
      </w:r>
      <w:r w:rsidRPr="001E4C00">
        <w:rPr>
          <w:lang w:val="fr-FR"/>
        </w:rPr>
        <w:t>krain</w:t>
      </w:r>
      <w:r w:rsidR="009C02A1" w:rsidRPr="001E4C00">
        <w:rPr>
          <w:lang w:val="fr-FR"/>
        </w:rPr>
        <w:t>ien</w:t>
      </w:r>
      <w:r w:rsidRPr="001E4C00">
        <w:rPr>
          <w:lang w:val="fr-FR"/>
        </w:rPr>
        <w:t xml:space="preserve">, </w:t>
      </w:r>
      <w:r w:rsidR="009C02A1" w:rsidRPr="001E4C00">
        <w:rPr>
          <w:lang w:val="fr-FR"/>
        </w:rPr>
        <w:t>et</w:t>
      </w:r>
      <w:r w:rsidRPr="001E4C00">
        <w:rPr>
          <w:lang w:val="fr-FR"/>
        </w:rPr>
        <w:t xml:space="preserve"> de les mettre sur le marché le cas échéant.</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évaluation a été réalisée sur le terrain par des experts engagés par l</w:t>
      </w:r>
      <w:r w:rsidR="008F70DE" w:rsidRPr="001E4C00">
        <w:rPr>
          <w:lang w:val="fr-FR"/>
        </w:rPr>
        <w:t>’</w:t>
      </w:r>
      <w:r w:rsidRPr="001E4C00">
        <w:rPr>
          <w:lang w:val="fr-FR"/>
        </w:rPr>
        <w:t>OMPI au cours d</w:t>
      </w:r>
      <w:r w:rsidR="008F70DE" w:rsidRPr="001E4C00">
        <w:rPr>
          <w:lang w:val="fr-FR"/>
        </w:rPr>
        <w:t>’</w:t>
      </w:r>
      <w:r w:rsidRPr="001E4C00">
        <w:rPr>
          <w:lang w:val="fr-FR"/>
        </w:rPr>
        <w:t>une mission d</w:t>
      </w:r>
      <w:r w:rsidR="008F70DE" w:rsidRPr="001E4C00">
        <w:rPr>
          <w:lang w:val="fr-FR"/>
        </w:rPr>
        <w:t>’</w:t>
      </w:r>
      <w:r w:rsidRPr="001E4C00">
        <w:rPr>
          <w:lang w:val="fr-FR"/>
        </w:rPr>
        <w:t>experts en Ukrai</w:t>
      </w:r>
      <w:r w:rsidR="00783939" w:rsidRPr="001E4C00">
        <w:rPr>
          <w:lang w:val="fr-FR"/>
        </w:rPr>
        <w:t>ne.  Le</w:t>
      </w:r>
      <w:r w:rsidRPr="001E4C00">
        <w:rPr>
          <w:lang w:val="fr-FR"/>
        </w:rPr>
        <w:t>s données ont été recueillies au moyen de questionnaires préalables à la mission, de réunions bilatérales avec les parties prenantes et de recherches documentair</w:t>
      </w:r>
      <w:r w:rsidR="00783939" w:rsidRPr="001E4C00">
        <w:rPr>
          <w:lang w:val="fr-FR"/>
        </w:rPr>
        <w:t>es.  Le</w:t>
      </w:r>
      <w:r w:rsidRPr="001E4C00">
        <w:rPr>
          <w:lang w:val="fr-FR"/>
        </w:rPr>
        <w:t>s observations et recommandations pertinentes concernant l</w:t>
      </w:r>
      <w:r w:rsidR="008F70DE" w:rsidRPr="001E4C00">
        <w:rPr>
          <w:lang w:val="fr-FR"/>
        </w:rPr>
        <w:t>’</w:t>
      </w:r>
      <w:r w:rsidRPr="001E4C00">
        <w:rPr>
          <w:lang w:val="fr-FR"/>
        </w:rPr>
        <w:t>amélioration de la gestion des actifs intellectuels par les institutions gouvernementales ont été regroupées dans le rapport de mission des experts de l</w:t>
      </w:r>
      <w:r w:rsidR="008F70DE" w:rsidRPr="001E4C00">
        <w:rPr>
          <w:lang w:val="fr-FR"/>
        </w:rPr>
        <w:t>’</w:t>
      </w:r>
      <w:r w:rsidRPr="001E4C00">
        <w:rPr>
          <w:lang w:val="fr-FR"/>
        </w:rPr>
        <w:t>OMPI.</w:t>
      </w:r>
    </w:p>
    <w:p w:rsidR="001957C8" w:rsidRPr="001E4C00" w:rsidRDefault="001957C8" w:rsidP="007115E7">
      <w:pPr>
        <w:pStyle w:val="ONUMFS"/>
        <w:rPr>
          <w:lang w:val="fr-FR"/>
        </w:rPr>
      </w:pPr>
      <w:r w:rsidRPr="001E4C00">
        <w:rPr>
          <w:lang w:val="fr-FR"/>
        </w:rPr>
        <w:t xml:space="preserve">Après avoir analysé les recommandations et les conclusions, le Ministère </w:t>
      </w:r>
      <w:r w:rsidR="000D2797" w:rsidRPr="001E4C00">
        <w:rPr>
          <w:lang w:val="fr-FR"/>
        </w:rPr>
        <w:t xml:space="preserve">ukrainien </w:t>
      </w:r>
      <w:r w:rsidRPr="001E4C00">
        <w:rPr>
          <w:lang w:val="fr-FR"/>
        </w:rPr>
        <w:t>de l</w:t>
      </w:r>
      <w:r w:rsidR="008F70DE" w:rsidRPr="001E4C00">
        <w:rPr>
          <w:lang w:val="fr-FR"/>
        </w:rPr>
        <w:t>’</w:t>
      </w:r>
      <w:r w:rsidRPr="001E4C00">
        <w:rPr>
          <w:lang w:val="fr-FR"/>
        </w:rPr>
        <w:t>économie a, dans une lettre adressée au Bureau international, exprimé son intérêt pour la poursuite du projet dans le domaine de l</w:t>
      </w:r>
      <w:r w:rsidR="008F70DE" w:rsidRPr="001E4C00">
        <w:rPr>
          <w:lang w:val="fr-FR"/>
        </w:rPr>
        <w:t>’</w:t>
      </w:r>
      <w:r w:rsidRPr="001E4C00">
        <w:rPr>
          <w:lang w:val="fr-FR"/>
        </w:rPr>
        <w:t>audit de la propriété intellectuelle dans le secteur gouvernemental, afin d</w:t>
      </w:r>
      <w:r w:rsidR="008F70DE" w:rsidRPr="001E4C00">
        <w:rPr>
          <w:lang w:val="fr-FR"/>
        </w:rPr>
        <w:t>’</w:t>
      </w:r>
      <w:r w:rsidRPr="001E4C00">
        <w:rPr>
          <w:lang w:val="fr-FR"/>
        </w:rPr>
        <w:t>y inclure les orientations suivantes</w:t>
      </w:r>
      <w:r w:rsidR="008F70DE" w:rsidRPr="001E4C00">
        <w:rPr>
          <w:lang w:val="fr-FR"/>
        </w:rPr>
        <w:t> :</w:t>
      </w:r>
    </w:p>
    <w:p w:rsidR="001957C8" w:rsidRPr="001E4C00" w:rsidRDefault="00652BB5" w:rsidP="00B96384">
      <w:pPr>
        <w:pStyle w:val="ListParagraph"/>
        <w:numPr>
          <w:ilvl w:val="0"/>
          <w:numId w:val="41"/>
        </w:numPr>
        <w:tabs>
          <w:tab w:val="left" w:pos="1134"/>
        </w:tabs>
        <w:ind w:left="1134" w:hanging="567"/>
        <w:rPr>
          <w:rFonts w:ascii="Arial" w:hAnsi="Arial" w:cs="Arial"/>
          <w:sz w:val="22"/>
          <w:szCs w:val="22"/>
        </w:rPr>
      </w:pPr>
      <w:proofErr w:type="gramStart"/>
      <w:r w:rsidRPr="001E4C00">
        <w:rPr>
          <w:rFonts w:ascii="Arial" w:hAnsi="Arial" w:cs="Arial"/>
          <w:sz w:val="22"/>
          <w:szCs w:val="22"/>
        </w:rPr>
        <w:t>o</w:t>
      </w:r>
      <w:r w:rsidR="001957C8" w:rsidRPr="001E4C00">
        <w:rPr>
          <w:rFonts w:ascii="Arial" w:hAnsi="Arial" w:cs="Arial"/>
          <w:sz w:val="22"/>
          <w:szCs w:val="22"/>
        </w:rPr>
        <w:t>rganiser</w:t>
      </w:r>
      <w:proofErr w:type="gramEnd"/>
      <w:r w:rsidR="001957C8" w:rsidRPr="001E4C00">
        <w:rPr>
          <w:rFonts w:ascii="Arial" w:hAnsi="Arial" w:cs="Arial"/>
          <w:sz w:val="22"/>
          <w:szCs w:val="22"/>
        </w:rPr>
        <w:t xml:space="preserve"> une campagne de sensibilisation;</w:t>
      </w:r>
    </w:p>
    <w:p w:rsidR="001957C8" w:rsidRPr="001E4C00" w:rsidRDefault="00652BB5" w:rsidP="00B96384">
      <w:pPr>
        <w:pStyle w:val="ListParagraph"/>
        <w:numPr>
          <w:ilvl w:val="0"/>
          <w:numId w:val="41"/>
        </w:numPr>
        <w:tabs>
          <w:tab w:val="left" w:pos="1134"/>
        </w:tabs>
        <w:ind w:left="1134" w:hanging="567"/>
        <w:rPr>
          <w:rFonts w:ascii="Arial" w:hAnsi="Arial" w:cs="Arial"/>
          <w:sz w:val="22"/>
          <w:szCs w:val="22"/>
        </w:rPr>
      </w:pPr>
      <w:proofErr w:type="gramStart"/>
      <w:r w:rsidRPr="001E4C00">
        <w:rPr>
          <w:rFonts w:ascii="Arial" w:hAnsi="Arial" w:cs="Arial"/>
          <w:sz w:val="22"/>
          <w:szCs w:val="22"/>
        </w:rPr>
        <w:t>p</w:t>
      </w:r>
      <w:r w:rsidR="001957C8" w:rsidRPr="001E4C00">
        <w:rPr>
          <w:rFonts w:ascii="Arial" w:hAnsi="Arial" w:cs="Arial"/>
          <w:sz w:val="22"/>
          <w:szCs w:val="22"/>
        </w:rPr>
        <w:t>romouvoir</w:t>
      </w:r>
      <w:proofErr w:type="gramEnd"/>
      <w:r w:rsidR="001957C8" w:rsidRPr="001E4C00">
        <w:rPr>
          <w:rFonts w:ascii="Arial" w:hAnsi="Arial" w:cs="Arial"/>
          <w:sz w:val="22"/>
          <w:szCs w:val="22"/>
        </w:rPr>
        <w:t xml:space="preserve"> une meilleure mise en œuvre et un meilleur suivi des activités de gestion de la propriété intellectuelle en ce qui concerne les actifs de propriété intellectuelle et d</w:t>
      </w:r>
      <w:r w:rsidR="008F70DE" w:rsidRPr="001E4C00">
        <w:rPr>
          <w:rFonts w:ascii="Arial" w:hAnsi="Arial" w:cs="Arial"/>
          <w:sz w:val="22"/>
          <w:szCs w:val="22"/>
        </w:rPr>
        <w:t>’</w:t>
      </w:r>
      <w:r w:rsidR="001957C8" w:rsidRPr="001E4C00">
        <w:rPr>
          <w:rFonts w:ascii="Arial" w:hAnsi="Arial" w:cs="Arial"/>
          <w:sz w:val="22"/>
          <w:szCs w:val="22"/>
        </w:rPr>
        <w:t>innovation financés par des fonds publics;</w:t>
      </w:r>
    </w:p>
    <w:p w:rsidR="008A3FE2" w:rsidRPr="001E4C00" w:rsidRDefault="00652BB5" w:rsidP="00B96384">
      <w:pPr>
        <w:pStyle w:val="ListParagraph"/>
        <w:numPr>
          <w:ilvl w:val="0"/>
          <w:numId w:val="41"/>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m</w:t>
      </w:r>
      <w:r w:rsidR="001957C8" w:rsidRPr="001E4C00">
        <w:rPr>
          <w:rFonts w:ascii="Arial" w:hAnsi="Arial" w:cs="Arial"/>
          <w:sz w:val="22"/>
          <w:szCs w:val="22"/>
        </w:rPr>
        <w:t>ettre</w:t>
      </w:r>
      <w:proofErr w:type="gramEnd"/>
      <w:r w:rsidR="001957C8" w:rsidRPr="001E4C00">
        <w:rPr>
          <w:rFonts w:ascii="Arial" w:hAnsi="Arial" w:cs="Arial"/>
          <w:sz w:val="22"/>
          <w:szCs w:val="22"/>
        </w:rPr>
        <w:t xml:space="preserve"> en place le cadre de l</w:t>
      </w:r>
      <w:r w:rsidR="008F70DE" w:rsidRPr="001E4C00">
        <w:rPr>
          <w:rFonts w:ascii="Arial" w:hAnsi="Arial" w:cs="Arial"/>
          <w:sz w:val="22"/>
          <w:szCs w:val="22"/>
        </w:rPr>
        <w:t>’</w:t>
      </w:r>
      <w:r w:rsidR="001957C8" w:rsidRPr="001E4C00">
        <w:rPr>
          <w:rFonts w:ascii="Arial" w:hAnsi="Arial" w:cs="Arial"/>
          <w:sz w:val="22"/>
          <w:szCs w:val="22"/>
        </w:rPr>
        <w:t>audit de la propriété intellectuelle (inventaire) et renforcer les capacités humaines en matière de gestion de la propriété intellectuelle au sein des principales entités autorisées.</w:t>
      </w:r>
    </w:p>
    <w:p w:rsidR="001957C8" w:rsidRPr="001E4C00" w:rsidRDefault="001957C8" w:rsidP="007115E7">
      <w:pPr>
        <w:pStyle w:val="ONUMFS"/>
        <w:rPr>
          <w:lang w:val="fr-FR"/>
        </w:rPr>
      </w:pPr>
      <w:r w:rsidRPr="001E4C00">
        <w:rPr>
          <w:lang w:val="fr-FR"/>
        </w:rPr>
        <w:t>L</w:t>
      </w:r>
      <w:r w:rsidR="008F70DE" w:rsidRPr="001E4C00">
        <w:rPr>
          <w:lang w:val="fr-FR"/>
        </w:rPr>
        <w:t>’</w:t>
      </w:r>
      <w:r w:rsidRPr="001E4C00">
        <w:rPr>
          <w:lang w:val="fr-FR"/>
        </w:rPr>
        <w:t xml:space="preserve">audit de </w:t>
      </w:r>
      <w:r w:rsidR="000D2797" w:rsidRPr="001E4C00">
        <w:rPr>
          <w:lang w:val="fr-FR"/>
        </w:rPr>
        <w:t xml:space="preserve">la </w:t>
      </w:r>
      <w:r w:rsidRPr="001E4C00">
        <w:rPr>
          <w:lang w:val="fr-FR"/>
        </w:rPr>
        <w:t>propriété intellectuelle, qui constitue la première étape de ce projet, vise à obtenir des résultats qui amélioreront l</w:t>
      </w:r>
      <w:r w:rsidR="008F70DE" w:rsidRPr="001E4C00">
        <w:rPr>
          <w:lang w:val="fr-FR"/>
        </w:rPr>
        <w:t>’</w:t>
      </w:r>
      <w:r w:rsidRPr="001E4C00">
        <w:rPr>
          <w:lang w:val="fr-FR"/>
        </w:rPr>
        <w:t>utilisation des actifs de propriété intellectuelle dans le secteur gouvernemental afin de soutenir la croissance de l</w:t>
      </w:r>
      <w:r w:rsidR="008F70DE" w:rsidRPr="001E4C00">
        <w:rPr>
          <w:lang w:val="fr-FR"/>
        </w:rPr>
        <w:t>’</w:t>
      </w:r>
      <w:r w:rsidRPr="001E4C00">
        <w:rPr>
          <w:lang w:val="fr-FR"/>
        </w:rPr>
        <w:t>économie au sens large, grâce à la mise en place d</w:t>
      </w:r>
      <w:r w:rsidR="008F70DE" w:rsidRPr="001E4C00">
        <w:rPr>
          <w:lang w:val="fr-FR"/>
        </w:rPr>
        <w:t>’</w:t>
      </w:r>
      <w:r w:rsidRPr="001E4C00">
        <w:rPr>
          <w:lang w:val="fr-FR"/>
        </w:rPr>
        <w:t xml:space="preserve">outils et de mécanismes spécifiques pour la gestion et la commercialisation des actifs de propriété intellectuelle, </w:t>
      </w:r>
      <w:r w:rsidR="008F70DE" w:rsidRPr="001E4C00">
        <w:rPr>
          <w:lang w:val="fr-FR"/>
        </w:rPr>
        <w:t>y compris</w:t>
      </w:r>
      <w:r w:rsidRPr="001E4C00">
        <w:rPr>
          <w:lang w:val="fr-FR"/>
        </w:rPr>
        <w:t xml:space="preserve"> les éléments suivants</w:t>
      </w:r>
      <w:r w:rsidR="008F70DE" w:rsidRPr="001E4C00">
        <w:rPr>
          <w:lang w:val="fr-FR"/>
        </w:rPr>
        <w:t> :</w:t>
      </w:r>
    </w:p>
    <w:p w:rsidR="001957C8" w:rsidRPr="001E4C00" w:rsidRDefault="00652BB5" w:rsidP="00B96384">
      <w:pPr>
        <w:pStyle w:val="ListParagraph"/>
        <w:numPr>
          <w:ilvl w:val="0"/>
          <w:numId w:val="41"/>
        </w:numPr>
        <w:tabs>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a</w:t>
      </w:r>
      <w:proofErr w:type="gramEnd"/>
      <w:r w:rsidR="001957C8" w:rsidRPr="001E4C00">
        <w:rPr>
          <w:rFonts w:ascii="Arial" w:hAnsi="Arial" w:cs="Arial"/>
          <w:sz w:val="22"/>
          <w:szCs w:val="22"/>
        </w:rPr>
        <w:t xml:space="preserve"> réalisation d</w:t>
      </w:r>
      <w:r w:rsidR="008F70DE" w:rsidRPr="001E4C00">
        <w:rPr>
          <w:rFonts w:ascii="Arial" w:hAnsi="Arial" w:cs="Arial"/>
          <w:sz w:val="22"/>
          <w:szCs w:val="22"/>
        </w:rPr>
        <w:t>’</w:t>
      </w:r>
      <w:r w:rsidR="001957C8" w:rsidRPr="001E4C00">
        <w:rPr>
          <w:rFonts w:ascii="Arial" w:hAnsi="Arial" w:cs="Arial"/>
          <w:sz w:val="22"/>
          <w:szCs w:val="22"/>
        </w:rPr>
        <w:t>un audit de la propriété intellectuelle dans l</w:t>
      </w:r>
      <w:r w:rsidR="008F70DE" w:rsidRPr="001E4C00">
        <w:rPr>
          <w:rFonts w:ascii="Arial" w:hAnsi="Arial" w:cs="Arial"/>
          <w:sz w:val="22"/>
          <w:szCs w:val="22"/>
        </w:rPr>
        <w:t>’</w:t>
      </w:r>
      <w:r w:rsidR="001957C8" w:rsidRPr="001E4C00">
        <w:rPr>
          <w:rFonts w:ascii="Arial" w:hAnsi="Arial" w:cs="Arial"/>
          <w:sz w:val="22"/>
          <w:szCs w:val="22"/>
        </w:rPr>
        <w:t>une des institutions sélectionnées;</w:t>
      </w:r>
    </w:p>
    <w:p w:rsidR="001957C8" w:rsidRPr="001E4C00" w:rsidRDefault="00652BB5" w:rsidP="00B96384">
      <w:pPr>
        <w:pStyle w:val="ListParagraph"/>
        <w:numPr>
          <w:ilvl w:val="0"/>
          <w:numId w:val="41"/>
        </w:numPr>
        <w:tabs>
          <w:tab w:val="left" w:pos="1134"/>
        </w:tabs>
        <w:ind w:left="1134" w:hanging="567"/>
        <w:rPr>
          <w:rFonts w:ascii="Arial" w:hAnsi="Arial" w:cs="Arial"/>
          <w:sz w:val="22"/>
          <w:szCs w:val="22"/>
        </w:rPr>
      </w:pPr>
      <w:proofErr w:type="gramStart"/>
      <w:r w:rsidRPr="001E4C00">
        <w:rPr>
          <w:rFonts w:ascii="Arial" w:hAnsi="Arial" w:cs="Arial"/>
          <w:sz w:val="22"/>
          <w:szCs w:val="22"/>
        </w:rPr>
        <w:t>l</w:t>
      </w:r>
      <w:r w:rsidR="008F70DE" w:rsidRPr="001E4C00">
        <w:rPr>
          <w:rFonts w:ascii="Arial" w:hAnsi="Arial" w:cs="Arial"/>
          <w:sz w:val="22"/>
          <w:szCs w:val="22"/>
        </w:rPr>
        <w:t>’</w:t>
      </w:r>
      <w:r w:rsidR="001957C8" w:rsidRPr="001E4C00">
        <w:rPr>
          <w:rFonts w:ascii="Arial" w:hAnsi="Arial" w:cs="Arial"/>
          <w:sz w:val="22"/>
          <w:szCs w:val="22"/>
        </w:rPr>
        <w:t>élaboration</w:t>
      </w:r>
      <w:proofErr w:type="gramEnd"/>
      <w:r w:rsidR="001957C8" w:rsidRPr="001E4C00">
        <w:rPr>
          <w:rFonts w:ascii="Arial" w:hAnsi="Arial" w:cs="Arial"/>
          <w:sz w:val="22"/>
          <w:szCs w:val="22"/>
        </w:rPr>
        <w:t xml:space="preserve"> d</w:t>
      </w:r>
      <w:r w:rsidR="008F70DE" w:rsidRPr="001E4C00">
        <w:rPr>
          <w:rFonts w:ascii="Arial" w:hAnsi="Arial" w:cs="Arial"/>
          <w:sz w:val="22"/>
          <w:szCs w:val="22"/>
        </w:rPr>
        <w:t>’</w:t>
      </w:r>
      <w:r w:rsidR="001957C8" w:rsidRPr="001E4C00">
        <w:rPr>
          <w:rFonts w:ascii="Arial" w:hAnsi="Arial" w:cs="Arial"/>
          <w:sz w:val="22"/>
          <w:szCs w:val="22"/>
        </w:rPr>
        <w:t xml:space="preserve">un guide </w:t>
      </w:r>
      <w:r w:rsidR="000D2797" w:rsidRPr="001E4C00">
        <w:rPr>
          <w:rFonts w:ascii="Arial" w:hAnsi="Arial" w:cs="Arial"/>
          <w:sz w:val="22"/>
          <w:szCs w:val="22"/>
        </w:rPr>
        <w:t xml:space="preserve">de </w:t>
      </w:r>
      <w:r w:rsidR="001957C8" w:rsidRPr="001E4C00">
        <w:rPr>
          <w:rFonts w:ascii="Arial" w:hAnsi="Arial" w:cs="Arial"/>
          <w:sz w:val="22"/>
          <w:szCs w:val="22"/>
        </w:rPr>
        <w:t>l</w:t>
      </w:r>
      <w:r w:rsidR="008F70DE" w:rsidRPr="001E4C00">
        <w:rPr>
          <w:rFonts w:ascii="Arial" w:hAnsi="Arial" w:cs="Arial"/>
          <w:sz w:val="22"/>
          <w:szCs w:val="22"/>
        </w:rPr>
        <w:t>’</w:t>
      </w:r>
      <w:r w:rsidR="001957C8" w:rsidRPr="001E4C00">
        <w:rPr>
          <w:rFonts w:ascii="Arial" w:hAnsi="Arial" w:cs="Arial"/>
          <w:sz w:val="22"/>
          <w:szCs w:val="22"/>
        </w:rPr>
        <w:t>audit de la propriété intellectuelle;</w:t>
      </w:r>
    </w:p>
    <w:p w:rsidR="008A3FE2" w:rsidRPr="001E4C00" w:rsidRDefault="00652BB5" w:rsidP="00B96384">
      <w:pPr>
        <w:pStyle w:val="ListParagraph"/>
        <w:numPr>
          <w:ilvl w:val="0"/>
          <w:numId w:val="41"/>
        </w:numPr>
        <w:tabs>
          <w:tab w:val="left" w:pos="1134"/>
        </w:tabs>
        <w:spacing w:after="220"/>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a</w:t>
      </w:r>
      <w:proofErr w:type="gramEnd"/>
      <w:r w:rsidR="001957C8" w:rsidRPr="001E4C00">
        <w:rPr>
          <w:rFonts w:ascii="Arial" w:hAnsi="Arial" w:cs="Arial"/>
          <w:sz w:val="22"/>
          <w:szCs w:val="22"/>
        </w:rPr>
        <w:t xml:space="preserve"> formation à l</w:t>
      </w:r>
      <w:r w:rsidR="008F70DE" w:rsidRPr="001E4C00">
        <w:rPr>
          <w:rFonts w:ascii="Arial" w:hAnsi="Arial" w:cs="Arial"/>
          <w:sz w:val="22"/>
          <w:szCs w:val="22"/>
        </w:rPr>
        <w:t>’</w:t>
      </w:r>
      <w:r w:rsidR="001957C8" w:rsidRPr="001E4C00">
        <w:rPr>
          <w:rFonts w:ascii="Arial" w:hAnsi="Arial" w:cs="Arial"/>
          <w:sz w:val="22"/>
          <w:szCs w:val="22"/>
        </w:rPr>
        <w:t xml:space="preserve">audit de la propriété intellectuelle des spécialistes locaux </w:t>
      </w:r>
      <w:r w:rsidR="000D2797" w:rsidRPr="001E4C00">
        <w:rPr>
          <w:rFonts w:ascii="Arial" w:hAnsi="Arial" w:cs="Arial"/>
          <w:sz w:val="22"/>
          <w:szCs w:val="22"/>
        </w:rPr>
        <w:t>désignés</w:t>
      </w:r>
      <w:r w:rsidR="001957C8" w:rsidRPr="001E4C00">
        <w:rPr>
          <w:rFonts w:ascii="Arial" w:hAnsi="Arial" w:cs="Arial"/>
          <w:sz w:val="22"/>
          <w:szCs w:val="22"/>
        </w:rPr>
        <w:t>.</w:t>
      </w:r>
    </w:p>
    <w:p w:rsidR="001957C8" w:rsidRPr="001E4C00" w:rsidRDefault="001957C8" w:rsidP="007115E7">
      <w:pPr>
        <w:pStyle w:val="ONUMFS"/>
        <w:rPr>
          <w:lang w:val="fr-FR"/>
        </w:rPr>
      </w:pPr>
      <w:r w:rsidRPr="001E4C00">
        <w:rPr>
          <w:lang w:val="fr-FR"/>
        </w:rPr>
        <w:t>Bien que le projet ait été suspendu en février 2022, il a été confirmé, lors d</w:t>
      </w:r>
      <w:r w:rsidR="008F70DE" w:rsidRPr="001E4C00">
        <w:rPr>
          <w:lang w:val="fr-FR"/>
        </w:rPr>
        <w:t>’</w:t>
      </w:r>
      <w:r w:rsidRPr="001E4C00">
        <w:rPr>
          <w:lang w:val="fr-FR"/>
        </w:rPr>
        <w:t>une réunion organisée en avril 2023 par le Bureau international avec des représentants de l</w:t>
      </w:r>
      <w:r w:rsidR="008F70DE" w:rsidRPr="001E4C00">
        <w:rPr>
          <w:lang w:val="fr-FR"/>
        </w:rPr>
        <w:t>’</w:t>
      </w:r>
      <w:r w:rsidRPr="001E4C00">
        <w:rPr>
          <w:lang w:val="fr-FR"/>
        </w:rPr>
        <w:t>UANIPIO et du Ministère de l</w:t>
      </w:r>
      <w:r w:rsidR="008F70DE" w:rsidRPr="001E4C00">
        <w:rPr>
          <w:lang w:val="fr-FR"/>
        </w:rPr>
        <w:t>’</w:t>
      </w:r>
      <w:r w:rsidRPr="001E4C00">
        <w:rPr>
          <w:lang w:val="fr-FR"/>
        </w:rPr>
        <w:t>économie, que le projet était toujours nécessai</w:t>
      </w:r>
      <w:r w:rsidR="00783939" w:rsidRPr="001E4C00">
        <w:rPr>
          <w:lang w:val="fr-FR"/>
        </w:rPr>
        <w:t>re.  Le</w:t>
      </w:r>
      <w:r w:rsidRPr="001E4C00">
        <w:rPr>
          <w:lang w:val="fr-FR"/>
        </w:rPr>
        <w:t xml:space="preserve"> Bureau international reste </w:t>
      </w:r>
      <w:r w:rsidR="000D2797" w:rsidRPr="001E4C00">
        <w:rPr>
          <w:lang w:val="fr-FR"/>
        </w:rPr>
        <w:t xml:space="preserve">disposé </w:t>
      </w:r>
      <w:r w:rsidRPr="001E4C00">
        <w:rPr>
          <w:lang w:val="fr-FR"/>
        </w:rPr>
        <w:t>à engager un expert international en propriété intellectuelle, et l</w:t>
      </w:r>
      <w:r w:rsidR="008F70DE" w:rsidRPr="001E4C00">
        <w:rPr>
          <w:lang w:val="fr-FR"/>
        </w:rPr>
        <w:t>’</w:t>
      </w:r>
      <w:r w:rsidRPr="001E4C00">
        <w:rPr>
          <w:lang w:val="fr-FR"/>
        </w:rPr>
        <w:t>UANIPIO fournira la liste des institutions qui pourraient participer au projet.</w:t>
      </w:r>
    </w:p>
    <w:p w:rsidR="001957C8" w:rsidRPr="001E4C00" w:rsidRDefault="001957C8" w:rsidP="007115E7">
      <w:pPr>
        <w:pStyle w:val="ONUMFS"/>
        <w:rPr>
          <w:lang w:val="fr-FR"/>
        </w:rPr>
      </w:pPr>
      <w:r w:rsidRPr="001E4C00">
        <w:rPr>
          <w:lang w:val="fr-FR"/>
        </w:rPr>
        <w:t>Le projet, qui sera dirigé par la Division de la propriété intellectuelle pour les entreprises, devrait être mis en œuvre tout au long de la période 2023</w:t>
      </w:r>
      <w:r w:rsidR="0091158D">
        <w:rPr>
          <w:lang w:val="fr-FR"/>
        </w:rPr>
        <w:noBreakHyphen/>
      </w:r>
      <w:r w:rsidRPr="001E4C00">
        <w:rPr>
          <w:lang w:val="fr-FR"/>
        </w:rPr>
        <w:t>2024.</w:t>
      </w:r>
    </w:p>
    <w:p w:rsidR="008A3FE2" w:rsidRPr="001E4C00" w:rsidRDefault="001957C8" w:rsidP="00B96384">
      <w:pPr>
        <w:pStyle w:val="Heading3"/>
        <w:rPr>
          <w:lang w:val="fr-FR"/>
        </w:rPr>
      </w:pPr>
      <w:r w:rsidRPr="001E4C00">
        <w:rPr>
          <w:lang w:val="fr-FR"/>
        </w:rPr>
        <w:t>4.8.3.</w:t>
      </w:r>
      <w:r w:rsidRPr="001E4C00">
        <w:rPr>
          <w:lang w:val="fr-FR"/>
        </w:rPr>
        <w:tab/>
      </w:r>
      <w:r w:rsidRPr="001E4C00">
        <w:rPr>
          <w:u w:val="single"/>
          <w:lang w:val="fr-FR"/>
        </w:rPr>
        <w:t>Programme d</w:t>
      </w:r>
      <w:r w:rsidR="008F70DE" w:rsidRPr="001E4C00">
        <w:rPr>
          <w:u w:val="single"/>
          <w:lang w:val="fr-FR"/>
        </w:rPr>
        <w:t>’</w:t>
      </w:r>
      <w:r w:rsidRPr="001E4C00">
        <w:rPr>
          <w:u w:val="single"/>
          <w:lang w:val="fr-FR"/>
        </w:rPr>
        <w:t>aide aux inventeurs</w:t>
      </w:r>
    </w:p>
    <w:p w:rsidR="001957C8" w:rsidRPr="001E4C00" w:rsidRDefault="001957C8" w:rsidP="007115E7">
      <w:pPr>
        <w:pStyle w:val="ONUMFS"/>
        <w:rPr>
          <w:lang w:val="fr-FR"/>
        </w:rPr>
      </w:pPr>
      <w:r w:rsidRPr="001E4C00">
        <w:rPr>
          <w:lang w:val="fr-FR"/>
        </w:rPr>
        <w:t>En mai 2023, le Bureau international a fourni à l</w:t>
      </w:r>
      <w:r w:rsidR="008F70DE" w:rsidRPr="001E4C00">
        <w:rPr>
          <w:lang w:val="fr-FR"/>
        </w:rPr>
        <w:t>’</w:t>
      </w:r>
      <w:r w:rsidRPr="001E4C00">
        <w:rPr>
          <w:lang w:val="fr-FR"/>
        </w:rPr>
        <w:t>UANIPIO des informations sur l</w:t>
      </w:r>
      <w:r w:rsidR="008F70DE" w:rsidRPr="001E4C00">
        <w:rPr>
          <w:lang w:val="fr-FR"/>
        </w:rPr>
        <w:t>’</w:t>
      </w:r>
      <w:r w:rsidRPr="001E4C00">
        <w:rPr>
          <w:lang w:val="fr-FR"/>
        </w:rPr>
        <w:t xml:space="preserve">objectif, les rôles, les conditions et les partenariats liés au programme </w:t>
      </w:r>
      <w:r w:rsidR="000D2797" w:rsidRPr="001E4C00">
        <w:rPr>
          <w:lang w:val="fr-FR"/>
        </w:rPr>
        <w:t>d</w:t>
      </w:r>
      <w:r w:rsidR="008F70DE" w:rsidRPr="001E4C00">
        <w:rPr>
          <w:lang w:val="fr-FR"/>
        </w:rPr>
        <w:t>’</w:t>
      </w:r>
      <w:r w:rsidR="000D2797" w:rsidRPr="001E4C00">
        <w:rPr>
          <w:lang w:val="fr-FR"/>
        </w:rPr>
        <w:t xml:space="preserve">aide </w:t>
      </w:r>
      <w:r w:rsidRPr="001E4C00">
        <w:rPr>
          <w:lang w:val="fr-FR"/>
        </w:rPr>
        <w:t>aux inventeu</w:t>
      </w:r>
      <w:r w:rsidR="00783939" w:rsidRPr="001E4C00">
        <w:rPr>
          <w:lang w:val="fr-FR"/>
        </w:rPr>
        <w:t>rs.  D’a</w:t>
      </w:r>
      <w:r w:rsidRPr="001E4C00">
        <w:rPr>
          <w:lang w:val="fr-FR"/>
        </w:rPr>
        <w:t xml:space="preserve">utres discussions concernant </w:t>
      </w:r>
      <w:r w:rsidR="000D2797" w:rsidRPr="001E4C00">
        <w:rPr>
          <w:lang w:val="fr-FR"/>
        </w:rPr>
        <w:t>la mise en œuvre</w:t>
      </w:r>
      <w:r w:rsidRPr="001E4C00">
        <w:rPr>
          <w:lang w:val="fr-FR"/>
        </w:rPr>
        <w:t xml:space="preserve"> du programme en Ukraine sont prévues et seront coordonnées après la finalisation des consultations nationales en cours en Ukraine concernant les ressources humaines, l</w:t>
      </w:r>
      <w:r w:rsidR="008F70DE" w:rsidRPr="001E4C00">
        <w:rPr>
          <w:lang w:val="fr-FR"/>
        </w:rPr>
        <w:t>’</w:t>
      </w:r>
      <w:r w:rsidRPr="001E4C00">
        <w:rPr>
          <w:lang w:val="fr-FR"/>
        </w:rPr>
        <w:t>étendue des bénéficiaires et la possibilité d</w:t>
      </w:r>
      <w:r w:rsidR="008F70DE" w:rsidRPr="001E4C00">
        <w:rPr>
          <w:lang w:val="fr-FR"/>
        </w:rPr>
        <w:t>’</w:t>
      </w:r>
      <w:r w:rsidRPr="001E4C00">
        <w:rPr>
          <w:lang w:val="fr-FR"/>
        </w:rPr>
        <w:t>organiser une formation élargie pour les praticiens et les experts en propriété intellectuelle concernés.</w:t>
      </w:r>
    </w:p>
    <w:p w:rsidR="008A3FE2" w:rsidRPr="001E4C00" w:rsidRDefault="001957C8" w:rsidP="00B96384">
      <w:pPr>
        <w:pStyle w:val="Heading2"/>
        <w:rPr>
          <w:lang w:val="fr-FR"/>
        </w:rPr>
      </w:pPr>
      <w:r w:rsidRPr="001E4C00">
        <w:rPr>
          <w:lang w:val="fr-FR"/>
        </w:rPr>
        <w:t>4.9.</w:t>
      </w:r>
      <w:r w:rsidRPr="001E4C00">
        <w:rPr>
          <w:lang w:val="fr-FR"/>
        </w:rPr>
        <w:tab/>
        <w:t xml:space="preserve">Renforcement des capacités par </w:t>
      </w:r>
      <w:r w:rsidR="00A445E1" w:rsidRPr="001E4C00">
        <w:rPr>
          <w:lang w:val="fr-FR"/>
        </w:rPr>
        <w:t>l</w:t>
      </w:r>
      <w:r w:rsidR="008F70DE" w:rsidRPr="001E4C00">
        <w:rPr>
          <w:lang w:val="fr-FR"/>
        </w:rPr>
        <w:t>’</w:t>
      </w:r>
      <w:r w:rsidR="00A445E1" w:rsidRPr="001E4C00">
        <w:rPr>
          <w:lang w:val="fr-FR"/>
        </w:rPr>
        <w:t>intermédiaire</w:t>
      </w:r>
      <w:r w:rsidRPr="001E4C00">
        <w:rPr>
          <w:lang w:val="fr-FR"/>
        </w:rPr>
        <w:t xml:space="preserve"> de projets, de programmes de formation et d</w:t>
      </w:r>
      <w:r w:rsidR="008F70DE" w:rsidRPr="001E4C00">
        <w:rPr>
          <w:lang w:val="fr-FR"/>
        </w:rPr>
        <w:t>’</w:t>
      </w:r>
      <w:r w:rsidRPr="001E4C00">
        <w:rPr>
          <w:lang w:val="fr-FR"/>
        </w:rPr>
        <w:t>ateliers</w:t>
      </w:r>
    </w:p>
    <w:p w:rsidR="001957C8" w:rsidRPr="001E4C00" w:rsidRDefault="001957C8" w:rsidP="007115E7">
      <w:pPr>
        <w:pStyle w:val="ONUMFS"/>
        <w:rPr>
          <w:lang w:val="fr-FR"/>
        </w:rPr>
      </w:pPr>
      <w:r w:rsidRPr="001E4C00">
        <w:rPr>
          <w:lang w:val="fr-FR"/>
        </w:rPr>
        <w:t xml:space="preserve">Le Bureau international a apporté son soutien à diverses parties prenantes ukrainiennes </w:t>
      </w:r>
      <w:r w:rsidR="00A445E1" w:rsidRPr="001E4C00">
        <w:rPr>
          <w:lang w:val="fr-FR"/>
        </w:rPr>
        <w:t xml:space="preserve">grâce à </w:t>
      </w:r>
      <w:r w:rsidRPr="001E4C00">
        <w:rPr>
          <w:lang w:val="fr-FR"/>
        </w:rPr>
        <w:t>la mise en œuvre de plusieurs projets régionaux, interrégionaux et internationaux, de programmes de formation et d</w:t>
      </w:r>
      <w:r w:rsidR="008F70DE" w:rsidRPr="001E4C00">
        <w:rPr>
          <w:lang w:val="fr-FR"/>
        </w:rPr>
        <w:t>’</w:t>
      </w:r>
      <w:r w:rsidRPr="001E4C00">
        <w:rPr>
          <w:lang w:val="fr-FR"/>
        </w:rPr>
        <w:t>atelie</w:t>
      </w:r>
      <w:r w:rsidR="00783939" w:rsidRPr="001E4C00">
        <w:rPr>
          <w:lang w:val="fr-FR"/>
        </w:rPr>
        <w:t>rs.  De</w:t>
      </w:r>
      <w:r w:rsidRPr="001E4C00">
        <w:rPr>
          <w:lang w:val="fr-FR"/>
        </w:rPr>
        <w:t>s représentants de l</w:t>
      </w:r>
      <w:r w:rsidR="008F70DE" w:rsidRPr="001E4C00">
        <w:rPr>
          <w:lang w:val="fr-FR"/>
        </w:rPr>
        <w:t>’</w:t>
      </w:r>
      <w:r w:rsidRPr="001E4C00">
        <w:rPr>
          <w:lang w:val="fr-FR"/>
        </w:rPr>
        <w:t>Ukraine ont participé ou participent, entre autres, aux projets suivants</w:t>
      </w:r>
      <w:r w:rsidR="008F70DE" w:rsidRPr="001E4C00">
        <w:rPr>
          <w:lang w:val="fr-FR"/>
        </w:rPr>
        <w:t> :</w:t>
      </w:r>
    </w:p>
    <w:p w:rsidR="001957C8" w:rsidRPr="001E4C00" w:rsidRDefault="001957C8" w:rsidP="00B96384">
      <w:pPr>
        <w:pStyle w:val="ListParagraph"/>
        <w:numPr>
          <w:ilvl w:val="0"/>
          <w:numId w:val="41"/>
        </w:numPr>
        <w:tabs>
          <w:tab w:val="left" w:pos="1134"/>
        </w:tabs>
        <w:ind w:left="1134" w:hanging="567"/>
        <w:rPr>
          <w:rFonts w:ascii="Arial" w:hAnsi="Arial" w:cs="Arial"/>
          <w:sz w:val="22"/>
          <w:szCs w:val="22"/>
        </w:rPr>
      </w:pPr>
      <w:r w:rsidRPr="001E4C00">
        <w:rPr>
          <w:rFonts w:ascii="Arial" w:hAnsi="Arial" w:cs="Arial"/>
          <w:sz w:val="22"/>
          <w:szCs w:val="22"/>
        </w:rPr>
        <w:t>Trois chef</w:t>
      </w:r>
      <w:r w:rsidR="00A445E1" w:rsidRPr="001E4C00">
        <w:rPr>
          <w:rFonts w:ascii="Arial" w:hAnsi="Arial" w:cs="Arial"/>
          <w:sz w:val="22"/>
          <w:szCs w:val="22"/>
        </w:rPr>
        <w:t>fe</w:t>
      </w:r>
      <w:r w:rsidRPr="001E4C00">
        <w:rPr>
          <w:rFonts w:ascii="Arial" w:hAnsi="Arial" w:cs="Arial"/>
          <w:sz w:val="22"/>
          <w:szCs w:val="22"/>
        </w:rPr>
        <w:t>s d</w:t>
      </w:r>
      <w:r w:rsidR="008F70DE" w:rsidRPr="001E4C00">
        <w:rPr>
          <w:rFonts w:ascii="Arial" w:hAnsi="Arial" w:cs="Arial"/>
          <w:sz w:val="22"/>
          <w:szCs w:val="22"/>
        </w:rPr>
        <w:t>’</w:t>
      </w:r>
      <w:r w:rsidRPr="001E4C00">
        <w:rPr>
          <w:rFonts w:ascii="Arial" w:hAnsi="Arial" w:cs="Arial"/>
          <w:sz w:val="22"/>
          <w:szCs w:val="22"/>
        </w:rPr>
        <w:t>entreprise ukrainiennes, représentant des communautés locales travaillant à la production et à la conception de textiles traditionnels, ont été sélectionnées pour participer à l</w:t>
      </w:r>
      <w:r w:rsidR="008F70DE" w:rsidRPr="001E4C00">
        <w:rPr>
          <w:rFonts w:ascii="Arial" w:hAnsi="Arial" w:cs="Arial"/>
          <w:sz w:val="22"/>
          <w:szCs w:val="22"/>
        </w:rPr>
        <w:t>’</w:t>
      </w:r>
      <w:r w:rsidRPr="001E4C00">
        <w:rPr>
          <w:rFonts w:ascii="Arial" w:hAnsi="Arial" w:cs="Arial"/>
          <w:sz w:val="22"/>
          <w:szCs w:val="22"/>
        </w:rPr>
        <w:t>édition régionale des pays d</w:t>
      </w:r>
      <w:r w:rsidR="008F70DE" w:rsidRPr="001E4C00">
        <w:rPr>
          <w:rFonts w:ascii="Arial" w:hAnsi="Arial" w:cs="Arial"/>
          <w:sz w:val="22"/>
          <w:szCs w:val="22"/>
        </w:rPr>
        <w:t>’</w:t>
      </w:r>
      <w:r w:rsidRPr="001E4C00">
        <w:rPr>
          <w:rFonts w:ascii="Arial" w:hAnsi="Arial" w:cs="Arial"/>
          <w:sz w:val="22"/>
          <w:szCs w:val="22"/>
        </w:rPr>
        <w:t>Europe centrale et des États baltes du programme mondial de formation, de mentorat et de jumelage de l</w:t>
      </w:r>
      <w:r w:rsidR="008F70DE" w:rsidRPr="001E4C00">
        <w:rPr>
          <w:rFonts w:ascii="Arial" w:hAnsi="Arial" w:cs="Arial"/>
          <w:sz w:val="22"/>
          <w:szCs w:val="22"/>
        </w:rPr>
        <w:t>’</w:t>
      </w:r>
      <w:r w:rsidRPr="001E4C00">
        <w:rPr>
          <w:rFonts w:ascii="Arial" w:hAnsi="Arial" w:cs="Arial"/>
          <w:sz w:val="22"/>
          <w:szCs w:val="22"/>
        </w:rPr>
        <w:t>OMPI sur la propriété intellectuelle à l</w:t>
      </w:r>
      <w:r w:rsidR="008F70DE" w:rsidRPr="001E4C00">
        <w:rPr>
          <w:rFonts w:ascii="Arial" w:hAnsi="Arial" w:cs="Arial"/>
          <w:sz w:val="22"/>
          <w:szCs w:val="22"/>
        </w:rPr>
        <w:t>’</w:t>
      </w:r>
      <w:r w:rsidRPr="001E4C00">
        <w:rPr>
          <w:rFonts w:ascii="Arial" w:hAnsi="Arial" w:cs="Arial"/>
          <w:sz w:val="22"/>
          <w:szCs w:val="22"/>
        </w:rPr>
        <w:t>intention des chef</w:t>
      </w:r>
      <w:r w:rsidR="00A445E1" w:rsidRPr="001E4C00">
        <w:rPr>
          <w:rFonts w:ascii="Arial" w:hAnsi="Arial" w:cs="Arial"/>
          <w:sz w:val="22"/>
          <w:szCs w:val="22"/>
        </w:rPr>
        <w:t>fe</w:t>
      </w:r>
      <w:r w:rsidRPr="001E4C00">
        <w:rPr>
          <w:rFonts w:ascii="Arial" w:hAnsi="Arial" w:cs="Arial"/>
          <w:sz w:val="22"/>
          <w:szCs w:val="22"/>
        </w:rPr>
        <w:t>s d</w:t>
      </w:r>
      <w:r w:rsidR="008F70DE" w:rsidRPr="001E4C00">
        <w:rPr>
          <w:rFonts w:ascii="Arial" w:hAnsi="Arial" w:cs="Arial"/>
          <w:sz w:val="22"/>
          <w:szCs w:val="22"/>
        </w:rPr>
        <w:t>’</w:t>
      </w:r>
      <w:r w:rsidRPr="001E4C00">
        <w:rPr>
          <w:rFonts w:ascii="Arial" w:hAnsi="Arial" w:cs="Arial"/>
          <w:sz w:val="22"/>
          <w:szCs w:val="22"/>
        </w:rPr>
        <w:t>entreprise (WEP).  Les participantes, ainsi que 19 autres entrepreneur</w:t>
      </w:r>
      <w:r w:rsidR="00A445E1" w:rsidRPr="001E4C00">
        <w:rPr>
          <w:rFonts w:ascii="Arial" w:hAnsi="Arial" w:cs="Arial"/>
          <w:sz w:val="22"/>
          <w:szCs w:val="22"/>
        </w:rPr>
        <w:t>e</w:t>
      </w:r>
      <w:r w:rsidRPr="001E4C00">
        <w:rPr>
          <w:rFonts w:ascii="Arial" w:hAnsi="Arial" w:cs="Arial"/>
          <w:sz w:val="22"/>
          <w:szCs w:val="22"/>
        </w:rPr>
        <w:t>s de 16 pays de la région de l</w:t>
      </w:r>
      <w:r w:rsidR="008F70DE" w:rsidRPr="001E4C00">
        <w:rPr>
          <w:rFonts w:ascii="Arial" w:hAnsi="Arial" w:cs="Arial"/>
          <w:sz w:val="22"/>
          <w:szCs w:val="22"/>
        </w:rPr>
        <w:t>’</w:t>
      </w:r>
      <w:r w:rsidRPr="001E4C00">
        <w:rPr>
          <w:rFonts w:ascii="Arial" w:hAnsi="Arial" w:cs="Arial"/>
          <w:sz w:val="22"/>
          <w:szCs w:val="22"/>
        </w:rPr>
        <w:t xml:space="preserve">Europe centrale et des États baltes, ont </w:t>
      </w:r>
      <w:r w:rsidR="00A445E1" w:rsidRPr="001E4C00">
        <w:rPr>
          <w:rFonts w:ascii="Arial" w:hAnsi="Arial" w:cs="Arial"/>
          <w:sz w:val="22"/>
          <w:szCs w:val="22"/>
        </w:rPr>
        <w:t xml:space="preserve">suivi </w:t>
      </w:r>
      <w:r w:rsidRPr="001E4C00">
        <w:rPr>
          <w:rFonts w:ascii="Arial" w:hAnsi="Arial" w:cs="Arial"/>
          <w:sz w:val="22"/>
          <w:szCs w:val="22"/>
        </w:rPr>
        <w:t xml:space="preserve">un atelier pratique </w:t>
      </w:r>
      <w:r w:rsidR="00A445E1" w:rsidRPr="001E4C00">
        <w:rPr>
          <w:rFonts w:ascii="Arial" w:hAnsi="Arial" w:cs="Arial"/>
          <w:sz w:val="22"/>
          <w:szCs w:val="22"/>
        </w:rPr>
        <w:t>en présentiel</w:t>
      </w:r>
      <w:r w:rsidRPr="001E4C00">
        <w:rPr>
          <w:rFonts w:ascii="Arial" w:hAnsi="Arial" w:cs="Arial"/>
          <w:sz w:val="22"/>
          <w:szCs w:val="22"/>
        </w:rPr>
        <w:t xml:space="preserve"> du 6 au 10 mars 2023, et sont actuellement dans leur phase de mentorat et de jumelage pour 2023.  Le projet vise à renforcer leurs connaissances et leurs capacités en matière de propriété intellectuelle et de compétences entrepreneuriales connexes afin de mieux exploiter et développer leurs entreprises et projets communautaires traditionnels.</w:t>
      </w:r>
    </w:p>
    <w:p w:rsidR="001957C8" w:rsidRPr="001E4C00" w:rsidRDefault="001957C8" w:rsidP="00B96384">
      <w:pPr>
        <w:pStyle w:val="ListParagraph"/>
        <w:numPr>
          <w:ilvl w:val="0"/>
          <w:numId w:val="41"/>
        </w:numPr>
        <w:tabs>
          <w:tab w:val="left" w:pos="1134"/>
        </w:tabs>
        <w:ind w:left="1134" w:hanging="567"/>
        <w:rPr>
          <w:rFonts w:ascii="Arial" w:hAnsi="Arial" w:cs="Arial"/>
          <w:sz w:val="22"/>
          <w:szCs w:val="22"/>
        </w:rPr>
      </w:pPr>
      <w:r w:rsidRPr="001E4C00">
        <w:rPr>
          <w:rFonts w:ascii="Arial" w:hAnsi="Arial" w:cs="Arial"/>
          <w:sz w:val="22"/>
          <w:szCs w:val="22"/>
        </w:rPr>
        <w:t xml:space="preserve">Les concepteurs </w:t>
      </w:r>
      <w:r w:rsidR="00A445E1" w:rsidRPr="001E4C00">
        <w:rPr>
          <w:rFonts w:ascii="Arial" w:hAnsi="Arial" w:cs="Arial"/>
          <w:sz w:val="22"/>
          <w:szCs w:val="22"/>
        </w:rPr>
        <w:t xml:space="preserve">ukrainiens </w:t>
      </w:r>
      <w:r w:rsidRPr="001E4C00">
        <w:rPr>
          <w:rFonts w:ascii="Arial" w:hAnsi="Arial" w:cs="Arial"/>
          <w:sz w:val="22"/>
          <w:szCs w:val="22"/>
        </w:rPr>
        <w:t>de jeux vidéo ont été invités à participer au projet de l</w:t>
      </w:r>
      <w:r w:rsidR="008F70DE" w:rsidRPr="001E4C00">
        <w:rPr>
          <w:rFonts w:ascii="Arial" w:hAnsi="Arial" w:cs="Arial"/>
          <w:sz w:val="22"/>
          <w:szCs w:val="22"/>
        </w:rPr>
        <w:t>’</w:t>
      </w:r>
      <w:r w:rsidRPr="001E4C00">
        <w:rPr>
          <w:rFonts w:ascii="Arial" w:hAnsi="Arial" w:cs="Arial"/>
          <w:sz w:val="22"/>
          <w:szCs w:val="22"/>
        </w:rPr>
        <w:t>OMPI sur le développement des jeux vidéo</w:t>
      </w:r>
      <w:r w:rsidR="008F70DE" w:rsidRPr="001E4C00">
        <w:rPr>
          <w:rFonts w:ascii="Arial" w:hAnsi="Arial" w:cs="Arial"/>
          <w:sz w:val="22"/>
          <w:szCs w:val="22"/>
        </w:rPr>
        <w:t> :</w:t>
      </w:r>
      <w:r w:rsidRPr="001E4C00">
        <w:rPr>
          <w:rFonts w:ascii="Arial" w:hAnsi="Arial" w:cs="Arial"/>
          <w:sz w:val="22"/>
          <w:szCs w:val="22"/>
        </w:rPr>
        <w:t xml:space="preserve"> en quête de propriété intellectuelle, et peuvent </w:t>
      </w:r>
      <w:r w:rsidR="00A445E1" w:rsidRPr="001E4C00">
        <w:rPr>
          <w:rFonts w:ascii="Arial" w:hAnsi="Arial" w:cs="Arial"/>
          <w:sz w:val="22"/>
          <w:szCs w:val="22"/>
        </w:rPr>
        <w:t>participer à des atelier</w:t>
      </w:r>
      <w:r w:rsidRPr="001E4C00">
        <w:rPr>
          <w:rFonts w:ascii="Arial" w:hAnsi="Arial" w:cs="Arial"/>
          <w:sz w:val="22"/>
          <w:szCs w:val="22"/>
        </w:rPr>
        <w:t>s d</w:t>
      </w:r>
      <w:r w:rsidR="008F70DE" w:rsidRPr="001E4C00">
        <w:rPr>
          <w:rFonts w:ascii="Arial" w:hAnsi="Arial" w:cs="Arial"/>
          <w:sz w:val="22"/>
          <w:szCs w:val="22"/>
        </w:rPr>
        <w:t>’</w:t>
      </w:r>
      <w:r w:rsidRPr="001E4C00">
        <w:rPr>
          <w:rFonts w:ascii="Arial" w:hAnsi="Arial" w:cs="Arial"/>
          <w:sz w:val="22"/>
          <w:szCs w:val="22"/>
        </w:rPr>
        <w:t>information gratuits sur la propriété intellectuel</w:t>
      </w:r>
      <w:r w:rsidR="00783939" w:rsidRPr="001E4C00">
        <w:rPr>
          <w:rFonts w:ascii="Arial" w:hAnsi="Arial" w:cs="Arial"/>
          <w:sz w:val="22"/>
          <w:szCs w:val="22"/>
        </w:rPr>
        <w:t>le.  Le</w:t>
      </w:r>
      <w:r w:rsidRPr="001E4C00">
        <w:rPr>
          <w:rFonts w:ascii="Arial" w:hAnsi="Arial" w:cs="Arial"/>
          <w:sz w:val="22"/>
          <w:szCs w:val="22"/>
        </w:rPr>
        <w:t xml:space="preserve"> projet a débuté en mars 2023 et devrait durer plusieurs mois.</w:t>
      </w:r>
    </w:p>
    <w:p w:rsidR="001957C8" w:rsidRPr="001E4C00" w:rsidRDefault="001957C8" w:rsidP="00B96384">
      <w:pPr>
        <w:pStyle w:val="ListParagraph"/>
        <w:numPr>
          <w:ilvl w:val="0"/>
          <w:numId w:val="41"/>
        </w:numPr>
        <w:tabs>
          <w:tab w:val="left" w:pos="1134"/>
        </w:tabs>
        <w:ind w:left="1134" w:hanging="567"/>
        <w:rPr>
          <w:rFonts w:ascii="Arial" w:hAnsi="Arial" w:cs="Arial"/>
          <w:sz w:val="22"/>
          <w:szCs w:val="22"/>
        </w:rPr>
      </w:pPr>
      <w:r w:rsidRPr="001E4C00">
        <w:rPr>
          <w:rFonts w:ascii="Arial" w:hAnsi="Arial" w:cs="Arial"/>
          <w:sz w:val="22"/>
          <w:szCs w:val="22"/>
        </w:rPr>
        <w:t xml:space="preserve">En mars 2023, une équipe ukrainienne du Comité </w:t>
      </w:r>
      <w:proofErr w:type="spellStart"/>
      <w:r w:rsidRPr="001E4C00">
        <w:rPr>
          <w:rFonts w:ascii="Arial" w:hAnsi="Arial" w:cs="Arial"/>
          <w:sz w:val="22"/>
          <w:szCs w:val="22"/>
        </w:rPr>
        <w:t>antimonopole</w:t>
      </w:r>
      <w:proofErr w:type="spellEnd"/>
      <w:r w:rsidRPr="001E4C00">
        <w:rPr>
          <w:rFonts w:ascii="Arial" w:hAnsi="Arial" w:cs="Arial"/>
          <w:sz w:val="22"/>
          <w:szCs w:val="22"/>
        </w:rPr>
        <w:t xml:space="preserve"> a participé à un atelier de trois jours sur la propriété intellectuelle et la concurrence à Budapest, organisé par la Division de la propriété intellectuelle et de la politique </w:t>
      </w:r>
      <w:r w:rsidR="00816C92" w:rsidRPr="001E4C00">
        <w:rPr>
          <w:rFonts w:ascii="Arial" w:hAnsi="Arial" w:cs="Arial"/>
          <w:sz w:val="22"/>
          <w:szCs w:val="22"/>
        </w:rPr>
        <w:t xml:space="preserve">en matière </w:t>
      </w:r>
      <w:r w:rsidRPr="001E4C00">
        <w:rPr>
          <w:rFonts w:ascii="Arial" w:hAnsi="Arial" w:cs="Arial"/>
          <w:sz w:val="22"/>
          <w:szCs w:val="22"/>
        </w:rPr>
        <w:t>de concurrence de l</w:t>
      </w:r>
      <w:r w:rsidR="008F70DE" w:rsidRPr="001E4C00">
        <w:rPr>
          <w:rFonts w:ascii="Arial" w:hAnsi="Arial" w:cs="Arial"/>
          <w:sz w:val="22"/>
          <w:szCs w:val="22"/>
        </w:rPr>
        <w:t>’</w:t>
      </w:r>
      <w:r w:rsidRPr="001E4C00">
        <w:rPr>
          <w:rFonts w:ascii="Arial" w:hAnsi="Arial" w:cs="Arial"/>
          <w:sz w:val="22"/>
          <w:szCs w:val="22"/>
        </w:rPr>
        <w:t>OMPI en coopération avec le Centre régional hongrois de l</w:t>
      </w:r>
      <w:r w:rsidR="008F70DE" w:rsidRPr="001E4C00">
        <w:rPr>
          <w:rFonts w:ascii="Arial" w:hAnsi="Arial" w:cs="Arial"/>
          <w:sz w:val="22"/>
          <w:szCs w:val="22"/>
        </w:rPr>
        <w:t>’</w:t>
      </w:r>
      <w:r w:rsidRPr="001E4C00">
        <w:rPr>
          <w:rFonts w:ascii="Arial" w:hAnsi="Arial" w:cs="Arial"/>
          <w:sz w:val="22"/>
          <w:szCs w:val="22"/>
        </w:rPr>
        <w:t>OCDE.  L</w:t>
      </w:r>
      <w:r w:rsidR="008F70DE" w:rsidRPr="001E4C00">
        <w:rPr>
          <w:rFonts w:ascii="Arial" w:hAnsi="Arial" w:cs="Arial"/>
          <w:sz w:val="22"/>
          <w:szCs w:val="22"/>
        </w:rPr>
        <w:t>’</w:t>
      </w:r>
      <w:r w:rsidRPr="001E4C00">
        <w:rPr>
          <w:rFonts w:ascii="Arial" w:hAnsi="Arial" w:cs="Arial"/>
          <w:sz w:val="22"/>
          <w:szCs w:val="22"/>
        </w:rPr>
        <w:t xml:space="preserve">atelier comprenait des </w:t>
      </w:r>
      <w:r w:rsidR="00816C92" w:rsidRPr="001E4C00">
        <w:rPr>
          <w:rFonts w:ascii="Arial" w:hAnsi="Arial" w:cs="Arial"/>
          <w:sz w:val="22"/>
          <w:szCs w:val="22"/>
        </w:rPr>
        <w:t xml:space="preserve">exposés </w:t>
      </w:r>
      <w:r w:rsidRPr="001E4C00">
        <w:rPr>
          <w:rFonts w:ascii="Arial" w:hAnsi="Arial" w:cs="Arial"/>
          <w:sz w:val="22"/>
          <w:szCs w:val="22"/>
        </w:rPr>
        <w:t>sur divers aspects de l</w:t>
      </w:r>
      <w:r w:rsidR="008F70DE" w:rsidRPr="001E4C00">
        <w:rPr>
          <w:rFonts w:ascii="Arial" w:hAnsi="Arial" w:cs="Arial"/>
          <w:sz w:val="22"/>
          <w:szCs w:val="22"/>
        </w:rPr>
        <w:t>’</w:t>
      </w:r>
      <w:r w:rsidRPr="001E4C00">
        <w:rPr>
          <w:rFonts w:ascii="Arial" w:hAnsi="Arial" w:cs="Arial"/>
          <w:sz w:val="22"/>
          <w:szCs w:val="22"/>
        </w:rPr>
        <w:t xml:space="preserve">interface entre la propriété intellectuelle et la concurrence et des sessions parallèles pour discuter de cas </w:t>
      </w:r>
      <w:r w:rsidR="00816C92" w:rsidRPr="001E4C00">
        <w:rPr>
          <w:rFonts w:ascii="Arial" w:hAnsi="Arial" w:cs="Arial"/>
          <w:sz w:val="22"/>
          <w:szCs w:val="22"/>
        </w:rPr>
        <w:t xml:space="preserve">fictifs </w:t>
      </w:r>
      <w:r w:rsidRPr="001E4C00">
        <w:rPr>
          <w:rFonts w:ascii="Arial" w:hAnsi="Arial" w:cs="Arial"/>
          <w:sz w:val="22"/>
          <w:szCs w:val="22"/>
        </w:rPr>
        <w:t>et d</w:t>
      </w:r>
      <w:r w:rsidR="008F70DE" w:rsidRPr="001E4C00">
        <w:rPr>
          <w:rFonts w:ascii="Arial" w:hAnsi="Arial" w:cs="Arial"/>
          <w:sz w:val="22"/>
          <w:szCs w:val="22"/>
        </w:rPr>
        <w:t>’</w:t>
      </w:r>
      <w:r w:rsidRPr="001E4C00">
        <w:rPr>
          <w:rFonts w:ascii="Arial" w:hAnsi="Arial" w:cs="Arial"/>
          <w:sz w:val="22"/>
          <w:szCs w:val="22"/>
        </w:rPr>
        <w:t>enquêtes.</w:t>
      </w:r>
    </w:p>
    <w:p w:rsidR="001957C8" w:rsidRPr="001E4C00" w:rsidRDefault="001957C8" w:rsidP="00B96384">
      <w:pPr>
        <w:pStyle w:val="ListParagraph"/>
        <w:numPr>
          <w:ilvl w:val="0"/>
          <w:numId w:val="41"/>
        </w:numPr>
        <w:tabs>
          <w:tab w:val="left" w:pos="1134"/>
        </w:tabs>
        <w:ind w:left="1134" w:hanging="567"/>
        <w:rPr>
          <w:rFonts w:ascii="Arial" w:hAnsi="Arial" w:cs="Arial"/>
          <w:sz w:val="22"/>
          <w:szCs w:val="22"/>
        </w:rPr>
      </w:pPr>
      <w:r w:rsidRPr="001E4C00">
        <w:rPr>
          <w:rFonts w:ascii="Arial" w:hAnsi="Arial" w:cs="Arial"/>
          <w:sz w:val="22"/>
          <w:szCs w:val="22"/>
        </w:rPr>
        <w:t>Une designer ukrainienne a participé en tant qu</w:t>
      </w:r>
      <w:r w:rsidR="008F70DE" w:rsidRPr="001E4C00">
        <w:rPr>
          <w:rFonts w:ascii="Arial" w:hAnsi="Arial" w:cs="Arial"/>
          <w:sz w:val="22"/>
          <w:szCs w:val="22"/>
        </w:rPr>
        <w:t>’</w:t>
      </w:r>
      <w:r w:rsidRPr="001E4C00">
        <w:rPr>
          <w:rFonts w:ascii="Arial" w:hAnsi="Arial" w:cs="Arial"/>
          <w:sz w:val="22"/>
          <w:szCs w:val="22"/>
        </w:rPr>
        <w:t>e</w:t>
      </w:r>
      <w:r w:rsidR="00816C92" w:rsidRPr="001E4C00">
        <w:rPr>
          <w:rFonts w:ascii="Arial" w:hAnsi="Arial" w:cs="Arial"/>
          <w:sz w:val="22"/>
          <w:szCs w:val="22"/>
        </w:rPr>
        <w:t>xperte</w:t>
      </w:r>
      <w:r w:rsidRPr="001E4C00">
        <w:rPr>
          <w:rFonts w:ascii="Arial" w:hAnsi="Arial" w:cs="Arial"/>
          <w:sz w:val="22"/>
          <w:szCs w:val="22"/>
        </w:rPr>
        <w:t xml:space="preserve"> à l</w:t>
      </w:r>
      <w:r w:rsidR="008F70DE" w:rsidRPr="001E4C00">
        <w:rPr>
          <w:rFonts w:ascii="Arial" w:hAnsi="Arial" w:cs="Arial"/>
          <w:sz w:val="22"/>
          <w:szCs w:val="22"/>
        </w:rPr>
        <w:t>’</w:t>
      </w:r>
      <w:r w:rsidRPr="001E4C00">
        <w:rPr>
          <w:rFonts w:ascii="Arial" w:hAnsi="Arial" w:cs="Arial"/>
          <w:sz w:val="22"/>
          <w:szCs w:val="22"/>
        </w:rPr>
        <w:t xml:space="preserve">atelier en ligne transrégional de partage </w:t>
      </w:r>
      <w:r w:rsidR="00816C92" w:rsidRPr="001E4C00">
        <w:rPr>
          <w:rFonts w:ascii="Arial" w:hAnsi="Arial" w:cs="Arial"/>
          <w:sz w:val="22"/>
          <w:szCs w:val="22"/>
        </w:rPr>
        <w:t xml:space="preserve">de données </w:t>
      </w:r>
      <w:r w:rsidRPr="001E4C00">
        <w:rPr>
          <w:rFonts w:ascii="Arial" w:hAnsi="Arial" w:cs="Arial"/>
          <w:sz w:val="22"/>
          <w:szCs w:val="22"/>
        </w:rPr>
        <w:t>d</w:t>
      </w:r>
      <w:r w:rsidR="008F70DE" w:rsidRPr="001E4C00">
        <w:rPr>
          <w:rFonts w:ascii="Arial" w:hAnsi="Arial" w:cs="Arial"/>
          <w:sz w:val="22"/>
          <w:szCs w:val="22"/>
        </w:rPr>
        <w:t>’</w:t>
      </w:r>
      <w:r w:rsidRPr="001E4C00">
        <w:rPr>
          <w:rFonts w:ascii="Arial" w:hAnsi="Arial" w:cs="Arial"/>
          <w:sz w:val="22"/>
          <w:szCs w:val="22"/>
        </w:rPr>
        <w:t>expérience sur la propriété intellectuelle pour les entrepreneur</w:t>
      </w:r>
      <w:r w:rsidR="00816C92" w:rsidRPr="001E4C00">
        <w:rPr>
          <w:rFonts w:ascii="Arial" w:hAnsi="Arial" w:cs="Arial"/>
          <w:sz w:val="22"/>
          <w:szCs w:val="22"/>
        </w:rPr>
        <w:t>e</w:t>
      </w:r>
      <w:r w:rsidRPr="001E4C00">
        <w:rPr>
          <w:rFonts w:ascii="Arial" w:hAnsi="Arial" w:cs="Arial"/>
          <w:sz w:val="22"/>
          <w:szCs w:val="22"/>
        </w:rPr>
        <w:t xml:space="preserve">s dans le secteur du design industriel </w:t>
      </w:r>
      <w:r w:rsidR="00816C92" w:rsidRPr="001E4C00">
        <w:rPr>
          <w:rFonts w:ascii="Arial" w:hAnsi="Arial" w:cs="Arial"/>
          <w:sz w:val="22"/>
          <w:szCs w:val="22"/>
        </w:rPr>
        <w:t xml:space="preserve">tenu </w:t>
      </w:r>
      <w:r w:rsidRPr="001E4C00">
        <w:rPr>
          <w:rFonts w:ascii="Arial" w:hAnsi="Arial" w:cs="Arial"/>
          <w:sz w:val="22"/>
          <w:szCs w:val="22"/>
        </w:rPr>
        <w:t xml:space="preserve">le 12 avril 2023, où elle a </w:t>
      </w:r>
      <w:r w:rsidR="00816C92" w:rsidRPr="001E4C00">
        <w:rPr>
          <w:rFonts w:ascii="Arial" w:hAnsi="Arial" w:cs="Arial"/>
          <w:sz w:val="22"/>
          <w:szCs w:val="22"/>
        </w:rPr>
        <w:t>présenté son exemple de</w:t>
      </w:r>
      <w:r w:rsidRPr="001E4C00">
        <w:rPr>
          <w:rFonts w:ascii="Arial" w:hAnsi="Arial" w:cs="Arial"/>
          <w:sz w:val="22"/>
          <w:szCs w:val="22"/>
        </w:rPr>
        <w:t xml:space="preserve"> réussite et a participé à une table ronde sur l</w:t>
      </w:r>
      <w:r w:rsidR="008F70DE" w:rsidRPr="001E4C00">
        <w:rPr>
          <w:rFonts w:ascii="Arial" w:hAnsi="Arial" w:cs="Arial"/>
          <w:sz w:val="22"/>
          <w:szCs w:val="22"/>
        </w:rPr>
        <w:t>’</w:t>
      </w:r>
      <w:r w:rsidRPr="001E4C00">
        <w:rPr>
          <w:rFonts w:ascii="Arial" w:hAnsi="Arial" w:cs="Arial"/>
          <w:sz w:val="22"/>
          <w:szCs w:val="22"/>
        </w:rPr>
        <w:t>autonomisation des femmes dans le domaine du design industriel.</w:t>
      </w:r>
    </w:p>
    <w:p w:rsidR="001957C8" w:rsidRPr="001E4C00" w:rsidRDefault="001957C8" w:rsidP="00B96384">
      <w:pPr>
        <w:pStyle w:val="ListParagraph"/>
        <w:numPr>
          <w:ilvl w:val="0"/>
          <w:numId w:val="41"/>
        </w:numPr>
        <w:tabs>
          <w:tab w:val="left" w:pos="1134"/>
        </w:tabs>
        <w:ind w:left="1134" w:hanging="567"/>
        <w:rPr>
          <w:rFonts w:ascii="Arial" w:hAnsi="Arial" w:cs="Arial"/>
          <w:sz w:val="22"/>
          <w:szCs w:val="22"/>
        </w:rPr>
      </w:pPr>
      <w:r w:rsidRPr="001E4C00">
        <w:rPr>
          <w:rFonts w:ascii="Arial" w:hAnsi="Arial" w:cs="Arial"/>
          <w:sz w:val="22"/>
          <w:szCs w:val="22"/>
        </w:rPr>
        <w:t>Une trentaine d</w:t>
      </w:r>
      <w:r w:rsidR="008F70DE" w:rsidRPr="001E4C00">
        <w:rPr>
          <w:rFonts w:ascii="Arial" w:hAnsi="Arial" w:cs="Arial"/>
          <w:sz w:val="22"/>
          <w:szCs w:val="22"/>
        </w:rPr>
        <w:t>’</w:t>
      </w:r>
      <w:r w:rsidRPr="001E4C00">
        <w:rPr>
          <w:rFonts w:ascii="Arial" w:hAnsi="Arial" w:cs="Arial"/>
          <w:sz w:val="22"/>
          <w:szCs w:val="22"/>
        </w:rPr>
        <w:t>Ukrainiennes, créatrices d</w:t>
      </w:r>
      <w:r w:rsidR="008F70DE" w:rsidRPr="001E4C00">
        <w:rPr>
          <w:rFonts w:ascii="Arial" w:hAnsi="Arial" w:cs="Arial"/>
          <w:sz w:val="22"/>
          <w:szCs w:val="22"/>
        </w:rPr>
        <w:t>’</w:t>
      </w:r>
      <w:r w:rsidRPr="001E4C00">
        <w:rPr>
          <w:rFonts w:ascii="Arial" w:hAnsi="Arial" w:cs="Arial"/>
          <w:sz w:val="22"/>
          <w:szCs w:val="22"/>
        </w:rPr>
        <w:t>art et photographes, participent au projet de renforcement des capacités en matière de propriété intellectuelle pour les femmes dans les arts visuels en Ukraine, organisé par l</w:t>
      </w:r>
      <w:r w:rsidR="008F70DE" w:rsidRPr="001E4C00">
        <w:rPr>
          <w:rFonts w:ascii="Arial" w:hAnsi="Arial" w:cs="Arial"/>
          <w:sz w:val="22"/>
          <w:szCs w:val="22"/>
        </w:rPr>
        <w:t>’</w:t>
      </w:r>
      <w:r w:rsidRPr="001E4C00">
        <w:rPr>
          <w:rFonts w:ascii="Arial" w:hAnsi="Arial" w:cs="Arial"/>
          <w:sz w:val="22"/>
          <w:szCs w:val="22"/>
        </w:rPr>
        <w:t>Académie de l</w:t>
      </w:r>
      <w:r w:rsidR="008F70DE" w:rsidRPr="001E4C00">
        <w:rPr>
          <w:rFonts w:ascii="Arial" w:hAnsi="Arial" w:cs="Arial"/>
          <w:sz w:val="22"/>
          <w:szCs w:val="22"/>
        </w:rPr>
        <w:t>’</w:t>
      </w:r>
      <w:r w:rsidRPr="001E4C00">
        <w:rPr>
          <w:rFonts w:ascii="Arial" w:hAnsi="Arial" w:cs="Arial"/>
          <w:sz w:val="22"/>
          <w:szCs w:val="22"/>
        </w:rPr>
        <w:t>OMPI d</w:t>
      </w:r>
      <w:r w:rsidR="008F70DE" w:rsidRPr="001E4C00">
        <w:rPr>
          <w:rFonts w:ascii="Arial" w:hAnsi="Arial" w:cs="Arial"/>
          <w:sz w:val="22"/>
          <w:szCs w:val="22"/>
        </w:rPr>
        <w:t>’</w:t>
      </w:r>
      <w:r w:rsidRPr="001E4C00">
        <w:rPr>
          <w:rFonts w:ascii="Arial" w:hAnsi="Arial" w:cs="Arial"/>
          <w:sz w:val="22"/>
          <w:szCs w:val="22"/>
        </w:rPr>
        <w:t>avril 2023 à octobre 2023.</w:t>
      </w:r>
    </w:p>
    <w:p w:rsidR="001957C8" w:rsidRPr="001E4C00" w:rsidRDefault="001957C8" w:rsidP="00B96384">
      <w:pPr>
        <w:pStyle w:val="ListParagraph"/>
        <w:numPr>
          <w:ilvl w:val="0"/>
          <w:numId w:val="41"/>
        </w:numPr>
        <w:tabs>
          <w:tab w:val="left" w:pos="1134"/>
        </w:tabs>
        <w:spacing w:after="220"/>
        <w:ind w:left="1134" w:hanging="567"/>
        <w:rPr>
          <w:rFonts w:ascii="Arial" w:hAnsi="Arial" w:cs="Arial"/>
          <w:sz w:val="22"/>
          <w:szCs w:val="22"/>
        </w:rPr>
      </w:pPr>
      <w:r w:rsidRPr="001E4C00">
        <w:rPr>
          <w:rFonts w:ascii="Arial" w:hAnsi="Arial" w:cs="Arial"/>
          <w:sz w:val="22"/>
          <w:szCs w:val="22"/>
        </w:rPr>
        <w:t>L</w:t>
      </w:r>
      <w:r w:rsidR="008F70DE" w:rsidRPr="001E4C00">
        <w:rPr>
          <w:rFonts w:ascii="Arial" w:hAnsi="Arial" w:cs="Arial"/>
          <w:sz w:val="22"/>
          <w:szCs w:val="22"/>
        </w:rPr>
        <w:t>’</w:t>
      </w:r>
      <w:r w:rsidRPr="001E4C00">
        <w:rPr>
          <w:rFonts w:ascii="Arial" w:hAnsi="Arial" w:cs="Arial"/>
          <w:sz w:val="22"/>
          <w:szCs w:val="22"/>
        </w:rPr>
        <w:t>OMPI a accordé une bourse à une participante ukrainienne pour l</w:t>
      </w:r>
      <w:r w:rsidR="008F70DE" w:rsidRPr="001E4C00">
        <w:rPr>
          <w:rFonts w:ascii="Arial" w:hAnsi="Arial" w:cs="Arial"/>
          <w:sz w:val="22"/>
          <w:szCs w:val="22"/>
        </w:rPr>
        <w:t>’</w:t>
      </w:r>
      <w:r w:rsidRPr="001E4C00">
        <w:rPr>
          <w:rFonts w:ascii="Arial" w:hAnsi="Arial" w:cs="Arial"/>
          <w:sz w:val="22"/>
          <w:szCs w:val="22"/>
        </w:rPr>
        <w:t>édition 2022</w:t>
      </w:r>
      <w:r w:rsidR="0091158D">
        <w:rPr>
          <w:rFonts w:ascii="Arial" w:hAnsi="Arial" w:cs="Arial"/>
          <w:sz w:val="22"/>
          <w:szCs w:val="22"/>
        </w:rPr>
        <w:noBreakHyphen/>
      </w:r>
      <w:r w:rsidRPr="001E4C00">
        <w:rPr>
          <w:rFonts w:ascii="Arial" w:hAnsi="Arial" w:cs="Arial"/>
          <w:sz w:val="22"/>
          <w:szCs w:val="22"/>
        </w:rPr>
        <w:t>23 du programme conjoint de maîtrise à l</w:t>
      </w:r>
      <w:r w:rsidR="008F70DE" w:rsidRPr="001E4C00">
        <w:rPr>
          <w:rFonts w:ascii="Arial" w:hAnsi="Arial" w:cs="Arial"/>
          <w:sz w:val="22"/>
          <w:szCs w:val="22"/>
        </w:rPr>
        <w:t>’</w:t>
      </w:r>
      <w:r w:rsidRPr="001E4C00">
        <w:rPr>
          <w:rFonts w:ascii="Arial" w:hAnsi="Arial" w:cs="Arial"/>
          <w:sz w:val="22"/>
          <w:szCs w:val="22"/>
        </w:rPr>
        <w:t xml:space="preserve">Université </w:t>
      </w:r>
      <w:proofErr w:type="spellStart"/>
      <w:r w:rsidRPr="001E4C00">
        <w:rPr>
          <w:rFonts w:ascii="Arial" w:hAnsi="Arial" w:cs="Arial"/>
          <w:sz w:val="22"/>
          <w:szCs w:val="22"/>
        </w:rPr>
        <w:t>Jagiellonian</w:t>
      </w:r>
      <w:proofErr w:type="spellEnd"/>
      <w:r w:rsidRPr="001E4C00">
        <w:rPr>
          <w:rFonts w:ascii="Arial" w:hAnsi="Arial" w:cs="Arial"/>
          <w:sz w:val="22"/>
          <w:szCs w:val="22"/>
        </w:rPr>
        <w:t xml:space="preserve"> en Pologne.</w:t>
      </w:r>
    </w:p>
    <w:p w:rsidR="001957C8" w:rsidRPr="001E4C00" w:rsidRDefault="00B96384" w:rsidP="00B96384">
      <w:pPr>
        <w:pStyle w:val="Heading1"/>
        <w:ind w:left="567" w:hanging="567"/>
        <w:rPr>
          <w:lang w:val="fr-FR"/>
        </w:rPr>
      </w:pPr>
      <w:r w:rsidRPr="001E4C00">
        <w:rPr>
          <w:lang w:val="fr-FR"/>
        </w:rPr>
        <w:t>Allocation de ressources financières et humaines adéquates</w:t>
      </w:r>
    </w:p>
    <w:p w:rsidR="001957C8" w:rsidRPr="001E4C00" w:rsidRDefault="001957C8" w:rsidP="006B17A0">
      <w:pPr>
        <w:pStyle w:val="ONUMFS"/>
        <w:keepLines/>
        <w:rPr>
          <w:lang w:val="fr-FR"/>
        </w:rPr>
      </w:pPr>
      <w:r w:rsidRPr="001E4C00">
        <w:rPr>
          <w:lang w:val="fr-FR"/>
        </w:rPr>
        <w:t xml:space="preserve">Le Bureau international a veillé à ce que des ressources financières et humaines suffisantes soient </w:t>
      </w:r>
      <w:r w:rsidR="00816C92" w:rsidRPr="001E4C00">
        <w:rPr>
          <w:lang w:val="fr-FR"/>
        </w:rPr>
        <w:t>allouées</w:t>
      </w:r>
      <w:r w:rsidRPr="001E4C00">
        <w:rPr>
          <w:lang w:val="fr-FR"/>
        </w:rPr>
        <w:t>, par réaffectation dans le cadre du programme de travail et budget approuvé, à la mise en œuvre de l</w:t>
      </w:r>
      <w:r w:rsidR="008F70DE" w:rsidRPr="001E4C00">
        <w:rPr>
          <w:lang w:val="fr-FR"/>
        </w:rPr>
        <w:t>’</w:t>
      </w:r>
      <w:r w:rsidRPr="001E4C00">
        <w:rPr>
          <w:lang w:val="fr-FR"/>
        </w:rPr>
        <w:t>assistance technique et juridique, au renforcement des capacités et à d</w:t>
      </w:r>
      <w:r w:rsidR="008F70DE" w:rsidRPr="001E4C00">
        <w:rPr>
          <w:lang w:val="fr-FR"/>
        </w:rPr>
        <w:t>’</w:t>
      </w:r>
      <w:r w:rsidRPr="001E4C00">
        <w:rPr>
          <w:lang w:val="fr-FR"/>
        </w:rPr>
        <w:t>autres formes d</w:t>
      </w:r>
      <w:r w:rsidR="008F70DE" w:rsidRPr="001E4C00">
        <w:rPr>
          <w:lang w:val="fr-FR"/>
        </w:rPr>
        <w:t>’</w:t>
      </w:r>
      <w:r w:rsidRPr="001E4C00">
        <w:rPr>
          <w:lang w:val="fr-FR"/>
        </w:rPr>
        <w:t>assistance ayant un impact sur l</w:t>
      </w:r>
      <w:r w:rsidR="008F70DE" w:rsidRPr="001E4C00">
        <w:rPr>
          <w:lang w:val="fr-FR"/>
        </w:rPr>
        <w:t>’</w:t>
      </w:r>
      <w:r w:rsidRPr="001E4C00">
        <w:rPr>
          <w:lang w:val="fr-FR"/>
        </w:rPr>
        <w:t>Ukraine, selon les besoins, en vue de la restauration et de la reconstruction du secteur et de l</w:t>
      </w:r>
      <w:r w:rsidR="008F70DE" w:rsidRPr="001E4C00">
        <w:rPr>
          <w:lang w:val="fr-FR"/>
        </w:rPr>
        <w:t>’</w:t>
      </w:r>
      <w:r w:rsidRPr="001E4C00">
        <w:rPr>
          <w:lang w:val="fr-FR"/>
        </w:rPr>
        <w:t>écosystème de la propriété intellectuelle de l</w:t>
      </w:r>
      <w:r w:rsidR="008F70DE" w:rsidRPr="001E4C00">
        <w:rPr>
          <w:lang w:val="fr-FR"/>
        </w:rPr>
        <w:t>’</w:t>
      </w:r>
      <w:r w:rsidRPr="001E4C00">
        <w:rPr>
          <w:lang w:val="fr-FR"/>
        </w:rPr>
        <w:t>Ukrai</w:t>
      </w:r>
      <w:r w:rsidR="00783939" w:rsidRPr="001E4C00">
        <w:rPr>
          <w:lang w:val="fr-FR"/>
        </w:rPr>
        <w:t>ne.  Ce</w:t>
      </w:r>
      <w:r w:rsidRPr="001E4C00">
        <w:rPr>
          <w:lang w:val="fr-FR"/>
        </w:rPr>
        <w:t>s dernières activités visent à renforcer l</w:t>
      </w:r>
      <w:r w:rsidR="008F70DE" w:rsidRPr="001E4C00">
        <w:rPr>
          <w:lang w:val="fr-FR"/>
        </w:rPr>
        <w:t>’</w:t>
      </w:r>
      <w:r w:rsidRPr="001E4C00">
        <w:rPr>
          <w:lang w:val="fr-FR"/>
        </w:rPr>
        <w:t>écosystème de la propriété intellectuelle au profit de toutes les parties prenantes (</w:t>
      </w:r>
      <w:r w:rsidR="00816C92" w:rsidRPr="001E4C00">
        <w:rPr>
          <w:lang w:val="fr-FR"/>
        </w:rPr>
        <w:t xml:space="preserve">grâce à </w:t>
      </w:r>
      <w:r w:rsidRPr="001E4C00">
        <w:rPr>
          <w:lang w:val="fr-FR"/>
        </w:rPr>
        <w:t>l</w:t>
      </w:r>
      <w:r w:rsidR="008F70DE" w:rsidRPr="001E4C00">
        <w:rPr>
          <w:lang w:val="fr-FR"/>
        </w:rPr>
        <w:t>’</w:t>
      </w:r>
      <w:r w:rsidRPr="001E4C00">
        <w:rPr>
          <w:lang w:val="fr-FR"/>
        </w:rPr>
        <w:t>élaboration d</w:t>
      </w:r>
      <w:r w:rsidR="008F70DE" w:rsidRPr="001E4C00">
        <w:rPr>
          <w:lang w:val="fr-FR"/>
        </w:rPr>
        <w:t>’</w:t>
      </w:r>
      <w:r w:rsidRPr="001E4C00">
        <w:rPr>
          <w:lang w:val="fr-FR"/>
        </w:rPr>
        <w:t xml:space="preserve">une stratégie nationale globale et efficace en matière de propriété intellectuelle), à </w:t>
      </w:r>
      <w:r w:rsidR="00D72A3F" w:rsidRPr="001E4C00">
        <w:rPr>
          <w:lang w:val="fr-FR"/>
        </w:rPr>
        <w:t xml:space="preserve">apporter un soutien financier aux </w:t>
      </w:r>
      <w:r w:rsidRPr="001E4C00">
        <w:rPr>
          <w:lang w:val="fr-FR"/>
        </w:rPr>
        <w:t>utilisateurs de l</w:t>
      </w:r>
      <w:r w:rsidR="008F70DE" w:rsidRPr="001E4C00">
        <w:rPr>
          <w:lang w:val="fr-FR"/>
        </w:rPr>
        <w:t>’</w:t>
      </w:r>
      <w:r w:rsidRPr="001E4C00">
        <w:rPr>
          <w:lang w:val="fr-FR"/>
        </w:rPr>
        <w:t>écosystème de la propriété intellectuelle en Ukraine (</w:t>
      </w:r>
      <w:r w:rsidR="00D72A3F" w:rsidRPr="001E4C00">
        <w:rPr>
          <w:lang w:val="fr-FR"/>
        </w:rPr>
        <w:t xml:space="preserve">grâce à </w:t>
      </w:r>
      <w:r w:rsidRPr="001E4C00">
        <w:rPr>
          <w:lang w:val="fr-FR"/>
        </w:rPr>
        <w:t>l</w:t>
      </w:r>
      <w:r w:rsidR="008F70DE" w:rsidRPr="001E4C00">
        <w:rPr>
          <w:lang w:val="fr-FR"/>
        </w:rPr>
        <w:t>’</w:t>
      </w:r>
      <w:r w:rsidRPr="001E4C00">
        <w:rPr>
          <w:lang w:val="fr-FR"/>
        </w:rPr>
        <w:t>accès gratuit à des programmes spécialisés d</w:t>
      </w:r>
      <w:r w:rsidR="008F70DE" w:rsidRPr="001E4C00">
        <w:rPr>
          <w:lang w:val="fr-FR"/>
        </w:rPr>
        <w:t>’</w:t>
      </w:r>
      <w:r w:rsidRPr="001E4C00">
        <w:rPr>
          <w:lang w:val="fr-FR"/>
        </w:rPr>
        <w:t xml:space="preserve">information sur les brevets) et à renforcer les possibilités </w:t>
      </w:r>
      <w:r w:rsidR="00D72A3F" w:rsidRPr="001E4C00">
        <w:rPr>
          <w:lang w:val="fr-FR"/>
        </w:rPr>
        <w:t>d</w:t>
      </w:r>
      <w:r w:rsidR="008F70DE" w:rsidRPr="001E4C00">
        <w:rPr>
          <w:lang w:val="fr-FR"/>
        </w:rPr>
        <w:t>’</w:t>
      </w:r>
      <w:r w:rsidR="00D72A3F" w:rsidRPr="001E4C00">
        <w:rPr>
          <w:lang w:val="fr-FR"/>
        </w:rPr>
        <w:t>avantages</w:t>
      </w:r>
      <w:r w:rsidRPr="001E4C00">
        <w:rPr>
          <w:lang w:val="fr-FR"/>
        </w:rPr>
        <w:t xml:space="preserve"> financiers pour les institutions gouvernementales ukrainiennes, grâce à une meilleure gestion </w:t>
      </w:r>
      <w:r w:rsidR="00D72A3F" w:rsidRPr="001E4C00">
        <w:rPr>
          <w:lang w:val="fr-FR"/>
        </w:rPr>
        <w:t>dans l</w:t>
      </w:r>
      <w:r w:rsidR="008F70DE" w:rsidRPr="001E4C00">
        <w:rPr>
          <w:lang w:val="fr-FR"/>
        </w:rPr>
        <w:t>’</w:t>
      </w:r>
      <w:r w:rsidR="00D72A3F" w:rsidRPr="001E4C00">
        <w:rPr>
          <w:lang w:val="fr-FR"/>
        </w:rPr>
        <w:t xml:space="preserve">avenir </w:t>
      </w:r>
      <w:r w:rsidRPr="001E4C00">
        <w:rPr>
          <w:lang w:val="fr-FR"/>
        </w:rPr>
        <w:t>des droits de propriété intellectuelle détenus par le gouvernement (</w:t>
      </w:r>
      <w:r w:rsidR="00D72A3F" w:rsidRPr="001E4C00">
        <w:rPr>
          <w:lang w:val="fr-FR"/>
        </w:rPr>
        <w:t>dans le cadre</w:t>
      </w:r>
      <w:r w:rsidRPr="001E4C00">
        <w:rPr>
          <w:lang w:val="fr-FR"/>
        </w:rPr>
        <w:t xml:space="preserve"> d</w:t>
      </w:r>
      <w:r w:rsidR="008F70DE" w:rsidRPr="001E4C00">
        <w:rPr>
          <w:lang w:val="fr-FR"/>
        </w:rPr>
        <w:t>’</w:t>
      </w:r>
      <w:r w:rsidRPr="001E4C00">
        <w:rPr>
          <w:lang w:val="fr-FR"/>
        </w:rPr>
        <w:t>un projet d</w:t>
      </w:r>
      <w:r w:rsidR="008F70DE" w:rsidRPr="001E4C00">
        <w:rPr>
          <w:lang w:val="fr-FR"/>
        </w:rPr>
        <w:t>’</w:t>
      </w:r>
      <w:r w:rsidRPr="001E4C00">
        <w:rPr>
          <w:lang w:val="fr-FR"/>
        </w:rPr>
        <w:t>audit de la propriété intellectuelle).</w:t>
      </w:r>
    </w:p>
    <w:p w:rsidR="001957C8" w:rsidRPr="001E4C00" w:rsidRDefault="001957C8" w:rsidP="007115E7">
      <w:pPr>
        <w:pStyle w:val="ONUMFS"/>
        <w:rPr>
          <w:lang w:val="fr-FR"/>
        </w:rPr>
      </w:pPr>
      <w:r w:rsidRPr="001E4C00">
        <w:rPr>
          <w:lang w:val="fr-FR"/>
        </w:rPr>
        <w:t>Des ressources financières ou humaines ont été mises à disposition dans tous les domaines de travail pertinents de l</w:t>
      </w:r>
      <w:r w:rsidR="008F70DE" w:rsidRPr="001E4C00">
        <w:rPr>
          <w:lang w:val="fr-FR"/>
        </w:rPr>
        <w:t>’</w:t>
      </w:r>
      <w:r w:rsidRPr="001E4C00">
        <w:rPr>
          <w:lang w:val="fr-FR"/>
        </w:rPr>
        <w:t xml:space="preserve">Organisation, </w:t>
      </w:r>
      <w:r w:rsidR="008F70DE" w:rsidRPr="001E4C00">
        <w:rPr>
          <w:lang w:val="fr-FR"/>
        </w:rPr>
        <w:t>y compris</w:t>
      </w:r>
      <w:r w:rsidRPr="001E4C00">
        <w:rPr>
          <w:lang w:val="fr-FR"/>
        </w:rPr>
        <w:t xml:space="preserve"> principalement dans le secteur du développement régional et national, ainsi que dans le secteur des brevets et de la technologie, le secteur de l</w:t>
      </w:r>
      <w:r w:rsidR="008F70DE" w:rsidRPr="001E4C00">
        <w:rPr>
          <w:lang w:val="fr-FR"/>
        </w:rPr>
        <w:t>’</w:t>
      </w:r>
      <w:r w:rsidRPr="001E4C00">
        <w:rPr>
          <w:lang w:val="fr-FR"/>
        </w:rPr>
        <w:t>infrastructure et des plateformes, le secteur des défis mondiaux et des partenariats, le secteur de la propriété intellectuelle et des écosystèmes d</w:t>
      </w:r>
      <w:r w:rsidR="008F70DE" w:rsidRPr="001E4C00">
        <w:rPr>
          <w:lang w:val="fr-FR"/>
        </w:rPr>
        <w:t>’</w:t>
      </w:r>
      <w:r w:rsidRPr="001E4C00">
        <w:rPr>
          <w:lang w:val="fr-FR"/>
        </w:rPr>
        <w:t xml:space="preserve">innovation, le secteur des marques et </w:t>
      </w:r>
      <w:r w:rsidR="00D72A3F" w:rsidRPr="001E4C00">
        <w:rPr>
          <w:lang w:val="fr-FR"/>
        </w:rPr>
        <w:t>des dessins et modèles</w:t>
      </w:r>
      <w:r w:rsidRPr="001E4C00">
        <w:rPr>
          <w:lang w:val="fr-FR"/>
        </w:rPr>
        <w:t xml:space="preserve"> et le secteur du droit d</w:t>
      </w:r>
      <w:r w:rsidR="008F70DE" w:rsidRPr="001E4C00">
        <w:rPr>
          <w:lang w:val="fr-FR"/>
        </w:rPr>
        <w:t>’</w:t>
      </w:r>
      <w:r w:rsidRPr="001E4C00">
        <w:rPr>
          <w:lang w:val="fr-FR"/>
        </w:rPr>
        <w:t xml:space="preserve">auteur et des industries </w:t>
      </w:r>
      <w:r w:rsidR="00D72A3F" w:rsidRPr="001E4C00">
        <w:rPr>
          <w:lang w:val="fr-FR"/>
        </w:rPr>
        <w:t>de la création</w:t>
      </w:r>
      <w:r w:rsidRPr="001E4C00">
        <w:rPr>
          <w:lang w:val="fr-FR"/>
        </w:rPr>
        <w:t>.</w:t>
      </w:r>
    </w:p>
    <w:p w:rsidR="001957C8" w:rsidRPr="001E4C00" w:rsidRDefault="00B96384" w:rsidP="006B17A0">
      <w:pPr>
        <w:pStyle w:val="Heading1"/>
        <w:keepLines/>
        <w:ind w:left="567" w:hanging="567"/>
        <w:rPr>
          <w:lang w:val="fr-FR"/>
        </w:rPr>
      </w:pPr>
      <w:r w:rsidRPr="001E4C00">
        <w:rPr>
          <w:lang w:val="fr-FR"/>
        </w:rPr>
        <w:t xml:space="preserve">Mesures prises pour veiller à ce que les </w:t>
      </w:r>
      <w:r w:rsidR="00D72A3F" w:rsidRPr="001E4C00">
        <w:rPr>
          <w:lang w:val="fr-FR"/>
        </w:rPr>
        <w:t xml:space="preserve">déposants de demandes </w:t>
      </w:r>
      <w:r w:rsidRPr="001E4C00">
        <w:rPr>
          <w:lang w:val="fr-FR"/>
        </w:rPr>
        <w:t>de droits de propriété intellectuelle de l</w:t>
      </w:r>
      <w:r w:rsidR="008F70DE" w:rsidRPr="001E4C00">
        <w:rPr>
          <w:lang w:val="fr-FR"/>
        </w:rPr>
        <w:t>’</w:t>
      </w:r>
      <w:r w:rsidRPr="001E4C00">
        <w:rPr>
          <w:lang w:val="fr-FR"/>
        </w:rPr>
        <w:t>Ukraine, ainsi que l</w:t>
      </w:r>
      <w:r w:rsidR="008F70DE" w:rsidRPr="001E4C00">
        <w:rPr>
          <w:lang w:val="fr-FR"/>
        </w:rPr>
        <w:t>’</w:t>
      </w:r>
      <w:r w:rsidRPr="001E4C00">
        <w:rPr>
          <w:lang w:val="fr-FR"/>
        </w:rPr>
        <w:t>Institut ukrainien de la propriété intellectuelle, aient accès à l</w:t>
      </w:r>
      <w:r w:rsidR="008F70DE" w:rsidRPr="001E4C00">
        <w:rPr>
          <w:lang w:val="fr-FR"/>
        </w:rPr>
        <w:t>’</w:t>
      </w:r>
      <w:r w:rsidRPr="001E4C00">
        <w:rPr>
          <w:lang w:val="fr-FR"/>
        </w:rPr>
        <w:t>ensemble des services de propriété intellectuelle de l</w:t>
      </w:r>
      <w:r w:rsidR="008F70DE" w:rsidRPr="001E4C00">
        <w:rPr>
          <w:lang w:val="fr-FR"/>
        </w:rPr>
        <w:t>’</w:t>
      </w:r>
      <w:r w:rsidRPr="001E4C00">
        <w:rPr>
          <w:lang w:val="fr-FR"/>
        </w:rPr>
        <w:t xml:space="preserve">OMPI et bénéficient des </w:t>
      </w:r>
      <w:r w:rsidR="00F871BB" w:rsidRPr="001E4C00">
        <w:rPr>
          <w:lang w:val="fr-FR"/>
        </w:rPr>
        <w:t>prorogations</w:t>
      </w:r>
      <w:r w:rsidRPr="001E4C00">
        <w:rPr>
          <w:lang w:val="fr-FR"/>
        </w:rPr>
        <w:t xml:space="preserve">, exemptions et autres </w:t>
      </w:r>
      <w:r w:rsidR="00F871BB" w:rsidRPr="001E4C00">
        <w:rPr>
          <w:lang w:val="fr-FR"/>
        </w:rPr>
        <w:t>recours</w:t>
      </w:r>
      <w:r w:rsidRPr="001E4C00">
        <w:rPr>
          <w:lang w:val="fr-FR"/>
        </w:rPr>
        <w:t xml:space="preserve"> appropriés</w:t>
      </w:r>
    </w:p>
    <w:p w:rsidR="001957C8" w:rsidRPr="001E4C00" w:rsidRDefault="001957C8" w:rsidP="00B96384">
      <w:pPr>
        <w:pStyle w:val="Heading2"/>
        <w:rPr>
          <w:lang w:val="fr-FR"/>
        </w:rPr>
      </w:pPr>
      <w:r w:rsidRPr="001E4C00">
        <w:rPr>
          <w:lang w:val="fr-FR"/>
        </w:rPr>
        <w:t>6.1.</w:t>
      </w:r>
      <w:r w:rsidRPr="001E4C00">
        <w:rPr>
          <w:lang w:val="fr-FR"/>
        </w:rPr>
        <w:tab/>
        <w:t>Récapitulatif</w:t>
      </w:r>
    </w:p>
    <w:p w:rsidR="001957C8" w:rsidRPr="001E4C00" w:rsidRDefault="001957C8" w:rsidP="007115E7">
      <w:pPr>
        <w:pStyle w:val="ONUMFS"/>
        <w:rPr>
          <w:lang w:val="fr-FR"/>
        </w:rPr>
      </w:pPr>
      <w:r w:rsidRPr="001E4C00">
        <w:rPr>
          <w:lang w:val="fr-FR"/>
        </w:rPr>
        <w:t>Comme indiqué précédemment, le Bureau international a pris des mesures appropriées pour veiller à ce que les déposants de demandes de propriété intellectuelle d</w:t>
      </w:r>
      <w:r w:rsidR="00F871BB" w:rsidRPr="001E4C00">
        <w:rPr>
          <w:lang w:val="fr-FR"/>
        </w:rPr>
        <w:t>e l</w:t>
      </w:r>
      <w:r w:rsidR="008F70DE" w:rsidRPr="001E4C00">
        <w:rPr>
          <w:lang w:val="fr-FR"/>
        </w:rPr>
        <w:t>’</w:t>
      </w:r>
      <w:r w:rsidRPr="001E4C00">
        <w:rPr>
          <w:lang w:val="fr-FR"/>
        </w:rPr>
        <w:t xml:space="preserve">Ukraine, ainsi que </w:t>
      </w:r>
      <w:r w:rsidR="00F871BB" w:rsidRPr="001E4C00">
        <w:rPr>
          <w:lang w:val="fr-FR"/>
        </w:rPr>
        <w:t>l</w:t>
      </w:r>
      <w:r w:rsidR="008F70DE" w:rsidRPr="001E4C00">
        <w:rPr>
          <w:lang w:val="fr-FR"/>
        </w:rPr>
        <w:t>’</w:t>
      </w:r>
      <w:r w:rsidR="00F871BB" w:rsidRPr="001E4C00">
        <w:rPr>
          <w:lang w:val="fr-FR"/>
        </w:rPr>
        <w:t xml:space="preserve">office </w:t>
      </w:r>
      <w:r w:rsidRPr="001E4C00">
        <w:rPr>
          <w:lang w:val="fr-FR"/>
        </w:rPr>
        <w:t xml:space="preserve">de la propriété intellectuelle </w:t>
      </w:r>
      <w:r w:rsidR="00F871BB" w:rsidRPr="001E4C00">
        <w:rPr>
          <w:lang w:val="fr-FR"/>
        </w:rPr>
        <w:t>de l</w:t>
      </w:r>
      <w:r w:rsidR="008F70DE" w:rsidRPr="001E4C00">
        <w:rPr>
          <w:lang w:val="fr-FR"/>
        </w:rPr>
        <w:t>’</w:t>
      </w:r>
      <w:r w:rsidRPr="001E4C00">
        <w:rPr>
          <w:lang w:val="fr-FR"/>
        </w:rPr>
        <w:t>Ukraine, continuent d</w:t>
      </w:r>
      <w:r w:rsidR="008F70DE" w:rsidRPr="001E4C00">
        <w:rPr>
          <w:lang w:val="fr-FR"/>
        </w:rPr>
        <w:t>’</w:t>
      </w:r>
      <w:r w:rsidRPr="001E4C00">
        <w:rPr>
          <w:lang w:val="fr-FR"/>
        </w:rPr>
        <w:t>avoir accès à l</w:t>
      </w:r>
      <w:r w:rsidR="008F70DE" w:rsidRPr="001E4C00">
        <w:rPr>
          <w:lang w:val="fr-FR"/>
        </w:rPr>
        <w:t>’</w:t>
      </w:r>
      <w:r w:rsidRPr="001E4C00">
        <w:rPr>
          <w:lang w:val="fr-FR"/>
        </w:rPr>
        <w:t>ensemble des services de propriété intellectuelle de l</w:t>
      </w:r>
      <w:r w:rsidR="008F70DE" w:rsidRPr="001E4C00">
        <w:rPr>
          <w:lang w:val="fr-FR"/>
        </w:rPr>
        <w:t>’</w:t>
      </w:r>
      <w:r w:rsidRPr="001E4C00">
        <w:rPr>
          <w:lang w:val="fr-FR"/>
        </w:rPr>
        <w:t xml:space="preserve">OMPI, </w:t>
      </w:r>
      <w:r w:rsidR="008F70DE" w:rsidRPr="001E4C00">
        <w:rPr>
          <w:lang w:val="fr-FR"/>
        </w:rPr>
        <w:t>y compris</w:t>
      </w:r>
      <w:r w:rsidRPr="001E4C00">
        <w:rPr>
          <w:lang w:val="fr-FR"/>
        </w:rPr>
        <w:t xml:space="preserve"> ceux fournis par le Centre d</w:t>
      </w:r>
      <w:r w:rsidR="008F70DE" w:rsidRPr="001E4C00">
        <w:rPr>
          <w:lang w:val="fr-FR"/>
        </w:rPr>
        <w:t>’</w:t>
      </w:r>
      <w:r w:rsidRPr="001E4C00">
        <w:rPr>
          <w:lang w:val="fr-FR"/>
        </w:rPr>
        <w:t>arbitrage et de médiation de l</w:t>
      </w:r>
      <w:r w:rsidR="008F70DE" w:rsidRPr="001E4C00">
        <w:rPr>
          <w:lang w:val="fr-FR"/>
        </w:rPr>
        <w:t>’</w:t>
      </w:r>
      <w:r w:rsidRPr="001E4C00">
        <w:rPr>
          <w:lang w:val="fr-FR"/>
        </w:rPr>
        <w:t>OMPI, et bénéficient des prorogations, exemptions et autres recours appropriés prévus dans les traités, règles et règlements pertinents de l</w:t>
      </w:r>
      <w:r w:rsidR="008F70DE" w:rsidRPr="001E4C00">
        <w:rPr>
          <w:lang w:val="fr-FR"/>
        </w:rPr>
        <w:t>’</w:t>
      </w:r>
      <w:r w:rsidRPr="001E4C00">
        <w:rPr>
          <w:lang w:val="fr-FR"/>
        </w:rPr>
        <w:t xml:space="preserve">OMPI, en </w:t>
      </w:r>
      <w:r w:rsidR="002855A8" w:rsidRPr="001E4C00">
        <w:rPr>
          <w:lang w:val="fr-FR"/>
        </w:rPr>
        <w:t xml:space="preserve">rapport </w:t>
      </w:r>
      <w:r w:rsidRPr="001E4C00">
        <w:rPr>
          <w:lang w:val="fr-FR"/>
        </w:rPr>
        <w:t xml:space="preserve">avec </w:t>
      </w:r>
      <w:r w:rsidR="002855A8" w:rsidRPr="001E4C00">
        <w:rPr>
          <w:lang w:val="fr-FR"/>
        </w:rPr>
        <w:t>la situation</w:t>
      </w:r>
      <w:r w:rsidRPr="001E4C00">
        <w:rPr>
          <w:lang w:val="fr-FR"/>
        </w:rPr>
        <w:t xml:space="preserve"> actuelle.</w:t>
      </w:r>
    </w:p>
    <w:p w:rsidR="001957C8" w:rsidRPr="001E4C00" w:rsidRDefault="001957C8" w:rsidP="007115E7">
      <w:pPr>
        <w:pStyle w:val="ONUMFS"/>
        <w:rPr>
          <w:lang w:val="fr-FR"/>
        </w:rPr>
      </w:pPr>
      <w:r w:rsidRPr="001E4C00">
        <w:rPr>
          <w:lang w:val="fr-FR"/>
        </w:rPr>
        <w:t>Les services mondiaux de l</w:t>
      </w:r>
      <w:r w:rsidR="008F70DE" w:rsidRPr="001E4C00">
        <w:rPr>
          <w:lang w:val="fr-FR"/>
        </w:rPr>
        <w:t>’</w:t>
      </w:r>
      <w:r w:rsidRPr="001E4C00">
        <w:rPr>
          <w:lang w:val="fr-FR"/>
        </w:rPr>
        <w:t xml:space="preserve">OMPI ont publié une déclaration commune en mars 2022, qui comprenait des informations sur les prorogations, exemptions et autres recours </w:t>
      </w:r>
      <w:r w:rsidR="002855A8" w:rsidRPr="001E4C00">
        <w:rPr>
          <w:lang w:val="fr-FR"/>
        </w:rPr>
        <w:t>à la disposition d</w:t>
      </w:r>
      <w:r w:rsidRPr="001E4C00">
        <w:rPr>
          <w:lang w:val="fr-FR"/>
        </w:rPr>
        <w:t>es déposants ukrainie</w:t>
      </w:r>
      <w:r w:rsidR="00783939" w:rsidRPr="001E4C00">
        <w:rPr>
          <w:lang w:val="fr-FR"/>
        </w:rPr>
        <w:t>ns.  De</w:t>
      </w:r>
      <w:r w:rsidRPr="001E4C00">
        <w:rPr>
          <w:lang w:val="fr-FR"/>
        </w:rPr>
        <w:t>s mesures appropriées ont été prises concernant l</w:t>
      </w:r>
      <w:r w:rsidR="008F70DE" w:rsidRPr="001E4C00">
        <w:rPr>
          <w:lang w:val="fr-FR"/>
        </w:rPr>
        <w:t>’</w:t>
      </w:r>
      <w:r w:rsidRPr="001E4C00">
        <w:rPr>
          <w:lang w:val="fr-FR"/>
        </w:rPr>
        <w:t>Ukraine et l</w:t>
      </w:r>
      <w:r w:rsidR="008F70DE" w:rsidRPr="001E4C00">
        <w:rPr>
          <w:lang w:val="fr-FR"/>
        </w:rPr>
        <w:t>’</w:t>
      </w:r>
      <w:r w:rsidRPr="001E4C00">
        <w:rPr>
          <w:lang w:val="fr-FR"/>
        </w:rPr>
        <w:t>administration chargée de la recherche internationale et de l</w:t>
      </w:r>
      <w:r w:rsidR="008F70DE" w:rsidRPr="001E4C00">
        <w:rPr>
          <w:lang w:val="fr-FR"/>
        </w:rPr>
        <w:t>’</w:t>
      </w:r>
      <w:r w:rsidRPr="001E4C00">
        <w:rPr>
          <w:lang w:val="fr-FR"/>
        </w:rPr>
        <w:t xml:space="preserve">examen préliminaire international dans le cadre du PCT, ainsi que </w:t>
      </w:r>
      <w:r w:rsidR="002855A8" w:rsidRPr="001E4C00">
        <w:rPr>
          <w:lang w:val="fr-FR"/>
        </w:rPr>
        <w:t>la mise en place</w:t>
      </w:r>
      <w:r w:rsidRPr="001E4C00">
        <w:rPr>
          <w:lang w:val="fr-FR"/>
        </w:rPr>
        <w:t xml:space="preserve"> du dépôt en ligne (dépôt </w:t>
      </w:r>
      <w:proofErr w:type="spellStart"/>
      <w:r w:rsidRPr="001E4C00">
        <w:rPr>
          <w:lang w:val="fr-FR"/>
        </w:rPr>
        <w:t>ePCT</w:t>
      </w:r>
      <w:proofErr w:type="spellEnd"/>
      <w:r w:rsidRPr="001E4C00">
        <w:rPr>
          <w:lang w:val="fr-FR"/>
        </w:rPr>
        <w:t>).</w:t>
      </w:r>
    </w:p>
    <w:p w:rsidR="001957C8" w:rsidRPr="001E4C00" w:rsidRDefault="001957C8" w:rsidP="007115E7">
      <w:pPr>
        <w:pStyle w:val="ONUMFS"/>
        <w:rPr>
          <w:lang w:val="fr-FR"/>
        </w:rPr>
      </w:pPr>
      <w:r w:rsidRPr="001E4C00">
        <w:rPr>
          <w:lang w:val="fr-FR"/>
        </w:rPr>
        <w:t xml:space="preserve">Le Bureau international a également contribué à faciliter la </w:t>
      </w:r>
      <w:r w:rsidR="002855A8" w:rsidRPr="001E4C00">
        <w:rPr>
          <w:lang w:val="fr-FR"/>
        </w:rPr>
        <w:t xml:space="preserve">poursuite </w:t>
      </w:r>
      <w:r w:rsidRPr="001E4C00">
        <w:rPr>
          <w:lang w:val="fr-FR"/>
        </w:rPr>
        <w:t xml:space="preserve">des </w:t>
      </w:r>
      <w:r w:rsidR="002855A8" w:rsidRPr="001E4C00">
        <w:rPr>
          <w:lang w:val="fr-FR"/>
        </w:rPr>
        <w:t xml:space="preserve">opérations </w:t>
      </w:r>
      <w:r w:rsidRPr="001E4C00">
        <w:rPr>
          <w:lang w:val="fr-FR"/>
        </w:rPr>
        <w:t>de l</w:t>
      </w:r>
      <w:r w:rsidR="008F70DE" w:rsidRPr="001E4C00">
        <w:rPr>
          <w:lang w:val="fr-FR"/>
        </w:rPr>
        <w:t>’</w:t>
      </w:r>
      <w:r w:rsidRPr="001E4C00">
        <w:rPr>
          <w:lang w:val="fr-FR"/>
        </w:rPr>
        <w:t xml:space="preserve">UANIPIO et à </w:t>
      </w:r>
      <w:r w:rsidR="002855A8" w:rsidRPr="001E4C00">
        <w:rPr>
          <w:lang w:val="fr-FR"/>
        </w:rPr>
        <w:t>appuyer la mise en place</w:t>
      </w:r>
      <w:r w:rsidRPr="001E4C00">
        <w:rPr>
          <w:lang w:val="fr-FR"/>
        </w:rPr>
        <w:t xml:space="preserve"> du dépôt en ligne en préservant les comptes des utilisateurs de </w:t>
      </w:r>
      <w:r w:rsidR="002855A8" w:rsidRPr="001E4C00">
        <w:rPr>
          <w:lang w:val="fr-FR"/>
        </w:rPr>
        <w:t>l</w:t>
      </w:r>
      <w:r w:rsidR="008F70DE" w:rsidRPr="001E4C00">
        <w:rPr>
          <w:lang w:val="fr-FR"/>
        </w:rPr>
        <w:t>’</w:t>
      </w:r>
      <w:r w:rsidR="002855A8" w:rsidRPr="001E4C00">
        <w:rPr>
          <w:lang w:val="fr-FR"/>
        </w:rPr>
        <w:t xml:space="preserve">office </w:t>
      </w:r>
      <w:r w:rsidRPr="001E4C00">
        <w:rPr>
          <w:lang w:val="fr-FR"/>
        </w:rPr>
        <w:t>et l</w:t>
      </w:r>
      <w:r w:rsidR="008F70DE" w:rsidRPr="001E4C00">
        <w:rPr>
          <w:lang w:val="fr-FR"/>
        </w:rPr>
        <w:t>’</w:t>
      </w:r>
      <w:r w:rsidRPr="001E4C00">
        <w:rPr>
          <w:lang w:val="fr-FR"/>
        </w:rPr>
        <w:t>accès aux services de l</w:t>
      </w:r>
      <w:r w:rsidR="008F70DE" w:rsidRPr="001E4C00">
        <w:rPr>
          <w:lang w:val="fr-FR"/>
        </w:rPr>
        <w:t>’</w:t>
      </w:r>
      <w:r w:rsidRPr="001E4C00">
        <w:rPr>
          <w:lang w:val="fr-FR"/>
        </w:rPr>
        <w:t>OMPI, tels qu</w:t>
      </w:r>
      <w:r w:rsidR="008F70DE" w:rsidRPr="001E4C00">
        <w:rPr>
          <w:lang w:val="fr-FR"/>
        </w:rPr>
        <w:t>’</w:t>
      </w:r>
      <w:proofErr w:type="spellStart"/>
      <w:r w:rsidRPr="001E4C00">
        <w:rPr>
          <w:lang w:val="fr-FR"/>
        </w:rPr>
        <w:t>ePCT</w:t>
      </w:r>
      <w:proofErr w:type="spellEnd"/>
      <w:r w:rsidRPr="001E4C00">
        <w:rPr>
          <w:lang w:val="fr-FR"/>
        </w:rPr>
        <w:t>, le système d</w:t>
      </w:r>
      <w:r w:rsidR="008F70DE" w:rsidRPr="001E4C00">
        <w:rPr>
          <w:lang w:val="fr-FR"/>
        </w:rPr>
        <w:t>’</w:t>
      </w:r>
      <w:r w:rsidRPr="001E4C00">
        <w:rPr>
          <w:lang w:val="fr-FR"/>
        </w:rPr>
        <w:t>échange de données informatisées du PCT (PCT</w:t>
      </w:r>
      <w:r w:rsidR="0091158D">
        <w:rPr>
          <w:lang w:val="fr-FR"/>
        </w:rPr>
        <w:noBreakHyphen/>
      </w:r>
      <w:r w:rsidRPr="001E4C00">
        <w:rPr>
          <w:lang w:val="fr-FR"/>
        </w:rPr>
        <w:t xml:space="preserve">EDI) et le </w:t>
      </w:r>
      <w:r w:rsidR="002855A8" w:rsidRPr="001E4C00">
        <w:rPr>
          <w:lang w:val="fr-FR"/>
        </w:rPr>
        <w:t xml:space="preserve">portail </w:t>
      </w:r>
      <w:r w:rsidRPr="001E4C00">
        <w:rPr>
          <w:lang w:val="fr-FR"/>
        </w:rPr>
        <w:t>des offices du système de Madr</w:t>
      </w:r>
      <w:r w:rsidR="00783939" w:rsidRPr="001E4C00">
        <w:rPr>
          <w:lang w:val="fr-FR"/>
        </w:rPr>
        <w:t>id.  Le</w:t>
      </w:r>
      <w:r w:rsidRPr="001E4C00">
        <w:rPr>
          <w:lang w:val="fr-FR"/>
        </w:rPr>
        <w:t xml:space="preserve"> Bureau international a également contribué à la mise à jour des informations pertinentes sur le portail de propriété intellectuelle de l</w:t>
      </w:r>
      <w:r w:rsidR="008F70DE" w:rsidRPr="001E4C00">
        <w:rPr>
          <w:lang w:val="fr-FR"/>
        </w:rPr>
        <w:t>’</w:t>
      </w:r>
      <w:r w:rsidRPr="001E4C00">
        <w:rPr>
          <w:lang w:val="fr-FR"/>
        </w:rPr>
        <w:t xml:space="preserve">OMPI, telles que les informations relatives aux profils des membres des systèmes de </w:t>
      </w:r>
      <w:r w:rsidR="008F70DE" w:rsidRPr="001E4C00">
        <w:rPr>
          <w:lang w:val="fr-FR"/>
        </w:rPr>
        <w:t>La Haye</w:t>
      </w:r>
      <w:r w:rsidRPr="001E4C00">
        <w:rPr>
          <w:lang w:val="fr-FR"/>
        </w:rPr>
        <w:t xml:space="preserve"> et de Madrid.</w:t>
      </w:r>
    </w:p>
    <w:p w:rsidR="001957C8" w:rsidRPr="001E4C00" w:rsidRDefault="001957C8" w:rsidP="00F27B3E">
      <w:pPr>
        <w:pStyle w:val="Heading2"/>
        <w:rPr>
          <w:lang w:val="fr-FR"/>
        </w:rPr>
      </w:pPr>
      <w:r w:rsidRPr="001E4C00">
        <w:rPr>
          <w:lang w:val="fr-FR"/>
        </w:rPr>
        <w:t>6.2.</w:t>
      </w:r>
      <w:r w:rsidRPr="001E4C00">
        <w:rPr>
          <w:lang w:val="fr-FR"/>
        </w:rPr>
        <w:tab/>
        <w:t>Traité de coopération en matière de brevets (PCT)</w:t>
      </w:r>
    </w:p>
    <w:p w:rsidR="008A3FE2" w:rsidRPr="001E4C00" w:rsidRDefault="001957C8" w:rsidP="00F27B3E">
      <w:pPr>
        <w:pStyle w:val="Heading3"/>
        <w:rPr>
          <w:lang w:val="fr-FR"/>
        </w:rPr>
      </w:pPr>
      <w:r w:rsidRPr="001E4C00">
        <w:rPr>
          <w:lang w:val="fr-FR"/>
        </w:rPr>
        <w:t>6.2.1.</w:t>
      </w:r>
      <w:r w:rsidRPr="001E4C00">
        <w:rPr>
          <w:lang w:val="fr-FR"/>
        </w:rPr>
        <w:tab/>
      </w:r>
      <w:r w:rsidR="002855A8" w:rsidRPr="001E4C00">
        <w:rPr>
          <w:u w:val="single"/>
          <w:lang w:val="fr-FR"/>
        </w:rPr>
        <w:t>Prorogations</w:t>
      </w:r>
      <w:r w:rsidRPr="001E4C00">
        <w:rPr>
          <w:u w:val="single"/>
          <w:lang w:val="fr-FR"/>
        </w:rPr>
        <w:t xml:space="preserve">, exemptions et autres </w:t>
      </w:r>
      <w:r w:rsidR="002855A8" w:rsidRPr="001E4C00">
        <w:rPr>
          <w:u w:val="single"/>
          <w:lang w:val="fr-FR"/>
        </w:rPr>
        <w:t>recours</w:t>
      </w:r>
      <w:r w:rsidRPr="001E4C00">
        <w:rPr>
          <w:u w:val="single"/>
          <w:lang w:val="fr-FR"/>
        </w:rPr>
        <w:t xml:space="preserve"> prévus par le PCT</w:t>
      </w:r>
    </w:p>
    <w:p w:rsidR="001957C8" w:rsidRPr="001E4C00" w:rsidRDefault="001957C8" w:rsidP="007115E7">
      <w:pPr>
        <w:pStyle w:val="ONUMFS"/>
        <w:rPr>
          <w:lang w:val="fr-FR"/>
        </w:rPr>
      </w:pPr>
      <w:r w:rsidRPr="001E4C00">
        <w:rPr>
          <w:lang w:val="fr-FR"/>
        </w:rPr>
        <w:t>La déclaration conjointe de mars 2022 mentionnée ci</w:t>
      </w:r>
      <w:r w:rsidR="0091158D">
        <w:rPr>
          <w:lang w:val="fr-FR"/>
        </w:rPr>
        <w:noBreakHyphen/>
      </w:r>
      <w:r w:rsidRPr="001E4C00">
        <w:rPr>
          <w:lang w:val="fr-FR"/>
        </w:rPr>
        <w:t>dessus comprenait un aperçu des recours appropriés pour les déposants et les inventeurs d</w:t>
      </w:r>
      <w:r w:rsidR="008F70DE" w:rsidRPr="001E4C00">
        <w:rPr>
          <w:lang w:val="fr-FR"/>
        </w:rPr>
        <w:t>’</w:t>
      </w:r>
      <w:r w:rsidRPr="001E4C00">
        <w:rPr>
          <w:lang w:val="fr-FR"/>
        </w:rPr>
        <w:t xml:space="preserve">Ukraine </w:t>
      </w:r>
      <w:r w:rsidR="002855A8" w:rsidRPr="001E4C00">
        <w:rPr>
          <w:lang w:val="fr-FR"/>
        </w:rPr>
        <w:t>souhaitant</w:t>
      </w:r>
      <w:r w:rsidRPr="001E4C00">
        <w:rPr>
          <w:lang w:val="fr-FR"/>
        </w:rPr>
        <w:t xml:space="preserve"> déposer des demandes internationales en vertu du PCT ou </w:t>
      </w:r>
      <w:r w:rsidR="002855A8" w:rsidRPr="001E4C00">
        <w:rPr>
          <w:lang w:val="fr-FR"/>
        </w:rPr>
        <w:t>intervenir sur</w:t>
      </w:r>
      <w:r w:rsidRPr="001E4C00">
        <w:rPr>
          <w:lang w:val="fr-FR"/>
        </w:rPr>
        <w:t xml:space="preserve"> des demandes selon le PCT déjà </w:t>
      </w:r>
      <w:proofErr w:type="gramStart"/>
      <w:r w:rsidRPr="001E4C00">
        <w:rPr>
          <w:lang w:val="fr-FR"/>
        </w:rPr>
        <w:t>déposées;  les</w:t>
      </w:r>
      <w:proofErr w:type="gramEnd"/>
      <w:r w:rsidRPr="001E4C00">
        <w:rPr>
          <w:lang w:val="fr-FR"/>
        </w:rPr>
        <w:t xml:space="preserve"> éléments suivants peuvent s</w:t>
      </w:r>
      <w:r w:rsidR="008F70DE" w:rsidRPr="001E4C00">
        <w:rPr>
          <w:lang w:val="fr-FR"/>
        </w:rPr>
        <w:t>’</w:t>
      </w:r>
      <w:r w:rsidRPr="001E4C00">
        <w:rPr>
          <w:lang w:val="fr-FR"/>
        </w:rPr>
        <w:t>appliquer</w:t>
      </w:r>
      <w:r w:rsidR="008F70DE" w:rsidRPr="001E4C00">
        <w:rPr>
          <w:lang w:val="fr-FR"/>
        </w:rPr>
        <w:t> :</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déposant ne peut pas déposer une demande selon le PCT dans le délai prévu par la Convention de Paris (12 mois), la règle 26</w:t>
      </w:r>
      <w:r w:rsidR="001957C8" w:rsidRPr="001E4C00">
        <w:rPr>
          <w:rFonts w:ascii="Arial" w:hAnsi="Arial" w:cs="Arial"/>
          <w:i/>
          <w:iCs/>
          <w:sz w:val="22"/>
          <w:szCs w:val="22"/>
        </w:rPr>
        <w:t>bis</w:t>
      </w:r>
      <w:r w:rsidR="001957C8" w:rsidRPr="001E4C00">
        <w:rPr>
          <w:rFonts w:ascii="Arial" w:hAnsi="Arial" w:cs="Arial"/>
          <w:sz w:val="22"/>
          <w:szCs w:val="22"/>
        </w:rPr>
        <w:t xml:space="preserve">.3 </w:t>
      </w:r>
      <w:r w:rsidR="00095F0F" w:rsidRPr="001E4C00">
        <w:rPr>
          <w:rFonts w:ascii="Arial" w:hAnsi="Arial" w:cs="Arial"/>
          <w:sz w:val="22"/>
          <w:szCs w:val="22"/>
        </w:rPr>
        <w:t>du règlement d</w:t>
      </w:r>
      <w:r w:rsidR="008F70DE" w:rsidRPr="001E4C00">
        <w:rPr>
          <w:rFonts w:ascii="Arial" w:hAnsi="Arial" w:cs="Arial"/>
          <w:sz w:val="22"/>
          <w:szCs w:val="22"/>
        </w:rPr>
        <w:t>’</w:t>
      </w:r>
      <w:r w:rsidR="00095F0F" w:rsidRPr="001E4C00">
        <w:rPr>
          <w:rFonts w:ascii="Arial" w:hAnsi="Arial" w:cs="Arial"/>
          <w:sz w:val="22"/>
          <w:szCs w:val="22"/>
        </w:rPr>
        <w:t xml:space="preserve">exécution </w:t>
      </w:r>
      <w:r w:rsidR="001957C8" w:rsidRPr="001E4C00">
        <w:rPr>
          <w:rFonts w:ascii="Arial" w:hAnsi="Arial" w:cs="Arial"/>
          <w:sz w:val="22"/>
          <w:szCs w:val="22"/>
        </w:rPr>
        <w:t>du PCT (concernant la restauration du droit de priorité auprès de l</w:t>
      </w:r>
      <w:r w:rsidR="008F70DE" w:rsidRPr="001E4C00">
        <w:rPr>
          <w:rFonts w:ascii="Arial" w:hAnsi="Arial" w:cs="Arial"/>
          <w:sz w:val="22"/>
          <w:szCs w:val="22"/>
        </w:rPr>
        <w:t>’</w:t>
      </w:r>
      <w:r w:rsidR="001957C8" w:rsidRPr="001E4C00">
        <w:rPr>
          <w:rFonts w:ascii="Arial" w:hAnsi="Arial" w:cs="Arial"/>
          <w:sz w:val="22"/>
          <w:szCs w:val="22"/>
        </w:rPr>
        <w:t>office récepteur) peut être applicable;</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es</w:t>
      </w:r>
      <w:proofErr w:type="gramEnd"/>
      <w:r w:rsidR="001957C8" w:rsidRPr="001E4C00">
        <w:rPr>
          <w:rFonts w:ascii="Arial" w:hAnsi="Arial" w:cs="Arial"/>
          <w:sz w:val="22"/>
          <w:szCs w:val="22"/>
        </w:rPr>
        <w:t xml:space="preserve"> règles 49</w:t>
      </w:r>
      <w:r w:rsidR="001957C8" w:rsidRPr="001E4C00">
        <w:rPr>
          <w:rFonts w:ascii="Arial" w:hAnsi="Arial" w:cs="Arial"/>
          <w:i/>
          <w:iCs/>
          <w:sz w:val="22"/>
          <w:szCs w:val="22"/>
        </w:rPr>
        <w:t>ter</w:t>
      </w:r>
      <w:r w:rsidR="001957C8" w:rsidRPr="001E4C00">
        <w:rPr>
          <w:rFonts w:ascii="Arial" w:hAnsi="Arial" w:cs="Arial"/>
          <w:sz w:val="22"/>
          <w:szCs w:val="22"/>
        </w:rPr>
        <w:t>.1 et 49</w:t>
      </w:r>
      <w:r w:rsidR="001957C8" w:rsidRPr="001E4C00">
        <w:rPr>
          <w:rFonts w:ascii="Arial" w:hAnsi="Arial" w:cs="Arial"/>
          <w:i/>
          <w:iCs/>
          <w:sz w:val="22"/>
          <w:szCs w:val="22"/>
        </w:rPr>
        <w:t>ter</w:t>
      </w:r>
      <w:r w:rsidR="001957C8" w:rsidRPr="001E4C00">
        <w:rPr>
          <w:rFonts w:ascii="Arial" w:hAnsi="Arial" w:cs="Arial"/>
          <w:sz w:val="22"/>
          <w:szCs w:val="22"/>
        </w:rPr>
        <w:t xml:space="preserve">.2 </w:t>
      </w:r>
      <w:r w:rsidR="00095F0F" w:rsidRPr="001E4C00">
        <w:rPr>
          <w:rFonts w:ascii="Arial" w:hAnsi="Arial" w:cs="Arial"/>
          <w:sz w:val="22"/>
          <w:szCs w:val="22"/>
        </w:rPr>
        <w:t>du règlement d</w:t>
      </w:r>
      <w:r w:rsidR="008F70DE" w:rsidRPr="001E4C00">
        <w:rPr>
          <w:rFonts w:ascii="Arial" w:hAnsi="Arial" w:cs="Arial"/>
          <w:sz w:val="22"/>
          <w:szCs w:val="22"/>
        </w:rPr>
        <w:t>’</w:t>
      </w:r>
      <w:r w:rsidR="00095F0F" w:rsidRPr="001E4C00">
        <w:rPr>
          <w:rFonts w:ascii="Arial" w:hAnsi="Arial" w:cs="Arial"/>
          <w:sz w:val="22"/>
          <w:szCs w:val="22"/>
        </w:rPr>
        <w:t xml:space="preserve">exécution </w:t>
      </w:r>
      <w:r w:rsidR="001957C8" w:rsidRPr="001E4C00">
        <w:rPr>
          <w:rFonts w:ascii="Arial" w:hAnsi="Arial" w:cs="Arial"/>
          <w:sz w:val="22"/>
          <w:szCs w:val="22"/>
        </w:rPr>
        <w:t>du PCT traitent de l</w:t>
      </w:r>
      <w:r w:rsidR="008F70DE" w:rsidRPr="001E4C00">
        <w:rPr>
          <w:rFonts w:ascii="Arial" w:hAnsi="Arial" w:cs="Arial"/>
          <w:sz w:val="22"/>
          <w:szCs w:val="22"/>
        </w:rPr>
        <w:t>’</w:t>
      </w:r>
      <w:r w:rsidR="001957C8" w:rsidRPr="001E4C00">
        <w:rPr>
          <w:rFonts w:ascii="Arial" w:hAnsi="Arial" w:cs="Arial"/>
          <w:sz w:val="22"/>
          <w:szCs w:val="22"/>
        </w:rPr>
        <w:t>effet, dans la phase nationale, d</w:t>
      </w:r>
      <w:r w:rsidR="008F70DE" w:rsidRPr="001E4C00">
        <w:rPr>
          <w:rFonts w:ascii="Arial" w:hAnsi="Arial" w:cs="Arial"/>
          <w:sz w:val="22"/>
          <w:szCs w:val="22"/>
        </w:rPr>
        <w:t>’</w:t>
      </w:r>
      <w:r w:rsidR="001957C8" w:rsidRPr="001E4C00">
        <w:rPr>
          <w:rFonts w:ascii="Arial" w:hAnsi="Arial" w:cs="Arial"/>
          <w:sz w:val="22"/>
          <w:szCs w:val="22"/>
        </w:rPr>
        <w:t>une décision de l</w:t>
      </w:r>
      <w:r w:rsidR="008F70DE" w:rsidRPr="001E4C00">
        <w:rPr>
          <w:rFonts w:ascii="Arial" w:hAnsi="Arial" w:cs="Arial"/>
          <w:sz w:val="22"/>
          <w:szCs w:val="22"/>
        </w:rPr>
        <w:t>’</w:t>
      </w:r>
      <w:r w:rsidR="001957C8" w:rsidRPr="001E4C00">
        <w:rPr>
          <w:rFonts w:ascii="Arial" w:hAnsi="Arial" w:cs="Arial"/>
          <w:sz w:val="22"/>
          <w:szCs w:val="22"/>
        </w:rPr>
        <w:t>office récepteur sur la restauration du droit de priorité et de la demande de restauration du droit de priorité directement auprès de l</w:t>
      </w:r>
      <w:r w:rsidR="008F70DE" w:rsidRPr="001E4C00">
        <w:rPr>
          <w:rFonts w:ascii="Arial" w:hAnsi="Arial" w:cs="Arial"/>
          <w:sz w:val="22"/>
          <w:szCs w:val="22"/>
        </w:rPr>
        <w:t>’</w:t>
      </w:r>
      <w:r w:rsidR="001957C8" w:rsidRPr="001E4C00">
        <w:rPr>
          <w:rFonts w:ascii="Arial" w:hAnsi="Arial" w:cs="Arial"/>
          <w:sz w:val="22"/>
          <w:szCs w:val="22"/>
        </w:rPr>
        <w:t>office désigné;</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déposant n</w:t>
      </w:r>
      <w:r w:rsidR="008F70DE" w:rsidRPr="001E4C00">
        <w:rPr>
          <w:rFonts w:ascii="Arial" w:hAnsi="Arial" w:cs="Arial"/>
          <w:sz w:val="22"/>
          <w:szCs w:val="22"/>
        </w:rPr>
        <w:t>’</w:t>
      </w:r>
      <w:r w:rsidR="001957C8" w:rsidRPr="001E4C00">
        <w:rPr>
          <w:rFonts w:ascii="Arial" w:hAnsi="Arial" w:cs="Arial"/>
          <w:sz w:val="22"/>
          <w:szCs w:val="22"/>
        </w:rPr>
        <w:t xml:space="preserve">est pas en mesure de respecter un délai </w:t>
      </w:r>
      <w:r w:rsidR="00095F0F" w:rsidRPr="001E4C00">
        <w:rPr>
          <w:rFonts w:ascii="Arial" w:hAnsi="Arial" w:cs="Arial"/>
          <w:sz w:val="22"/>
          <w:szCs w:val="22"/>
        </w:rPr>
        <w:t xml:space="preserve">prescrit dans </w:t>
      </w:r>
      <w:r w:rsidR="001957C8" w:rsidRPr="001E4C00">
        <w:rPr>
          <w:rFonts w:ascii="Arial" w:hAnsi="Arial" w:cs="Arial"/>
          <w:sz w:val="22"/>
          <w:szCs w:val="22"/>
        </w:rPr>
        <w:t>la phase internationale du PCT, la règle 82</w:t>
      </w:r>
      <w:r w:rsidR="001957C8" w:rsidRPr="001E4C00">
        <w:rPr>
          <w:rFonts w:ascii="Arial" w:hAnsi="Arial" w:cs="Arial"/>
          <w:i/>
          <w:iCs/>
          <w:sz w:val="22"/>
          <w:szCs w:val="22"/>
        </w:rPr>
        <w:t>quater</w:t>
      </w:r>
      <w:r w:rsidR="001957C8" w:rsidRPr="001E4C00">
        <w:rPr>
          <w:rFonts w:ascii="Arial" w:hAnsi="Arial" w:cs="Arial"/>
          <w:sz w:val="22"/>
          <w:szCs w:val="22"/>
        </w:rPr>
        <w:t xml:space="preserve">.1 </w:t>
      </w:r>
      <w:r w:rsidR="00095F0F" w:rsidRPr="001E4C00">
        <w:rPr>
          <w:rFonts w:ascii="Arial" w:hAnsi="Arial" w:cs="Arial"/>
          <w:sz w:val="22"/>
          <w:szCs w:val="22"/>
        </w:rPr>
        <w:t>du règlement d</w:t>
      </w:r>
      <w:r w:rsidR="008F70DE" w:rsidRPr="001E4C00">
        <w:rPr>
          <w:rFonts w:ascii="Arial" w:hAnsi="Arial" w:cs="Arial"/>
          <w:sz w:val="22"/>
          <w:szCs w:val="22"/>
        </w:rPr>
        <w:t>’</w:t>
      </w:r>
      <w:r w:rsidR="00095F0F" w:rsidRPr="001E4C00">
        <w:rPr>
          <w:rFonts w:ascii="Arial" w:hAnsi="Arial" w:cs="Arial"/>
          <w:sz w:val="22"/>
          <w:szCs w:val="22"/>
        </w:rPr>
        <w:t xml:space="preserve">exécution </w:t>
      </w:r>
      <w:r w:rsidR="001957C8" w:rsidRPr="001E4C00">
        <w:rPr>
          <w:rFonts w:ascii="Arial" w:hAnsi="Arial" w:cs="Arial"/>
          <w:sz w:val="22"/>
          <w:szCs w:val="22"/>
        </w:rPr>
        <w:t>du PCT peut être applicable;</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déposant n</w:t>
      </w:r>
      <w:r w:rsidR="008F70DE" w:rsidRPr="001E4C00">
        <w:rPr>
          <w:rFonts w:ascii="Arial" w:hAnsi="Arial" w:cs="Arial"/>
          <w:sz w:val="22"/>
          <w:szCs w:val="22"/>
        </w:rPr>
        <w:t>’</w:t>
      </w:r>
      <w:r w:rsidR="001957C8" w:rsidRPr="001E4C00">
        <w:rPr>
          <w:rFonts w:ascii="Arial" w:hAnsi="Arial" w:cs="Arial"/>
          <w:sz w:val="22"/>
          <w:szCs w:val="22"/>
        </w:rPr>
        <w:t>a pas été en mesure de respecter le délai d</w:t>
      </w:r>
      <w:r w:rsidR="008F70DE" w:rsidRPr="001E4C00">
        <w:rPr>
          <w:rFonts w:ascii="Arial" w:hAnsi="Arial" w:cs="Arial"/>
          <w:sz w:val="22"/>
          <w:szCs w:val="22"/>
        </w:rPr>
        <w:t>’</w:t>
      </w:r>
      <w:r w:rsidR="001957C8" w:rsidRPr="001E4C00">
        <w:rPr>
          <w:rFonts w:ascii="Arial" w:hAnsi="Arial" w:cs="Arial"/>
          <w:sz w:val="22"/>
          <w:szCs w:val="22"/>
        </w:rPr>
        <w:t xml:space="preserve">ouverture de la phase nationale, la règle 49.6 </w:t>
      </w:r>
      <w:r w:rsidR="00095F0F" w:rsidRPr="001E4C00">
        <w:rPr>
          <w:rFonts w:ascii="Arial" w:hAnsi="Arial" w:cs="Arial"/>
          <w:sz w:val="22"/>
          <w:szCs w:val="22"/>
        </w:rPr>
        <w:t>du règlement d</w:t>
      </w:r>
      <w:r w:rsidR="008F70DE" w:rsidRPr="001E4C00">
        <w:rPr>
          <w:rFonts w:ascii="Arial" w:hAnsi="Arial" w:cs="Arial"/>
          <w:sz w:val="22"/>
          <w:szCs w:val="22"/>
        </w:rPr>
        <w:t>’</w:t>
      </w:r>
      <w:r w:rsidR="00095F0F" w:rsidRPr="001E4C00">
        <w:rPr>
          <w:rFonts w:ascii="Arial" w:hAnsi="Arial" w:cs="Arial"/>
          <w:sz w:val="22"/>
          <w:szCs w:val="22"/>
        </w:rPr>
        <w:t xml:space="preserve">exécution </w:t>
      </w:r>
      <w:r w:rsidR="001957C8" w:rsidRPr="001E4C00">
        <w:rPr>
          <w:rFonts w:ascii="Arial" w:hAnsi="Arial" w:cs="Arial"/>
          <w:sz w:val="22"/>
          <w:szCs w:val="22"/>
        </w:rPr>
        <w:t>du PCT peut être applicable;</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déposant a subi un retard ou une perte dans le service postal, la règle 82 </w:t>
      </w:r>
      <w:r w:rsidR="00095F0F" w:rsidRPr="001E4C00">
        <w:rPr>
          <w:rFonts w:ascii="Arial" w:hAnsi="Arial" w:cs="Arial"/>
          <w:sz w:val="22"/>
          <w:szCs w:val="22"/>
        </w:rPr>
        <w:t>du règlement d</w:t>
      </w:r>
      <w:r w:rsidR="008F70DE" w:rsidRPr="001E4C00">
        <w:rPr>
          <w:rFonts w:ascii="Arial" w:hAnsi="Arial" w:cs="Arial"/>
          <w:sz w:val="22"/>
          <w:szCs w:val="22"/>
        </w:rPr>
        <w:t>’</w:t>
      </w:r>
      <w:r w:rsidR="00095F0F" w:rsidRPr="001E4C00">
        <w:rPr>
          <w:rFonts w:ascii="Arial" w:hAnsi="Arial" w:cs="Arial"/>
          <w:sz w:val="22"/>
          <w:szCs w:val="22"/>
        </w:rPr>
        <w:t xml:space="preserve">exécution </w:t>
      </w:r>
      <w:r w:rsidR="001957C8" w:rsidRPr="001E4C00">
        <w:rPr>
          <w:rFonts w:ascii="Arial" w:hAnsi="Arial" w:cs="Arial"/>
          <w:sz w:val="22"/>
          <w:szCs w:val="22"/>
        </w:rPr>
        <w:t>du PCT peut être applicable;  et</w:t>
      </w:r>
    </w:p>
    <w:p w:rsidR="00095F0F" w:rsidRPr="001E4C00" w:rsidRDefault="00652BB5" w:rsidP="00CE0B26">
      <w:pPr>
        <w:pStyle w:val="ListParagraph"/>
        <w:numPr>
          <w:ilvl w:val="0"/>
          <w:numId w:val="43"/>
        </w:numPr>
        <w:tabs>
          <w:tab w:val="clear" w:pos="567"/>
          <w:tab w:val="left" w:pos="1134"/>
        </w:tabs>
        <w:spacing w:after="220"/>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déposant </w:t>
      </w:r>
      <w:r w:rsidR="00095F0F" w:rsidRPr="001E4C00">
        <w:rPr>
          <w:rFonts w:ascii="Arial" w:hAnsi="Arial" w:cs="Arial"/>
          <w:sz w:val="22"/>
          <w:szCs w:val="22"/>
        </w:rPr>
        <w:t>souhaite faire excuser devant les offices désignés ou élus un retard dans l</w:t>
      </w:r>
      <w:r w:rsidR="008F70DE" w:rsidRPr="001E4C00">
        <w:rPr>
          <w:rFonts w:ascii="Arial" w:hAnsi="Arial" w:cs="Arial"/>
          <w:sz w:val="22"/>
          <w:szCs w:val="22"/>
        </w:rPr>
        <w:t>’</w:t>
      </w:r>
      <w:r w:rsidR="00095F0F" w:rsidRPr="001E4C00">
        <w:rPr>
          <w:rFonts w:ascii="Arial" w:hAnsi="Arial" w:cs="Arial"/>
          <w:sz w:val="22"/>
          <w:szCs w:val="22"/>
        </w:rPr>
        <w:t>observation des délais prévus par le PCT</w:t>
      </w:r>
      <w:r w:rsidR="001957C8" w:rsidRPr="001E4C00">
        <w:rPr>
          <w:rFonts w:ascii="Arial" w:hAnsi="Arial" w:cs="Arial"/>
          <w:sz w:val="22"/>
          <w:szCs w:val="22"/>
        </w:rPr>
        <w:t>, l</w:t>
      </w:r>
      <w:r w:rsidR="008F70DE" w:rsidRPr="001E4C00">
        <w:rPr>
          <w:rFonts w:ascii="Arial" w:hAnsi="Arial" w:cs="Arial"/>
          <w:sz w:val="22"/>
          <w:szCs w:val="22"/>
        </w:rPr>
        <w:t>’</w:t>
      </w:r>
      <w:r w:rsidR="001957C8" w:rsidRPr="001E4C00">
        <w:rPr>
          <w:rFonts w:ascii="Arial" w:hAnsi="Arial" w:cs="Arial"/>
          <w:sz w:val="22"/>
          <w:szCs w:val="22"/>
        </w:rPr>
        <w:t>article 48 du PCT et la règle 82</w:t>
      </w:r>
      <w:r w:rsidR="001957C8" w:rsidRPr="001E4C00">
        <w:rPr>
          <w:rFonts w:ascii="Arial" w:hAnsi="Arial" w:cs="Arial"/>
          <w:i/>
          <w:iCs/>
          <w:sz w:val="22"/>
          <w:szCs w:val="22"/>
        </w:rPr>
        <w:t>bis</w:t>
      </w:r>
      <w:r w:rsidR="001957C8" w:rsidRPr="001E4C00">
        <w:rPr>
          <w:rFonts w:ascii="Arial" w:hAnsi="Arial" w:cs="Arial"/>
          <w:sz w:val="22"/>
          <w:szCs w:val="22"/>
        </w:rPr>
        <w:t xml:space="preserve"> </w:t>
      </w:r>
      <w:r w:rsidR="00095F0F" w:rsidRPr="001E4C00">
        <w:rPr>
          <w:rFonts w:ascii="Arial" w:hAnsi="Arial" w:cs="Arial"/>
          <w:sz w:val="22"/>
          <w:szCs w:val="22"/>
        </w:rPr>
        <w:t>du règlement d</w:t>
      </w:r>
      <w:r w:rsidR="008F70DE" w:rsidRPr="001E4C00">
        <w:rPr>
          <w:rFonts w:ascii="Arial" w:hAnsi="Arial" w:cs="Arial"/>
          <w:sz w:val="22"/>
          <w:szCs w:val="22"/>
        </w:rPr>
        <w:t>’</w:t>
      </w:r>
      <w:r w:rsidR="00095F0F" w:rsidRPr="001E4C00">
        <w:rPr>
          <w:rFonts w:ascii="Arial" w:hAnsi="Arial" w:cs="Arial"/>
          <w:sz w:val="22"/>
          <w:szCs w:val="22"/>
        </w:rPr>
        <w:t xml:space="preserve">exécution </w:t>
      </w:r>
      <w:r w:rsidR="001957C8" w:rsidRPr="001E4C00">
        <w:rPr>
          <w:rFonts w:ascii="Arial" w:hAnsi="Arial" w:cs="Arial"/>
          <w:sz w:val="22"/>
          <w:szCs w:val="22"/>
        </w:rPr>
        <w:t>du PCT peuvent être applicables.</w:t>
      </w:r>
    </w:p>
    <w:p w:rsidR="001957C8" w:rsidRPr="001E4C00" w:rsidRDefault="001957C8" w:rsidP="00F27B3E">
      <w:pPr>
        <w:pStyle w:val="Heading3"/>
        <w:ind w:left="1985" w:hanging="851"/>
        <w:rPr>
          <w:lang w:val="fr-FR"/>
        </w:rPr>
      </w:pPr>
      <w:r w:rsidRPr="001E4C00">
        <w:rPr>
          <w:lang w:val="fr-FR"/>
        </w:rPr>
        <w:t>6.2.2.</w:t>
      </w:r>
      <w:r w:rsidRPr="001E4C00">
        <w:rPr>
          <w:lang w:val="fr-FR"/>
        </w:rPr>
        <w:tab/>
      </w:r>
      <w:r w:rsidRPr="001E4C00">
        <w:rPr>
          <w:u w:val="single"/>
          <w:lang w:val="fr-FR"/>
        </w:rPr>
        <w:t>Administration chargée de la recherche internationale et de l</w:t>
      </w:r>
      <w:r w:rsidR="008F70DE" w:rsidRPr="001E4C00">
        <w:rPr>
          <w:u w:val="single"/>
          <w:lang w:val="fr-FR"/>
        </w:rPr>
        <w:t>’</w:t>
      </w:r>
      <w:r w:rsidRPr="001E4C00">
        <w:rPr>
          <w:u w:val="single"/>
          <w:lang w:val="fr-FR"/>
        </w:rPr>
        <w:t>examen préliminaire international</w:t>
      </w:r>
    </w:p>
    <w:p w:rsidR="001957C8" w:rsidRPr="001E4C00" w:rsidRDefault="001957C8" w:rsidP="007115E7">
      <w:pPr>
        <w:pStyle w:val="ONUMFS"/>
        <w:rPr>
          <w:lang w:val="fr-FR"/>
        </w:rPr>
      </w:pPr>
      <w:r w:rsidRPr="001E4C00">
        <w:rPr>
          <w:lang w:val="fr-FR"/>
        </w:rPr>
        <w:t>Suite au transfert des fonctions d</w:t>
      </w:r>
      <w:r w:rsidR="008F70DE" w:rsidRPr="001E4C00">
        <w:rPr>
          <w:lang w:val="fr-FR"/>
        </w:rPr>
        <w:t>’</w:t>
      </w:r>
      <w:r w:rsidRPr="001E4C00">
        <w:rPr>
          <w:lang w:val="fr-FR"/>
        </w:rPr>
        <w:t>APIN d</w:t>
      </w:r>
      <w:r w:rsidR="008F70DE" w:rsidRPr="001E4C00">
        <w:rPr>
          <w:lang w:val="fr-FR"/>
        </w:rPr>
        <w:t>’</w:t>
      </w:r>
      <w:proofErr w:type="spellStart"/>
      <w:r w:rsidRPr="001E4C00">
        <w:rPr>
          <w:lang w:val="fr-FR"/>
        </w:rPr>
        <w:t>Ukrpatent</w:t>
      </w:r>
      <w:proofErr w:type="spellEnd"/>
      <w:r w:rsidRPr="001E4C00">
        <w:rPr>
          <w:lang w:val="fr-FR"/>
        </w:rPr>
        <w:t xml:space="preserve"> à l</w:t>
      </w:r>
      <w:r w:rsidR="008F70DE" w:rsidRPr="001E4C00">
        <w:rPr>
          <w:lang w:val="fr-FR"/>
        </w:rPr>
        <w:t>’</w:t>
      </w:r>
      <w:r w:rsidRPr="001E4C00">
        <w:rPr>
          <w:lang w:val="fr-FR"/>
        </w:rPr>
        <w:t>UANIPIO, le Bureau international a publié un document pour la cinquante</w:t>
      </w:r>
      <w:r w:rsidR="0091158D">
        <w:rPr>
          <w:lang w:val="fr-FR"/>
        </w:rPr>
        <w:noBreakHyphen/>
      </w:r>
      <w:r w:rsidRPr="001E4C00">
        <w:rPr>
          <w:lang w:val="fr-FR"/>
        </w:rPr>
        <w:t>cinqu</w:t>
      </w:r>
      <w:r w:rsidR="008F70DE" w:rsidRPr="001E4C00">
        <w:rPr>
          <w:lang w:val="fr-FR"/>
        </w:rPr>
        <w:t>ième session</w:t>
      </w:r>
      <w:r w:rsidRPr="001E4C00">
        <w:rPr>
          <w:lang w:val="fr-FR"/>
        </w:rPr>
        <w:t xml:space="preserve"> de l</w:t>
      </w:r>
      <w:r w:rsidR="008F70DE" w:rsidRPr="001E4C00">
        <w:rPr>
          <w:lang w:val="fr-FR"/>
        </w:rPr>
        <w:t>’</w:t>
      </w:r>
      <w:r w:rsidRPr="001E4C00">
        <w:rPr>
          <w:lang w:val="fr-FR"/>
        </w:rPr>
        <w:t>Assemblée du PCT (document PCT/A/55/3) afin de proposer des modifications à l</w:t>
      </w:r>
      <w:r w:rsidR="008F70DE" w:rsidRPr="001E4C00">
        <w:rPr>
          <w:lang w:val="fr-FR"/>
        </w:rPr>
        <w:t>’</w:t>
      </w:r>
      <w:r w:rsidRPr="001E4C00">
        <w:rPr>
          <w:lang w:val="fr-FR"/>
        </w:rPr>
        <w:t xml:space="preserve">accord entre le Bureau international et le Ministère </w:t>
      </w:r>
      <w:r w:rsidR="00095F0F" w:rsidRPr="001E4C00">
        <w:rPr>
          <w:lang w:val="fr-FR"/>
        </w:rPr>
        <w:t xml:space="preserve">ukrainien </w:t>
      </w:r>
      <w:r w:rsidRPr="001E4C00">
        <w:rPr>
          <w:lang w:val="fr-FR"/>
        </w:rPr>
        <w:t>du développement économique et du commerce en ce qui concerne le fonctionnement de l</w:t>
      </w:r>
      <w:r w:rsidR="008F70DE" w:rsidRPr="001E4C00">
        <w:rPr>
          <w:lang w:val="fr-FR"/>
        </w:rPr>
        <w:t>’</w:t>
      </w:r>
      <w:r w:rsidRPr="001E4C00">
        <w:rPr>
          <w:lang w:val="fr-FR"/>
        </w:rPr>
        <w:t>entreprise d</w:t>
      </w:r>
      <w:r w:rsidR="008F70DE" w:rsidRPr="001E4C00">
        <w:rPr>
          <w:lang w:val="fr-FR"/>
        </w:rPr>
        <w:t>’</w:t>
      </w:r>
      <w:r w:rsidRPr="001E4C00">
        <w:rPr>
          <w:lang w:val="fr-FR"/>
        </w:rPr>
        <w:t>État “Institut ukrainien de la propriété intellectuelle” (</w:t>
      </w:r>
      <w:proofErr w:type="spellStart"/>
      <w:r w:rsidRPr="001E4C00">
        <w:rPr>
          <w:lang w:val="fr-FR"/>
        </w:rPr>
        <w:t>Ukrpatent</w:t>
      </w:r>
      <w:proofErr w:type="spellEnd"/>
      <w:r w:rsidRPr="001E4C00">
        <w:rPr>
          <w:lang w:val="fr-FR"/>
        </w:rPr>
        <w:t>) en tant qu</w:t>
      </w:r>
      <w:r w:rsidR="008F70DE" w:rsidRPr="001E4C00">
        <w:rPr>
          <w:lang w:val="fr-FR"/>
        </w:rPr>
        <w:t>’</w:t>
      </w:r>
      <w:r w:rsidRPr="001E4C00">
        <w:rPr>
          <w:lang w:val="fr-FR"/>
        </w:rPr>
        <w:t>administration chargée de la recherche internationale et administration chargée de l</w:t>
      </w:r>
      <w:r w:rsidR="008F70DE" w:rsidRPr="001E4C00">
        <w:rPr>
          <w:lang w:val="fr-FR"/>
        </w:rPr>
        <w:t>’</w:t>
      </w:r>
      <w:r w:rsidRPr="001E4C00">
        <w:rPr>
          <w:lang w:val="fr-FR"/>
        </w:rPr>
        <w:t>examen préliminaire international en vertu du PCT.</w:t>
      </w:r>
    </w:p>
    <w:p w:rsidR="008A3FE2" w:rsidRPr="001E4C00" w:rsidRDefault="001957C8" w:rsidP="00F27B3E">
      <w:pPr>
        <w:pStyle w:val="Heading3"/>
        <w:rPr>
          <w:lang w:val="fr-FR"/>
        </w:rPr>
      </w:pPr>
      <w:r w:rsidRPr="001E4C00">
        <w:rPr>
          <w:lang w:val="fr-FR"/>
        </w:rPr>
        <w:t>6.2.3.</w:t>
      </w:r>
      <w:r w:rsidRPr="001E4C00">
        <w:rPr>
          <w:lang w:val="fr-FR"/>
        </w:rPr>
        <w:tab/>
      </w:r>
      <w:r w:rsidRPr="001E4C00">
        <w:rPr>
          <w:u w:val="single"/>
          <w:lang w:val="fr-FR"/>
        </w:rPr>
        <w:t>Questions supplémentaires</w:t>
      </w:r>
    </w:p>
    <w:p w:rsidR="001957C8" w:rsidRPr="001E4C00" w:rsidRDefault="001957C8" w:rsidP="007115E7">
      <w:pPr>
        <w:pStyle w:val="ONUMFS"/>
        <w:rPr>
          <w:lang w:val="fr-FR"/>
        </w:rPr>
      </w:pPr>
      <w:r w:rsidRPr="001E4C00">
        <w:rPr>
          <w:lang w:val="fr-FR"/>
        </w:rPr>
        <w:t>Une discussion et une collaboration sont en cours avec l</w:t>
      </w:r>
      <w:r w:rsidR="008F70DE" w:rsidRPr="001E4C00">
        <w:rPr>
          <w:lang w:val="fr-FR"/>
        </w:rPr>
        <w:t>’</w:t>
      </w:r>
      <w:r w:rsidRPr="001E4C00">
        <w:rPr>
          <w:lang w:val="fr-FR"/>
        </w:rPr>
        <w:t xml:space="preserve">UANIPIO concernant </w:t>
      </w:r>
      <w:r w:rsidR="00095F0F" w:rsidRPr="001E4C00">
        <w:rPr>
          <w:lang w:val="fr-FR"/>
        </w:rPr>
        <w:t>la mise en place</w:t>
      </w:r>
      <w:r w:rsidRPr="001E4C00">
        <w:rPr>
          <w:lang w:val="fr-FR"/>
        </w:rPr>
        <w:t xml:space="preserve"> du dépôt en ligne (système de dépôt </w:t>
      </w:r>
      <w:proofErr w:type="spellStart"/>
      <w:r w:rsidRPr="001E4C00">
        <w:rPr>
          <w:lang w:val="fr-FR"/>
        </w:rPr>
        <w:t>ePCT</w:t>
      </w:r>
      <w:proofErr w:type="spellEnd"/>
      <w:r w:rsidRPr="001E4C00">
        <w:rPr>
          <w:lang w:val="fr-FR"/>
        </w:rPr>
        <w:t>).  L</w:t>
      </w:r>
      <w:r w:rsidR="008F70DE" w:rsidRPr="001E4C00">
        <w:rPr>
          <w:lang w:val="fr-FR"/>
        </w:rPr>
        <w:t>’</w:t>
      </w:r>
      <w:r w:rsidRPr="001E4C00">
        <w:rPr>
          <w:lang w:val="fr-FR"/>
        </w:rPr>
        <w:t xml:space="preserve">UANIPIO utilise actuellement </w:t>
      </w:r>
      <w:proofErr w:type="spellStart"/>
      <w:r w:rsidRPr="001E4C00">
        <w:rPr>
          <w:lang w:val="fr-FR"/>
        </w:rPr>
        <w:t>ePCT</w:t>
      </w:r>
      <w:proofErr w:type="spellEnd"/>
      <w:r w:rsidRPr="001E4C00">
        <w:rPr>
          <w:lang w:val="fr-FR"/>
        </w:rPr>
        <w:t xml:space="preserve"> en tant qu</w:t>
      </w:r>
      <w:r w:rsidR="008F70DE" w:rsidRPr="001E4C00">
        <w:rPr>
          <w:lang w:val="fr-FR"/>
        </w:rPr>
        <w:t>’</w:t>
      </w:r>
      <w:r w:rsidRPr="001E4C00">
        <w:rPr>
          <w:lang w:val="fr-FR"/>
        </w:rPr>
        <w:t>office récepteur du PCT, mais n</w:t>
      </w:r>
      <w:r w:rsidR="008F70DE" w:rsidRPr="001E4C00">
        <w:rPr>
          <w:lang w:val="fr-FR"/>
        </w:rPr>
        <w:t>’</w:t>
      </w:r>
      <w:r w:rsidRPr="001E4C00">
        <w:rPr>
          <w:lang w:val="fr-FR"/>
        </w:rPr>
        <w:t>a pas encore activé la fonction de dépôt en ligne dans le système, de sorte que toutes les demandes selon le PCT sont encore reçues au format papi</w:t>
      </w:r>
      <w:r w:rsidR="00783939" w:rsidRPr="001E4C00">
        <w:rPr>
          <w:lang w:val="fr-FR"/>
        </w:rPr>
        <w:t>er.  L’o</w:t>
      </w:r>
      <w:r w:rsidR="00D6699D" w:rsidRPr="001E4C00">
        <w:rPr>
          <w:lang w:val="fr-FR"/>
        </w:rPr>
        <w:t xml:space="preserve">ffice </w:t>
      </w:r>
      <w:r w:rsidRPr="001E4C00">
        <w:rPr>
          <w:lang w:val="fr-FR"/>
        </w:rPr>
        <w:t xml:space="preserve">a exprimé son intérêt pour le dépôt </w:t>
      </w:r>
      <w:proofErr w:type="spellStart"/>
      <w:r w:rsidRPr="001E4C00">
        <w:rPr>
          <w:lang w:val="fr-FR"/>
        </w:rPr>
        <w:t>ePCT</w:t>
      </w:r>
      <w:proofErr w:type="spellEnd"/>
      <w:r w:rsidRPr="001E4C00">
        <w:rPr>
          <w:lang w:val="fr-FR"/>
        </w:rPr>
        <w:t xml:space="preserve"> et évalue actuellement les différents modèles de déploiement pour s</w:t>
      </w:r>
      <w:r w:rsidR="008F70DE" w:rsidRPr="001E4C00">
        <w:rPr>
          <w:lang w:val="fr-FR"/>
        </w:rPr>
        <w:t>’</w:t>
      </w:r>
      <w:r w:rsidRPr="001E4C00">
        <w:rPr>
          <w:lang w:val="fr-FR"/>
        </w:rPr>
        <w:t xml:space="preserve">assurer de leur conformité avec les exigences </w:t>
      </w:r>
      <w:r w:rsidR="00D6699D" w:rsidRPr="001E4C00">
        <w:rPr>
          <w:lang w:val="fr-FR"/>
        </w:rPr>
        <w:t>juridiques au niveau</w:t>
      </w:r>
      <w:r w:rsidRPr="001E4C00">
        <w:rPr>
          <w:lang w:val="fr-FR"/>
        </w:rPr>
        <w:t xml:space="preserve"> national et </w:t>
      </w:r>
      <w:r w:rsidR="00D6699D" w:rsidRPr="001E4C00">
        <w:rPr>
          <w:lang w:val="fr-FR"/>
        </w:rPr>
        <w:t>sur le plan</w:t>
      </w:r>
      <w:r w:rsidRPr="001E4C00">
        <w:rPr>
          <w:lang w:val="fr-FR"/>
        </w:rPr>
        <w:t xml:space="preserve"> techniq</w:t>
      </w:r>
      <w:r w:rsidR="00783939" w:rsidRPr="001E4C00">
        <w:rPr>
          <w:lang w:val="fr-FR"/>
        </w:rPr>
        <w:t>ue.  L’o</w:t>
      </w:r>
      <w:r w:rsidR="00D6699D" w:rsidRPr="001E4C00">
        <w:rPr>
          <w:lang w:val="fr-FR"/>
        </w:rPr>
        <w:t xml:space="preserve">ffice </w:t>
      </w:r>
      <w:r w:rsidRPr="001E4C00">
        <w:rPr>
          <w:lang w:val="fr-FR"/>
        </w:rPr>
        <w:t xml:space="preserve">a également été informé des </w:t>
      </w:r>
      <w:r w:rsidR="00D6699D" w:rsidRPr="001E4C00">
        <w:rPr>
          <w:lang w:val="fr-FR"/>
        </w:rPr>
        <w:t xml:space="preserve">conditions </w:t>
      </w:r>
      <w:r w:rsidRPr="001E4C00">
        <w:rPr>
          <w:lang w:val="fr-FR"/>
        </w:rPr>
        <w:t xml:space="preserve">de base et des rôles possibles en ce qui concerne la </w:t>
      </w:r>
      <w:r w:rsidR="00D6699D" w:rsidRPr="001E4C00">
        <w:rPr>
          <w:lang w:val="fr-FR"/>
        </w:rPr>
        <w:t xml:space="preserve">réception </w:t>
      </w:r>
      <w:r w:rsidRPr="001E4C00">
        <w:rPr>
          <w:lang w:val="fr-FR"/>
        </w:rPr>
        <w:t xml:space="preserve">des demandes prioritaires par </w:t>
      </w:r>
      <w:r w:rsidR="00D6699D" w:rsidRPr="001E4C00">
        <w:rPr>
          <w:lang w:val="fr-FR"/>
        </w:rPr>
        <w:t>l</w:t>
      </w:r>
      <w:r w:rsidR="008F70DE" w:rsidRPr="001E4C00">
        <w:rPr>
          <w:lang w:val="fr-FR"/>
        </w:rPr>
        <w:t>’</w:t>
      </w:r>
      <w:r w:rsidR="00F42D0F">
        <w:rPr>
          <w:lang w:val="fr-FR"/>
        </w:rPr>
        <w:t>i</w:t>
      </w:r>
      <w:r w:rsidR="00D6699D" w:rsidRPr="001E4C00">
        <w:rPr>
          <w:lang w:val="fr-FR"/>
        </w:rPr>
        <w:t>ntermédiaire</w:t>
      </w:r>
      <w:r w:rsidRPr="001E4C00">
        <w:rPr>
          <w:lang w:val="fr-FR"/>
        </w:rPr>
        <w:t xml:space="preserve"> du service d</w:t>
      </w:r>
      <w:r w:rsidR="008F70DE" w:rsidRPr="001E4C00">
        <w:rPr>
          <w:lang w:val="fr-FR"/>
        </w:rPr>
        <w:t>’</w:t>
      </w:r>
      <w:r w:rsidRPr="001E4C00">
        <w:rPr>
          <w:lang w:val="fr-FR"/>
        </w:rPr>
        <w:t>accès numérique (DAS) dans le cadre d</w:t>
      </w:r>
      <w:r w:rsidR="008F70DE" w:rsidRPr="001E4C00">
        <w:rPr>
          <w:lang w:val="fr-FR"/>
        </w:rPr>
        <w:t>’</w:t>
      </w:r>
      <w:proofErr w:type="spellStart"/>
      <w:r w:rsidRPr="001E4C00">
        <w:rPr>
          <w:lang w:val="fr-FR"/>
        </w:rPr>
        <w:t>ePCT</w:t>
      </w:r>
      <w:proofErr w:type="spellEnd"/>
      <w:r w:rsidRPr="001E4C00">
        <w:rPr>
          <w:lang w:val="fr-FR"/>
        </w:rPr>
        <w:t>.</w:t>
      </w:r>
    </w:p>
    <w:p w:rsidR="001957C8" w:rsidRPr="001E4C00" w:rsidRDefault="001957C8" w:rsidP="007115E7">
      <w:pPr>
        <w:pStyle w:val="ONUMFS"/>
        <w:rPr>
          <w:lang w:val="fr-FR"/>
        </w:rPr>
      </w:pPr>
      <w:r w:rsidRPr="001E4C00">
        <w:rPr>
          <w:lang w:val="fr-FR"/>
        </w:rPr>
        <w:t xml:space="preserve">La fourniture des données </w:t>
      </w:r>
      <w:r w:rsidR="00D6699D" w:rsidRPr="001E4C00">
        <w:rPr>
          <w:lang w:val="fr-FR"/>
        </w:rPr>
        <w:t>relatives à l</w:t>
      </w:r>
      <w:r w:rsidR="008F70DE" w:rsidRPr="001E4C00">
        <w:rPr>
          <w:lang w:val="fr-FR"/>
        </w:rPr>
        <w:t>’</w:t>
      </w:r>
      <w:r w:rsidR="00D6699D" w:rsidRPr="001E4C00">
        <w:rPr>
          <w:lang w:val="fr-FR"/>
        </w:rPr>
        <w:t>ouverture de la</w:t>
      </w:r>
      <w:r w:rsidRPr="001E4C00">
        <w:rPr>
          <w:lang w:val="fr-FR"/>
        </w:rPr>
        <w:t xml:space="preserve"> phase nationale, qui constitue l</w:t>
      </w:r>
      <w:r w:rsidR="008F70DE" w:rsidRPr="001E4C00">
        <w:rPr>
          <w:lang w:val="fr-FR"/>
        </w:rPr>
        <w:t>’</w:t>
      </w:r>
      <w:r w:rsidRPr="001E4C00">
        <w:rPr>
          <w:lang w:val="fr-FR"/>
        </w:rPr>
        <w:t>une des exigences générales du PCT, a été effectuée régulièrement par l</w:t>
      </w:r>
      <w:r w:rsidR="008F70DE" w:rsidRPr="001E4C00">
        <w:rPr>
          <w:lang w:val="fr-FR"/>
        </w:rPr>
        <w:t>’</w:t>
      </w:r>
      <w:r w:rsidRPr="001E4C00">
        <w:rPr>
          <w:lang w:val="fr-FR"/>
        </w:rPr>
        <w:t xml:space="preserve">UANIPIO </w:t>
      </w:r>
      <w:r w:rsidR="00D6699D" w:rsidRPr="001E4C00">
        <w:rPr>
          <w:lang w:val="fr-FR"/>
        </w:rPr>
        <w:t>dans les délais prescrits</w:t>
      </w:r>
      <w:r w:rsidRPr="001E4C00">
        <w:rPr>
          <w:lang w:val="fr-FR"/>
        </w:rPr>
        <w:t>.</w:t>
      </w:r>
    </w:p>
    <w:p w:rsidR="001957C8" w:rsidRPr="001E4C00" w:rsidRDefault="001957C8" w:rsidP="00F27B3E">
      <w:pPr>
        <w:pStyle w:val="Heading2"/>
        <w:rPr>
          <w:lang w:val="fr-FR"/>
        </w:rPr>
      </w:pPr>
      <w:r w:rsidRPr="001E4C00">
        <w:rPr>
          <w:lang w:val="fr-FR"/>
        </w:rPr>
        <w:t>6.3.</w:t>
      </w:r>
      <w:r w:rsidRPr="001E4C00">
        <w:rPr>
          <w:lang w:val="fr-FR"/>
        </w:rPr>
        <w:tab/>
        <w:t>Système de Madrid</w:t>
      </w:r>
    </w:p>
    <w:p w:rsidR="001957C8" w:rsidRPr="001E4C00" w:rsidRDefault="001957C8" w:rsidP="007115E7">
      <w:pPr>
        <w:pStyle w:val="ONUMFS"/>
        <w:rPr>
          <w:lang w:val="fr-FR"/>
        </w:rPr>
      </w:pPr>
      <w:r w:rsidRPr="001E4C00">
        <w:rPr>
          <w:lang w:val="fr-FR"/>
        </w:rPr>
        <w:t>La déclaration commune de mars 2022 mentionnée ci</w:t>
      </w:r>
      <w:r w:rsidR="0091158D">
        <w:rPr>
          <w:lang w:val="fr-FR"/>
        </w:rPr>
        <w:noBreakHyphen/>
      </w:r>
      <w:r w:rsidRPr="001E4C00">
        <w:rPr>
          <w:lang w:val="fr-FR"/>
        </w:rPr>
        <w:t xml:space="preserve">dessus comprend également un aperçu des </w:t>
      </w:r>
      <w:r w:rsidR="00766B50" w:rsidRPr="001E4C00">
        <w:rPr>
          <w:lang w:val="fr-FR"/>
        </w:rPr>
        <w:t>recours</w:t>
      </w:r>
      <w:r w:rsidRPr="001E4C00">
        <w:rPr>
          <w:lang w:val="fr-FR"/>
        </w:rPr>
        <w:t xml:space="preserve"> appropriés que les déposants et les titulaires d</w:t>
      </w:r>
      <w:r w:rsidR="008F70DE" w:rsidRPr="001E4C00">
        <w:rPr>
          <w:lang w:val="fr-FR"/>
        </w:rPr>
        <w:t>’</w:t>
      </w:r>
      <w:r w:rsidRPr="001E4C00">
        <w:rPr>
          <w:lang w:val="fr-FR"/>
        </w:rPr>
        <w:t xml:space="preserve">enregistrements internationaux en vertu du système de Madrid peuvent potentiellement </w:t>
      </w:r>
      <w:r w:rsidR="00766B50" w:rsidRPr="001E4C00">
        <w:rPr>
          <w:lang w:val="fr-FR"/>
        </w:rPr>
        <w:t>form</w:t>
      </w:r>
      <w:r w:rsidR="00783939" w:rsidRPr="001E4C00">
        <w:rPr>
          <w:lang w:val="fr-FR"/>
        </w:rPr>
        <w:t>er.  Le</w:t>
      </w:r>
      <w:r w:rsidRPr="001E4C00">
        <w:rPr>
          <w:lang w:val="fr-FR"/>
        </w:rPr>
        <w:t xml:space="preserve"> texte suivant a été inclus</w:t>
      </w:r>
      <w:r w:rsidR="008F70DE" w:rsidRPr="001E4C00">
        <w:rPr>
          <w:lang w:val="fr-FR"/>
        </w:rPr>
        <w:t> :</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 déposant ou un titulaire ne respecte pas un délai spécifié dans le règlement d</w:t>
      </w:r>
      <w:r w:rsidR="008F70DE" w:rsidRPr="001E4C00">
        <w:rPr>
          <w:rFonts w:ascii="Arial" w:hAnsi="Arial" w:cs="Arial"/>
          <w:sz w:val="22"/>
          <w:szCs w:val="22"/>
        </w:rPr>
        <w:t>’</w:t>
      </w:r>
      <w:r w:rsidR="001957C8" w:rsidRPr="001E4C00">
        <w:rPr>
          <w:rFonts w:ascii="Arial" w:hAnsi="Arial" w:cs="Arial"/>
          <w:sz w:val="22"/>
          <w:szCs w:val="22"/>
        </w:rPr>
        <w:t>exécution pour agir en tant que Bureau international pour des raisons de force majeure, la règle 5 du règlement d</w:t>
      </w:r>
      <w:r w:rsidR="008F70DE" w:rsidRPr="001E4C00">
        <w:rPr>
          <w:rFonts w:ascii="Arial" w:hAnsi="Arial" w:cs="Arial"/>
          <w:sz w:val="22"/>
          <w:szCs w:val="22"/>
        </w:rPr>
        <w:t>’</w:t>
      </w:r>
      <w:r w:rsidR="001957C8" w:rsidRPr="001E4C00">
        <w:rPr>
          <w:rFonts w:ascii="Arial" w:hAnsi="Arial" w:cs="Arial"/>
          <w:sz w:val="22"/>
          <w:szCs w:val="22"/>
        </w:rPr>
        <w:t>exécution peut s</w:t>
      </w:r>
      <w:r w:rsidR="008F70DE" w:rsidRPr="001E4C00">
        <w:rPr>
          <w:rFonts w:ascii="Arial" w:hAnsi="Arial" w:cs="Arial"/>
          <w:sz w:val="22"/>
          <w:szCs w:val="22"/>
        </w:rPr>
        <w:t>’</w:t>
      </w:r>
      <w:r w:rsidR="001957C8" w:rsidRPr="001E4C00">
        <w:rPr>
          <w:rFonts w:ascii="Arial" w:hAnsi="Arial" w:cs="Arial"/>
          <w:sz w:val="22"/>
          <w:szCs w:val="22"/>
        </w:rPr>
        <w:t>appliquer (c</w:t>
      </w:r>
      <w:r w:rsidR="008F70DE" w:rsidRPr="001E4C00">
        <w:rPr>
          <w:rFonts w:ascii="Arial" w:hAnsi="Arial" w:cs="Arial"/>
          <w:sz w:val="22"/>
          <w:szCs w:val="22"/>
        </w:rPr>
        <w:t>’</w:t>
      </w:r>
      <w:r w:rsidR="001957C8" w:rsidRPr="001E4C00">
        <w:rPr>
          <w:rFonts w:ascii="Arial" w:hAnsi="Arial" w:cs="Arial"/>
          <w:sz w:val="22"/>
          <w:szCs w:val="22"/>
        </w:rPr>
        <w:t>est</w:t>
      </w:r>
      <w:r w:rsidR="0091158D">
        <w:rPr>
          <w:rFonts w:ascii="Arial" w:hAnsi="Arial" w:cs="Arial"/>
          <w:sz w:val="22"/>
          <w:szCs w:val="22"/>
        </w:rPr>
        <w:noBreakHyphen/>
      </w:r>
      <w:r w:rsidR="001957C8" w:rsidRPr="001E4C00">
        <w:rPr>
          <w:rFonts w:ascii="Arial" w:hAnsi="Arial" w:cs="Arial"/>
          <w:sz w:val="22"/>
          <w:szCs w:val="22"/>
        </w:rPr>
        <w:t>à</w:t>
      </w:r>
      <w:r w:rsidR="0091158D">
        <w:rPr>
          <w:rFonts w:ascii="Arial" w:hAnsi="Arial" w:cs="Arial"/>
          <w:sz w:val="22"/>
          <w:szCs w:val="22"/>
        </w:rPr>
        <w:noBreakHyphen/>
      </w:r>
      <w:r w:rsidR="001957C8" w:rsidRPr="001E4C00">
        <w:rPr>
          <w:rFonts w:ascii="Arial" w:hAnsi="Arial" w:cs="Arial"/>
          <w:sz w:val="22"/>
          <w:szCs w:val="22"/>
        </w:rPr>
        <w:t>dire que ce manquement peut être excusé à condition que des preuves suffisantes soient reçues par le Bureau international et que l</w:t>
      </w:r>
      <w:r w:rsidR="008F70DE" w:rsidRPr="001E4C00">
        <w:rPr>
          <w:rFonts w:ascii="Arial" w:hAnsi="Arial" w:cs="Arial"/>
          <w:sz w:val="22"/>
          <w:szCs w:val="22"/>
        </w:rPr>
        <w:t>’</w:t>
      </w:r>
      <w:r w:rsidR="001957C8" w:rsidRPr="001E4C00">
        <w:rPr>
          <w:rFonts w:ascii="Arial" w:hAnsi="Arial" w:cs="Arial"/>
          <w:sz w:val="22"/>
          <w:szCs w:val="22"/>
        </w:rPr>
        <w:t>action soit effectuée auprès de celui</w:t>
      </w:r>
      <w:r w:rsidR="0091158D">
        <w:rPr>
          <w:rFonts w:ascii="Arial" w:hAnsi="Arial" w:cs="Arial"/>
          <w:sz w:val="22"/>
          <w:szCs w:val="22"/>
        </w:rPr>
        <w:noBreakHyphen/>
      </w:r>
      <w:r w:rsidR="001957C8" w:rsidRPr="001E4C00">
        <w:rPr>
          <w:rFonts w:ascii="Arial" w:hAnsi="Arial" w:cs="Arial"/>
          <w:sz w:val="22"/>
          <w:szCs w:val="22"/>
        </w:rPr>
        <w:t>ci dès que cela est raisonnablement possible et au plus tard six mois après l</w:t>
      </w:r>
      <w:r w:rsidR="008F70DE" w:rsidRPr="001E4C00">
        <w:rPr>
          <w:rFonts w:ascii="Arial" w:hAnsi="Arial" w:cs="Arial"/>
          <w:sz w:val="22"/>
          <w:szCs w:val="22"/>
        </w:rPr>
        <w:t>’</w:t>
      </w:r>
      <w:r w:rsidR="001957C8" w:rsidRPr="001E4C00">
        <w:rPr>
          <w:rFonts w:ascii="Arial" w:hAnsi="Arial" w:cs="Arial"/>
          <w:sz w:val="22"/>
          <w:szCs w:val="22"/>
        </w:rPr>
        <w:t>expiration du délai en question);</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déposant ou un titulaire ne respecte pas un délai spécifié à la règle 5</w:t>
      </w:r>
      <w:r w:rsidR="001957C8" w:rsidRPr="001E4C00">
        <w:rPr>
          <w:rFonts w:ascii="Arial" w:hAnsi="Arial"/>
          <w:i/>
          <w:sz w:val="22"/>
        </w:rPr>
        <w:t>bis</w:t>
      </w:r>
      <w:r w:rsidR="001957C8" w:rsidRPr="001E4C00">
        <w:rPr>
          <w:rFonts w:ascii="Arial" w:hAnsi="Arial" w:cs="Arial"/>
          <w:sz w:val="22"/>
          <w:szCs w:val="22"/>
        </w:rPr>
        <w:t>.1) du règlement d</w:t>
      </w:r>
      <w:r w:rsidR="008F70DE" w:rsidRPr="001E4C00">
        <w:rPr>
          <w:rFonts w:ascii="Arial" w:hAnsi="Arial" w:cs="Arial"/>
          <w:sz w:val="22"/>
          <w:szCs w:val="22"/>
        </w:rPr>
        <w:t>’</w:t>
      </w:r>
      <w:r w:rsidR="001957C8" w:rsidRPr="001E4C00">
        <w:rPr>
          <w:rFonts w:ascii="Arial" w:hAnsi="Arial" w:cs="Arial"/>
          <w:sz w:val="22"/>
          <w:szCs w:val="22"/>
        </w:rPr>
        <w:t>exécution pour une raison quelconque, la présente règle peut s</w:t>
      </w:r>
      <w:r w:rsidR="008F70DE" w:rsidRPr="001E4C00">
        <w:rPr>
          <w:rFonts w:ascii="Arial" w:hAnsi="Arial" w:cs="Arial"/>
          <w:sz w:val="22"/>
          <w:szCs w:val="22"/>
        </w:rPr>
        <w:t>’</w:t>
      </w:r>
      <w:r w:rsidR="001957C8" w:rsidRPr="001E4C00">
        <w:rPr>
          <w:rFonts w:ascii="Arial" w:hAnsi="Arial" w:cs="Arial"/>
          <w:sz w:val="22"/>
          <w:szCs w:val="22"/>
        </w:rPr>
        <w:t>appliquer (c</w:t>
      </w:r>
      <w:r w:rsidR="008F70DE" w:rsidRPr="001E4C00">
        <w:rPr>
          <w:rFonts w:ascii="Arial" w:hAnsi="Arial" w:cs="Arial"/>
          <w:sz w:val="22"/>
          <w:szCs w:val="22"/>
        </w:rPr>
        <w:t>’</w:t>
      </w:r>
      <w:r w:rsidR="001957C8" w:rsidRPr="001E4C00">
        <w:rPr>
          <w:rFonts w:ascii="Arial" w:hAnsi="Arial" w:cs="Arial"/>
          <w:sz w:val="22"/>
          <w:szCs w:val="22"/>
        </w:rPr>
        <w:t>est</w:t>
      </w:r>
      <w:r w:rsidR="0091158D">
        <w:rPr>
          <w:rFonts w:ascii="Arial" w:hAnsi="Arial" w:cs="Arial"/>
          <w:sz w:val="22"/>
          <w:szCs w:val="22"/>
        </w:rPr>
        <w:noBreakHyphen/>
      </w:r>
      <w:r w:rsidR="001957C8" w:rsidRPr="001E4C00">
        <w:rPr>
          <w:rFonts w:ascii="Arial" w:hAnsi="Arial" w:cs="Arial"/>
          <w:sz w:val="22"/>
          <w:szCs w:val="22"/>
        </w:rPr>
        <w:t>à</w:t>
      </w:r>
      <w:r w:rsidR="0091158D">
        <w:rPr>
          <w:rFonts w:ascii="Arial" w:hAnsi="Arial" w:cs="Arial"/>
          <w:sz w:val="22"/>
          <w:szCs w:val="22"/>
        </w:rPr>
        <w:noBreakHyphen/>
      </w:r>
      <w:r w:rsidR="001957C8" w:rsidRPr="001E4C00">
        <w:rPr>
          <w:rFonts w:ascii="Arial" w:hAnsi="Arial" w:cs="Arial"/>
          <w:sz w:val="22"/>
          <w:szCs w:val="22"/>
        </w:rPr>
        <w:t>dire que le déposant ou le titulaire peut demander la poursuite du traitement de la demande ou de la requête en inscription, selon le cas, dans un délai de deux mois à compter de l</w:t>
      </w:r>
      <w:r w:rsidR="008F70DE" w:rsidRPr="001E4C00">
        <w:rPr>
          <w:rFonts w:ascii="Arial" w:hAnsi="Arial" w:cs="Arial"/>
          <w:sz w:val="22"/>
          <w:szCs w:val="22"/>
        </w:rPr>
        <w:t>’</w:t>
      </w:r>
      <w:r w:rsidR="001957C8" w:rsidRPr="001E4C00">
        <w:rPr>
          <w:rFonts w:ascii="Arial" w:hAnsi="Arial" w:cs="Arial"/>
          <w:sz w:val="22"/>
          <w:szCs w:val="22"/>
        </w:rPr>
        <w:t>expiration du délai concerné);  et,</w:t>
      </w:r>
    </w:p>
    <w:p w:rsidR="001957C8" w:rsidRPr="001E4C00" w:rsidRDefault="00652BB5" w:rsidP="00F27B3E">
      <w:pPr>
        <w:pStyle w:val="ListParagraph"/>
        <w:numPr>
          <w:ilvl w:val="0"/>
          <w:numId w:val="43"/>
        </w:numPr>
        <w:tabs>
          <w:tab w:val="clear" w:pos="567"/>
          <w:tab w:val="left" w:pos="1134"/>
        </w:tabs>
        <w:spacing w:after="220"/>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titulaire ne respecte pas un délai devant l</w:t>
      </w:r>
      <w:r w:rsidR="008F70DE" w:rsidRPr="001E4C00">
        <w:rPr>
          <w:rFonts w:ascii="Arial" w:hAnsi="Arial" w:cs="Arial"/>
          <w:sz w:val="22"/>
          <w:szCs w:val="22"/>
        </w:rPr>
        <w:t>’</w:t>
      </w:r>
      <w:r w:rsidR="001957C8" w:rsidRPr="001E4C00">
        <w:rPr>
          <w:rFonts w:ascii="Arial" w:hAnsi="Arial" w:cs="Arial"/>
          <w:sz w:val="22"/>
          <w:szCs w:val="22"/>
        </w:rPr>
        <w:t>office d</w:t>
      </w:r>
      <w:r w:rsidR="008F70DE" w:rsidRPr="001E4C00">
        <w:rPr>
          <w:rFonts w:ascii="Arial" w:hAnsi="Arial" w:cs="Arial"/>
          <w:sz w:val="22"/>
          <w:szCs w:val="22"/>
        </w:rPr>
        <w:t>’</w:t>
      </w:r>
      <w:r w:rsidR="001957C8" w:rsidRPr="001E4C00">
        <w:rPr>
          <w:rFonts w:ascii="Arial" w:hAnsi="Arial" w:cs="Arial"/>
          <w:sz w:val="22"/>
          <w:szCs w:val="22"/>
        </w:rPr>
        <w:t>une partie contractante désignée en raison de circonstances exceptionnelles, la législation de cette partie contractante peut prévoir d</w:t>
      </w:r>
      <w:r w:rsidR="008F70DE" w:rsidRPr="001E4C00">
        <w:rPr>
          <w:rFonts w:ascii="Arial" w:hAnsi="Arial" w:cs="Arial"/>
          <w:sz w:val="22"/>
          <w:szCs w:val="22"/>
        </w:rPr>
        <w:t>’</w:t>
      </w:r>
      <w:r w:rsidR="001957C8" w:rsidRPr="001E4C00">
        <w:rPr>
          <w:rFonts w:ascii="Arial" w:hAnsi="Arial" w:cs="Arial"/>
          <w:sz w:val="22"/>
          <w:szCs w:val="22"/>
        </w:rPr>
        <w:t>éventuelles mesures de sauvegarde applicables afin d</w:t>
      </w:r>
      <w:r w:rsidR="008F70DE" w:rsidRPr="001E4C00">
        <w:rPr>
          <w:rFonts w:ascii="Arial" w:hAnsi="Arial" w:cs="Arial"/>
          <w:sz w:val="22"/>
          <w:szCs w:val="22"/>
        </w:rPr>
        <w:t>’</w:t>
      </w:r>
      <w:r w:rsidR="001957C8" w:rsidRPr="001E4C00">
        <w:rPr>
          <w:rFonts w:ascii="Arial" w:hAnsi="Arial" w:cs="Arial"/>
          <w:sz w:val="22"/>
          <w:szCs w:val="22"/>
        </w:rPr>
        <w:t>éviter la perte des droits.</w:t>
      </w:r>
    </w:p>
    <w:p w:rsidR="008A3FE2" w:rsidRPr="001E4C00" w:rsidRDefault="001957C8" w:rsidP="00F27B3E">
      <w:pPr>
        <w:pStyle w:val="Heading2"/>
        <w:rPr>
          <w:lang w:val="fr-FR"/>
        </w:rPr>
      </w:pPr>
      <w:r w:rsidRPr="001E4C00">
        <w:rPr>
          <w:lang w:val="fr-FR"/>
        </w:rPr>
        <w:t>6.4.</w:t>
      </w:r>
      <w:r w:rsidRPr="001E4C00">
        <w:rPr>
          <w:lang w:val="fr-FR"/>
        </w:rPr>
        <w:tab/>
        <w:t xml:space="preserve">Système de </w:t>
      </w:r>
      <w:r w:rsidR="008F70DE" w:rsidRPr="001E4C00">
        <w:rPr>
          <w:lang w:val="fr-FR"/>
        </w:rPr>
        <w:t>La Haye</w:t>
      </w:r>
    </w:p>
    <w:p w:rsidR="001957C8" w:rsidRPr="001E4C00" w:rsidRDefault="001957C8" w:rsidP="007115E7">
      <w:pPr>
        <w:pStyle w:val="ONUMFS"/>
        <w:rPr>
          <w:lang w:val="fr-FR"/>
        </w:rPr>
      </w:pPr>
      <w:r w:rsidRPr="001E4C00">
        <w:rPr>
          <w:lang w:val="fr-FR"/>
        </w:rPr>
        <w:t xml:space="preserve">De même, la déclaration commune comprend un aperçu des recours pertinents que les </w:t>
      </w:r>
      <w:r w:rsidR="00E24772" w:rsidRPr="001E4C00">
        <w:rPr>
          <w:lang w:val="fr-FR"/>
        </w:rPr>
        <w:t>déposants de demandes d</w:t>
      </w:r>
      <w:r w:rsidR="008F70DE" w:rsidRPr="001E4C00">
        <w:rPr>
          <w:lang w:val="fr-FR"/>
        </w:rPr>
        <w:t>’</w:t>
      </w:r>
      <w:r w:rsidR="00E24772" w:rsidRPr="001E4C00">
        <w:rPr>
          <w:lang w:val="fr-FR"/>
        </w:rPr>
        <w:t xml:space="preserve">enregistrement </w:t>
      </w:r>
      <w:r w:rsidRPr="001E4C00">
        <w:rPr>
          <w:lang w:val="fr-FR"/>
        </w:rPr>
        <w:t>et les titulaires d</w:t>
      </w:r>
      <w:r w:rsidR="008F70DE" w:rsidRPr="001E4C00">
        <w:rPr>
          <w:lang w:val="fr-FR"/>
        </w:rPr>
        <w:t>’</w:t>
      </w:r>
      <w:r w:rsidRPr="001E4C00">
        <w:rPr>
          <w:lang w:val="fr-FR"/>
        </w:rPr>
        <w:t xml:space="preserve">enregistrements internationaux en vertu du système de </w:t>
      </w:r>
      <w:r w:rsidR="008F70DE" w:rsidRPr="001E4C00">
        <w:rPr>
          <w:lang w:val="fr-FR"/>
        </w:rPr>
        <w:t>La Haye</w:t>
      </w:r>
      <w:r w:rsidRPr="001E4C00">
        <w:rPr>
          <w:lang w:val="fr-FR"/>
        </w:rPr>
        <w:t xml:space="preserve"> peuvent potentiellement appliqu</w:t>
      </w:r>
      <w:r w:rsidR="00783939" w:rsidRPr="001E4C00">
        <w:rPr>
          <w:lang w:val="fr-FR"/>
        </w:rPr>
        <w:t>er.  Le</w:t>
      </w:r>
      <w:r w:rsidRPr="001E4C00">
        <w:rPr>
          <w:lang w:val="fr-FR"/>
        </w:rPr>
        <w:t xml:space="preserve"> texte suivant a été inclus</w:t>
      </w:r>
      <w:r w:rsidR="008F70DE" w:rsidRPr="001E4C00">
        <w:rPr>
          <w:lang w:val="fr-FR"/>
        </w:rPr>
        <w:t> :</w:t>
      </w:r>
    </w:p>
    <w:p w:rsidR="001957C8" w:rsidRPr="001E4C00" w:rsidRDefault="00652BB5" w:rsidP="00F27B3E">
      <w:pPr>
        <w:pStyle w:val="ListParagraph"/>
        <w:numPr>
          <w:ilvl w:val="0"/>
          <w:numId w:val="43"/>
        </w:numPr>
        <w:tabs>
          <w:tab w:val="clear" w:pos="567"/>
          <w:tab w:val="left" w:pos="1134"/>
        </w:tabs>
        <w:ind w:left="1134" w:hanging="567"/>
        <w:rPr>
          <w:rFonts w:ascii="Arial" w:hAnsi="Arial" w:cs="Arial"/>
          <w:sz w:val="22"/>
          <w:szCs w:val="22"/>
        </w:rPr>
      </w:pPr>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 déposant ou un titulaire ne respecte pas un délai spécifié dans le règlement d</w:t>
      </w:r>
      <w:r w:rsidR="008F70DE" w:rsidRPr="001E4C00">
        <w:rPr>
          <w:rFonts w:ascii="Arial" w:hAnsi="Arial" w:cs="Arial"/>
          <w:sz w:val="22"/>
          <w:szCs w:val="22"/>
        </w:rPr>
        <w:t>’</w:t>
      </w:r>
      <w:r w:rsidR="001957C8" w:rsidRPr="001E4C00">
        <w:rPr>
          <w:rFonts w:ascii="Arial" w:hAnsi="Arial" w:cs="Arial"/>
          <w:sz w:val="22"/>
          <w:szCs w:val="22"/>
        </w:rPr>
        <w:t>exécution commun pour agir en tant que Bureau international pour des raisons de force majeure, la règle 5 du règlement d</w:t>
      </w:r>
      <w:r w:rsidR="008F70DE" w:rsidRPr="001E4C00">
        <w:rPr>
          <w:rFonts w:ascii="Arial" w:hAnsi="Arial" w:cs="Arial"/>
          <w:sz w:val="22"/>
          <w:szCs w:val="22"/>
        </w:rPr>
        <w:t>’</w:t>
      </w:r>
      <w:r w:rsidR="001957C8" w:rsidRPr="001E4C00">
        <w:rPr>
          <w:rFonts w:ascii="Arial" w:hAnsi="Arial" w:cs="Arial"/>
          <w:sz w:val="22"/>
          <w:szCs w:val="22"/>
        </w:rPr>
        <w:t>exécution commun peut s</w:t>
      </w:r>
      <w:r w:rsidR="008F70DE" w:rsidRPr="001E4C00">
        <w:rPr>
          <w:rFonts w:ascii="Arial" w:hAnsi="Arial" w:cs="Arial"/>
          <w:sz w:val="22"/>
          <w:szCs w:val="22"/>
        </w:rPr>
        <w:t>’</w:t>
      </w:r>
      <w:r w:rsidR="001957C8" w:rsidRPr="001E4C00">
        <w:rPr>
          <w:rFonts w:ascii="Arial" w:hAnsi="Arial" w:cs="Arial"/>
          <w:sz w:val="22"/>
          <w:szCs w:val="22"/>
        </w:rPr>
        <w:t>appliquer (c</w:t>
      </w:r>
      <w:r w:rsidR="008F70DE" w:rsidRPr="001E4C00">
        <w:rPr>
          <w:rFonts w:ascii="Arial" w:hAnsi="Arial" w:cs="Arial"/>
          <w:sz w:val="22"/>
          <w:szCs w:val="22"/>
        </w:rPr>
        <w:t>’</w:t>
      </w:r>
      <w:r w:rsidR="001957C8" w:rsidRPr="001E4C00">
        <w:rPr>
          <w:rFonts w:ascii="Arial" w:hAnsi="Arial" w:cs="Arial"/>
          <w:sz w:val="22"/>
          <w:szCs w:val="22"/>
        </w:rPr>
        <w:t>est</w:t>
      </w:r>
      <w:r w:rsidR="0091158D">
        <w:rPr>
          <w:rFonts w:ascii="Arial" w:hAnsi="Arial" w:cs="Arial"/>
          <w:sz w:val="22"/>
          <w:szCs w:val="22"/>
        </w:rPr>
        <w:noBreakHyphen/>
      </w:r>
      <w:r w:rsidR="001957C8" w:rsidRPr="001E4C00">
        <w:rPr>
          <w:rFonts w:ascii="Arial" w:hAnsi="Arial" w:cs="Arial"/>
          <w:sz w:val="22"/>
          <w:szCs w:val="22"/>
        </w:rPr>
        <w:t>à</w:t>
      </w:r>
      <w:r w:rsidR="0091158D">
        <w:rPr>
          <w:rFonts w:ascii="Arial" w:hAnsi="Arial" w:cs="Arial"/>
          <w:sz w:val="22"/>
          <w:szCs w:val="22"/>
        </w:rPr>
        <w:noBreakHyphen/>
      </w:r>
      <w:r w:rsidR="001957C8" w:rsidRPr="001E4C00">
        <w:rPr>
          <w:rFonts w:ascii="Arial" w:hAnsi="Arial" w:cs="Arial"/>
          <w:sz w:val="22"/>
          <w:szCs w:val="22"/>
        </w:rPr>
        <w:t>dire qu</w:t>
      </w:r>
      <w:r w:rsidR="008F70DE" w:rsidRPr="001E4C00">
        <w:rPr>
          <w:rFonts w:ascii="Arial" w:hAnsi="Arial" w:cs="Arial"/>
          <w:sz w:val="22"/>
          <w:szCs w:val="22"/>
        </w:rPr>
        <w:t>’</w:t>
      </w:r>
      <w:r w:rsidR="001957C8" w:rsidRPr="001E4C00">
        <w:rPr>
          <w:rFonts w:ascii="Arial" w:hAnsi="Arial" w:cs="Arial"/>
          <w:sz w:val="22"/>
          <w:szCs w:val="22"/>
        </w:rPr>
        <w:t>un tel manquement peut être excusé à condition que des preuves suffisantes soient reçues par le Bureau international et que l</w:t>
      </w:r>
      <w:r w:rsidR="008F70DE" w:rsidRPr="001E4C00">
        <w:rPr>
          <w:rFonts w:ascii="Arial" w:hAnsi="Arial" w:cs="Arial"/>
          <w:sz w:val="22"/>
          <w:szCs w:val="22"/>
        </w:rPr>
        <w:t>’</w:t>
      </w:r>
      <w:r w:rsidR="001957C8" w:rsidRPr="001E4C00">
        <w:rPr>
          <w:rFonts w:ascii="Arial" w:hAnsi="Arial" w:cs="Arial"/>
          <w:sz w:val="22"/>
          <w:szCs w:val="22"/>
        </w:rPr>
        <w:t>action soit effectuée auprès de celui</w:t>
      </w:r>
      <w:r w:rsidR="0091158D">
        <w:rPr>
          <w:rFonts w:ascii="Arial" w:hAnsi="Arial" w:cs="Arial"/>
          <w:sz w:val="22"/>
          <w:szCs w:val="22"/>
        </w:rPr>
        <w:noBreakHyphen/>
      </w:r>
      <w:r w:rsidR="001957C8" w:rsidRPr="001E4C00">
        <w:rPr>
          <w:rFonts w:ascii="Arial" w:hAnsi="Arial" w:cs="Arial"/>
          <w:sz w:val="22"/>
          <w:szCs w:val="22"/>
        </w:rPr>
        <w:t>ci dès que cela est raisonnablement possible et au plus tard six mois après l</w:t>
      </w:r>
      <w:r w:rsidR="008F70DE" w:rsidRPr="001E4C00">
        <w:rPr>
          <w:rFonts w:ascii="Arial" w:hAnsi="Arial" w:cs="Arial"/>
          <w:sz w:val="22"/>
          <w:szCs w:val="22"/>
        </w:rPr>
        <w:t>’</w:t>
      </w:r>
      <w:r w:rsidR="001957C8" w:rsidRPr="001E4C00">
        <w:rPr>
          <w:rFonts w:ascii="Arial" w:hAnsi="Arial" w:cs="Arial"/>
          <w:sz w:val="22"/>
          <w:szCs w:val="22"/>
        </w:rPr>
        <w:t>expiration du délai en question);  et,</w:t>
      </w:r>
    </w:p>
    <w:p w:rsidR="001957C8" w:rsidRPr="001E4C00" w:rsidRDefault="00652BB5" w:rsidP="00F27B3E">
      <w:pPr>
        <w:pStyle w:val="ListParagraph"/>
        <w:numPr>
          <w:ilvl w:val="0"/>
          <w:numId w:val="43"/>
        </w:numPr>
        <w:tabs>
          <w:tab w:val="clear" w:pos="567"/>
          <w:tab w:val="left" w:pos="1134"/>
        </w:tabs>
        <w:spacing w:after="220"/>
        <w:ind w:left="1134" w:hanging="567"/>
        <w:rPr>
          <w:rFonts w:ascii="Arial" w:hAnsi="Arial" w:cs="Arial"/>
          <w:sz w:val="22"/>
          <w:szCs w:val="22"/>
        </w:rPr>
      </w:pPr>
      <w:proofErr w:type="gramStart"/>
      <w:r w:rsidRPr="001E4C00">
        <w:rPr>
          <w:rFonts w:ascii="Arial" w:hAnsi="Arial" w:cs="Arial"/>
          <w:sz w:val="22"/>
          <w:szCs w:val="22"/>
        </w:rPr>
        <w:t>l</w:t>
      </w:r>
      <w:r w:rsidR="001957C8" w:rsidRPr="001E4C00">
        <w:rPr>
          <w:rFonts w:ascii="Arial" w:hAnsi="Arial" w:cs="Arial"/>
          <w:sz w:val="22"/>
          <w:szCs w:val="22"/>
        </w:rPr>
        <w:t>orsqu</w:t>
      </w:r>
      <w:r w:rsidR="008F70DE" w:rsidRPr="001E4C00">
        <w:rPr>
          <w:rFonts w:ascii="Arial" w:hAnsi="Arial" w:cs="Arial"/>
          <w:sz w:val="22"/>
          <w:szCs w:val="22"/>
        </w:rPr>
        <w:t>’</w:t>
      </w:r>
      <w:r w:rsidR="001957C8" w:rsidRPr="001E4C00">
        <w:rPr>
          <w:rFonts w:ascii="Arial" w:hAnsi="Arial" w:cs="Arial"/>
          <w:sz w:val="22"/>
          <w:szCs w:val="22"/>
        </w:rPr>
        <w:t>un</w:t>
      </w:r>
      <w:proofErr w:type="gramEnd"/>
      <w:r w:rsidR="001957C8" w:rsidRPr="001E4C00">
        <w:rPr>
          <w:rFonts w:ascii="Arial" w:hAnsi="Arial" w:cs="Arial"/>
          <w:sz w:val="22"/>
          <w:szCs w:val="22"/>
        </w:rPr>
        <w:t xml:space="preserve"> titulaire ne respecte pas un délai devant l</w:t>
      </w:r>
      <w:r w:rsidR="008F70DE" w:rsidRPr="001E4C00">
        <w:rPr>
          <w:rFonts w:ascii="Arial" w:hAnsi="Arial" w:cs="Arial"/>
          <w:sz w:val="22"/>
          <w:szCs w:val="22"/>
        </w:rPr>
        <w:t>’</w:t>
      </w:r>
      <w:r w:rsidR="001957C8" w:rsidRPr="001E4C00">
        <w:rPr>
          <w:rFonts w:ascii="Arial" w:hAnsi="Arial" w:cs="Arial"/>
          <w:sz w:val="22"/>
          <w:szCs w:val="22"/>
        </w:rPr>
        <w:t>office d</w:t>
      </w:r>
      <w:r w:rsidR="008F70DE" w:rsidRPr="001E4C00">
        <w:rPr>
          <w:rFonts w:ascii="Arial" w:hAnsi="Arial" w:cs="Arial"/>
          <w:sz w:val="22"/>
          <w:szCs w:val="22"/>
        </w:rPr>
        <w:t>’</w:t>
      </w:r>
      <w:r w:rsidR="001957C8" w:rsidRPr="001E4C00">
        <w:rPr>
          <w:rFonts w:ascii="Arial" w:hAnsi="Arial" w:cs="Arial"/>
          <w:sz w:val="22"/>
          <w:szCs w:val="22"/>
        </w:rPr>
        <w:t>une partie contractante désignée en raison de circonstances exceptionnelles, la législation de cette partie contractante peut prévoir d</w:t>
      </w:r>
      <w:r w:rsidR="008F70DE" w:rsidRPr="001E4C00">
        <w:rPr>
          <w:rFonts w:ascii="Arial" w:hAnsi="Arial" w:cs="Arial"/>
          <w:sz w:val="22"/>
          <w:szCs w:val="22"/>
        </w:rPr>
        <w:t>’</w:t>
      </w:r>
      <w:r w:rsidR="001957C8" w:rsidRPr="001E4C00">
        <w:rPr>
          <w:rFonts w:ascii="Arial" w:hAnsi="Arial" w:cs="Arial"/>
          <w:sz w:val="22"/>
          <w:szCs w:val="22"/>
        </w:rPr>
        <w:t>éventuelles mesures de sauvegarde applicables afin d</w:t>
      </w:r>
      <w:r w:rsidR="008F70DE" w:rsidRPr="001E4C00">
        <w:rPr>
          <w:rFonts w:ascii="Arial" w:hAnsi="Arial" w:cs="Arial"/>
          <w:sz w:val="22"/>
          <w:szCs w:val="22"/>
        </w:rPr>
        <w:t>’</w:t>
      </w:r>
      <w:r w:rsidR="001957C8" w:rsidRPr="001E4C00">
        <w:rPr>
          <w:rFonts w:ascii="Arial" w:hAnsi="Arial" w:cs="Arial"/>
          <w:sz w:val="22"/>
          <w:szCs w:val="22"/>
        </w:rPr>
        <w:t>éviter la perte des droits.</w:t>
      </w:r>
    </w:p>
    <w:p w:rsidR="001957C8" w:rsidRPr="001E4C00" w:rsidRDefault="001957C8" w:rsidP="00F27B3E">
      <w:pPr>
        <w:pStyle w:val="Heading2"/>
        <w:rPr>
          <w:lang w:val="fr-FR"/>
        </w:rPr>
      </w:pPr>
      <w:r w:rsidRPr="001E4C00">
        <w:rPr>
          <w:lang w:val="fr-FR"/>
        </w:rPr>
        <w:t>6.5.</w:t>
      </w:r>
      <w:r w:rsidRPr="001E4C00">
        <w:rPr>
          <w:lang w:val="fr-FR"/>
        </w:rPr>
        <w:tab/>
        <w:t>Arbitrage et médiation</w:t>
      </w:r>
    </w:p>
    <w:p w:rsidR="001957C8" w:rsidRPr="001E4C00" w:rsidRDefault="001957C8" w:rsidP="007115E7">
      <w:pPr>
        <w:pStyle w:val="ONUMFS"/>
        <w:rPr>
          <w:lang w:val="fr-FR"/>
        </w:rPr>
      </w:pPr>
      <w:r w:rsidRPr="001E4C00">
        <w:rPr>
          <w:lang w:val="fr-FR"/>
        </w:rPr>
        <w:t>Enfin, en ce qui concerne les services d</w:t>
      </w:r>
      <w:r w:rsidR="008F70DE" w:rsidRPr="001E4C00">
        <w:rPr>
          <w:lang w:val="fr-FR"/>
        </w:rPr>
        <w:t>’</w:t>
      </w:r>
      <w:r w:rsidRPr="001E4C00">
        <w:rPr>
          <w:lang w:val="fr-FR"/>
        </w:rPr>
        <w:t>arbitrage et de médiation, la déclaration conjointe de mars 2022 indiquait que, dans la mesure où les parties (ou les parties potentielles) à une procédure de médiation ou d</w:t>
      </w:r>
      <w:r w:rsidR="008F70DE" w:rsidRPr="001E4C00">
        <w:rPr>
          <w:lang w:val="fr-FR"/>
        </w:rPr>
        <w:t>’</w:t>
      </w:r>
      <w:r w:rsidRPr="001E4C00">
        <w:rPr>
          <w:lang w:val="fr-FR"/>
        </w:rPr>
        <w:t>arbitrage de l</w:t>
      </w:r>
      <w:r w:rsidR="008F70DE" w:rsidRPr="001E4C00">
        <w:rPr>
          <w:lang w:val="fr-FR"/>
        </w:rPr>
        <w:t>’</w:t>
      </w:r>
      <w:r w:rsidRPr="001E4C00">
        <w:rPr>
          <w:lang w:val="fr-FR"/>
        </w:rPr>
        <w:t>OMPI ou à un litige relatif à un nom de domaine ne sont pas en mesure, ou prévoient de ne pas être en mesure, d</w:t>
      </w:r>
      <w:r w:rsidR="008F70DE" w:rsidRPr="001E4C00">
        <w:rPr>
          <w:lang w:val="fr-FR"/>
        </w:rPr>
        <w:t>’</w:t>
      </w:r>
      <w:r w:rsidRPr="001E4C00">
        <w:rPr>
          <w:lang w:val="fr-FR"/>
        </w:rPr>
        <w:t>accomplir une action dans les délais prescrits, elles devraient, si possible, contacter le Centre d</w:t>
      </w:r>
      <w:r w:rsidR="008F70DE" w:rsidRPr="001E4C00">
        <w:rPr>
          <w:lang w:val="fr-FR"/>
        </w:rPr>
        <w:t>’</w:t>
      </w:r>
      <w:r w:rsidRPr="001E4C00">
        <w:rPr>
          <w:lang w:val="fr-FR"/>
        </w:rPr>
        <w:t>arbitrage et de médiation de l</w:t>
      </w:r>
      <w:r w:rsidR="008F70DE" w:rsidRPr="001E4C00">
        <w:rPr>
          <w:lang w:val="fr-FR"/>
        </w:rPr>
        <w:t>’</w:t>
      </w:r>
      <w:r w:rsidRPr="001E4C00">
        <w:rPr>
          <w:lang w:val="fr-FR"/>
        </w:rPr>
        <w:t>OMPI.</w:t>
      </w:r>
    </w:p>
    <w:p w:rsidR="001957C8" w:rsidRPr="001E4C00" w:rsidRDefault="001957C8" w:rsidP="007115E7">
      <w:pPr>
        <w:pStyle w:val="ONUMFS"/>
        <w:rPr>
          <w:lang w:val="fr-FR"/>
        </w:rPr>
      </w:pPr>
      <w:r w:rsidRPr="001E4C00">
        <w:rPr>
          <w:lang w:val="fr-FR"/>
        </w:rPr>
        <w:t>Les parties prenantes ukrainiennes peuvent également déposer des dossiers par voie électronique, notamment au moyen de formulaires électroniques, et les procédures peuvent être menées à distance grâce aux outils d</w:t>
      </w:r>
      <w:r w:rsidR="008F70DE" w:rsidRPr="001E4C00">
        <w:rPr>
          <w:lang w:val="fr-FR"/>
        </w:rPr>
        <w:t>’</w:t>
      </w:r>
      <w:r w:rsidRPr="001E4C00">
        <w:rPr>
          <w:lang w:val="fr-FR"/>
        </w:rPr>
        <w:t>administration des dossiers en ligne de l</w:t>
      </w:r>
      <w:r w:rsidR="008F70DE" w:rsidRPr="001E4C00">
        <w:rPr>
          <w:lang w:val="fr-FR"/>
        </w:rPr>
        <w:t>’</w:t>
      </w:r>
      <w:r w:rsidRPr="001E4C00">
        <w:rPr>
          <w:lang w:val="fr-FR"/>
        </w:rPr>
        <w:t>OMPI.</w:t>
      </w:r>
    </w:p>
    <w:p w:rsidR="001957C8" w:rsidRPr="001E4C00" w:rsidRDefault="001957C8" w:rsidP="007115E7">
      <w:pPr>
        <w:pStyle w:val="ONUMFS"/>
        <w:rPr>
          <w:lang w:val="fr-FR"/>
        </w:rPr>
      </w:pPr>
      <w:r w:rsidRPr="001E4C00">
        <w:rPr>
          <w:lang w:val="fr-FR"/>
        </w:rPr>
        <w:t>Dans le domaine des noms de domaine de l</w:t>
      </w:r>
      <w:r w:rsidR="008F70DE" w:rsidRPr="001E4C00">
        <w:rPr>
          <w:lang w:val="fr-FR"/>
        </w:rPr>
        <w:t>’</w:t>
      </w:r>
      <w:r w:rsidRPr="001E4C00">
        <w:rPr>
          <w:lang w:val="fr-FR"/>
        </w:rPr>
        <w:t>Internet, le Centre d</w:t>
      </w:r>
      <w:r w:rsidR="008F70DE" w:rsidRPr="001E4C00">
        <w:rPr>
          <w:lang w:val="fr-FR"/>
        </w:rPr>
        <w:t>’</w:t>
      </w:r>
      <w:r w:rsidRPr="001E4C00">
        <w:rPr>
          <w:lang w:val="fr-FR"/>
        </w:rPr>
        <w:t>arbitrage et de médiation de l</w:t>
      </w:r>
      <w:r w:rsidR="008F70DE" w:rsidRPr="001E4C00">
        <w:rPr>
          <w:lang w:val="fr-FR"/>
        </w:rPr>
        <w:t>’</w:t>
      </w:r>
      <w:r w:rsidRPr="001E4C00">
        <w:rPr>
          <w:lang w:val="fr-FR"/>
        </w:rPr>
        <w:t>OMPI est depuis 2019 l</w:t>
      </w:r>
      <w:r w:rsidR="008F70DE" w:rsidRPr="001E4C00">
        <w:rPr>
          <w:lang w:val="fr-FR"/>
        </w:rPr>
        <w:t>’</w:t>
      </w:r>
      <w:r w:rsidRPr="001E4C00">
        <w:rPr>
          <w:lang w:val="fr-FR"/>
        </w:rPr>
        <w:t>organe de règlement des litiges pour les domaines nationaux .UA, pour lesquels il a administré 66 dossiers à ce jo</w:t>
      </w:r>
      <w:r w:rsidR="00783939" w:rsidRPr="001E4C00">
        <w:rPr>
          <w:lang w:val="fr-FR"/>
        </w:rPr>
        <w:t>ur.  Le</w:t>
      </w:r>
      <w:r w:rsidRPr="001E4C00">
        <w:rPr>
          <w:lang w:val="fr-FR"/>
        </w:rPr>
        <w:t xml:space="preserve"> Centre de l</w:t>
      </w:r>
      <w:r w:rsidR="008F70DE" w:rsidRPr="001E4C00">
        <w:rPr>
          <w:lang w:val="fr-FR"/>
        </w:rPr>
        <w:t>’</w:t>
      </w:r>
      <w:r w:rsidRPr="001E4C00">
        <w:rPr>
          <w:lang w:val="fr-FR"/>
        </w:rPr>
        <w:t>OMPI maintient des consultations appropriées avec le registre .UA concernant la mise en œuvre de la politique .UA dans les circonstances actuell</w:t>
      </w:r>
      <w:r w:rsidR="00783939" w:rsidRPr="001E4C00">
        <w:rPr>
          <w:lang w:val="fr-FR"/>
        </w:rPr>
        <w:t>es.  Le</w:t>
      </w:r>
      <w:r w:rsidRPr="001E4C00">
        <w:rPr>
          <w:lang w:val="fr-FR"/>
        </w:rPr>
        <w:t xml:space="preserve"> Centre d</w:t>
      </w:r>
      <w:r w:rsidR="008F70DE" w:rsidRPr="001E4C00">
        <w:rPr>
          <w:lang w:val="fr-FR"/>
        </w:rPr>
        <w:t>’</w:t>
      </w:r>
      <w:r w:rsidRPr="001E4C00">
        <w:rPr>
          <w:lang w:val="fr-FR"/>
        </w:rPr>
        <w:t>arbitrage et de médiation de l</w:t>
      </w:r>
      <w:r w:rsidR="008F70DE" w:rsidRPr="001E4C00">
        <w:rPr>
          <w:lang w:val="fr-FR"/>
        </w:rPr>
        <w:t>’</w:t>
      </w:r>
      <w:r w:rsidRPr="001E4C00">
        <w:rPr>
          <w:lang w:val="fr-FR"/>
        </w:rPr>
        <w:t>OMPI a également administré</w:t>
      </w:r>
      <w:r w:rsidR="00E24772" w:rsidRPr="001E4C00">
        <w:rPr>
          <w:lang w:val="fr-FR"/>
        </w:rPr>
        <w:t>,</w:t>
      </w:r>
      <w:r w:rsidRPr="001E4C00">
        <w:rPr>
          <w:lang w:val="fr-FR"/>
        </w:rPr>
        <w:t xml:space="preserve"> </w:t>
      </w:r>
      <w:r w:rsidR="00E24772" w:rsidRPr="001E4C00">
        <w:rPr>
          <w:lang w:val="fr-FR"/>
        </w:rPr>
        <w:t xml:space="preserve">en se fondant sur les principes UDRP, </w:t>
      </w:r>
      <w:r w:rsidRPr="001E4C00">
        <w:rPr>
          <w:lang w:val="fr-FR"/>
        </w:rPr>
        <w:t>548 litiges impliquant des parties ukrainiennes.</w:t>
      </w:r>
    </w:p>
    <w:p w:rsidR="001957C8" w:rsidRPr="001E4C00" w:rsidRDefault="00F27B3E" w:rsidP="00F27B3E">
      <w:pPr>
        <w:pStyle w:val="Heading1"/>
        <w:ind w:left="567" w:hanging="567"/>
        <w:rPr>
          <w:lang w:val="fr-FR"/>
        </w:rPr>
      </w:pPr>
      <w:r w:rsidRPr="001E4C00">
        <w:rPr>
          <w:lang w:val="fr-FR"/>
        </w:rPr>
        <w:t>Conclusion</w:t>
      </w:r>
    </w:p>
    <w:p w:rsidR="001957C8" w:rsidRPr="001E4C00" w:rsidRDefault="00E24772" w:rsidP="007115E7">
      <w:pPr>
        <w:pStyle w:val="ONUMFS"/>
        <w:rPr>
          <w:lang w:val="fr-FR"/>
        </w:rPr>
      </w:pPr>
      <w:r w:rsidRPr="001E4C00">
        <w:rPr>
          <w:lang w:val="fr-FR"/>
        </w:rPr>
        <w:t xml:space="preserve">Selon </w:t>
      </w:r>
      <w:r w:rsidR="001957C8" w:rsidRPr="001E4C00">
        <w:rPr>
          <w:lang w:val="fr-FR"/>
        </w:rPr>
        <w:t>l</w:t>
      </w:r>
      <w:r w:rsidR="008F70DE" w:rsidRPr="001E4C00">
        <w:rPr>
          <w:lang w:val="fr-FR"/>
        </w:rPr>
        <w:t>’</w:t>
      </w:r>
      <w:r w:rsidR="001957C8" w:rsidRPr="001E4C00">
        <w:rPr>
          <w:lang w:val="fr-FR"/>
        </w:rPr>
        <w:t xml:space="preserve">évaluation </w:t>
      </w:r>
      <w:r w:rsidRPr="001E4C00">
        <w:rPr>
          <w:lang w:val="fr-FR"/>
        </w:rPr>
        <w:t>effectuée</w:t>
      </w:r>
      <w:r w:rsidR="001957C8" w:rsidRPr="001E4C00">
        <w:rPr>
          <w:lang w:val="fr-FR"/>
        </w:rPr>
        <w:t>, les preuves empiriques</w:t>
      </w:r>
      <w:r w:rsidRPr="001E4C00">
        <w:rPr>
          <w:lang w:val="fr-FR"/>
        </w:rPr>
        <w:t xml:space="preserve"> et </w:t>
      </w:r>
      <w:r w:rsidR="001957C8" w:rsidRPr="001E4C00">
        <w:rPr>
          <w:lang w:val="fr-FR"/>
        </w:rPr>
        <w:t>statistiques fournies par les personnes interrogées montrent que la guerre a eu des répercussions significatives sur le secteur et l</w:t>
      </w:r>
      <w:r w:rsidR="008F70DE" w:rsidRPr="001E4C00">
        <w:rPr>
          <w:lang w:val="fr-FR"/>
        </w:rPr>
        <w:t>’</w:t>
      </w:r>
      <w:r w:rsidR="001957C8" w:rsidRPr="001E4C00">
        <w:rPr>
          <w:lang w:val="fr-FR"/>
        </w:rPr>
        <w:t>écosystème de l</w:t>
      </w:r>
      <w:r w:rsidR="008F70DE" w:rsidRPr="001E4C00">
        <w:rPr>
          <w:lang w:val="fr-FR"/>
        </w:rPr>
        <w:t>’</w:t>
      </w:r>
      <w:r w:rsidR="001957C8" w:rsidRPr="001E4C00">
        <w:rPr>
          <w:lang w:val="fr-FR"/>
        </w:rPr>
        <w:t>innovation et de la créativité en Ukraine.</w:t>
      </w:r>
    </w:p>
    <w:p w:rsidR="001957C8" w:rsidRPr="001E4C00" w:rsidRDefault="001957C8" w:rsidP="007115E7">
      <w:pPr>
        <w:pStyle w:val="ONUMFS"/>
        <w:rPr>
          <w:lang w:val="fr-FR"/>
        </w:rPr>
      </w:pPr>
      <w:r w:rsidRPr="001E4C00">
        <w:rPr>
          <w:lang w:val="fr-FR"/>
        </w:rPr>
        <w:t>Le Bureau international reste déterminé à poursuivre sa coopération étroite avec l</w:t>
      </w:r>
      <w:r w:rsidR="008F70DE" w:rsidRPr="001E4C00">
        <w:rPr>
          <w:lang w:val="fr-FR"/>
        </w:rPr>
        <w:t>’</w:t>
      </w:r>
      <w:r w:rsidRPr="001E4C00">
        <w:rPr>
          <w:lang w:val="fr-FR"/>
        </w:rPr>
        <w:t>Ukraine afin de s</w:t>
      </w:r>
      <w:r w:rsidR="008F70DE" w:rsidRPr="001E4C00">
        <w:rPr>
          <w:lang w:val="fr-FR"/>
        </w:rPr>
        <w:t>’</w:t>
      </w:r>
      <w:r w:rsidRPr="001E4C00">
        <w:rPr>
          <w:lang w:val="fr-FR"/>
        </w:rPr>
        <w:t>assurer que son soutien et son assistance continus apportent des avantages et un impact concrets aux créateurs, aux innovateurs et aux membres de la communauté de la propriété intellectuelle, en se concentrant sur l</w:t>
      </w:r>
      <w:r w:rsidR="008F70DE" w:rsidRPr="001E4C00">
        <w:rPr>
          <w:lang w:val="fr-FR"/>
        </w:rPr>
        <w:t>’</w:t>
      </w:r>
      <w:r w:rsidRPr="001E4C00">
        <w:rPr>
          <w:lang w:val="fr-FR"/>
        </w:rPr>
        <w:t>atténuation des effets négatifs de la guerre et la reconstruction d</w:t>
      </w:r>
      <w:r w:rsidR="008F70DE" w:rsidRPr="001E4C00">
        <w:rPr>
          <w:lang w:val="fr-FR"/>
        </w:rPr>
        <w:t>’</w:t>
      </w:r>
      <w:r w:rsidRPr="001E4C00">
        <w:rPr>
          <w:lang w:val="fr-FR"/>
        </w:rPr>
        <w:t>un écosystème innovant et créatif en Ukraine qui profite à toutes les parties prenantes et renforce l</w:t>
      </w:r>
      <w:r w:rsidR="008F70DE" w:rsidRPr="001E4C00">
        <w:rPr>
          <w:lang w:val="fr-FR"/>
        </w:rPr>
        <w:t>’</w:t>
      </w:r>
      <w:r w:rsidRPr="001E4C00">
        <w:rPr>
          <w:lang w:val="fr-FR"/>
        </w:rPr>
        <w:t>économie du pays.</w:t>
      </w:r>
    </w:p>
    <w:p w:rsidR="001957C8" w:rsidRPr="001E4C00" w:rsidRDefault="001957C8" w:rsidP="007115E7">
      <w:pPr>
        <w:pStyle w:val="ONUMFS"/>
        <w:rPr>
          <w:lang w:val="fr-FR"/>
        </w:rPr>
      </w:pPr>
      <w:r w:rsidRPr="001E4C00">
        <w:rPr>
          <w:lang w:val="fr-FR"/>
        </w:rPr>
        <w:t xml:space="preserve">Le Bureau international reste également </w:t>
      </w:r>
      <w:r w:rsidR="00E24772" w:rsidRPr="001E4C00">
        <w:rPr>
          <w:lang w:val="fr-FR"/>
        </w:rPr>
        <w:t xml:space="preserve">disposé </w:t>
      </w:r>
      <w:r w:rsidRPr="001E4C00">
        <w:rPr>
          <w:lang w:val="fr-FR"/>
        </w:rPr>
        <w:t>à fournir toute information supplémentaire demandée par les États membres.</w:t>
      </w:r>
    </w:p>
    <w:p w:rsidR="000F5E56" w:rsidRPr="001E4C00" w:rsidRDefault="001957C8" w:rsidP="007115E7">
      <w:pPr>
        <w:pStyle w:val="Endofdocument-Annex"/>
        <w:rPr>
          <w:lang w:val="fr-FR"/>
        </w:rPr>
      </w:pPr>
      <w:r w:rsidRPr="001E4C00">
        <w:rPr>
          <w:lang w:val="fr-FR"/>
        </w:rPr>
        <w:t>[Fin du document]</w:t>
      </w:r>
    </w:p>
    <w:sectPr w:rsidR="000F5E56" w:rsidRPr="001E4C00" w:rsidSect="001957C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5E" w:rsidRDefault="002F695E">
      <w:r>
        <w:separator/>
      </w:r>
    </w:p>
  </w:endnote>
  <w:endnote w:type="continuationSeparator" w:id="0">
    <w:p w:rsidR="002F695E" w:rsidRPr="009D30E6" w:rsidRDefault="002F695E" w:rsidP="00D45252">
      <w:pPr>
        <w:rPr>
          <w:sz w:val="17"/>
          <w:szCs w:val="17"/>
        </w:rPr>
      </w:pPr>
      <w:r w:rsidRPr="009D30E6">
        <w:rPr>
          <w:sz w:val="17"/>
          <w:szCs w:val="17"/>
        </w:rPr>
        <w:separator/>
      </w:r>
    </w:p>
    <w:p w:rsidR="002F695E" w:rsidRPr="009D30E6" w:rsidRDefault="002F695E" w:rsidP="00D45252">
      <w:pPr>
        <w:spacing w:after="60"/>
        <w:rPr>
          <w:sz w:val="17"/>
          <w:szCs w:val="17"/>
        </w:rPr>
      </w:pPr>
      <w:r w:rsidRPr="009D30E6">
        <w:rPr>
          <w:sz w:val="17"/>
          <w:szCs w:val="17"/>
        </w:rPr>
        <w:t>[Suite de la note de la page précédente]</w:t>
      </w:r>
    </w:p>
  </w:endnote>
  <w:endnote w:type="continuationNotice" w:id="1">
    <w:p w:rsidR="002F695E" w:rsidRPr="009D30E6" w:rsidRDefault="002F695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0F" w:rsidRDefault="00F42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0F" w:rsidRDefault="00F42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0F" w:rsidRDefault="00F4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5E" w:rsidRDefault="002F695E">
      <w:r>
        <w:separator/>
      </w:r>
    </w:p>
  </w:footnote>
  <w:footnote w:type="continuationSeparator" w:id="0">
    <w:p w:rsidR="002F695E" w:rsidRDefault="002F695E" w:rsidP="007461F1">
      <w:r>
        <w:separator/>
      </w:r>
    </w:p>
    <w:p w:rsidR="002F695E" w:rsidRPr="009D30E6" w:rsidRDefault="002F695E" w:rsidP="007461F1">
      <w:pPr>
        <w:spacing w:after="60"/>
        <w:rPr>
          <w:sz w:val="17"/>
          <w:szCs w:val="17"/>
        </w:rPr>
      </w:pPr>
      <w:r w:rsidRPr="009D30E6">
        <w:rPr>
          <w:sz w:val="17"/>
          <w:szCs w:val="17"/>
        </w:rPr>
        <w:t>[Suite de la note de la page précédente]</w:t>
      </w:r>
    </w:p>
  </w:footnote>
  <w:footnote w:type="continuationNotice" w:id="1">
    <w:p w:rsidR="002F695E" w:rsidRPr="009D30E6" w:rsidRDefault="002F695E" w:rsidP="007461F1">
      <w:pPr>
        <w:spacing w:before="60"/>
        <w:jc w:val="right"/>
        <w:rPr>
          <w:sz w:val="17"/>
          <w:szCs w:val="17"/>
        </w:rPr>
      </w:pPr>
      <w:r w:rsidRPr="009D30E6">
        <w:rPr>
          <w:sz w:val="17"/>
          <w:szCs w:val="17"/>
        </w:rPr>
        <w:t>[Suite de la note page suivante]</w:t>
      </w:r>
    </w:p>
  </w:footnote>
  <w:footnote w:id="2">
    <w:p w:rsidR="002F695E" w:rsidRPr="004740F9" w:rsidRDefault="002F695E" w:rsidP="003C675C">
      <w:pPr>
        <w:pStyle w:val="FootnoteText"/>
        <w:tabs>
          <w:tab w:val="left" w:pos="567"/>
        </w:tabs>
      </w:pPr>
      <w:r>
        <w:rPr>
          <w:rStyle w:val="FootnoteReference"/>
        </w:rPr>
        <w:footnoteRef/>
      </w:r>
      <w:r>
        <w:t xml:space="preserve"> </w:t>
      </w:r>
      <w:r>
        <w:tab/>
        <w:t>Voir Banque mondiale (2023).  “</w:t>
      </w:r>
      <w:hyperlink r:id="rId1" w:history="1">
        <w:r>
          <w:rPr>
            <w:rStyle w:val="Hyperlink1"/>
          </w:rPr>
          <w:t xml:space="preserve">Ukraine Rapid Damage and </w:t>
        </w:r>
        <w:proofErr w:type="spellStart"/>
        <w:r>
          <w:rPr>
            <w:rStyle w:val="Hyperlink1"/>
          </w:rPr>
          <w:t>Needs</w:t>
        </w:r>
        <w:proofErr w:type="spellEnd"/>
        <w:r>
          <w:rPr>
            <w:rStyle w:val="Hyperlink1"/>
          </w:rPr>
          <w:t xml:space="preserve"> </w:t>
        </w:r>
        <w:proofErr w:type="spellStart"/>
        <w:r>
          <w:rPr>
            <w:rStyle w:val="Hyperlink1"/>
          </w:rPr>
          <w:t>Assessment</w:t>
        </w:r>
        <w:proofErr w:type="spellEnd"/>
        <w:r>
          <w:rPr>
            <w:rStyle w:val="Hyperlink1"/>
          </w:rPr>
          <w:t>:</w:t>
        </w:r>
      </w:hyperlink>
      <w:hyperlink r:id="rId2" w:history="1">
        <w:r>
          <w:rPr>
            <w:rStyle w:val="Hyperlink1"/>
          </w:rPr>
          <w:t xml:space="preserve"> </w:t>
        </w:r>
        <w:proofErr w:type="spellStart"/>
        <w:r>
          <w:rPr>
            <w:rStyle w:val="Hyperlink1"/>
          </w:rPr>
          <w:t>February</w:t>
        </w:r>
        <w:proofErr w:type="spellEnd"/>
        <w:r>
          <w:rPr>
            <w:rStyle w:val="Hyperlink1"/>
          </w:rPr>
          <w:t xml:space="preserve"> 2022 to </w:t>
        </w:r>
        <w:proofErr w:type="spellStart"/>
        <w:r>
          <w:rPr>
            <w:rStyle w:val="Hyperlink1"/>
          </w:rPr>
          <w:t>February</w:t>
        </w:r>
        <w:proofErr w:type="spellEnd"/>
        <w:r>
          <w:rPr>
            <w:rStyle w:val="Hyperlink1"/>
          </w:rPr>
          <w:t xml:space="preserve"> 2023</w:t>
        </w:r>
      </w:hyperlink>
      <w:r>
        <w:t>”</w:t>
      </w:r>
      <w:r w:rsidR="00F42D0F">
        <w:t xml:space="preserve"> (</w:t>
      </w:r>
      <w:r>
        <w:t>Washington, DC</w:t>
      </w:r>
      <w:r w:rsidR="00287EBE">
        <w:t> :</w:t>
      </w:r>
      <w:r>
        <w:t xml:space="preserve"> La Banque mondiale</w:t>
      </w:r>
      <w:r w:rsidR="00F42D0F">
        <w:t>)</w:t>
      </w:r>
      <w:r>
        <w:t>.</w:t>
      </w:r>
    </w:p>
  </w:footnote>
  <w:footnote w:id="3">
    <w:p w:rsidR="002F695E" w:rsidRPr="004740F9" w:rsidRDefault="002F695E" w:rsidP="003C675C">
      <w:pPr>
        <w:pStyle w:val="FootnoteText"/>
        <w:tabs>
          <w:tab w:val="left" w:pos="567"/>
        </w:tabs>
      </w:pPr>
      <w:r>
        <w:rPr>
          <w:rStyle w:val="FootnoteReference"/>
        </w:rPr>
        <w:footnoteRef/>
      </w:r>
      <w:r>
        <w:t xml:space="preserve"> </w:t>
      </w:r>
      <w:r>
        <w:tab/>
        <w:t xml:space="preserve">Voir </w:t>
      </w:r>
      <w:hyperlink r:id="rId3" w:history="1">
        <w:r>
          <w:rPr>
            <w:rStyle w:val="Hyperlink1"/>
          </w:rPr>
          <w:t>IMF Country Report No. 23/132</w:t>
        </w:r>
      </w:hyperlink>
      <w:r>
        <w:t>, mars 2023.</w:t>
      </w:r>
    </w:p>
  </w:footnote>
  <w:footnote w:id="4">
    <w:p w:rsidR="002F695E" w:rsidRPr="004740F9" w:rsidRDefault="002F695E" w:rsidP="003C675C">
      <w:pPr>
        <w:pStyle w:val="FootnoteText"/>
        <w:tabs>
          <w:tab w:val="left" w:pos="567"/>
        </w:tabs>
        <w:rPr>
          <w:szCs w:val="18"/>
        </w:rPr>
      </w:pPr>
      <w:r>
        <w:rPr>
          <w:rStyle w:val="FootnoteReference"/>
          <w:szCs w:val="18"/>
        </w:rPr>
        <w:footnoteRef/>
      </w:r>
      <w:r>
        <w:t xml:space="preserve"> </w:t>
      </w:r>
      <w:r>
        <w:tab/>
        <w:t>Données statistiques fournies par le Ministère ukrainien de l</w:t>
      </w:r>
      <w:r w:rsidR="00287EBE">
        <w:t>’</w:t>
      </w:r>
      <w:r>
        <w:t>éducation et des sciences.</w:t>
      </w:r>
    </w:p>
  </w:footnote>
  <w:footnote w:id="5">
    <w:p w:rsidR="002F695E" w:rsidRPr="004740F9" w:rsidRDefault="002F695E" w:rsidP="003C675C">
      <w:pPr>
        <w:pStyle w:val="FootnoteText"/>
        <w:tabs>
          <w:tab w:val="left" w:pos="567"/>
        </w:tabs>
        <w:rPr>
          <w:szCs w:val="18"/>
        </w:rPr>
      </w:pPr>
      <w:r>
        <w:rPr>
          <w:rStyle w:val="FootnoteReference"/>
          <w:szCs w:val="18"/>
        </w:rPr>
        <w:footnoteRef/>
      </w:r>
      <w:r>
        <w:t xml:space="preserve"> </w:t>
      </w:r>
      <w:r>
        <w:tab/>
      </w:r>
      <w:hyperlink r:id="rId4" w:history="1">
        <w:r>
          <w:rPr>
            <w:rStyle w:val="Hyperlink1"/>
            <w:shd w:val="clear" w:color="auto" w:fill="FFFFFF"/>
          </w:rPr>
          <w:t>http://documents.worldbank.org/curated/en/099184503212328877/P1801740d1177f03c0ab180057556615497</w:t>
        </w:r>
      </w:hyperlink>
    </w:p>
  </w:footnote>
  <w:footnote w:id="6">
    <w:p w:rsidR="002F695E" w:rsidRPr="004740F9" w:rsidRDefault="002F695E" w:rsidP="003C675C">
      <w:pPr>
        <w:pStyle w:val="FootnoteText"/>
        <w:tabs>
          <w:tab w:val="left" w:pos="567"/>
        </w:tabs>
        <w:rPr>
          <w:szCs w:val="18"/>
        </w:rPr>
      </w:pPr>
      <w:r>
        <w:rPr>
          <w:rStyle w:val="FootnoteReference"/>
          <w:szCs w:val="18"/>
        </w:rPr>
        <w:footnoteRef/>
      </w:r>
      <w:r>
        <w:t xml:space="preserve"> </w:t>
      </w:r>
      <w:r>
        <w:tab/>
        <w:t>Informations fournies par le Ministère ukrainien de l</w:t>
      </w:r>
      <w:r w:rsidR="00287EBE">
        <w:t>’</w:t>
      </w:r>
      <w:r>
        <w:t>éducation et des sciences.</w:t>
      </w:r>
    </w:p>
  </w:footnote>
  <w:footnote w:id="7">
    <w:p w:rsidR="002F695E" w:rsidRPr="00977170" w:rsidRDefault="002F695E" w:rsidP="003C675C">
      <w:pPr>
        <w:pStyle w:val="FootnoteText"/>
        <w:tabs>
          <w:tab w:val="left" w:pos="567"/>
        </w:tabs>
        <w:rPr>
          <w:szCs w:val="18"/>
        </w:rPr>
      </w:pPr>
      <w:r>
        <w:rPr>
          <w:rStyle w:val="FootnoteReference"/>
          <w:szCs w:val="18"/>
        </w:rPr>
        <w:footnoteRef/>
      </w:r>
      <w:r>
        <w:t xml:space="preserve"> </w:t>
      </w:r>
      <w:r>
        <w:tab/>
        <w:t>Informations fournies par l</w:t>
      </w:r>
      <w:r w:rsidR="00287EBE">
        <w:t>’</w:t>
      </w:r>
      <w:r>
        <w:t>Académie nationale des sciences d</w:t>
      </w:r>
      <w:r w:rsidR="00287EBE">
        <w:t>’</w:t>
      </w:r>
      <w:r>
        <w:t>Ukraine.</w:t>
      </w:r>
    </w:p>
  </w:footnote>
  <w:footnote w:id="8">
    <w:p w:rsidR="002F695E" w:rsidRPr="004740F9" w:rsidRDefault="002F695E" w:rsidP="003C675C">
      <w:pPr>
        <w:pStyle w:val="FootnoteText"/>
        <w:tabs>
          <w:tab w:val="left" w:pos="567"/>
        </w:tabs>
        <w:rPr>
          <w:szCs w:val="18"/>
        </w:rPr>
      </w:pPr>
      <w:r>
        <w:rPr>
          <w:rStyle w:val="FootnoteReference"/>
          <w:szCs w:val="18"/>
        </w:rPr>
        <w:footnoteRef/>
      </w:r>
      <w:r>
        <w:t xml:space="preserve"> </w:t>
      </w:r>
      <w:r>
        <w:tab/>
      </w:r>
      <w:hyperlink r:id="rId5" w:tgtFrame="_blank" w:history="1">
        <w:r w:rsidRPr="003E0086">
          <w:rPr>
            <w:rStyle w:val="Hyperlink1"/>
            <w:shd w:val="clear" w:color="auto" w:fill="FFFFFF"/>
          </w:rPr>
          <w:t>https://www.unesco.org/en/articles/damaged</w:t>
        </w:r>
        <w:r w:rsidR="00287EBE">
          <w:rPr>
            <w:rStyle w:val="Hyperlink1"/>
            <w:shd w:val="clear" w:color="auto" w:fill="FFFFFF"/>
          </w:rPr>
          <w:t>-</w:t>
        </w:r>
        <w:r w:rsidRPr="003E0086">
          <w:rPr>
            <w:rStyle w:val="Hyperlink1"/>
            <w:shd w:val="clear" w:color="auto" w:fill="FFFFFF"/>
          </w:rPr>
          <w:t>cultural</w:t>
        </w:r>
        <w:r w:rsidR="00287EBE">
          <w:rPr>
            <w:rStyle w:val="Hyperlink1"/>
            <w:shd w:val="clear" w:color="auto" w:fill="FFFFFF"/>
          </w:rPr>
          <w:t>-</w:t>
        </w:r>
        <w:r w:rsidRPr="003E0086">
          <w:rPr>
            <w:rStyle w:val="Hyperlink1"/>
            <w:shd w:val="clear" w:color="auto" w:fill="FFFFFF"/>
          </w:rPr>
          <w:t>sites</w:t>
        </w:r>
        <w:r w:rsidR="00287EBE">
          <w:rPr>
            <w:rStyle w:val="Hyperlink1"/>
            <w:shd w:val="clear" w:color="auto" w:fill="FFFFFF"/>
          </w:rPr>
          <w:t>-</w:t>
        </w:r>
        <w:r w:rsidRPr="003E0086">
          <w:rPr>
            <w:rStyle w:val="Hyperlink1"/>
            <w:shd w:val="clear" w:color="auto" w:fill="FFFFFF"/>
          </w:rPr>
          <w:t>ukraine</w:t>
        </w:r>
        <w:r w:rsidR="00287EBE">
          <w:rPr>
            <w:rStyle w:val="Hyperlink1"/>
            <w:shd w:val="clear" w:color="auto" w:fill="FFFFFF"/>
          </w:rPr>
          <w:t>-</w:t>
        </w:r>
        <w:r w:rsidRPr="003E0086">
          <w:rPr>
            <w:rStyle w:val="Hyperlink1"/>
            <w:shd w:val="clear" w:color="auto" w:fill="FFFFFF"/>
          </w:rPr>
          <w:t>verified</w:t>
        </w:r>
        <w:r w:rsidR="00287EBE">
          <w:rPr>
            <w:rStyle w:val="Hyperlink1"/>
            <w:shd w:val="clear" w:color="auto" w:fill="FFFFFF"/>
          </w:rPr>
          <w:t>-</w:t>
        </w:r>
        <w:r w:rsidRPr="003E0086">
          <w:rPr>
            <w:rStyle w:val="Hyperlink1"/>
            <w:shd w:val="clear" w:color="auto" w:fill="FFFFFF"/>
          </w:rPr>
          <w:t>unesco?hub=66116</w:t>
        </w:r>
      </w:hyperlink>
      <w:r w:rsidRPr="003E0086">
        <w:rPr>
          <w:rStyle w:val="Hyperlink1"/>
          <w:shd w:val="clear" w:color="auto" w:fill="FFFFFF"/>
        </w:rPr>
        <w:t xml:space="preserve"> (consulté en avril 2023)</w:t>
      </w:r>
      <w:r w:rsidRPr="003C675C">
        <w:rPr>
          <w:rStyle w:val="Hyperlink1"/>
          <w:color w:val="auto"/>
          <w:u w:val="none"/>
          <w:shd w:val="clear" w:color="auto" w:fill="FFFFFF"/>
        </w:rPr>
        <w:t>.</w:t>
      </w:r>
    </w:p>
  </w:footnote>
  <w:footnote w:id="9">
    <w:p w:rsidR="002F695E" w:rsidRPr="004740F9" w:rsidRDefault="002F695E" w:rsidP="003C675C">
      <w:pPr>
        <w:pStyle w:val="FootnoteText"/>
        <w:tabs>
          <w:tab w:val="left" w:pos="567"/>
        </w:tabs>
      </w:pPr>
      <w:r>
        <w:rPr>
          <w:rStyle w:val="FootnoteReference"/>
          <w:szCs w:val="18"/>
        </w:rPr>
        <w:footnoteRef/>
      </w:r>
      <w:r>
        <w:t xml:space="preserve"> </w:t>
      </w:r>
      <w:r>
        <w:tab/>
        <w:t>École d</w:t>
      </w:r>
      <w:r w:rsidR="00287EBE">
        <w:t>’</w:t>
      </w:r>
      <w:r>
        <w:t>économie de Kiev.  Les dommages causés par la destruction des sites culturels et religieux pendant la guerre ont dépassé 1,5 milliard de dollars É.</w:t>
      </w:r>
      <w:r w:rsidR="00287EBE">
        <w:t>-</w:t>
      </w:r>
      <w:r>
        <w:t xml:space="preserve">U., 16/03/2023 </w:t>
      </w:r>
      <w:hyperlink r:id="rId6" w:history="1">
        <w:r>
          <w:rPr>
            <w:rStyle w:val="Hyperlink1"/>
          </w:rPr>
          <w:t>https://kse.ua/about</w:t>
        </w:r>
        <w:r w:rsidR="00287EBE">
          <w:rPr>
            <w:rStyle w:val="Hyperlink1"/>
          </w:rPr>
          <w:t>-</w:t>
        </w:r>
        <w:r>
          <w:rPr>
            <w:rStyle w:val="Hyperlink1"/>
          </w:rPr>
          <w:t>the</w:t>
        </w:r>
        <w:r w:rsidR="00287EBE">
          <w:rPr>
            <w:rStyle w:val="Hyperlink1"/>
          </w:rPr>
          <w:t>-</w:t>
        </w:r>
        <w:r>
          <w:rPr>
            <w:rStyle w:val="Hyperlink1"/>
          </w:rPr>
          <w:t>school/news/the</w:t>
        </w:r>
        <w:r w:rsidR="00287EBE">
          <w:rPr>
            <w:rStyle w:val="Hyperlink1"/>
          </w:rPr>
          <w:t>-</w:t>
        </w:r>
        <w:r>
          <w:rPr>
            <w:rStyle w:val="Hyperlink1"/>
          </w:rPr>
          <w:t>damage</w:t>
        </w:r>
        <w:r w:rsidR="00287EBE">
          <w:rPr>
            <w:rStyle w:val="Hyperlink1"/>
          </w:rPr>
          <w:t>-</w:t>
        </w:r>
        <w:r>
          <w:rPr>
            <w:rStyle w:val="Hyperlink1"/>
          </w:rPr>
          <w:t>from</w:t>
        </w:r>
        <w:r w:rsidR="00287EBE">
          <w:rPr>
            <w:rStyle w:val="Hyperlink1"/>
          </w:rPr>
          <w:t>-</w:t>
        </w:r>
        <w:r>
          <w:rPr>
            <w:rStyle w:val="Hyperlink1"/>
          </w:rPr>
          <w:t>the</w:t>
        </w:r>
        <w:r w:rsidR="00287EBE">
          <w:rPr>
            <w:rStyle w:val="Hyperlink1"/>
          </w:rPr>
          <w:t>-</w:t>
        </w:r>
        <w:r>
          <w:rPr>
            <w:rStyle w:val="Hyperlink1"/>
          </w:rPr>
          <w:t>destruction</w:t>
        </w:r>
        <w:r w:rsidR="00287EBE">
          <w:rPr>
            <w:rStyle w:val="Hyperlink1"/>
          </w:rPr>
          <w:t>-</w:t>
        </w:r>
        <w:r>
          <w:rPr>
            <w:rStyle w:val="Hyperlink1"/>
          </w:rPr>
          <w:t>of</w:t>
        </w:r>
        <w:r w:rsidR="00287EBE">
          <w:rPr>
            <w:rStyle w:val="Hyperlink1"/>
          </w:rPr>
          <w:t>-</w:t>
        </w:r>
        <w:r>
          <w:rPr>
            <w:rStyle w:val="Hyperlink1"/>
          </w:rPr>
          <w:t>cultural</w:t>
        </w:r>
        <w:r w:rsidR="00287EBE">
          <w:rPr>
            <w:rStyle w:val="Hyperlink1"/>
          </w:rPr>
          <w:t>-</w:t>
        </w:r>
        <w:r>
          <w:rPr>
            <w:rStyle w:val="Hyperlink1"/>
          </w:rPr>
          <w:t>and</w:t>
        </w:r>
        <w:r w:rsidR="00287EBE">
          <w:rPr>
            <w:rStyle w:val="Hyperlink1"/>
          </w:rPr>
          <w:t>-</w:t>
        </w:r>
        <w:r>
          <w:rPr>
            <w:rStyle w:val="Hyperlink1"/>
          </w:rPr>
          <w:t>religious</w:t>
        </w:r>
        <w:r w:rsidR="00287EBE">
          <w:rPr>
            <w:rStyle w:val="Hyperlink1"/>
          </w:rPr>
          <w:t>-</w:t>
        </w:r>
        <w:r>
          <w:rPr>
            <w:rStyle w:val="Hyperlink1"/>
          </w:rPr>
          <w:t>sites</w:t>
        </w:r>
        <w:r w:rsidR="00287EBE">
          <w:rPr>
            <w:rStyle w:val="Hyperlink1"/>
          </w:rPr>
          <w:t>-</w:t>
        </w:r>
        <w:r>
          <w:rPr>
            <w:rStyle w:val="Hyperlink1"/>
          </w:rPr>
          <w:t>during</w:t>
        </w:r>
        <w:r w:rsidR="00287EBE">
          <w:rPr>
            <w:rStyle w:val="Hyperlink1"/>
          </w:rPr>
          <w:t>-</w:t>
        </w:r>
        <w:r>
          <w:rPr>
            <w:rStyle w:val="Hyperlink1"/>
          </w:rPr>
          <w:t>the</w:t>
        </w:r>
        <w:r w:rsidR="00287EBE">
          <w:rPr>
            <w:rStyle w:val="Hyperlink1"/>
          </w:rPr>
          <w:t>-</w:t>
        </w:r>
        <w:r>
          <w:rPr>
            <w:rStyle w:val="Hyperlink1"/>
          </w:rPr>
          <w:t>war</w:t>
        </w:r>
        <w:r w:rsidR="00287EBE">
          <w:rPr>
            <w:rStyle w:val="Hyperlink1"/>
          </w:rPr>
          <w:t>-</w:t>
        </w:r>
        <w:r>
          <w:rPr>
            <w:rStyle w:val="Hyperlink1"/>
          </w:rPr>
          <w:t>have</w:t>
        </w:r>
        <w:r w:rsidR="00287EBE">
          <w:rPr>
            <w:rStyle w:val="Hyperlink1"/>
          </w:rPr>
          <w:t>-</w:t>
        </w:r>
        <w:r>
          <w:rPr>
            <w:rStyle w:val="Hyperlink1"/>
          </w:rPr>
          <w:t>exceeded</w:t>
        </w:r>
        <w:r w:rsidR="00287EBE">
          <w:rPr>
            <w:rStyle w:val="Hyperlink1"/>
          </w:rPr>
          <w:t>-</w:t>
        </w:r>
        <w:r>
          <w:rPr>
            <w:rStyle w:val="Hyperlink1"/>
          </w:rPr>
          <w:t>1</w:t>
        </w:r>
        <w:r w:rsidR="00287EBE">
          <w:rPr>
            <w:rStyle w:val="Hyperlink1"/>
          </w:rPr>
          <w:t>-</w:t>
        </w:r>
        <w:r>
          <w:rPr>
            <w:rStyle w:val="Hyperlink1"/>
          </w:rPr>
          <w:t>5</w:t>
        </w:r>
        <w:r w:rsidR="00287EBE">
          <w:rPr>
            <w:rStyle w:val="Hyperlink1"/>
          </w:rPr>
          <w:t>-</w:t>
        </w:r>
        <w:r>
          <w:rPr>
            <w:rStyle w:val="Hyperlink1"/>
          </w:rPr>
          <w:t>billion/</w:t>
        </w:r>
      </w:hyperlink>
      <w:r w:rsidRPr="003C675C">
        <w:rPr>
          <w:rStyle w:val="Hyperlink1"/>
          <w:color w:val="auto"/>
          <w:u w:val="none"/>
        </w:rPr>
        <w:t>.</w:t>
      </w:r>
    </w:p>
  </w:footnote>
  <w:footnote w:id="10">
    <w:p w:rsidR="002F695E" w:rsidRPr="004740F9" w:rsidRDefault="002F695E" w:rsidP="003C675C">
      <w:pPr>
        <w:pStyle w:val="FootnoteText"/>
        <w:tabs>
          <w:tab w:val="left" w:pos="567"/>
        </w:tabs>
        <w:spacing w:line="240" w:lineRule="atLeast"/>
        <w:rPr>
          <w:szCs w:val="18"/>
        </w:rPr>
      </w:pPr>
      <w:r>
        <w:rPr>
          <w:rStyle w:val="FootnoteReference"/>
          <w:szCs w:val="18"/>
        </w:rPr>
        <w:footnoteRef/>
      </w:r>
      <w:r>
        <w:t xml:space="preserve"> </w:t>
      </w:r>
      <w:r>
        <w:tab/>
        <w:t>Informations fournies par le Ministère ukrainien de l</w:t>
      </w:r>
      <w:r w:rsidR="00287EBE">
        <w:t>’</w:t>
      </w:r>
      <w:r>
        <w:t>éducation et des sciences.</w:t>
      </w:r>
    </w:p>
  </w:footnote>
  <w:footnote w:id="11">
    <w:p w:rsidR="002F695E" w:rsidRPr="004740F9" w:rsidRDefault="002F695E" w:rsidP="003C675C">
      <w:pPr>
        <w:pStyle w:val="FootnoteText"/>
        <w:tabs>
          <w:tab w:val="left" w:pos="567"/>
        </w:tabs>
        <w:rPr>
          <w:szCs w:val="18"/>
        </w:rPr>
      </w:pPr>
      <w:r>
        <w:rPr>
          <w:rStyle w:val="FootnoteReference"/>
          <w:szCs w:val="18"/>
        </w:rPr>
        <w:footnoteRef/>
      </w:r>
      <w:r>
        <w:t xml:space="preserve"> </w:t>
      </w:r>
      <w:r>
        <w:tab/>
        <w:t>Informations fournies par le Ministère ukrainien de l</w:t>
      </w:r>
      <w:r w:rsidR="00287EBE">
        <w:t>’</w:t>
      </w:r>
      <w:r>
        <w:t>éducation et des sciences.</w:t>
      </w:r>
    </w:p>
  </w:footnote>
  <w:footnote w:id="12">
    <w:p w:rsidR="002F695E" w:rsidRPr="004740F9" w:rsidRDefault="002F695E" w:rsidP="003C675C">
      <w:pPr>
        <w:pStyle w:val="FootnoteText"/>
        <w:tabs>
          <w:tab w:val="left" w:pos="567"/>
        </w:tabs>
        <w:rPr>
          <w:szCs w:val="18"/>
        </w:rPr>
      </w:pPr>
      <w:r>
        <w:rPr>
          <w:rStyle w:val="FootnoteReference"/>
          <w:szCs w:val="18"/>
        </w:rPr>
        <w:footnoteRef/>
      </w:r>
      <w:r>
        <w:t xml:space="preserve"> </w:t>
      </w:r>
      <w:r>
        <w:tab/>
        <w:t>Informations fournies par l</w:t>
      </w:r>
      <w:r w:rsidR="00287EBE">
        <w:t>’</w:t>
      </w:r>
      <w:r>
        <w:t>Académie nationale des sciences d</w:t>
      </w:r>
      <w:r w:rsidR="00287EBE">
        <w:t>’</w:t>
      </w:r>
      <w:r>
        <w:t>Ukraine.</w:t>
      </w:r>
    </w:p>
  </w:footnote>
  <w:footnote w:id="13">
    <w:p w:rsidR="002F695E" w:rsidRPr="00977170" w:rsidRDefault="002F695E" w:rsidP="003C675C">
      <w:pPr>
        <w:pStyle w:val="FootnoteText"/>
        <w:tabs>
          <w:tab w:val="left" w:pos="567"/>
        </w:tabs>
        <w:rPr>
          <w:szCs w:val="18"/>
        </w:rPr>
      </w:pPr>
      <w:r>
        <w:rPr>
          <w:rStyle w:val="FootnoteReference"/>
          <w:szCs w:val="18"/>
        </w:rPr>
        <w:footnoteRef/>
      </w:r>
      <w:r>
        <w:t xml:space="preserve"> </w:t>
      </w:r>
      <w:r>
        <w:tab/>
        <w:t>Informations fournies par le Ministère ukrainien de la culture et de la politique de l</w:t>
      </w:r>
      <w:r w:rsidR="00287EBE">
        <w:t>’</w:t>
      </w:r>
      <w:r>
        <w:t>information.</w:t>
      </w:r>
    </w:p>
  </w:footnote>
  <w:footnote w:id="14">
    <w:p w:rsidR="002F695E" w:rsidRPr="00411948" w:rsidRDefault="002F695E" w:rsidP="003C675C">
      <w:pPr>
        <w:pStyle w:val="FootnoteText"/>
        <w:tabs>
          <w:tab w:val="left" w:pos="567"/>
        </w:tabs>
        <w:rPr>
          <w:szCs w:val="18"/>
        </w:rPr>
      </w:pPr>
      <w:r>
        <w:rPr>
          <w:rStyle w:val="FootnoteReference"/>
          <w:szCs w:val="18"/>
        </w:rPr>
        <w:footnoteRef/>
      </w:r>
      <w:r>
        <w:t xml:space="preserve"> </w:t>
      </w:r>
      <w:r>
        <w:tab/>
      </w:r>
      <w:hyperlink r:id="rId7" w:anchor=":~:text=SMEs%20in%20the%20national%20economy,legal%20enterprises%20and%20individual%20entrepreneurs" w:history="1">
        <w:r>
          <w:rPr>
            <w:rStyle w:val="Hyperlink1"/>
          </w:rPr>
          <w:t>https://www.oecd</w:t>
        </w:r>
        <w:r w:rsidR="00287EBE">
          <w:rPr>
            <w:rStyle w:val="Hyperlink1"/>
          </w:rPr>
          <w:t>-</w:t>
        </w:r>
        <w:r>
          <w:rPr>
            <w:rStyle w:val="Hyperlink1"/>
          </w:rPr>
          <w:t>ilibrary.org/sites/ae8c3c25</w:t>
        </w:r>
        <w:r w:rsidR="00287EBE">
          <w:rPr>
            <w:rStyle w:val="Hyperlink1"/>
          </w:rPr>
          <w:t>-</w:t>
        </w:r>
        <w:r>
          <w:rPr>
            <w:rStyle w:val="Hyperlink1"/>
          </w:rPr>
          <w:t>en/index.html?itemId=/content/component/ae8c3c25</w:t>
        </w:r>
        <w:r w:rsidR="00287EBE">
          <w:rPr>
            <w:rStyle w:val="Hyperlink1"/>
          </w:rPr>
          <w:t>-</w:t>
        </w:r>
        <w:r>
          <w:rPr>
            <w:rStyle w:val="Hyperlink1"/>
          </w:rPr>
          <w:t>en#:~:text=SMEs%20in%20the%20national%20economy,legal%20enterprises%20and%20individual%20entrepreneurs</w:t>
        </w:r>
      </w:hyperlink>
    </w:p>
  </w:footnote>
  <w:footnote w:id="15">
    <w:p w:rsidR="002F695E" w:rsidRPr="00411948" w:rsidRDefault="002F695E" w:rsidP="003C675C">
      <w:pPr>
        <w:pStyle w:val="FootnoteText"/>
        <w:tabs>
          <w:tab w:val="left" w:pos="567"/>
        </w:tabs>
        <w:rPr>
          <w:szCs w:val="18"/>
        </w:rPr>
      </w:pPr>
      <w:r>
        <w:rPr>
          <w:rStyle w:val="FootnoteReference"/>
          <w:szCs w:val="18"/>
        </w:rPr>
        <w:footnoteRef/>
      </w:r>
      <w:r>
        <w:t xml:space="preserve"> </w:t>
      </w:r>
      <w:r>
        <w:tab/>
      </w:r>
      <w:hyperlink r:id="rId8" w:history="1">
        <w:r>
          <w:rPr>
            <w:rStyle w:val="Hyperlink1"/>
          </w:rPr>
          <w:t>https://www.undp.org/ukraine/publications/rapid</w:t>
        </w:r>
        <w:r w:rsidR="00287EBE">
          <w:rPr>
            <w:rStyle w:val="Hyperlink1"/>
          </w:rPr>
          <w:t>-</w:t>
        </w:r>
        <w:r>
          <w:rPr>
            <w:rStyle w:val="Hyperlink1"/>
          </w:rPr>
          <w:t>assessment</w:t>
        </w:r>
        <w:r w:rsidR="00287EBE">
          <w:rPr>
            <w:rStyle w:val="Hyperlink1"/>
          </w:rPr>
          <w:t>-</w:t>
        </w:r>
        <w:r>
          <w:rPr>
            <w:rStyle w:val="Hyperlink1"/>
          </w:rPr>
          <w:t>wars</w:t>
        </w:r>
        <w:r w:rsidR="00287EBE">
          <w:rPr>
            <w:rStyle w:val="Hyperlink1"/>
          </w:rPr>
          <w:t>-</w:t>
        </w:r>
        <w:r>
          <w:rPr>
            <w:rStyle w:val="Hyperlink1"/>
          </w:rPr>
          <w:t>impact</w:t>
        </w:r>
        <w:r w:rsidR="00287EBE">
          <w:rPr>
            <w:rStyle w:val="Hyperlink1"/>
          </w:rPr>
          <w:t>-</w:t>
        </w:r>
        <w:r>
          <w:rPr>
            <w:rStyle w:val="Hyperlink1"/>
          </w:rPr>
          <w:t>micro</w:t>
        </w:r>
        <w:r w:rsidR="00287EBE">
          <w:rPr>
            <w:rStyle w:val="Hyperlink1"/>
          </w:rPr>
          <w:t>-</w:t>
        </w:r>
        <w:r>
          <w:rPr>
            <w:rStyle w:val="Hyperlink1"/>
          </w:rPr>
          <w:t>small</w:t>
        </w:r>
        <w:r w:rsidR="00287EBE">
          <w:rPr>
            <w:rStyle w:val="Hyperlink1"/>
          </w:rPr>
          <w:t>-</w:t>
        </w:r>
        <w:r>
          <w:rPr>
            <w:rStyle w:val="Hyperlink1"/>
          </w:rPr>
          <w:t>and</w:t>
        </w:r>
        <w:r w:rsidR="00287EBE">
          <w:rPr>
            <w:rStyle w:val="Hyperlink1"/>
          </w:rPr>
          <w:t>-</w:t>
        </w:r>
        <w:r>
          <w:rPr>
            <w:rStyle w:val="Hyperlink1"/>
          </w:rPr>
          <w:t>medium</w:t>
        </w:r>
        <w:r w:rsidR="00287EBE">
          <w:rPr>
            <w:rStyle w:val="Hyperlink1"/>
          </w:rPr>
          <w:t>-</w:t>
        </w:r>
        <w:r>
          <w:rPr>
            <w:rStyle w:val="Hyperlink1"/>
          </w:rPr>
          <w:t>enterprises</w:t>
        </w:r>
        <w:r w:rsidR="00287EBE">
          <w:rPr>
            <w:rStyle w:val="Hyperlink1"/>
          </w:rPr>
          <w:t>-</w:t>
        </w:r>
        <w:r>
          <w:rPr>
            <w:rStyle w:val="Hyperlink1"/>
          </w:rPr>
          <w:t>ukraine</w:t>
        </w:r>
      </w:hyperlink>
    </w:p>
  </w:footnote>
  <w:footnote w:id="16">
    <w:p w:rsidR="002F695E" w:rsidRPr="00411948" w:rsidRDefault="002F695E" w:rsidP="003C675C">
      <w:pPr>
        <w:pStyle w:val="FootnoteText"/>
        <w:tabs>
          <w:tab w:val="left" w:pos="567"/>
        </w:tabs>
        <w:rPr>
          <w:szCs w:val="18"/>
        </w:rPr>
      </w:pPr>
      <w:r>
        <w:rPr>
          <w:rStyle w:val="FootnoteReference"/>
          <w:szCs w:val="18"/>
        </w:rPr>
        <w:footnoteRef/>
      </w:r>
      <w:r>
        <w:t xml:space="preserve"> </w:t>
      </w:r>
      <w:r>
        <w:tab/>
      </w:r>
      <w:hyperlink r:id="rId9" w:history="1">
        <w:r>
          <w:rPr>
            <w:rStyle w:val="Hyperlink1"/>
          </w:rPr>
          <w:t>https://www.ebrd.com/news/2023/ebrd</w:t>
        </w:r>
        <w:r w:rsidR="00287EBE">
          <w:rPr>
            <w:rStyle w:val="Hyperlink1"/>
          </w:rPr>
          <w:t>-</w:t>
        </w:r>
        <w:r>
          <w:rPr>
            <w:rStyle w:val="Hyperlink1"/>
          </w:rPr>
          <w:t>usa</w:t>
        </w:r>
        <w:r w:rsidR="00287EBE">
          <w:rPr>
            <w:rStyle w:val="Hyperlink1"/>
          </w:rPr>
          <w:t>-</w:t>
        </w:r>
        <w:r>
          <w:rPr>
            <w:rStyle w:val="Hyperlink1"/>
          </w:rPr>
          <w:t>and</w:t>
        </w:r>
        <w:r w:rsidR="00287EBE">
          <w:rPr>
            <w:rStyle w:val="Hyperlink1"/>
          </w:rPr>
          <w:t>-</w:t>
        </w:r>
        <w:r>
          <w:rPr>
            <w:rStyle w:val="Hyperlink1"/>
          </w:rPr>
          <w:t>sweden</w:t>
        </w:r>
        <w:r w:rsidR="00287EBE">
          <w:rPr>
            <w:rStyle w:val="Hyperlink1"/>
          </w:rPr>
          <w:t>-</w:t>
        </w:r>
        <w:r>
          <w:rPr>
            <w:rStyle w:val="Hyperlink1"/>
          </w:rPr>
          <w:t>assess</w:t>
        </w:r>
        <w:r w:rsidR="00287EBE">
          <w:rPr>
            <w:rStyle w:val="Hyperlink1"/>
          </w:rPr>
          <w:t>-</w:t>
        </w:r>
        <w:r>
          <w:rPr>
            <w:rStyle w:val="Hyperlink1"/>
          </w:rPr>
          <w:t>impact</w:t>
        </w:r>
        <w:r w:rsidR="00287EBE">
          <w:rPr>
            <w:rStyle w:val="Hyperlink1"/>
          </w:rPr>
          <w:t>-</w:t>
        </w:r>
        <w:r>
          <w:rPr>
            <w:rStyle w:val="Hyperlink1"/>
          </w:rPr>
          <w:t>of</w:t>
        </w:r>
        <w:r w:rsidR="00287EBE">
          <w:rPr>
            <w:rStyle w:val="Hyperlink1"/>
          </w:rPr>
          <w:t>-</w:t>
        </w:r>
        <w:r>
          <w:rPr>
            <w:rStyle w:val="Hyperlink1"/>
          </w:rPr>
          <w:t>war</w:t>
        </w:r>
        <w:r w:rsidR="00287EBE">
          <w:rPr>
            <w:rStyle w:val="Hyperlink1"/>
          </w:rPr>
          <w:t>-</w:t>
        </w:r>
        <w:r>
          <w:rPr>
            <w:rStyle w:val="Hyperlink1"/>
          </w:rPr>
          <w:t>on</w:t>
        </w:r>
        <w:r w:rsidR="00287EBE">
          <w:rPr>
            <w:rStyle w:val="Hyperlink1"/>
          </w:rPr>
          <w:t>-</w:t>
        </w:r>
        <w:r>
          <w:rPr>
            <w:rStyle w:val="Hyperlink1"/>
          </w:rPr>
          <w:t>smes</w:t>
        </w:r>
        <w:r w:rsidR="00287EBE">
          <w:rPr>
            <w:rStyle w:val="Hyperlink1"/>
          </w:rPr>
          <w:t>-</w:t>
        </w:r>
        <w:r>
          <w:rPr>
            <w:rStyle w:val="Hyperlink1"/>
          </w:rPr>
          <w:t>in</w:t>
        </w:r>
        <w:r w:rsidR="00287EBE">
          <w:rPr>
            <w:rStyle w:val="Hyperlink1"/>
          </w:rPr>
          <w:t>-</w:t>
        </w:r>
        <w:r>
          <w:rPr>
            <w:rStyle w:val="Hyperlink1"/>
          </w:rPr>
          <w:t>ukraine.html</w:t>
        </w:r>
      </w:hyperlink>
    </w:p>
  </w:footnote>
  <w:footnote w:id="17">
    <w:p w:rsidR="002F695E" w:rsidRPr="003C675C" w:rsidRDefault="002F695E" w:rsidP="003C675C">
      <w:pPr>
        <w:rPr>
          <w:sz w:val="18"/>
          <w:szCs w:val="18"/>
        </w:rPr>
      </w:pPr>
      <w:r w:rsidRPr="003C675C">
        <w:rPr>
          <w:sz w:val="18"/>
          <w:szCs w:val="18"/>
          <w:vertAlign w:val="superscript"/>
        </w:rPr>
        <w:footnoteRef/>
      </w:r>
      <w:r w:rsidRPr="003C675C">
        <w:rPr>
          <w:sz w:val="18"/>
          <w:szCs w:val="18"/>
        </w:rPr>
        <w:t xml:space="preserve"> </w:t>
      </w:r>
      <w:r>
        <w:rPr>
          <w:sz w:val="18"/>
          <w:szCs w:val="18"/>
        </w:rPr>
        <w:tab/>
      </w:r>
      <w:hyperlink r:id="rId10" w:history="1">
        <w:r w:rsidRPr="003C675C">
          <w:rPr>
            <w:rStyle w:val="Hyperlink"/>
            <w:sz w:val="18"/>
            <w:szCs w:val="18"/>
          </w:rPr>
          <w:t>https://mon.gov.ua/ua/news/uryad</w:t>
        </w:r>
        <w:r w:rsidR="00287EBE">
          <w:rPr>
            <w:rStyle w:val="Hyperlink"/>
            <w:sz w:val="18"/>
            <w:szCs w:val="18"/>
          </w:rPr>
          <w:t>-</w:t>
        </w:r>
        <w:r w:rsidRPr="003C675C">
          <w:rPr>
            <w:rStyle w:val="Hyperlink"/>
            <w:sz w:val="18"/>
            <w:szCs w:val="18"/>
          </w:rPr>
          <w:t>onoviv</w:t>
        </w:r>
        <w:r w:rsidR="00287EBE">
          <w:rPr>
            <w:rStyle w:val="Hyperlink"/>
            <w:sz w:val="18"/>
            <w:szCs w:val="18"/>
          </w:rPr>
          <w:t>-</w:t>
        </w:r>
        <w:r w:rsidRPr="003C675C">
          <w:rPr>
            <w:rStyle w:val="Hyperlink"/>
            <w:sz w:val="18"/>
            <w:szCs w:val="18"/>
          </w:rPr>
          <w:t>perelik</w:t>
        </w:r>
        <w:r w:rsidR="00287EBE">
          <w:rPr>
            <w:rStyle w:val="Hyperlink"/>
            <w:sz w:val="18"/>
            <w:szCs w:val="18"/>
          </w:rPr>
          <w:t>-</w:t>
        </w:r>
        <w:r w:rsidRPr="003C675C">
          <w:rPr>
            <w:rStyle w:val="Hyperlink"/>
            <w:sz w:val="18"/>
            <w:szCs w:val="18"/>
          </w:rPr>
          <w:t>prioritetnih</w:t>
        </w:r>
        <w:r w:rsidR="00287EBE">
          <w:rPr>
            <w:rStyle w:val="Hyperlink"/>
            <w:sz w:val="18"/>
            <w:szCs w:val="18"/>
          </w:rPr>
          <w:t>-</w:t>
        </w:r>
        <w:r w:rsidRPr="003C675C">
          <w:rPr>
            <w:rStyle w:val="Hyperlink"/>
            <w:sz w:val="18"/>
            <w:szCs w:val="18"/>
          </w:rPr>
          <w:t>napryamiv</w:t>
        </w:r>
        <w:r w:rsidR="00287EBE">
          <w:rPr>
            <w:rStyle w:val="Hyperlink"/>
            <w:sz w:val="18"/>
            <w:szCs w:val="18"/>
          </w:rPr>
          <w:t>-</w:t>
        </w:r>
        <w:r w:rsidRPr="003C675C">
          <w:rPr>
            <w:rStyle w:val="Hyperlink"/>
            <w:sz w:val="18"/>
            <w:szCs w:val="18"/>
          </w:rPr>
          <w:t>innovacijnoyi</w:t>
        </w:r>
        <w:r w:rsidR="00287EBE">
          <w:rPr>
            <w:rStyle w:val="Hyperlink"/>
            <w:sz w:val="18"/>
            <w:szCs w:val="18"/>
          </w:rPr>
          <w:t>-</w:t>
        </w:r>
        <w:r w:rsidRPr="003C675C">
          <w:rPr>
            <w:rStyle w:val="Hyperlink"/>
            <w:sz w:val="18"/>
            <w:szCs w:val="18"/>
          </w:rPr>
          <w:t>diyalnosti</w:t>
        </w:r>
        <w:r w:rsidR="00287EBE">
          <w:rPr>
            <w:rStyle w:val="Hyperlink"/>
            <w:sz w:val="18"/>
            <w:szCs w:val="18"/>
          </w:rPr>
          <w:t>-</w:t>
        </w:r>
        <w:r w:rsidRPr="003C675C">
          <w:rPr>
            <w:rStyle w:val="Hyperlink"/>
            <w:sz w:val="18"/>
            <w:szCs w:val="18"/>
          </w:rPr>
          <w:t>do</w:t>
        </w:r>
        <w:r w:rsidR="00287EBE">
          <w:rPr>
            <w:rStyle w:val="Hyperlink"/>
            <w:sz w:val="18"/>
            <w:szCs w:val="18"/>
          </w:rPr>
          <w:t>-</w:t>
        </w:r>
        <w:r w:rsidRPr="003C675C">
          <w:rPr>
            <w:rStyle w:val="Hyperlink"/>
            <w:sz w:val="18"/>
            <w:szCs w:val="18"/>
          </w:rPr>
          <w:t>aktualnih</w:t>
        </w:r>
        <w:r w:rsidR="00287EBE">
          <w:rPr>
            <w:rStyle w:val="Hyperlink"/>
            <w:sz w:val="18"/>
            <w:szCs w:val="18"/>
          </w:rPr>
          <w:t>-</w:t>
        </w:r>
        <w:r w:rsidRPr="003C675C">
          <w:rPr>
            <w:rStyle w:val="Hyperlink"/>
            <w:sz w:val="18"/>
            <w:szCs w:val="18"/>
          </w:rPr>
          <w:t>potreb</w:t>
        </w:r>
        <w:r w:rsidR="00287EBE">
          <w:rPr>
            <w:rStyle w:val="Hyperlink"/>
            <w:sz w:val="18"/>
            <w:szCs w:val="18"/>
          </w:rPr>
          <w:t>-</w:t>
        </w:r>
        <w:r w:rsidRPr="003C675C">
          <w:rPr>
            <w:rStyle w:val="Hyperlink"/>
            <w:sz w:val="18"/>
            <w:szCs w:val="18"/>
          </w:rPr>
          <w:t>periodu</w:t>
        </w:r>
        <w:r w:rsidR="00287EBE">
          <w:rPr>
            <w:rStyle w:val="Hyperlink"/>
            <w:sz w:val="18"/>
            <w:szCs w:val="18"/>
          </w:rPr>
          <w:t>-</w:t>
        </w:r>
        <w:r w:rsidRPr="003C675C">
          <w:rPr>
            <w:rStyle w:val="Hyperlink"/>
            <w:sz w:val="18"/>
            <w:szCs w:val="18"/>
          </w:rPr>
          <w:t>voyennogo</w:t>
        </w:r>
        <w:r w:rsidR="00287EBE">
          <w:rPr>
            <w:rStyle w:val="Hyperlink"/>
            <w:sz w:val="18"/>
            <w:szCs w:val="18"/>
          </w:rPr>
          <w:t>-</w:t>
        </w:r>
        <w:r w:rsidRPr="003C675C">
          <w:rPr>
            <w:rStyle w:val="Hyperlink"/>
            <w:sz w:val="18"/>
            <w:szCs w:val="18"/>
          </w:rPr>
          <w:t>stanu</w:t>
        </w:r>
        <w:r w:rsidR="00287EBE">
          <w:rPr>
            <w:rStyle w:val="Hyperlink"/>
            <w:sz w:val="18"/>
            <w:szCs w:val="18"/>
          </w:rPr>
          <w:t>-</w:t>
        </w:r>
        <w:r w:rsidRPr="003C675C">
          <w:rPr>
            <w:rStyle w:val="Hyperlink"/>
            <w:sz w:val="18"/>
            <w:szCs w:val="18"/>
          </w:rPr>
          <w:t>ta</w:t>
        </w:r>
        <w:r w:rsidR="00287EBE">
          <w:rPr>
            <w:rStyle w:val="Hyperlink"/>
            <w:sz w:val="18"/>
            <w:szCs w:val="18"/>
          </w:rPr>
          <w:t>-</w:t>
        </w:r>
        <w:r w:rsidRPr="003C675C">
          <w:rPr>
            <w:rStyle w:val="Hyperlink"/>
            <w:sz w:val="18"/>
            <w:szCs w:val="18"/>
          </w:rPr>
          <w:t>potreb</w:t>
        </w:r>
        <w:r w:rsidR="00287EBE">
          <w:rPr>
            <w:rStyle w:val="Hyperlink"/>
            <w:sz w:val="18"/>
            <w:szCs w:val="18"/>
          </w:rPr>
          <w:t>-</w:t>
        </w:r>
        <w:r w:rsidRPr="003C675C">
          <w:rPr>
            <w:rStyle w:val="Hyperlink"/>
            <w:sz w:val="18"/>
            <w:szCs w:val="18"/>
          </w:rPr>
          <w:t>vidnovlennya</w:t>
        </w:r>
        <w:r w:rsidR="00287EBE">
          <w:rPr>
            <w:rStyle w:val="Hyperlink"/>
            <w:sz w:val="18"/>
            <w:szCs w:val="18"/>
          </w:rPr>
          <w:t>-</w:t>
        </w:r>
        <w:r w:rsidRPr="003C675C">
          <w:rPr>
            <w:rStyle w:val="Hyperlink"/>
            <w:sz w:val="18"/>
            <w:szCs w:val="18"/>
          </w:rPr>
          <w:t>ukrayini</w:t>
        </w:r>
      </w:hyperlink>
    </w:p>
  </w:footnote>
  <w:footnote w:id="18">
    <w:p w:rsidR="002F695E" w:rsidRPr="00411948" w:rsidRDefault="002F695E" w:rsidP="003C675C">
      <w:pPr>
        <w:pStyle w:val="FootnoteText"/>
        <w:tabs>
          <w:tab w:val="left" w:pos="567"/>
        </w:tabs>
        <w:rPr>
          <w:szCs w:val="18"/>
        </w:rPr>
      </w:pPr>
      <w:r>
        <w:rPr>
          <w:rStyle w:val="FootnoteReference"/>
          <w:szCs w:val="18"/>
        </w:rPr>
        <w:footnoteRef/>
      </w:r>
      <w:r>
        <w:t xml:space="preserve"> </w:t>
      </w:r>
      <w:r>
        <w:tab/>
        <w:t>Les jeunes entreprises dont le modèle d</w:t>
      </w:r>
      <w:r w:rsidR="00287EBE">
        <w:t>’</w:t>
      </w:r>
      <w:r>
        <w:t>entreprise est basé sur l</w:t>
      </w:r>
      <w:r w:rsidR="00287EBE">
        <w:t>’</w:t>
      </w:r>
      <w:r>
        <w:t>innovation de haute technologie dans le domaine de l</w:t>
      </w:r>
      <w:r w:rsidR="00287EBE">
        <w:t>’</w:t>
      </w:r>
      <w:r>
        <w:t>ingénierie ou sur des avancées scientifiques significatives.</w:t>
      </w:r>
    </w:p>
  </w:footnote>
  <w:footnote w:id="19">
    <w:p w:rsidR="002F695E" w:rsidRPr="00411948" w:rsidRDefault="002F695E" w:rsidP="003C675C">
      <w:pPr>
        <w:pStyle w:val="FootnoteText"/>
        <w:tabs>
          <w:tab w:val="left" w:pos="567"/>
        </w:tabs>
        <w:rPr>
          <w:szCs w:val="18"/>
        </w:rPr>
      </w:pPr>
      <w:r>
        <w:rPr>
          <w:rStyle w:val="FootnoteReference"/>
          <w:szCs w:val="18"/>
        </w:rPr>
        <w:footnoteRef/>
      </w:r>
      <w:r>
        <w:t xml:space="preserve"> </w:t>
      </w:r>
      <w:r>
        <w:tab/>
      </w:r>
      <w:hyperlink r:id="rId11" w:history="1">
        <w:proofErr w:type="spellStart"/>
        <w:r>
          <w:rPr>
            <w:rStyle w:val="Hyperlink1"/>
          </w:rPr>
          <w:t>Celebrating</w:t>
        </w:r>
        <w:proofErr w:type="spellEnd"/>
        <w:r>
          <w:rPr>
            <w:rStyle w:val="Hyperlink1"/>
          </w:rPr>
          <w:t xml:space="preserve"> </w:t>
        </w:r>
        <w:proofErr w:type="spellStart"/>
        <w:r>
          <w:rPr>
            <w:rStyle w:val="Hyperlink1"/>
          </w:rPr>
          <w:t>Ukrainian</w:t>
        </w:r>
        <w:proofErr w:type="spellEnd"/>
        <w:r>
          <w:rPr>
            <w:rStyle w:val="Hyperlink1"/>
          </w:rPr>
          <w:t xml:space="preserve"> Science and </w:t>
        </w:r>
        <w:proofErr w:type="spellStart"/>
        <w:r>
          <w:rPr>
            <w:rStyle w:val="Hyperlink1"/>
          </w:rPr>
          <w:t>Technology</w:t>
        </w:r>
        <w:proofErr w:type="spellEnd"/>
        <w:r>
          <w:rPr>
            <w:rStyle w:val="Hyperlink1"/>
          </w:rPr>
          <w:t xml:space="preserve"> </w:t>
        </w:r>
        <w:proofErr w:type="spellStart"/>
        <w:r>
          <w:rPr>
            <w:rStyle w:val="Hyperlink1"/>
          </w:rPr>
          <w:t>Entrepreneurship</w:t>
        </w:r>
        <w:proofErr w:type="spellEnd"/>
        <w:r>
          <w:rPr>
            <w:rStyle w:val="Hyperlink1"/>
          </w:rPr>
          <w:t xml:space="preserve"> – United States </w:t>
        </w:r>
        <w:proofErr w:type="spellStart"/>
        <w:r>
          <w:rPr>
            <w:rStyle w:val="Hyperlink1"/>
          </w:rPr>
          <w:t>Department</w:t>
        </w:r>
        <w:proofErr w:type="spellEnd"/>
        <w:r>
          <w:rPr>
            <w:rStyle w:val="Hyperlink1"/>
          </w:rPr>
          <w:t xml:space="preserve"> of State</w:t>
        </w:r>
      </w:hyperlink>
    </w:p>
  </w:footnote>
  <w:footnote w:id="20">
    <w:p w:rsidR="002F695E" w:rsidRPr="00411948" w:rsidRDefault="002F695E" w:rsidP="003C675C">
      <w:pPr>
        <w:pStyle w:val="FootnoteText"/>
        <w:tabs>
          <w:tab w:val="left" w:pos="567"/>
        </w:tabs>
        <w:rPr>
          <w:szCs w:val="18"/>
        </w:rPr>
      </w:pPr>
      <w:r>
        <w:rPr>
          <w:rStyle w:val="FootnoteReference"/>
          <w:szCs w:val="18"/>
        </w:rPr>
        <w:footnoteRef/>
      </w:r>
      <w:r>
        <w:t xml:space="preserve"> </w:t>
      </w:r>
      <w:r>
        <w:tab/>
      </w:r>
      <w:hyperlink r:id="rId12" w:history="1">
        <w:proofErr w:type="spellStart"/>
        <w:r>
          <w:rPr>
            <w:rStyle w:val="Hyperlink1"/>
          </w:rPr>
          <w:t>StartupBlink</w:t>
        </w:r>
        <w:proofErr w:type="spellEnd"/>
        <w:r>
          <w:rPr>
            <w:rStyle w:val="Hyperlink1"/>
          </w:rPr>
          <w:t>:</w:t>
        </w:r>
      </w:hyperlink>
      <w:hyperlink r:id="rId13" w:history="1">
        <w:r>
          <w:rPr>
            <w:rStyle w:val="Hyperlink1"/>
          </w:rPr>
          <w:t xml:space="preserve"> The Startup </w:t>
        </w:r>
        <w:proofErr w:type="spellStart"/>
        <w:r>
          <w:rPr>
            <w:rStyle w:val="Hyperlink1"/>
          </w:rPr>
          <w:t>Ecosystem</w:t>
        </w:r>
        <w:proofErr w:type="spellEnd"/>
        <w:r>
          <w:rPr>
            <w:rStyle w:val="Hyperlink1"/>
          </w:rPr>
          <w:t xml:space="preserve"> of Ukraine</w:t>
        </w:r>
      </w:hyperlink>
    </w:p>
  </w:footnote>
  <w:footnote w:id="21">
    <w:p w:rsidR="002F695E" w:rsidRPr="00411948" w:rsidRDefault="002F695E" w:rsidP="003C675C">
      <w:pPr>
        <w:pStyle w:val="FootnoteText"/>
        <w:tabs>
          <w:tab w:val="left" w:pos="567"/>
        </w:tabs>
        <w:rPr>
          <w:szCs w:val="18"/>
        </w:rPr>
      </w:pPr>
      <w:r>
        <w:rPr>
          <w:rStyle w:val="FootnoteReference"/>
          <w:szCs w:val="18"/>
        </w:rPr>
        <w:footnoteRef/>
      </w:r>
      <w:r>
        <w:t xml:space="preserve"> </w:t>
      </w:r>
      <w:r>
        <w:tab/>
        <w:t>Une jeune entreprise dont la valeur est estimée à plus d</w:t>
      </w:r>
      <w:r w:rsidR="00287EBE">
        <w:t>’</w:t>
      </w:r>
      <w:r>
        <w:t>un milliard de dollars É.</w:t>
      </w:r>
      <w:r w:rsidR="00287EBE">
        <w:t>-</w:t>
      </w:r>
      <w:r>
        <w:t>U.</w:t>
      </w:r>
    </w:p>
  </w:footnote>
  <w:footnote w:id="22">
    <w:p w:rsidR="002F695E" w:rsidRPr="00FD55DB" w:rsidRDefault="002F695E" w:rsidP="003C675C">
      <w:pPr>
        <w:pStyle w:val="FootnoteText"/>
        <w:tabs>
          <w:tab w:val="left" w:pos="567"/>
        </w:tabs>
        <w:rPr>
          <w:szCs w:val="18"/>
        </w:rPr>
      </w:pPr>
      <w:r>
        <w:rPr>
          <w:rStyle w:val="FootnoteReference"/>
          <w:szCs w:val="18"/>
        </w:rPr>
        <w:footnoteRef/>
      </w:r>
      <w:r>
        <w:t xml:space="preserve"> </w:t>
      </w:r>
      <w:r>
        <w:tab/>
      </w:r>
      <w:hyperlink r:id="rId14" w:history="1">
        <w:r>
          <w:rPr>
            <w:rStyle w:val="Hyperlink1"/>
          </w:rPr>
          <w:t>https://techukraine.org/2022/08/16/the</w:t>
        </w:r>
        <w:r w:rsidR="00287EBE">
          <w:rPr>
            <w:rStyle w:val="Hyperlink1"/>
          </w:rPr>
          <w:t>-</w:t>
        </w:r>
        <w:r>
          <w:rPr>
            <w:rStyle w:val="Hyperlink1"/>
          </w:rPr>
          <w:t>voice</w:t>
        </w:r>
        <w:r w:rsidR="00287EBE">
          <w:rPr>
            <w:rStyle w:val="Hyperlink1"/>
          </w:rPr>
          <w:t>-</w:t>
        </w:r>
        <w:r>
          <w:rPr>
            <w:rStyle w:val="Hyperlink1"/>
          </w:rPr>
          <w:t>of</w:t>
        </w:r>
        <w:r w:rsidR="00287EBE">
          <w:rPr>
            <w:rStyle w:val="Hyperlink1"/>
          </w:rPr>
          <w:t>-</w:t>
        </w:r>
        <w:r>
          <w:rPr>
            <w:rStyle w:val="Hyperlink1"/>
          </w:rPr>
          <w:t>ukrainian</w:t>
        </w:r>
        <w:r w:rsidR="00287EBE">
          <w:rPr>
            <w:rStyle w:val="Hyperlink1"/>
          </w:rPr>
          <w:t>-</w:t>
        </w:r>
        <w:r>
          <w:rPr>
            <w:rStyle w:val="Hyperlink1"/>
          </w:rPr>
          <w:t>start</w:t>
        </w:r>
        <w:r w:rsidR="00287EBE">
          <w:rPr>
            <w:rStyle w:val="Hyperlink1"/>
          </w:rPr>
          <w:t>-</w:t>
        </w:r>
        <w:r>
          <w:rPr>
            <w:rStyle w:val="Hyperlink1"/>
          </w:rPr>
          <w:t>ups</w:t>
        </w:r>
        <w:r w:rsidR="00287EBE">
          <w:rPr>
            <w:rStyle w:val="Hyperlink1"/>
          </w:rPr>
          <w:t>-</w:t>
        </w:r>
        <w:r>
          <w:rPr>
            <w:rStyle w:val="Hyperlink1"/>
          </w:rPr>
          <w:t>report/</w:t>
        </w:r>
      </w:hyperlink>
    </w:p>
  </w:footnote>
  <w:footnote w:id="23">
    <w:p w:rsidR="002F695E" w:rsidRPr="00CA0F26" w:rsidRDefault="002F695E" w:rsidP="003C675C">
      <w:pPr>
        <w:pStyle w:val="FootnoteText"/>
        <w:tabs>
          <w:tab w:val="left" w:pos="567"/>
        </w:tabs>
        <w:rPr>
          <w:szCs w:val="18"/>
        </w:rPr>
      </w:pPr>
      <w:r>
        <w:rPr>
          <w:rStyle w:val="FootnoteReference"/>
          <w:szCs w:val="18"/>
        </w:rPr>
        <w:footnoteRef/>
      </w:r>
      <w:r>
        <w:t xml:space="preserve"> </w:t>
      </w:r>
      <w:r>
        <w:tab/>
      </w:r>
      <w:hyperlink r:id="rId15" w:history="1">
        <w:r>
          <w:rPr>
            <w:rStyle w:val="Hyperlink1"/>
          </w:rPr>
          <w:t>https://www.startupblink.com/startup</w:t>
        </w:r>
        <w:r w:rsidR="00287EBE">
          <w:rPr>
            <w:rStyle w:val="Hyperlink1"/>
          </w:rPr>
          <w:t>-</w:t>
        </w:r>
        <w:r>
          <w:rPr>
            <w:rStyle w:val="Hyperlink1"/>
          </w:rPr>
          <w:t>ecosystem/ukraine</w:t>
        </w:r>
      </w:hyperlink>
    </w:p>
  </w:footnote>
  <w:footnote w:id="24">
    <w:p w:rsidR="002F695E" w:rsidRPr="00AA72B0" w:rsidRDefault="002F695E" w:rsidP="003C675C">
      <w:pPr>
        <w:pStyle w:val="FootnoteText"/>
        <w:tabs>
          <w:tab w:val="left" w:pos="567"/>
        </w:tabs>
        <w:rPr>
          <w:szCs w:val="18"/>
        </w:rPr>
      </w:pPr>
      <w:r>
        <w:rPr>
          <w:rStyle w:val="FootnoteReference"/>
          <w:szCs w:val="18"/>
        </w:rPr>
        <w:footnoteRef/>
      </w:r>
      <w:r>
        <w:t xml:space="preserve"> </w:t>
      </w:r>
      <w:r>
        <w:tab/>
      </w:r>
      <w:hyperlink r:id="rId16" w:history="1">
        <w:proofErr w:type="spellStart"/>
        <w:r>
          <w:rPr>
            <w:rStyle w:val="Hyperlink1"/>
          </w:rPr>
          <w:t>Ukrainian</w:t>
        </w:r>
        <w:proofErr w:type="spellEnd"/>
        <w:r>
          <w:rPr>
            <w:rStyle w:val="Hyperlink1"/>
          </w:rPr>
          <w:t xml:space="preserve"> Digital News (uadn.net)</w:t>
        </w:r>
      </w:hyperlink>
    </w:p>
  </w:footnote>
  <w:footnote w:id="25">
    <w:p w:rsidR="002F695E" w:rsidRDefault="002F695E" w:rsidP="003C675C">
      <w:pPr>
        <w:pStyle w:val="FootnoteText"/>
        <w:tabs>
          <w:tab w:val="left" w:pos="567"/>
        </w:tabs>
      </w:pPr>
      <w:r>
        <w:rPr>
          <w:rStyle w:val="FootnoteReference"/>
          <w:szCs w:val="18"/>
        </w:rPr>
        <w:footnoteRef/>
      </w:r>
      <w:r>
        <w:t xml:space="preserve"> </w:t>
      </w:r>
      <w:r>
        <w:tab/>
      </w:r>
      <w:hyperlink r:id="rId17" w:history="1">
        <w:proofErr w:type="spellStart"/>
        <w:r w:rsidRPr="003C675C">
          <w:rPr>
            <w:rStyle w:val="Hyperlink"/>
          </w:rPr>
          <w:t>Sikorsky</w:t>
        </w:r>
        <w:proofErr w:type="spellEnd"/>
        <w:r w:rsidRPr="003C675C">
          <w:rPr>
            <w:rStyle w:val="Hyperlink"/>
          </w:rPr>
          <w:t xml:space="preserve"> Challenge Ukraine</w:t>
        </w:r>
      </w:hyperlink>
    </w:p>
  </w:footnote>
  <w:footnote w:id="26">
    <w:p w:rsidR="002F695E" w:rsidRPr="004740F9" w:rsidRDefault="002F695E" w:rsidP="003C675C">
      <w:pPr>
        <w:pStyle w:val="FootnoteText"/>
        <w:tabs>
          <w:tab w:val="left" w:pos="567"/>
        </w:tabs>
        <w:rPr>
          <w:szCs w:val="18"/>
        </w:rPr>
      </w:pPr>
      <w:r>
        <w:rPr>
          <w:rStyle w:val="FootnoteReference"/>
          <w:szCs w:val="18"/>
        </w:rPr>
        <w:footnoteRef/>
      </w:r>
      <w:r>
        <w:t xml:space="preserve"> </w:t>
      </w:r>
      <w:r>
        <w:tab/>
        <w:t xml:space="preserve">Culture public.  “Our culture </w:t>
      </w:r>
      <w:proofErr w:type="spellStart"/>
      <w:r>
        <w:t>lives</w:t>
      </w:r>
      <w:proofErr w:type="spellEnd"/>
      <w:r>
        <w:t xml:space="preserve"> on </w:t>
      </w:r>
      <w:proofErr w:type="spellStart"/>
      <w:r>
        <w:t>even</w:t>
      </w:r>
      <w:proofErr w:type="spellEnd"/>
      <w:r>
        <w:t xml:space="preserve"> in times of </w:t>
      </w:r>
      <w:proofErr w:type="spellStart"/>
      <w:r>
        <w:t>war</w:t>
      </w:r>
      <w:proofErr w:type="spellEnd"/>
      <w:r>
        <w:t>”</w:t>
      </w:r>
      <w:r w:rsidR="00287EBE">
        <w:t> :</w:t>
      </w:r>
      <w:r>
        <w:t xml:space="preserve"> résultats littéraires de 2022, 29/12/2022 (en ukrainien) &lt;</w:t>
      </w:r>
      <w:r>
        <w:rPr>
          <w:color w:val="1B1B1B"/>
        </w:rPr>
        <w:t xml:space="preserve"> </w:t>
      </w:r>
      <w:hyperlink r:id="rId18" w:history="1">
        <w:r>
          <w:rPr>
            <w:rStyle w:val="Hyperlink"/>
          </w:rPr>
          <w:t>https://suspilne.media/348496</w:t>
        </w:r>
        <w:r w:rsidR="00287EBE">
          <w:rPr>
            <w:rStyle w:val="Hyperlink"/>
          </w:rPr>
          <w:t>-</w:t>
        </w:r>
        <w:r>
          <w:rPr>
            <w:rStyle w:val="Hyperlink"/>
          </w:rPr>
          <w:t>nasa</w:t>
        </w:r>
        <w:r w:rsidR="00287EBE">
          <w:rPr>
            <w:rStyle w:val="Hyperlink"/>
          </w:rPr>
          <w:t>-</w:t>
        </w:r>
        <w:r>
          <w:rPr>
            <w:rStyle w:val="Hyperlink"/>
          </w:rPr>
          <w:t>kultura</w:t>
        </w:r>
        <w:r w:rsidR="00287EBE">
          <w:rPr>
            <w:rStyle w:val="Hyperlink"/>
          </w:rPr>
          <w:t>-</w:t>
        </w:r>
        <w:r>
          <w:rPr>
            <w:rStyle w:val="Hyperlink"/>
          </w:rPr>
          <w:t>zive</w:t>
        </w:r>
        <w:r w:rsidR="00287EBE">
          <w:rPr>
            <w:rStyle w:val="Hyperlink"/>
          </w:rPr>
          <w:t>-</w:t>
        </w:r>
        <w:r>
          <w:rPr>
            <w:rStyle w:val="Hyperlink"/>
          </w:rPr>
          <w:t>i</w:t>
        </w:r>
        <w:r w:rsidR="00287EBE">
          <w:rPr>
            <w:rStyle w:val="Hyperlink"/>
          </w:rPr>
          <w:t>-</w:t>
        </w:r>
        <w:r>
          <w:rPr>
            <w:rStyle w:val="Hyperlink"/>
          </w:rPr>
          <w:t>pid</w:t>
        </w:r>
        <w:r w:rsidR="00287EBE">
          <w:rPr>
            <w:rStyle w:val="Hyperlink"/>
          </w:rPr>
          <w:t>-</w:t>
        </w:r>
        <w:r>
          <w:rPr>
            <w:rStyle w:val="Hyperlink"/>
          </w:rPr>
          <w:t>cas</w:t>
        </w:r>
        <w:r w:rsidR="00287EBE">
          <w:rPr>
            <w:rStyle w:val="Hyperlink"/>
          </w:rPr>
          <w:t>-</w:t>
        </w:r>
        <w:r>
          <w:rPr>
            <w:rStyle w:val="Hyperlink"/>
          </w:rPr>
          <w:t>vijni</w:t>
        </w:r>
        <w:r w:rsidR="00287EBE">
          <w:rPr>
            <w:rStyle w:val="Hyperlink"/>
          </w:rPr>
          <w:t>-</w:t>
        </w:r>
        <w:r>
          <w:rPr>
            <w:rStyle w:val="Hyperlink"/>
          </w:rPr>
          <w:t>pidbili</w:t>
        </w:r>
        <w:r w:rsidR="00287EBE">
          <w:rPr>
            <w:rStyle w:val="Hyperlink"/>
          </w:rPr>
          <w:t>-</w:t>
        </w:r>
        <w:r>
          <w:rPr>
            <w:rStyle w:val="Hyperlink"/>
          </w:rPr>
          <w:t>literaturni</w:t>
        </w:r>
        <w:r w:rsidR="00287EBE">
          <w:rPr>
            <w:rStyle w:val="Hyperlink"/>
          </w:rPr>
          <w:t>-</w:t>
        </w:r>
        <w:r>
          <w:rPr>
            <w:rStyle w:val="Hyperlink"/>
          </w:rPr>
          <w:t>pidsumki</w:t>
        </w:r>
        <w:r w:rsidR="00287EBE">
          <w:rPr>
            <w:rStyle w:val="Hyperlink"/>
          </w:rPr>
          <w:t>-</w:t>
        </w:r>
        <w:r>
          <w:rPr>
            <w:rStyle w:val="Hyperlink"/>
          </w:rPr>
          <w:t>2022</w:t>
        </w:r>
        <w:r w:rsidR="00287EBE">
          <w:rPr>
            <w:rStyle w:val="Hyperlink"/>
          </w:rPr>
          <w:t>-</w:t>
        </w:r>
        <w:r>
          <w:rPr>
            <w:rStyle w:val="Hyperlink"/>
          </w:rPr>
          <w:t>roku/</w:t>
        </w:r>
      </w:hyperlink>
      <w:r>
        <w:rPr>
          <w:color w:val="1B1B1B"/>
        </w:rPr>
        <w:t>&gt;</w:t>
      </w:r>
      <w:r w:rsidR="006B17A0">
        <w:rPr>
          <w:color w:val="1B1B1B"/>
        </w:rPr>
        <w:t>.</w:t>
      </w:r>
    </w:p>
  </w:footnote>
  <w:footnote w:id="27">
    <w:p w:rsidR="002F695E" w:rsidRPr="004740F9" w:rsidRDefault="002F695E" w:rsidP="003C675C">
      <w:pPr>
        <w:pStyle w:val="FootnoteText"/>
        <w:tabs>
          <w:tab w:val="left" w:pos="567"/>
        </w:tabs>
        <w:rPr>
          <w:szCs w:val="18"/>
        </w:rPr>
      </w:pPr>
      <w:r>
        <w:rPr>
          <w:rStyle w:val="FootnoteReference"/>
          <w:szCs w:val="18"/>
        </w:rPr>
        <w:footnoteRef/>
      </w:r>
      <w:r>
        <w:t xml:space="preserve"> </w:t>
      </w:r>
      <w:r>
        <w:tab/>
        <w:t>Rapport sur les résultats des activités de l</w:t>
      </w:r>
      <w:r w:rsidR="00287EBE">
        <w:t>’</w:t>
      </w:r>
      <w:r>
        <w:t xml:space="preserve">Agence nationale ukrainienne du cinéma pour 2022 (en ukrainien) </w:t>
      </w:r>
      <w:hyperlink r:id="rId19" w:history="1">
        <w:r>
          <w:rPr>
            <w:rStyle w:val="Hyperlink1"/>
          </w:rPr>
          <w:t>https://usfa.gov.ua/upload/media/2022/12/30/63aee7cc5f0a0</w:t>
        </w:r>
        <w:r w:rsidR="00287EBE">
          <w:rPr>
            <w:rStyle w:val="Hyperlink1"/>
          </w:rPr>
          <w:t>-</w:t>
        </w:r>
        <w:r>
          <w:rPr>
            <w:rStyle w:val="Hyperlink1"/>
          </w:rPr>
          <w:t>derzhkino</w:t>
        </w:r>
        <w:r w:rsidR="00287EBE">
          <w:rPr>
            <w:rStyle w:val="Hyperlink1"/>
          </w:rPr>
          <w:t>-</w:t>
        </w:r>
        <w:r>
          <w:rPr>
            <w:rStyle w:val="Hyperlink1"/>
          </w:rPr>
          <w:t>2022.pdf</w:t>
        </w:r>
      </w:hyperlink>
      <w:r w:rsidRPr="003C675C">
        <w:rPr>
          <w:rStyle w:val="Hyperlink1"/>
          <w:color w:val="auto"/>
          <w:u w:val="none"/>
        </w:rPr>
        <w:t>.</w:t>
      </w:r>
    </w:p>
  </w:footnote>
  <w:footnote w:id="28">
    <w:p w:rsidR="002F695E" w:rsidRPr="004740F9" w:rsidRDefault="002F695E" w:rsidP="003C675C">
      <w:pPr>
        <w:pStyle w:val="FootnoteText"/>
        <w:tabs>
          <w:tab w:val="left" w:pos="567"/>
        </w:tabs>
        <w:rPr>
          <w:szCs w:val="18"/>
        </w:rPr>
      </w:pPr>
      <w:r>
        <w:rPr>
          <w:rStyle w:val="FootnoteReference"/>
          <w:szCs w:val="18"/>
        </w:rPr>
        <w:footnoteRef/>
      </w:r>
      <w:r>
        <w:t xml:space="preserve"> </w:t>
      </w:r>
      <w:r>
        <w:tab/>
        <w:t>Sur les modifications de la loi ukrainienne “sur la gestion efficace des droits de propriété des titulaires de droits dans le domaine du droit d</w:t>
      </w:r>
      <w:r w:rsidR="00287EBE">
        <w:t>’</w:t>
      </w:r>
      <w:r>
        <w:t>auteur et (ou) des droits connexes” visant à garantir la perception des recettes provenant des droits par les organisations de gestion collective</w:t>
      </w:r>
      <w:r w:rsidR="00287EBE">
        <w:t> :</w:t>
      </w:r>
      <w:r>
        <w:t xml:space="preserve"> Loi ukrainienne du 15 décembre 2021 n° 1960</w:t>
      </w:r>
      <w:r w:rsidR="00287EBE">
        <w:t>-</w:t>
      </w:r>
      <w:r>
        <w:t xml:space="preserve">IX (en ukrainien) </w:t>
      </w:r>
      <w:hyperlink r:id="rId20" w:anchor="n2" w:history="1">
        <w:r>
          <w:rPr>
            <w:rStyle w:val="Hyperlink1"/>
          </w:rPr>
          <w:t>https://zakon.rada.gov.ua/laws/show/1960</w:t>
        </w:r>
        <w:r w:rsidR="00287EBE">
          <w:rPr>
            <w:rStyle w:val="Hyperlink1"/>
          </w:rPr>
          <w:t>-</w:t>
        </w:r>
        <w:r>
          <w:rPr>
            <w:rStyle w:val="Hyperlink1"/>
          </w:rPr>
          <w:t>20#n2</w:t>
        </w:r>
      </w:hyperlink>
      <w:r w:rsidRPr="003C675C">
        <w:rPr>
          <w:rStyle w:val="Hyperlink1"/>
          <w:color w:val="auto"/>
          <w:u w:val="none"/>
        </w:rPr>
        <w:t>.</w:t>
      </w:r>
    </w:p>
  </w:footnote>
  <w:footnote w:id="29">
    <w:p w:rsidR="002F695E" w:rsidRPr="004740F9" w:rsidRDefault="002F695E" w:rsidP="003C675C">
      <w:pPr>
        <w:pStyle w:val="FootnoteText"/>
        <w:tabs>
          <w:tab w:val="left" w:pos="567"/>
        </w:tabs>
        <w:rPr>
          <w:szCs w:val="18"/>
        </w:rPr>
      </w:pPr>
      <w:r>
        <w:rPr>
          <w:rStyle w:val="FootnoteReference"/>
          <w:szCs w:val="18"/>
        </w:rPr>
        <w:footnoteRef/>
      </w:r>
      <w:r>
        <w:t xml:space="preserve"> </w:t>
      </w:r>
      <w:r>
        <w:tab/>
        <w:t>Sur le droit d</w:t>
      </w:r>
      <w:r w:rsidR="00287EBE">
        <w:t>’</w:t>
      </w:r>
      <w:r>
        <w:t>auteur et les droits connexes</w:t>
      </w:r>
      <w:r w:rsidR="00287EBE">
        <w:t> :</w:t>
      </w:r>
      <w:r>
        <w:t xml:space="preserve"> Loi ukrainienne du</w:t>
      </w:r>
      <w:r w:rsidR="00287EBE">
        <w:t xml:space="preserve"> 1</w:t>
      </w:r>
      <w:r w:rsidR="00287EBE" w:rsidRPr="00287EBE">
        <w:rPr>
          <w:vertAlign w:val="superscript"/>
        </w:rPr>
        <w:t>er</w:t>
      </w:r>
      <w:r w:rsidR="00287EBE">
        <w:t> </w:t>
      </w:r>
      <w:r>
        <w:t>décembre 2022 n° 2811</w:t>
      </w:r>
      <w:r w:rsidR="00287EBE">
        <w:t>-</w:t>
      </w:r>
      <w:r>
        <w:t>IX (en ukrainien) https://zakon.rada.gov.ua/laws/show/2811</w:t>
      </w:r>
      <w:r w:rsidR="00287EBE">
        <w:t>-</w:t>
      </w:r>
      <w:r>
        <w:t>20#n983.</w:t>
      </w:r>
    </w:p>
  </w:footnote>
  <w:footnote w:id="30">
    <w:p w:rsidR="002F695E" w:rsidRPr="006230F4" w:rsidRDefault="002F695E" w:rsidP="003C675C">
      <w:pPr>
        <w:pStyle w:val="FootnoteText"/>
        <w:tabs>
          <w:tab w:val="left" w:pos="567"/>
        </w:tabs>
      </w:pPr>
      <w:r>
        <w:rPr>
          <w:rStyle w:val="FootnoteReference"/>
          <w:szCs w:val="18"/>
        </w:rPr>
        <w:footnoteRef/>
      </w:r>
      <w:r>
        <w:t xml:space="preserve"> </w:t>
      </w:r>
      <w:r>
        <w:tab/>
        <w:t>L</w:t>
      </w:r>
      <w:r w:rsidR="00287EBE">
        <w:t>’</w:t>
      </w:r>
      <w:r>
        <w:t>accès au registre des organisations de gestion collective est fermé depuis le début de la guerre, et l</w:t>
      </w:r>
      <w:r w:rsidR="00287EBE">
        <w:t>’</w:t>
      </w:r>
      <w:r>
        <w:t>une des personnes interrogées a fourni des informations sur le non</w:t>
      </w:r>
      <w:r w:rsidR="00287EBE">
        <w:t>-</w:t>
      </w:r>
      <w:r>
        <w:t>fonctionnement de 17 organisations de gestion collective.</w:t>
      </w:r>
    </w:p>
  </w:footnote>
  <w:footnote w:id="31">
    <w:p w:rsidR="002F695E" w:rsidRPr="00D65CE0" w:rsidRDefault="002F695E" w:rsidP="003C675C">
      <w:pPr>
        <w:pStyle w:val="FootnoteText"/>
        <w:tabs>
          <w:tab w:val="left" w:pos="567"/>
        </w:tabs>
      </w:pPr>
      <w:r>
        <w:rPr>
          <w:rStyle w:val="FootnoteReference"/>
        </w:rPr>
        <w:footnoteRef/>
      </w:r>
      <w:r>
        <w:t xml:space="preserve"> </w:t>
      </w:r>
      <w:r>
        <w:tab/>
      </w:r>
      <w:hyperlink r:id="rId21" w:anchor="Text" w:history="1">
        <w:r>
          <w:rPr>
            <w:rStyle w:val="Hyperlink1"/>
          </w:rPr>
          <w:t>https://zakon.rada.gov.ua/laws/show/2174</w:t>
        </w:r>
        <w:r w:rsidR="00287EBE">
          <w:rPr>
            <w:rStyle w:val="Hyperlink1"/>
          </w:rPr>
          <w:t>-</w:t>
        </w:r>
        <w:r>
          <w:rPr>
            <w:rStyle w:val="Hyperlink1"/>
          </w:rPr>
          <w:t>20#Text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0F" w:rsidRDefault="00F42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95E" w:rsidRDefault="002F695E" w:rsidP="00477D6B">
    <w:pPr>
      <w:jc w:val="right"/>
    </w:pPr>
    <w:bookmarkStart w:id="6" w:name="Code2"/>
    <w:bookmarkEnd w:id="6"/>
    <w:r>
      <w:t>A/64/8</w:t>
    </w:r>
  </w:p>
  <w:p w:rsidR="002F695E" w:rsidRDefault="002F695E" w:rsidP="008A3FE2">
    <w:pPr>
      <w:spacing w:after="480"/>
      <w:jc w:val="right"/>
    </w:pPr>
    <w:r>
      <w:t>page </w:t>
    </w:r>
    <w:r>
      <w:fldChar w:fldCharType="begin"/>
    </w:r>
    <w:r>
      <w:instrText xml:space="preserve"> PAGE  \* MERGEFORMAT </w:instrText>
    </w:r>
    <w:r>
      <w:fldChar w:fldCharType="separate"/>
    </w:r>
    <w:r w:rsidR="008E27C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0F" w:rsidRDefault="00F42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330891"/>
    <w:multiLevelType w:val="hybridMultilevel"/>
    <w:tmpl w:val="A656E450"/>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47BB9"/>
    <w:multiLevelType w:val="hybridMultilevel"/>
    <w:tmpl w:val="6B809394"/>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03A1"/>
    <w:multiLevelType w:val="hybridMultilevel"/>
    <w:tmpl w:val="E01C110A"/>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7BD2"/>
    <w:multiLevelType w:val="hybridMultilevel"/>
    <w:tmpl w:val="08B66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A92BA9"/>
    <w:multiLevelType w:val="hybridMultilevel"/>
    <w:tmpl w:val="48C2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846AF"/>
    <w:multiLevelType w:val="hybridMultilevel"/>
    <w:tmpl w:val="B2E2254C"/>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74AF1"/>
    <w:multiLevelType w:val="hybridMultilevel"/>
    <w:tmpl w:val="962C8E94"/>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C3E1A5D"/>
    <w:multiLevelType w:val="hybridMultilevel"/>
    <w:tmpl w:val="E3AE4B7E"/>
    <w:lvl w:ilvl="0" w:tplc="845428DA">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A5A9C"/>
    <w:multiLevelType w:val="hybridMultilevel"/>
    <w:tmpl w:val="7FEC047E"/>
    <w:lvl w:ilvl="0" w:tplc="48D6C1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B5E0059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8AB74BA"/>
    <w:multiLevelType w:val="hybridMultilevel"/>
    <w:tmpl w:val="BB8C7020"/>
    <w:lvl w:ilvl="0" w:tplc="A306BEB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1301"/>
    <w:multiLevelType w:val="multilevel"/>
    <w:tmpl w:val="93441A0C"/>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44D2336"/>
    <w:multiLevelType w:val="hybridMultilevel"/>
    <w:tmpl w:val="28B633C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E6F4D"/>
    <w:multiLevelType w:val="hybridMultilevel"/>
    <w:tmpl w:val="5C8CDB16"/>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52107"/>
    <w:multiLevelType w:val="hybridMultilevel"/>
    <w:tmpl w:val="96720D88"/>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D6A8B"/>
    <w:multiLevelType w:val="hybridMultilevel"/>
    <w:tmpl w:val="F93C002C"/>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C0A2B"/>
    <w:multiLevelType w:val="hybridMultilevel"/>
    <w:tmpl w:val="77CE8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BB1DB2"/>
    <w:multiLevelType w:val="hybridMultilevel"/>
    <w:tmpl w:val="D44C16B4"/>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743B2"/>
    <w:multiLevelType w:val="hybridMultilevel"/>
    <w:tmpl w:val="6F3E327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5F4556"/>
    <w:multiLevelType w:val="hybridMultilevel"/>
    <w:tmpl w:val="6C5EC4A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82C9C"/>
    <w:multiLevelType w:val="hybridMultilevel"/>
    <w:tmpl w:val="341A2402"/>
    <w:lvl w:ilvl="0" w:tplc="25B05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321BA"/>
    <w:multiLevelType w:val="hybridMultilevel"/>
    <w:tmpl w:val="14DA487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B0257"/>
    <w:multiLevelType w:val="hybridMultilevel"/>
    <w:tmpl w:val="EF20370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D3101"/>
    <w:multiLevelType w:val="hybridMultilevel"/>
    <w:tmpl w:val="7E34149E"/>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81C66"/>
    <w:multiLevelType w:val="multilevel"/>
    <w:tmpl w:val="93441A0C"/>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5BB0431F"/>
    <w:multiLevelType w:val="hybridMultilevel"/>
    <w:tmpl w:val="87D0DBD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F2D53"/>
    <w:multiLevelType w:val="hybridMultilevel"/>
    <w:tmpl w:val="E902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C4662"/>
    <w:multiLevelType w:val="multilevel"/>
    <w:tmpl w:val="D50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B81803"/>
    <w:multiLevelType w:val="hybridMultilevel"/>
    <w:tmpl w:val="D03C2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26F40"/>
    <w:multiLevelType w:val="hybridMultilevel"/>
    <w:tmpl w:val="56D45DDA"/>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7427E"/>
    <w:multiLevelType w:val="hybridMultilevel"/>
    <w:tmpl w:val="1A22D8DC"/>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44709"/>
    <w:multiLevelType w:val="hybridMultilevel"/>
    <w:tmpl w:val="B652E6B0"/>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63A8B"/>
    <w:multiLevelType w:val="hybridMultilevel"/>
    <w:tmpl w:val="5A14051A"/>
    <w:lvl w:ilvl="0" w:tplc="C9068504">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0B45A1"/>
    <w:multiLevelType w:val="hybridMultilevel"/>
    <w:tmpl w:val="C684456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05829"/>
    <w:multiLevelType w:val="hybridMultilevel"/>
    <w:tmpl w:val="0AEA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A1483"/>
    <w:multiLevelType w:val="hybridMultilevel"/>
    <w:tmpl w:val="1324C342"/>
    <w:lvl w:ilvl="0" w:tplc="1F00B5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6519F"/>
    <w:multiLevelType w:val="hybridMultilevel"/>
    <w:tmpl w:val="127A2AC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9468A"/>
    <w:multiLevelType w:val="hybridMultilevel"/>
    <w:tmpl w:val="D07E1F9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0"/>
  </w:num>
  <w:num w:numId="4">
    <w:abstractNumId w:val="23"/>
  </w:num>
  <w:num w:numId="5">
    <w:abstractNumId w:val="2"/>
  </w:num>
  <w:num w:numId="6">
    <w:abstractNumId w:val="12"/>
  </w:num>
  <w:num w:numId="7">
    <w:abstractNumId w:val="6"/>
  </w:num>
  <w:num w:numId="8">
    <w:abstractNumId w:val="39"/>
  </w:num>
  <w:num w:numId="9">
    <w:abstractNumId w:val="31"/>
  </w:num>
  <w:num w:numId="10">
    <w:abstractNumId w:val="18"/>
  </w:num>
  <w:num w:numId="11">
    <w:abstractNumId w:val="15"/>
  </w:num>
  <w:num w:numId="12">
    <w:abstractNumId w:val="30"/>
  </w:num>
  <w:num w:numId="13">
    <w:abstractNumId w:val="27"/>
  </w:num>
  <w:num w:numId="14">
    <w:abstractNumId w:val="22"/>
  </w:num>
  <w:num w:numId="15">
    <w:abstractNumId w:val="8"/>
  </w:num>
  <w:num w:numId="16">
    <w:abstractNumId w:val="1"/>
  </w:num>
  <w:num w:numId="17">
    <w:abstractNumId w:val="24"/>
  </w:num>
  <w:num w:numId="18">
    <w:abstractNumId w:val="41"/>
  </w:num>
  <w:num w:numId="19">
    <w:abstractNumId w:val="16"/>
  </w:num>
  <w:num w:numId="20">
    <w:abstractNumId w:val="35"/>
  </w:num>
  <w:num w:numId="21">
    <w:abstractNumId w:val="25"/>
  </w:num>
  <w:num w:numId="22">
    <w:abstractNumId w:val="38"/>
  </w:num>
  <w:num w:numId="23">
    <w:abstractNumId w:val="21"/>
  </w:num>
  <w:num w:numId="24">
    <w:abstractNumId w:val="42"/>
  </w:num>
  <w:num w:numId="25">
    <w:abstractNumId w:val="26"/>
  </w:num>
  <w:num w:numId="26">
    <w:abstractNumId w:val="10"/>
  </w:num>
  <w:num w:numId="27">
    <w:abstractNumId w:val="33"/>
  </w:num>
  <w:num w:numId="28">
    <w:abstractNumId w:val="32"/>
  </w:num>
  <w:num w:numId="29">
    <w:abstractNumId w:val="11"/>
  </w:num>
  <w:num w:numId="30">
    <w:abstractNumId w:val="37"/>
  </w:num>
  <w:num w:numId="31">
    <w:abstractNumId w:val="19"/>
  </w:num>
  <w:num w:numId="32">
    <w:abstractNumId w:val="5"/>
  </w:num>
  <w:num w:numId="33">
    <w:abstractNumId w:val="13"/>
  </w:num>
  <w:num w:numId="34">
    <w:abstractNumId w:val="36"/>
  </w:num>
  <w:num w:numId="35">
    <w:abstractNumId w:val="17"/>
  </w:num>
  <w:num w:numId="36">
    <w:abstractNumId w:val="40"/>
  </w:num>
  <w:num w:numId="37">
    <w:abstractNumId w:val="4"/>
  </w:num>
  <w:num w:numId="38">
    <w:abstractNumId w:val="3"/>
  </w:num>
  <w:num w:numId="39">
    <w:abstractNumId w:val="34"/>
  </w:num>
  <w:num w:numId="40">
    <w:abstractNumId w:val="7"/>
  </w:num>
  <w:num w:numId="41">
    <w:abstractNumId w:val="28"/>
  </w:num>
  <w:num w:numId="42">
    <w:abstractNumId w:val="1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C8"/>
    <w:rsid w:val="00004F3D"/>
    <w:rsid w:val="00011B7D"/>
    <w:rsid w:val="00017E87"/>
    <w:rsid w:val="000701CB"/>
    <w:rsid w:val="00075432"/>
    <w:rsid w:val="00095F0F"/>
    <w:rsid w:val="000D2797"/>
    <w:rsid w:val="000F5E56"/>
    <w:rsid w:val="001034C3"/>
    <w:rsid w:val="001211E1"/>
    <w:rsid w:val="00123F3D"/>
    <w:rsid w:val="001362EE"/>
    <w:rsid w:val="00145561"/>
    <w:rsid w:val="00164D10"/>
    <w:rsid w:val="001832A6"/>
    <w:rsid w:val="001908AB"/>
    <w:rsid w:val="001957C8"/>
    <w:rsid w:val="00195C6E"/>
    <w:rsid w:val="001B266A"/>
    <w:rsid w:val="001D3D56"/>
    <w:rsid w:val="001D4779"/>
    <w:rsid w:val="001D5144"/>
    <w:rsid w:val="001E4C00"/>
    <w:rsid w:val="00240654"/>
    <w:rsid w:val="002634C4"/>
    <w:rsid w:val="002855A8"/>
    <w:rsid w:val="00287EBB"/>
    <w:rsid w:val="00287EBE"/>
    <w:rsid w:val="002D4918"/>
    <w:rsid w:val="002E4D1A"/>
    <w:rsid w:val="002F0FE8"/>
    <w:rsid w:val="002F16BC"/>
    <w:rsid w:val="002F4E68"/>
    <w:rsid w:val="002F695E"/>
    <w:rsid w:val="003153B8"/>
    <w:rsid w:val="00315FCA"/>
    <w:rsid w:val="003845C1"/>
    <w:rsid w:val="003A1BCD"/>
    <w:rsid w:val="003C675C"/>
    <w:rsid w:val="003E0086"/>
    <w:rsid w:val="003F03FB"/>
    <w:rsid w:val="004008A2"/>
    <w:rsid w:val="004025DF"/>
    <w:rsid w:val="0040727D"/>
    <w:rsid w:val="00423E3E"/>
    <w:rsid w:val="00427AF4"/>
    <w:rsid w:val="004647DA"/>
    <w:rsid w:val="00477D6B"/>
    <w:rsid w:val="004D6471"/>
    <w:rsid w:val="004F4E31"/>
    <w:rsid w:val="00525B63"/>
    <w:rsid w:val="00533097"/>
    <w:rsid w:val="0054176E"/>
    <w:rsid w:val="00547476"/>
    <w:rsid w:val="00561DB8"/>
    <w:rsid w:val="00567A4C"/>
    <w:rsid w:val="005C4A53"/>
    <w:rsid w:val="005E6516"/>
    <w:rsid w:val="00605827"/>
    <w:rsid w:val="00627096"/>
    <w:rsid w:val="00652BB5"/>
    <w:rsid w:val="00676936"/>
    <w:rsid w:val="006B0DB5"/>
    <w:rsid w:val="006B17A0"/>
    <w:rsid w:val="006D211A"/>
    <w:rsid w:val="006D71FE"/>
    <w:rsid w:val="006E4243"/>
    <w:rsid w:val="00706B91"/>
    <w:rsid w:val="007115E7"/>
    <w:rsid w:val="00740EA9"/>
    <w:rsid w:val="007461F1"/>
    <w:rsid w:val="00750678"/>
    <w:rsid w:val="00751271"/>
    <w:rsid w:val="007537DD"/>
    <w:rsid w:val="00766B50"/>
    <w:rsid w:val="00783939"/>
    <w:rsid w:val="0078458C"/>
    <w:rsid w:val="007B165F"/>
    <w:rsid w:val="007B671D"/>
    <w:rsid w:val="007D6961"/>
    <w:rsid w:val="007F07CB"/>
    <w:rsid w:val="00810CEF"/>
    <w:rsid w:val="0081208D"/>
    <w:rsid w:val="00816C92"/>
    <w:rsid w:val="00842A13"/>
    <w:rsid w:val="00867BF9"/>
    <w:rsid w:val="008A3FE2"/>
    <w:rsid w:val="008B2CC1"/>
    <w:rsid w:val="008C3D30"/>
    <w:rsid w:val="008E27C7"/>
    <w:rsid w:val="008E7930"/>
    <w:rsid w:val="008F70DE"/>
    <w:rsid w:val="0090731E"/>
    <w:rsid w:val="0091158D"/>
    <w:rsid w:val="00940EA8"/>
    <w:rsid w:val="00964E12"/>
    <w:rsid w:val="00966A22"/>
    <w:rsid w:val="009707AD"/>
    <w:rsid w:val="00974CD6"/>
    <w:rsid w:val="00986D17"/>
    <w:rsid w:val="009C02A1"/>
    <w:rsid w:val="009D30E6"/>
    <w:rsid w:val="009E3F6F"/>
    <w:rsid w:val="009F499F"/>
    <w:rsid w:val="00A02BD3"/>
    <w:rsid w:val="00A134B1"/>
    <w:rsid w:val="00A25FE5"/>
    <w:rsid w:val="00A27865"/>
    <w:rsid w:val="00A445E1"/>
    <w:rsid w:val="00AA1F20"/>
    <w:rsid w:val="00AC0AE4"/>
    <w:rsid w:val="00AD61DB"/>
    <w:rsid w:val="00B244C2"/>
    <w:rsid w:val="00B61209"/>
    <w:rsid w:val="00B87BCF"/>
    <w:rsid w:val="00B96384"/>
    <w:rsid w:val="00BA62D4"/>
    <w:rsid w:val="00BA6CF2"/>
    <w:rsid w:val="00C22FC9"/>
    <w:rsid w:val="00C40E15"/>
    <w:rsid w:val="00C664C8"/>
    <w:rsid w:val="00C74C61"/>
    <w:rsid w:val="00C76A79"/>
    <w:rsid w:val="00C96297"/>
    <w:rsid w:val="00CA15F5"/>
    <w:rsid w:val="00CC31A2"/>
    <w:rsid w:val="00CE0B26"/>
    <w:rsid w:val="00CF0460"/>
    <w:rsid w:val="00D017E8"/>
    <w:rsid w:val="00D45006"/>
    <w:rsid w:val="00D45252"/>
    <w:rsid w:val="00D64B21"/>
    <w:rsid w:val="00D6699D"/>
    <w:rsid w:val="00D71B4D"/>
    <w:rsid w:val="00D72A3F"/>
    <w:rsid w:val="00D75C1E"/>
    <w:rsid w:val="00D80028"/>
    <w:rsid w:val="00D93D55"/>
    <w:rsid w:val="00DB0349"/>
    <w:rsid w:val="00DD6A16"/>
    <w:rsid w:val="00DF7585"/>
    <w:rsid w:val="00E0091A"/>
    <w:rsid w:val="00E10296"/>
    <w:rsid w:val="00E203AA"/>
    <w:rsid w:val="00E24772"/>
    <w:rsid w:val="00E42E6B"/>
    <w:rsid w:val="00E527A5"/>
    <w:rsid w:val="00E62DFA"/>
    <w:rsid w:val="00E76456"/>
    <w:rsid w:val="00E81323"/>
    <w:rsid w:val="00E82A13"/>
    <w:rsid w:val="00E93C34"/>
    <w:rsid w:val="00EA34F7"/>
    <w:rsid w:val="00EE71CB"/>
    <w:rsid w:val="00EF25CB"/>
    <w:rsid w:val="00F16975"/>
    <w:rsid w:val="00F20E7D"/>
    <w:rsid w:val="00F27B3E"/>
    <w:rsid w:val="00F42D0F"/>
    <w:rsid w:val="00F45D44"/>
    <w:rsid w:val="00F56E53"/>
    <w:rsid w:val="00F66152"/>
    <w:rsid w:val="00F66968"/>
    <w:rsid w:val="00F77B9E"/>
    <w:rsid w:val="00F871BB"/>
    <w:rsid w:val="00FE23C4"/>
    <w:rsid w:val="00FE28A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1814B35-68A2-4470-898B-F3103BB1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ONUMFS"/>
    <w:next w:val="Normal"/>
    <w:link w:val="Heading1Char"/>
    <w:uiPriority w:val="9"/>
    <w:qFormat/>
    <w:rsid w:val="007B671D"/>
    <w:pPr>
      <w:keepNext/>
      <w:numPr>
        <w:numId w:val="33"/>
      </w:numPr>
      <w:spacing w:before="240" w:after="240"/>
      <w:outlineLvl w:val="0"/>
    </w:pPr>
    <w:rPr>
      <w:b/>
      <w:caps/>
    </w:rPr>
  </w:style>
  <w:style w:type="paragraph" w:styleId="Heading2">
    <w:name w:val="heading 2"/>
    <w:basedOn w:val="Normal"/>
    <w:next w:val="Normal"/>
    <w:link w:val="Heading2Char"/>
    <w:uiPriority w:val="9"/>
    <w:qFormat/>
    <w:rsid w:val="003C675C"/>
    <w:pPr>
      <w:keepNext/>
      <w:spacing w:before="240" w:after="240"/>
      <w:ind w:left="1134" w:hanging="567"/>
      <w:outlineLvl w:val="1"/>
    </w:pPr>
    <w:rPr>
      <w:bCs/>
      <w:iCs/>
      <w:caps/>
      <w:szCs w:val="28"/>
    </w:rPr>
  </w:style>
  <w:style w:type="paragraph" w:styleId="Heading3">
    <w:name w:val="heading 3"/>
    <w:basedOn w:val="Normal"/>
    <w:next w:val="Normal"/>
    <w:link w:val="Heading3Char"/>
    <w:uiPriority w:val="9"/>
    <w:qFormat/>
    <w:rsid w:val="00A25FE5"/>
    <w:pPr>
      <w:keepNext/>
      <w:tabs>
        <w:tab w:val="left" w:pos="1985"/>
      </w:tabs>
      <w:spacing w:before="240" w:after="240"/>
      <w:ind w:left="1134"/>
      <w:outlineLvl w:val="2"/>
    </w:pPr>
    <w:rPr>
      <w:bCs/>
      <w:szCs w:val="26"/>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paragraph" w:styleId="Heading5">
    <w:name w:val="heading 5"/>
    <w:basedOn w:val="Normal"/>
    <w:next w:val="Normal"/>
    <w:link w:val="Heading5Char"/>
    <w:uiPriority w:val="9"/>
    <w:qFormat/>
    <w:rsid w:val="001957C8"/>
    <w:pPr>
      <w:keepNext/>
      <w:keepLines/>
      <w:spacing w:before="40"/>
      <w:outlineLvl w:val="4"/>
    </w:pPr>
    <w:rPr>
      <w:rFonts w:ascii="Times New Roman" w:eastAsia="Times New Roman" w:hAnsi="Times New Roman" w:cs="Times New Roman"/>
      <w:b/>
      <w:bCs/>
      <w:color w:val="2F5496"/>
      <w:sz w:val="20"/>
      <w:lang w:val="fr-FR" w:eastAsia="en-US"/>
    </w:rPr>
  </w:style>
  <w:style w:type="paragraph" w:styleId="Heading6">
    <w:name w:val="heading 6"/>
    <w:basedOn w:val="Normal"/>
    <w:next w:val="Normal"/>
    <w:link w:val="Heading6Char"/>
    <w:uiPriority w:val="9"/>
    <w:qFormat/>
    <w:rsid w:val="001957C8"/>
    <w:pPr>
      <w:keepNext/>
      <w:keepLines/>
      <w:spacing w:before="40"/>
      <w:outlineLvl w:val="5"/>
    </w:pPr>
    <w:rPr>
      <w:rFonts w:ascii="Times New Roman" w:eastAsia="Times New Roman" w:hAnsi="Times New Roman" w:cs="Times New Roman"/>
      <w:b/>
      <w:bCs/>
      <w:color w:val="1F3763"/>
      <w:sz w:val="16"/>
      <w:szCs w:val="1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1957C8"/>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uiPriority w:val="9"/>
    <w:rsid w:val="001957C8"/>
    <w:rPr>
      <w:b/>
      <w:bCs/>
      <w:color w:val="2F5496"/>
      <w:lang w:val="fr-FR" w:eastAsia="en-US"/>
    </w:rPr>
  </w:style>
  <w:style w:type="character" w:customStyle="1" w:styleId="Heading6Char">
    <w:name w:val="Heading 6 Char"/>
    <w:basedOn w:val="DefaultParagraphFont"/>
    <w:link w:val="Heading6"/>
    <w:uiPriority w:val="9"/>
    <w:rsid w:val="001957C8"/>
    <w:rPr>
      <w:b/>
      <w:bCs/>
      <w:color w:val="1F3763"/>
      <w:sz w:val="16"/>
      <w:szCs w:val="16"/>
      <w:lang w:val="fr-FR" w:eastAsia="en-US"/>
    </w:rPr>
  </w:style>
  <w:style w:type="numbering" w:customStyle="1" w:styleId="NoList1">
    <w:name w:val="No List1"/>
    <w:next w:val="NoList"/>
    <w:uiPriority w:val="99"/>
    <w:semiHidden/>
    <w:unhideWhenUsed/>
    <w:rsid w:val="001957C8"/>
  </w:style>
  <w:style w:type="character" w:customStyle="1" w:styleId="Heading1Char">
    <w:name w:val="Heading 1 Char"/>
    <w:basedOn w:val="DefaultParagraphFont"/>
    <w:link w:val="Heading1"/>
    <w:uiPriority w:val="9"/>
    <w:rsid w:val="007B671D"/>
    <w:rPr>
      <w:rFonts w:ascii="Arial" w:eastAsia="SimSun" w:hAnsi="Arial" w:cs="Arial"/>
      <w:b/>
      <w:caps/>
      <w:sz w:val="22"/>
      <w:lang w:eastAsia="zh-CN"/>
    </w:rPr>
  </w:style>
  <w:style w:type="character" w:customStyle="1" w:styleId="Heading2Char">
    <w:name w:val="Heading 2 Char"/>
    <w:basedOn w:val="DefaultParagraphFont"/>
    <w:link w:val="Heading2"/>
    <w:uiPriority w:val="9"/>
    <w:rsid w:val="003C675C"/>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A25FE5"/>
    <w:rPr>
      <w:rFonts w:ascii="Arial" w:eastAsia="SimSun" w:hAnsi="Arial" w:cs="Arial"/>
      <w:bCs/>
      <w:sz w:val="22"/>
      <w:szCs w:val="26"/>
      <w:lang w:eastAsia="zh-CN"/>
    </w:rPr>
  </w:style>
  <w:style w:type="character" w:customStyle="1" w:styleId="Heading4Char">
    <w:name w:val="Heading 4 Char"/>
    <w:basedOn w:val="DefaultParagraphFont"/>
    <w:link w:val="Heading4"/>
    <w:uiPriority w:val="9"/>
    <w:rsid w:val="001957C8"/>
    <w:rPr>
      <w:rFonts w:ascii="Arial" w:eastAsia="SimSun" w:hAnsi="Arial" w:cs="Arial"/>
      <w:bCs/>
      <w:i/>
      <w:sz w:val="22"/>
      <w:szCs w:val="28"/>
      <w:lang w:eastAsia="zh-CN"/>
    </w:rPr>
  </w:style>
  <w:style w:type="paragraph" w:styleId="ListParagraph">
    <w:name w:val="List Paragraph"/>
    <w:basedOn w:val="Normal"/>
    <w:uiPriority w:val="34"/>
    <w:qFormat/>
    <w:rsid w:val="001957C8"/>
    <w:pPr>
      <w:ind w:left="720"/>
      <w:contextualSpacing/>
    </w:pPr>
    <w:rPr>
      <w:rFonts w:ascii="Times New Roman" w:eastAsia="Times New Roman" w:hAnsi="Times New Roman" w:cs="Times New Roman"/>
      <w:sz w:val="24"/>
      <w:szCs w:val="24"/>
      <w:lang w:val="fr-FR" w:eastAsia="en-US"/>
    </w:rPr>
  </w:style>
  <w:style w:type="character" w:customStyle="1" w:styleId="HeaderChar">
    <w:name w:val="Header Char"/>
    <w:basedOn w:val="DefaultParagraphFont"/>
    <w:link w:val="Header"/>
    <w:uiPriority w:val="99"/>
    <w:rsid w:val="001957C8"/>
    <w:rPr>
      <w:rFonts w:ascii="Arial" w:eastAsia="SimSun" w:hAnsi="Arial" w:cs="Arial"/>
      <w:sz w:val="22"/>
      <w:lang w:eastAsia="zh-CN"/>
    </w:rPr>
  </w:style>
  <w:style w:type="character" w:customStyle="1" w:styleId="FooterChar">
    <w:name w:val="Footer Char"/>
    <w:basedOn w:val="DefaultParagraphFont"/>
    <w:link w:val="Footer"/>
    <w:uiPriority w:val="99"/>
    <w:rsid w:val="001957C8"/>
    <w:rPr>
      <w:rFonts w:ascii="Arial" w:eastAsia="SimSun" w:hAnsi="Arial" w:cs="Arial"/>
      <w:sz w:val="22"/>
      <w:lang w:eastAsia="zh-CN"/>
    </w:rPr>
  </w:style>
  <w:style w:type="paragraph" w:styleId="BalloonText">
    <w:name w:val="Balloon Text"/>
    <w:basedOn w:val="Normal"/>
    <w:link w:val="BalloonTextChar"/>
    <w:semiHidden/>
    <w:unhideWhenUsed/>
    <w:rsid w:val="001957C8"/>
    <w:rPr>
      <w:rFonts w:ascii="Segoe UI" w:eastAsia="Times New Roman" w:hAnsi="Segoe UI" w:cs="Segoe UI"/>
      <w:sz w:val="18"/>
      <w:szCs w:val="18"/>
      <w:lang w:val="fr-FR" w:eastAsia="en-US"/>
    </w:rPr>
  </w:style>
  <w:style w:type="character" w:customStyle="1" w:styleId="BalloonTextChar">
    <w:name w:val="Balloon Text Char"/>
    <w:basedOn w:val="DefaultParagraphFont"/>
    <w:link w:val="BalloonText"/>
    <w:semiHidden/>
    <w:rsid w:val="001957C8"/>
    <w:rPr>
      <w:rFonts w:ascii="Segoe UI" w:hAnsi="Segoe UI" w:cs="Segoe UI"/>
      <w:sz w:val="18"/>
      <w:szCs w:val="18"/>
      <w:lang w:val="fr-FR" w:eastAsia="en-US"/>
    </w:rPr>
  </w:style>
  <w:style w:type="character" w:customStyle="1" w:styleId="FootnoteTextChar">
    <w:name w:val="Footnote Text Char"/>
    <w:basedOn w:val="DefaultParagraphFont"/>
    <w:link w:val="FootnoteText"/>
    <w:uiPriority w:val="99"/>
    <w:semiHidden/>
    <w:rsid w:val="001957C8"/>
    <w:rPr>
      <w:rFonts w:ascii="Arial" w:eastAsia="SimSun" w:hAnsi="Arial" w:cs="Arial"/>
      <w:sz w:val="18"/>
      <w:lang w:eastAsia="zh-CN"/>
    </w:rPr>
  </w:style>
  <w:style w:type="character" w:styleId="FootnoteReference">
    <w:name w:val="footnote reference"/>
    <w:basedOn w:val="DefaultParagraphFont"/>
    <w:semiHidden/>
    <w:unhideWhenUsed/>
    <w:rsid w:val="001957C8"/>
    <w:rPr>
      <w:vertAlign w:val="superscript"/>
    </w:rPr>
  </w:style>
  <w:style w:type="character" w:customStyle="1" w:styleId="Hyperlink1">
    <w:name w:val="Hyperlink1"/>
    <w:basedOn w:val="DefaultParagraphFont"/>
    <w:unhideWhenUsed/>
    <w:rsid w:val="001957C8"/>
    <w:rPr>
      <w:color w:val="0000FF"/>
      <w:u w:val="single"/>
    </w:rPr>
  </w:style>
  <w:style w:type="character" w:customStyle="1" w:styleId="FollowedHyperlink1">
    <w:name w:val="FollowedHyperlink1"/>
    <w:basedOn w:val="DefaultParagraphFont"/>
    <w:uiPriority w:val="99"/>
    <w:semiHidden/>
    <w:unhideWhenUsed/>
    <w:rsid w:val="001957C8"/>
    <w:rPr>
      <w:color w:val="800080"/>
      <w:u w:val="single"/>
    </w:rPr>
  </w:style>
  <w:style w:type="paragraph" w:customStyle="1" w:styleId="rvps2">
    <w:name w:val="rvps2"/>
    <w:basedOn w:val="Normal"/>
    <w:rsid w:val="001957C8"/>
    <w:pPr>
      <w:spacing w:before="100" w:beforeAutospacing="1" w:after="100" w:afterAutospacing="1"/>
    </w:pPr>
    <w:rPr>
      <w:rFonts w:ascii="Times New Roman" w:eastAsia="Times New Roman" w:hAnsi="Times New Roman" w:cs="Times New Roman"/>
      <w:sz w:val="24"/>
      <w:szCs w:val="24"/>
      <w:lang w:val="fr-FR" w:eastAsia="en-US"/>
    </w:rPr>
  </w:style>
  <w:style w:type="character" w:styleId="CommentReference">
    <w:name w:val="annotation reference"/>
    <w:basedOn w:val="DefaultParagraphFont"/>
    <w:uiPriority w:val="99"/>
    <w:semiHidden/>
    <w:unhideWhenUsed/>
    <w:rsid w:val="001957C8"/>
    <w:rPr>
      <w:sz w:val="16"/>
      <w:szCs w:val="16"/>
    </w:rPr>
  </w:style>
  <w:style w:type="character" w:customStyle="1" w:styleId="CommentTextChar">
    <w:name w:val="Comment Text Char"/>
    <w:basedOn w:val="DefaultParagraphFont"/>
    <w:uiPriority w:val="99"/>
    <w:semiHidden/>
    <w:rsid w:val="001957C8"/>
  </w:style>
  <w:style w:type="paragraph" w:styleId="CommentSubject">
    <w:name w:val="annotation subject"/>
    <w:basedOn w:val="CommentText"/>
    <w:next w:val="CommentText"/>
    <w:link w:val="CommentSubjectChar"/>
    <w:uiPriority w:val="99"/>
    <w:semiHidden/>
    <w:unhideWhenUsed/>
    <w:rsid w:val="001957C8"/>
    <w:rPr>
      <w:rFonts w:ascii="Times New Roman" w:eastAsia="Times New Roman" w:hAnsi="Times New Roman" w:cs="Times New Roman"/>
      <w:b/>
      <w:bCs/>
      <w:sz w:val="20"/>
      <w:lang w:val="fr-FR" w:eastAsia="en-US"/>
    </w:rPr>
  </w:style>
  <w:style w:type="character" w:customStyle="1" w:styleId="CommentTextChar1">
    <w:name w:val="Comment Text Char1"/>
    <w:basedOn w:val="DefaultParagraphFont"/>
    <w:link w:val="CommentText"/>
    <w:uiPriority w:val="99"/>
    <w:semiHidden/>
    <w:rsid w:val="001957C8"/>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1957C8"/>
    <w:rPr>
      <w:rFonts w:ascii="Arial" w:eastAsia="SimSun" w:hAnsi="Arial" w:cs="Arial"/>
      <w:b/>
      <w:bCs/>
      <w:sz w:val="18"/>
      <w:lang w:val="fr-FR" w:eastAsia="en-US"/>
    </w:rPr>
  </w:style>
  <w:style w:type="paragraph" w:styleId="Revision">
    <w:name w:val="Revision"/>
    <w:hidden/>
    <w:uiPriority w:val="99"/>
    <w:semiHidden/>
    <w:rsid w:val="001957C8"/>
    <w:rPr>
      <w:sz w:val="24"/>
      <w:szCs w:val="24"/>
      <w:lang w:val="fr-FR" w:eastAsia="en-US"/>
    </w:rPr>
  </w:style>
  <w:style w:type="character" w:styleId="Emphasis">
    <w:name w:val="Emphasis"/>
    <w:basedOn w:val="DefaultParagraphFont"/>
    <w:uiPriority w:val="20"/>
    <w:qFormat/>
    <w:rsid w:val="001957C8"/>
    <w:rPr>
      <w:i/>
      <w:iCs/>
    </w:rPr>
  </w:style>
  <w:style w:type="paragraph" w:customStyle="1" w:styleId="Default">
    <w:name w:val="Default"/>
    <w:basedOn w:val="Normal"/>
    <w:rsid w:val="001957C8"/>
    <w:pPr>
      <w:autoSpaceDE w:val="0"/>
      <w:autoSpaceDN w:val="0"/>
    </w:pPr>
    <w:rPr>
      <w:rFonts w:ascii="Calibri" w:eastAsia="Calibri" w:hAnsi="Calibri" w:cs="Calibri"/>
      <w:color w:val="000000"/>
      <w:sz w:val="24"/>
      <w:szCs w:val="24"/>
      <w:lang w:val="fr-FR" w:eastAsia="en-US"/>
    </w:rPr>
  </w:style>
  <w:style w:type="character" w:styleId="Hyperlink">
    <w:name w:val="Hyperlink"/>
    <w:basedOn w:val="DefaultParagraphFont"/>
    <w:unhideWhenUsed/>
    <w:rsid w:val="001957C8"/>
    <w:rPr>
      <w:color w:val="0000FF" w:themeColor="hyperlink"/>
      <w:u w:val="single"/>
    </w:rPr>
  </w:style>
  <w:style w:type="character" w:styleId="FollowedHyperlink">
    <w:name w:val="FollowedHyperlink"/>
    <w:basedOn w:val="DefaultParagraphFont"/>
    <w:semiHidden/>
    <w:unhideWhenUsed/>
    <w:rsid w:val="00195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rtal.research4life.org/country_off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undp.org/ukraine/publications/rapid-assessment-wars-impact-micro-small-and-medium-enterprises-ukraine" TargetMode="External"/><Relationship Id="rId13" Type="http://schemas.openxmlformats.org/officeDocument/2006/relationships/hyperlink" Target="https://www.startupblink.com/startup-ecosystem/ukraine" TargetMode="External"/><Relationship Id="rId18" Type="http://schemas.openxmlformats.org/officeDocument/2006/relationships/hyperlink" Target="https://suspilne.media/348496-nasa-kultura-zive-i-pid-cas-vijni-pidbili-literaturni-pidsumki-2022-roku/" TargetMode="External"/><Relationship Id="rId3" Type="http://schemas.openxmlformats.org/officeDocument/2006/relationships/hyperlink" Target="https://www.imf.org/en/Publications/CR/Issues/2023/03/31/Ukraine-Request-for-an-Extended-Arrangement-Under-the-Extended-Fund-Facility-and-Review-of-531687" TargetMode="External"/><Relationship Id="rId21" Type="http://schemas.openxmlformats.org/officeDocument/2006/relationships/hyperlink" Target="https://zakon.rada.gov.ua/laws/show/2174-20" TargetMode="External"/><Relationship Id="rId7" Type="http://schemas.openxmlformats.org/officeDocument/2006/relationships/hyperlink" Target="https://www.oecd-ilibrary.org/sites/ae8c3c25-en/index.html?itemId=/content/component/ae8c3c25-en" TargetMode="External"/><Relationship Id="rId12" Type="http://schemas.openxmlformats.org/officeDocument/2006/relationships/hyperlink" Target="https://www.startupblink.com/startup-ecosystem/ukraine" TargetMode="External"/><Relationship Id="rId17" Type="http://schemas.openxmlformats.org/officeDocument/2006/relationships/hyperlink" Target="https://www.sikorskychallenge.com/english/" TargetMode="External"/><Relationship Id="rId2" Type="http://schemas.openxmlformats.org/officeDocument/2006/relationships/hyperlink" Target="https://documents1.worldbank.org/curated/en/099184503212328877/pdf/P1801740d1177f03c0ab180057556615497.pdf" TargetMode="External"/><Relationship Id="rId16" Type="http://schemas.openxmlformats.org/officeDocument/2006/relationships/hyperlink" Target="https://uadn.net/2023/01/31/at-7-3-billion-ukraines-it-service-export-reached-an-all-time-record-in-2022/" TargetMode="External"/><Relationship Id="rId20" Type="http://schemas.openxmlformats.org/officeDocument/2006/relationships/hyperlink" Target="https://zakon.rada.gov.ua/laws/show/1960-20" TargetMode="External"/><Relationship Id="rId1" Type="http://schemas.openxmlformats.org/officeDocument/2006/relationships/hyperlink" Target="https://documents1.worldbank.org/curated/en/099184503212328877/pdf/P1801740d1177f03c0ab180057556615497.pdf" TargetMode="External"/><Relationship Id="rId6" Type="http://schemas.openxmlformats.org/officeDocument/2006/relationships/hyperlink" Target="https://kse.ua/about-the-school/news/the-damage-from-the-destruction-of-cultural-and-religious-sites-during-the-war-have-exceeded-1-5-billion/" TargetMode="External"/><Relationship Id="rId11" Type="http://schemas.openxmlformats.org/officeDocument/2006/relationships/hyperlink" Target="https://www.state.gov/celebrating-ukrainian-science-and-technology-entrepreneurship/" TargetMode="External"/><Relationship Id="rId5" Type="http://schemas.openxmlformats.org/officeDocument/2006/relationships/hyperlink" Target="https://www.unesco.org/en/articles/damaged-cultural-sites-ukraine-verified-unesco?hub=66116" TargetMode="External"/><Relationship Id="rId15" Type="http://schemas.openxmlformats.org/officeDocument/2006/relationships/hyperlink" Target="https://www.startupblink.com/startup-ecosystem/ukraine" TargetMode="External"/><Relationship Id="rId10" Type="http://schemas.openxmlformats.org/officeDocument/2006/relationships/hyperlink" Target="https://mon.gov.ua/ua/news/uryad-onoviv-perelik-prioritetnih-napryamiv-innovacijnoyi-diyalnosti-do-aktualnih-potreb-periodu-voyennogo-stanu-ta-potreb-vidnovlennya-ukrayini" TargetMode="External"/><Relationship Id="rId19" Type="http://schemas.openxmlformats.org/officeDocument/2006/relationships/hyperlink" Target="https://usfa.gov.ua/upload/media/2022/12/30/63aee7cc5f0a0-derzhkino-2022.pdf" TargetMode="External"/><Relationship Id="rId4" Type="http://schemas.openxmlformats.org/officeDocument/2006/relationships/hyperlink" Target="http://documents.worldbank.org/curated/en/099184503212328877/P1801740d1177f03c0ab180057556615497" TargetMode="External"/><Relationship Id="rId9" Type="http://schemas.openxmlformats.org/officeDocument/2006/relationships/hyperlink" Target="https://www.ebrd.com/news/2023/ebrd-usa-and-sweden-assess-impact-of-war-on-smes-in-ukraine.html" TargetMode="External"/><Relationship Id="rId14" Type="http://schemas.openxmlformats.org/officeDocument/2006/relationships/hyperlink" Target="https://techukraine.org/2022/08/16/the-voice-of-ukrainian-start-up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(F)</Template>
  <TotalTime>423</TotalTime>
  <Pages>32</Pages>
  <Words>14956</Words>
  <Characters>85131</Characters>
  <Application>Microsoft Office Word</Application>
  <DocSecurity>0</DocSecurity>
  <Lines>1373</Lines>
  <Paragraphs>437</Paragraphs>
  <ScaleCrop>false</ScaleCrop>
  <HeadingPairs>
    <vt:vector size="2" baseType="variant">
      <vt:variant>
        <vt:lpstr>Title</vt:lpstr>
      </vt:variant>
      <vt:variant>
        <vt:i4>1</vt:i4>
      </vt:variant>
    </vt:vector>
  </HeadingPairs>
  <TitlesOfParts>
    <vt:vector size="1" baseType="lpstr">
      <vt:lpstr>A/64/8</vt:lpstr>
    </vt:vector>
  </TitlesOfParts>
  <Company>WIPO</Company>
  <LinksUpToDate>false</LinksUpToDate>
  <CharactersWithSpaces>99650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A/64/8</dc:title>
  <dc:creator>WIPO</dc:creator>
  <cp:keywords>FOR OFFICIAL USE ONLY</cp:keywords>
  <cp:lastModifiedBy>HÄFLIGER Patience</cp:lastModifiedBy>
  <cp:revision>29</cp:revision>
  <cp:lastPrinted>2011-05-19T12:37:00Z</cp:lastPrinted>
  <dcterms:created xsi:type="dcterms:W3CDTF">2023-06-15T17:33:00Z</dcterms:created>
  <dcterms:modified xsi:type="dcterms:W3CDTF">2023-06-16T11:57:00Z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2023-06-16T10:23:49Z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43764eeb-5eda-4d01-9d3a-1915dced4d89</vt:lpwstr>
  </property>
  <property fmtid="{D5CDD505-2E9C-101B-9397-08002B2CF9AE}" pid="14" name="MSIP_Label_20773ee6-353b-4fb9-a59d-0b94c8c67bea_ContentBits">
    <vt:lpwstr>0</vt:lpwstr>
  </property>
</Properties>
</file>