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5413D4" w:rsidRDefault="0040540C" w:rsidP="00D20C96">
      <w:pPr>
        <w:spacing w:before="360" w:after="240"/>
        <w:jc w:val="right"/>
        <w:rPr>
          <w:lang w:val="fr-FR"/>
        </w:rPr>
      </w:pPr>
      <w:r w:rsidRPr="005413D4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5413D4" w:rsidRDefault="00D20C96" w:rsidP="00D20C9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5413D4">
        <w:rPr>
          <w:rFonts w:ascii="Arial Black" w:hAnsi="Arial Black"/>
          <w:caps/>
          <w:sz w:val="15"/>
          <w:lang w:val="fr-FR"/>
        </w:rPr>
        <w:t>a/6</w:t>
      </w:r>
      <w:r w:rsidR="00C75744" w:rsidRPr="005413D4">
        <w:rPr>
          <w:rFonts w:ascii="Arial Black" w:hAnsi="Arial Black"/>
          <w:caps/>
          <w:sz w:val="15"/>
          <w:lang w:val="fr-FR"/>
        </w:rPr>
        <w:t>3</w:t>
      </w:r>
      <w:r w:rsidRPr="005413D4">
        <w:rPr>
          <w:rFonts w:ascii="Arial Black" w:hAnsi="Arial Black"/>
          <w:caps/>
          <w:sz w:val="15"/>
          <w:lang w:val="fr-FR"/>
        </w:rPr>
        <w:t>/</w:t>
      </w:r>
      <w:bookmarkStart w:id="0" w:name="Code"/>
      <w:r w:rsidR="001C282C" w:rsidRPr="005413D4">
        <w:rPr>
          <w:rFonts w:ascii="Arial Black" w:hAnsi="Arial Black"/>
          <w:caps/>
          <w:sz w:val="15"/>
          <w:lang w:val="fr-FR"/>
        </w:rPr>
        <w:t>1</w:t>
      </w:r>
      <w:r w:rsidR="00020325" w:rsidRPr="005413D4">
        <w:rPr>
          <w:rFonts w:ascii="Arial Black" w:hAnsi="Arial Black"/>
          <w:caps/>
          <w:sz w:val="15"/>
          <w:lang w:val="fr-FR"/>
        </w:rPr>
        <w:t> </w:t>
      </w:r>
      <w:r w:rsidR="00D95192" w:rsidRPr="005413D4">
        <w:rPr>
          <w:rFonts w:ascii="Arial Black" w:hAnsi="Arial Black"/>
          <w:caps/>
          <w:sz w:val="15"/>
          <w:lang w:val="fr-FR"/>
        </w:rPr>
        <w:t>Prov</w:t>
      </w:r>
      <w:r w:rsidR="001C282C" w:rsidRPr="005413D4">
        <w:rPr>
          <w:rFonts w:ascii="Arial Black" w:hAnsi="Arial Black"/>
          <w:caps/>
          <w:sz w:val="15"/>
          <w:lang w:val="fr-FR"/>
        </w:rPr>
        <w:t>.1</w:t>
      </w:r>
    </w:p>
    <w:bookmarkEnd w:id="0"/>
    <w:p w:rsidR="008B2CC1" w:rsidRPr="005413D4" w:rsidRDefault="00B1090C" w:rsidP="0040540C">
      <w:pPr>
        <w:jc w:val="right"/>
        <w:rPr>
          <w:lang w:val="fr-FR"/>
        </w:rPr>
      </w:pPr>
      <w:r w:rsidRPr="005413D4">
        <w:rPr>
          <w:rFonts w:ascii="Arial Black" w:hAnsi="Arial Black"/>
          <w:caps/>
          <w:sz w:val="15"/>
          <w:lang w:val="fr-FR"/>
        </w:rPr>
        <w:t>ORIGINAL</w:t>
      </w:r>
      <w:r w:rsidR="00A40F82" w:rsidRPr="005413D4">
        <w:rPr>
          <w:rFonts w:ascii="Arial Black" w:hAnsi="Arial Black"/>
          <w:caps/>
          <w:sz w:val="15"/>
          <w:lang w:val="fr-FR"/>
        </w:rPr>
        <w:t> :</w:t>
      </w:r>
      <w:r w:rsidR="002956DE" w:rsidRPr="005413D4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1C282C" w:rsidRPr="005413D4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5413D4" w:rsidRDefault="00B1090C" w:rsidP="00B1090C">
      <w:pPr>
        <w:spacing w:after="1200"/>
        <w:jc w:val="right"/>
        <w:rPr>
          <w:lang w:val="fr-FR"/>
        </w:rPr>
      </w:pPr>
      <w:r w:rsidRPr="005413D4">
        <w:rPr>
          <w:rFonts w:ascii="Arial Black" w:hAnsi="Arial Black"/>
          <w:caps/>
          <w:sz w:val="15"/>
          <w:lang w:val="fr-FR"/>
        </w:rPr>
        <w:t>DATE</w:t>
      </w:r>
      <w:r w:rsidR="00A40F82" w:rsidRPr="005413D4">
        <w:rPr>
          <w:rFonts w:ascii="Arial Black" w:hAnsi="Arial Black"/>
          <w:caps/>
          <w:sz w:val="15"/>
          <w:lang w:val="fr-FR"/>
        </w:rPr>
        <w:t> :</w:t>
      </w:r>
      <w:r w:rsidR="002956DE" w:rsidRPr="005413D4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C75744" w:rsidRPr="005413D4">
        <w:rPr>
          <w:rFonts w:ascii="Arial Black" w:hAnsi="Arial Black"/>
          <w:caps/>
          <w:sz w:val="15"/>
          <w:lang w:val="fr-FR"/>
        </w:rPr>
        <w:t>15</w:t>
      </w:r>
      <w:r w:rsidR="00BD5997" w:rsidRPr="005413D4">
        <w:rPr>
          <w:rFonts w:ascii="Arial Black" w:hAnsi="Arial Black"/>
          <w:caps/>
          <w:sz w:val="15"/>
          <w:lang w:val="fr-FR"/>
        </w:rPr>
        <w:t> </w:t>
      </w:r>
      <w:r w:rsidR="005F645F">
        <w:rPr>
          <w:rFonts w:ascii="Arial Black" w:hAnsi="Arial Black"/>
          <w:caps/>
          <w:sz w:val="15"/>
          <w:lang w:val="fr-FR"/>
        </w:rPr>
        <w:t>dé</w:t>
      </w:r>
      <w:r w:rsidR="00C75744" w:rsidRPr="005413D4">
        <w:rPr>
          <w:rFonts w:ascii="Arial Black" w:hAnsi="Arial Black"/>
          <w:caps/>
          <w:sz w:val="15"/>
          <w:lang w:val="fr-FR"/>
        </w:rPr>
        <w:t>cembre</w:t>
      </w:r>
      <w:r w:rsidR="00BD5997" w:rsidRPr="005413D4">
        <w:rPr>
          <w:rFonts w:ascii="Arial Black" w:hAnsi="Arial Black"/>
          <w:caps/>
          <w:sz w:val="15"/>
          <w:lang w:val="fr-FR"/>
        </w:rPr>
        <w:t> 20</w:t>
      </w:r>
      <w:r w:rsidR="001C282C" w:rsidRPr="005413D4">
        <w:rPr>
          <w:rFonts w:ascii="Arial Black" w:hAnsi="Arial Black"/>
          <w:caps/>
          <w:sz w:val="15"/>
          <w:lang w:val="fr-FR"/>
        </w:rPr>
        <w:t>2</w:t>
      </w:r>
      <w:r w:rsidR="00FE4B1D" w:rsidRPr="005413D4">
        <w:rPr>
          <w:rFonts w:ascii="Arial Black" w:hAnsi="Arial Black"/>
          <w:caps/>
          <w:sz w:val="15"/>
          <w:lang w:val="fr-FR"/>
        </w:rPr>
        <w:t>1</w:t>
      </w:r>
    </w:p>
    <w:bookmarkEnd w:id="2"/>
    <w:p w:rsidR="003845C1" w:rsidRPr="005413D4" w:rsidRDefault="00D20C96" w:rsidP="00D9206E">
      <w:pPr>
        <w:pStyle w:val="Title"/>
      </w:pPr>
      <w:r w:rsidRPr="005413D4">
        <w:t>Assemblées des États membres de l</w:t>
      </w:r>
      <w:r w:rsidR="00A40F82" w:rsidRPr="005413D4">
        <w:t>’</w:t>
      </w:r>
      <w:r w:rsidRPr="005413D4">
        <w:t>OMPI</w:t>
      </w:r>
    </w:p>
    <w:p w:rsidR="00C64475" w:rsidRPr="005413D4" w:rsidRDefault="0094748E" w:rsidP="009E1ECD">
      <w:pPr>
        <w:outlineLvl w:val="1"/>
        <w:rPr>
          <w:b/>
          <w:sz w:val="24"/>
          <w:szCs w:val="24"/>
          <w:lang w:val="fr-FR"/>
        </w:rPr>
      </w:pPr>
      <w:r w:rsidRPr="005413D4">
        <w:rPr>
          <w:b/>
          <w:sz w:val="24"/>
          <w:szCs w:val="24"/>
          <w:lang w:val="fr-FR"/>
        </w:rPr>
        <w:t>Soixante</w:t>
      </w:r>
      <w:r w:rsidR="00A40F82" w:rsidRPr="005413D4">
        <w:rPr>
          <w:b/>
          <w:sz w:val="24"/>
          <w:szCs w:val="24"/>
          <w:lang w:val="fr-FR"/>
        </w:rPr>
        <w:t>-</w:t>
      </w:r>
      <w:r w:rsidR="00C75744" w:rsidRPr="005413D4">
        <w:rPr>
          <w:b/>
          <w:sz w:val="24"/>
          <w:lang w:val="fr-FR"/>
        </w:rPr>
        <w:t>trois</w:t>
      </w:r>
      <w:r w:rsidR="00293889" w:rsidRPr="005413D4">
        <w:rPr>
          <w:b/>
          <w:sz w:val="24"/>
          <w:lang w:val="fr-FR"/>
        </w:rPr>
        <w:t xml:space="preserve">ième </w:t>
      </w:r>
      <w:r w:rsidR="00C64475" w:rsidRPr="005413D4">
        <w:rPr>
          <w:b/>
          <w:sz w:val="24"/>
          <w:szCs w:val="24"/>
          <w:lang w:val="fr-FR"/>
        </w:rPr>
        <w:t>série de réunions</w:t>
      </w:r>
    </w:p>
    <w:p w:rsidR="008B2CC1" w:rsidRPr="005413D4" w:rsidRDefault="00293889" w:rsidP="00C64475">
      <w:pPr>
        <w:spacing w:after="720"/>
        <w:outlineLvl w:val="1"/>
        <w:rPr>
          <w:b/>
          <w:sz w:val="24"/>
          <w:szCs w:val="24"/>
          <w:lang w:val="fr-FR"/>
        </w:rPr>
      </w:pPr>
      <w:r w:rsidRPr="005413D4">
        <w:rPr>
          <w:b/>
          <w:sz w:val="24"/>
          <w:szCs w:val="24"/>
          <w:lang w:val="fr-FR"/>
        </w:rPr>
        <w:t xml:space="preserve">Genève, </w:t>
      </w:r>
      <w:r w:rsidR="00C75744" w:rsidRPr="005413D4">
        <w:rPr>
          <w:b/>
          <w:sz w:val="24"/>
          <w:szCs w:val="24"/>
          <w:lang w:val="fr-FR"/>
        </w:rPr>
        <w:t>15</w:t>
      </w:r>
      <w:r w:rsidRPr="005413D4">
        <w:rPr>
          <w:b/>
          <w:sz w:val="24"/>
          <w:szCs w:val="24"/>
          <w:lang w:val="fr-FR"/>
        </w:rPr>
        <w:t xml:space="preserve"> – </w:t>
      </w:r>
      <w:r w:rsidR="00C75744" w:rsidRPr="005413D4">
        <w:rPr>
          <w:b/>
          <w:sz w:val="24"/>
          <w:szCs w:val="24"/>
          <w:lang w:val="fr-FR"/>
        </w:rPr>
        <w:t>22</w:t>
      </w:r>
      <w:r w:rsidR="00BD5997" w:rsidRPr="005413D4">
        <w:rPr>
          <w:b/>
          <w:sz w:val="24"/>
          <w:szCs w:val="24"/>
          <w:lang w:val="fr-FR"/>
        </w:rPr>
        <w:t> </w:t>
      </w:r>
      <w:r w:rsidR="00C75744" w:rsidRPr="005413D4">
        <w:rPr>
          <w:b/>
          <w:sz w:val="24"/>
          <w:szCs w:val="24"/>
          <w:lang w:val="fr-FR"/>
        </w:rPr>
        <w:t>juillet</w:t>
      </w:r>
      <w:r w:rsidR="00BD5997" w:rsidRPr="005413D4">
        <w:rPr>
          <w:b/>
          <w:sz w:val="24"/>
          <w:szCs w:val="24"/>
          <w:lang w:val="fr-FR"/>
        </w:rPr>
        <w:t> 20</w:t>
      </w:r>
      <w:r w:rsidR="00C75744" w:rsidRPr="005413D4">
        <w:rPr>
          <w:b/>
          <w:sz w:val="24"/>
          <w:szCs w:val="24"/>
          <w:lang w:val="fr-FR"/>
        </w:rPr>
        <w:t>22</w:t>
      </w:r>
    </w:p>
    <w:p w:rsidR="008B2CC1" w:rsidRPr="005413D4" w:rsidRDefault="001C282C" w:rsidP="00B1090C">
      <w:pPr>
        <w:spacing w:after="360"/>
        <w:rPr>
          <w:caps/>
          <w:sz w:val="24"/>
          <w:lang w:val="fr-FR"/>
        </w:rPr>
      </w:pPr>
      <w:bookmarkStart w:id="3" w:name="TitleOfDoc"/>
      <w:r w:rsidRPr="005413D4">
        <w:rPr>
          <w:caps/>
          <w:sz w:val="24"/>
          <w:lang w:val="fr-FR"/>
        </w:rPr>
        <w:t>Projet d</w:t>
      </w:r>
      <w:r w:rsidR="00A40F82" w:rsidRPr="005413D4">
        <w:rPr>
          <w:caps/>
          <w:sz w:val="24"/>
          <w:lang w:val="fr-FR"/>
        </w:rPr>
        <w:t>’</w:t>
      </w:r>
      <w:r w:rsidRPr="005413D4">
        <w:rPr>
          <w:caps/>
          <w:sz w:val="24"/>
          <w:lang w:val="fr-FR"/>
        </w:rPr>
        <w:t>ordre du jour unifié</w:t>
      </w:r>
    </w:p>
    <w:p w:rsidR="008B2CC1" w:rsidRPr="005413D4" w:rsidRDefault="001C282C" w:rsidP="00963071">
      <w:pPr>
        <w:spacing w:after="960"/>
        <w:rPr>
          <w:i/>
          <w:lang w:val="fr-FR"/>
        </w:rPr>
      </w:pPr>
      <w:bookmarkStart w:id="4" w:name="Prepared"/>
      <w:bookmarkEnd w:id="3"/>
      <w:proofErr w:type="gramStart"/>
      <w:r w:rsidRPr="005413D4">
        <w:rPr>
          <w:i/>
          <w:lang w:val="fr-FR"/>
        </w:rPr>
        <w:t>établi</w:t>
      </w:r>
      <w:proofErr w:type="gramEnd"/>
      <w:r w:rsidRPr="005413D4">
        <w:rPr>
          <w:i/>
          <w:lang w:val="fr-FR"/>
        </w:rPr>
        <w:t xml:space="preserve"> par le Directeur général</w:t>
      </w:r>
    </w:p>
    <w:bookmarkEnd w:id="4"/>
    <w:p w:rsidR="001C282C" w:rsidRPr="005413D4" w:rsidRDefault="001C282C" w:rsidP="001C282C">
      <w:pPr>
        <w:rPr>
          <w:lang w:val="fr-FR"/>
        </w:rPr>
      </w:pPr>
      <w:r w:rsidRPr="005413D4">
        <w:rPr>
          <w:lang w:val="fr-FR"/>
        </w:rPr>
        <w:br w:type="page"/>
      </w:r>
    </w:p>
    <w:p w:rsidR="001C282C" w:rsidRPr="005413D4" w:rsidRDefault="001C282C" w:rsidP="00D9206E">
      <w:pPr>
        <w:pStyle w:val="Heading1"/>
      </w:pPr>
      <w:r w:rsidRPr="005413D4">
        <w:lastRenderedPageBreak/>
        <w:t>Liste des points de l</w:t>
      </w:r>
      <w:r w:rsidR="00A40F82" w:rsidRPr="005413D4">
        <w:t>’</w:t>
      </w:r>
      <w:r w:rsidRPr="005413D4">
        <w:t>ordre du jour</w:t>
      </w:r>
      <w:r w:rsidRPr="00205A7B">
        <w:rPr>
          <w:rStyle w:val="FootnoteReference"/>
        </w:rPr>
        <w:footnoteReference w:id="2"/>
      </w:r>
    </w:p>
    <w:p w:rsidR="001C282C" w:rsidRPr="005413D4" w:rsidRDefault="00D9206E" w:rsidP="00D9206E">
      <w:pPr>
        <w:pStyle w:val="Heading2"/>
      </w:pPr>
      <w:r w:rsidRPr="005413D4">
        <w:t>Ouverture des sessions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Ouverture des sessions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Adoption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Rapport du Directeur général aux assemblées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OMPI</w:t>
      </w:r>
    </w:p>
    <w:p w:rsidR="00C75744" w:rsidRPr="00205A7B" w:rsidRDefault="001C282C" w:rsidP="00205A7B">
      <w:pPr>
        <w:pStyle w:val="ONUMFS"/>
      </w:pPr>
      <w:r w:rsidRPr="00205A7B">
        <w:t>Déclarations générales</w:t>
      </w:r>
    </w:p>
    <w:p w:rsidR="00C75744" w:rsidRPr="005413D4" w:rsidRDefault="00C75744" w:rsidP="00C04F53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Élection des membres des bureaux</w:t>
      </w:r>
    </w:p>
    <w:p w:rsidR="001C282C" w:rsidRPr="005413D4" w:rsidRDefault="00D9206E" w:rsidP="00D9206E">
      <w:pPr>
        <w:pStyle w:val="Heading2"/>
      </w:pPr>
      <w:r w:rsidRPr="005413D4">
        <w:t>Organes directeurs et questions institutionnelles</w:t>
      </w:r>
    </w:p>
    <w:p w:rsidR="001C282C" w:rsidRPr="005413D4" w:rsidRDefault="001C282C" w:rsidP="001C282C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>Admission d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observateurs</w:t>
      </w:r>
    </w:p>
    <w:p w:rsidR="00C75744" w:rsidRPr="005413D4" w:rsidRDefault="00C75744" w:rsidP="00C75744">
      <w:pPr>
        <w:pStyle w:val="ONUMFS"/>
        <w:rPr>
          <w:lang w:val="fr-FR"/>
        </w:rPr>
      </w:pPr>
      <w:r w:rsidRPr="005413D4">
        <w:rPr>
          <w:lang w:val="fr-FR"/>
        </w:rPr>
        <w:t>Projets d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 xml:space="preserve">ordre du jour des sessions ordinaires </w:t>
      </w:r>
      <w:r w:rsidR="00A40F82" w:rsidRPr="005413D4">
        <w:rPr>
          <w:lang w:val="fr-FR"/>
        </w:rPr>
        <w:t>de 2023</w:t>
      </w:r>
    </w:p>
    <w:p w:rsidR="001C282C" w:rsidRPr="005413D4" w:rsidRDefault="00C75744" w:rsidP="00205A7B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Nouveau cycle d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élection des membres des bureaux des assemblées et autres organes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OMPI</w:t>
      </w:r>
    </w:p>
    <w:p w:rsidR="001C282C" w:rsidRPr="005413D4" w:rsidRDefault="00D9206E" w:rsidP="00D9206E">
      <w:pPr>
        <w:pStyle w:val="Heading2"/>
      </w:pPr>
      <w:r w:rsidRPr="005413D4">
        <w:t>Comités de l</w:t>
      </w:r>
      <w:r w:rsidR="00A40F82" w:rsidRPr="005413D4">
        <w:t>’</w:t>
      </w:r>
      <w:r w:rsidRPr="005413D4">
        <w:t>OMPI et cadre normatif international</w:t>
      </w:r>
    </w:p>
    <w:p w:rsidR="00F558D9" w:rsidRPr="005413D4" w:rsidRDefault="001C282C" w:rsidP="001C282C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 xml:space="preserve">Rapport </w:t>
      </w:r>
      <w:r w:rsidR="00F558D9" w:rsidRPr="005413D4">
        <w:rPr>
          <w:lang w:val="fr-FR"/>
        </w:rPr>
        <w:t>des comités de l</w:t>
      </w:r>
      <w:r w:rsidR="00A40F82" w:rsidRPr="005413D4">
        <w:rPr>
          <w:lang w:val="fr-FR"/>
        </w:rPr>
        <w:t>’</w:t>
      </w:r>
      <w:r w:rsidR="00F558D9" w:rsidRPr="005413D4">
        <w:rPr>
          <w:lang w:val="fr-FR"/>
        </w:rPr>
        <w:t>OMPI</w:t>
      </w:r>
      <w:r w:rsidR="00A40F82" w:rsidRPr="005413D4">
        <w:rPr>
          <w:lang w:val="fr-FR"/>
        </w:rPr>
        <w:t> :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permanent du droit d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auteur et des droits connexes (SCCR)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permanent du droit des brevets (SCP)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permanent du droit des marques, des dessins et modèles industriels et des indications géographiques (SCT)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Questions concernant la convocation d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une conférence diplomatique pour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adoption d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un traité sur le droit des dessins et modèles (DLT)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du développement et de la propriété intellectuelle (CDIP) et examen de la mise en œuvre des recommandations du Plan d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action pour le développement</w:t>
      </w:r>
    </w:p>
    <w:p w:rsidR="001C282C" w:rsidRPr="005413D4" w:rsidRDefault="001C282C" w:rsidP="00205A7B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ind w:left="567"/>
        <w:rPr>
          <w:lang w:val="fr-FR"/>
        </w:rPr>
      </w:pPr>
      <w:r w:rsidRPr="005413D4">
        <w:rPr>
          <w:lang w:val="fr-FR"/>
        </w:rPr>
        <w:t>Comité intergouvernemental de la propriété intellectuelle relative aux ressources génétiques, aux savoirs traditionnels et au folklore (IGC)</w:t>
      </w:r>
    </w:p>
    <w:p w:rsidR="001C282C" w:rsidRPr="005413D4" w:rsidRDefault="001C282C" w:rsidP="00A412F9">
      <w:pPr>
        <w:pStyle w:val="ONUMFS"/>
        <w:numPr>
          <w:ilvl w:val="2"/>
          <w:numId w:val="6"/>
        </w:numPr>
        <w:tabs>
          <w:tab w:val="clear" w:pos="1701"/>
          <w:tab w:val="num" w:pos="1134"/>
        </w:tabs>
        <w:spacing w:after="480"/>
        <w:ind w:left="567"/>
        <w:rPr>
          <w:lang w:val="fr-FR"/>
        </w:rPr>
      </w:pPr>
      <w:r w:rsidRPr="005413D4">
        <w:rPr>
          <w:lang w:val="fr-FR"/>
        </w:rPr>
        <w:t>Comité des normes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OMPI (CWS)</w:t>
      </w:r>
    </w:p>
    <w:p w:rsidR="00F558D9" w:rsidRPr="005413D4" w:rsidRDefault="00F558D9" w:rsidP="00F558D9">
      <w:pPr>
        <w:pStyle w:val="Heading2"/>
      </w:pPr>
      <w:r w:rsidRPr="005413D4">
        <w:t>Programme, budget et questions de supervision</w:t>
      </w:r>
    </w:p>
    <w:p w:rsidR="00F558D9" w:rsidRPr="005413D4" w:rsidRDefault="00F558D9" w:rsidP="00F558D9">
      <w:pPr>
        <w:pStyle w:val="ONUMFS"/>
        <w:rPr>
          <w:lang w:val="fr-FR"/>
        </w:rPr>
      </w:pPr>
      <w:r w:rsidRPr="005413D4">
        <w:rPr>
          <w:lang w:val="fr-FR"/>
        </w:rPr>
        <w:t>Rapports sur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audit et la supervision</w:t>
      </w:r>
    </w:p>
    <w:p w:rsidR="00F558D9" w:rsidRPr="005413D4" w:rsidRDefault="00F558D9" w:rsidP="00F558D9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Organe consultatif indépendant de surveillance (OCIS)</w:t>
      </w:r>
    </w:p>
    <w:p w:rsidR="00F558D9" w:rsidRPr="005413D4" w:rsidRDefault="00F558D9" w:rsidP="00F558D9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du vérificateur externe des comptes</w:t>
      </w:r>
    </w:p>
    <w:p w:rsidR="00F558D9" w:rsidRPr="005413D4" w:rsidRDefault="00F558D9" w:rsidP="00F558D9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lastRenderedPageBreak/>
        <w:t>Rapport du directeur de la Division de la supervision interne (DSI)</w:t>
      </w:r>
    </w:p>
    <w:p w:rsidR="00F558D9" w:rsidRPr="005413D4" w:rsidRDefault="00F558D9" w:rsidP="00205A7B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Rapport sur le Comité du programme et budget (PBC)</w:t>
      </w:r>
    </w:p>
    <w:p w:rsidR="001C282C" w:rsidRPr="005413D4" w:rsidRDefault="00D9206E" w:rsidP="00D9206E">
      <w:pPr>
        <w:pStyle w:val="Heading2"/>
      </w:pPr>
      <w:r w:rsidRPr="005413D4">
        <w:t>Questions concernant le personnel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Rapports sur les questions concernant le personnel</w:t>
      </w:r>
    </w:p>
    <w:p w:rsidR="001C282C" w:rsidRPr="005413D4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sur les ressources humaines</w:t>
      </w:r>
    </w:p>
    <w:p w:rsidR="001C282C" w:rsidRPr="005413D4" w:rsidRDefault="001C282C" w:rsidP="001C282C">
      <w:pPr>
        <w:pStyle w:val="ONUMFS"/>
        <w:numPr>
          <w:ilvl w:val="2"/>
          <w:numId w:val="6"/>
        </w:numPr>
        <w:tabs>
          <w:tab w:val="clear" w:pos="1701"/>
        </w:tabs>
        <w:ind w:left="567"/>
        <w:rPr>
          <w:lang w:val="fr-FR"/>
        </w:rPr>
      </w:pPr>
      <w:r w:rsidRPr="005413D4">
        <w:rPr>
          <w:lang w:val="fr-FR"/>
        </w:rPr>
        <w:t>Rapport du Bureau de la déontologie</w:t>
      </w:r>
    </w:p>
    <w:p w:rsidR="001C282C" w:rsidRPr="005413D4" w:rsidRDefault="001C282C" w:rsidP="005D70CA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Amendements du Statut et Règlement du personnel</w:t>
      </w:r>
    </w:p>
    <w:p w:rsidR="00F558D9" w:rsidRPr="005413D4" w:rsidRDefault="00F558D9" w:rsidP="00F558D9">
      <w:pPr>
        <w:pStyle w:val="Heading2"/>
      </w:pPr>
      <w:r w:rsidRPr="005413D4">
        <w:t>Services mondiaux de propriété intellectuelle</w:t>
      </w:r>
    </w:p>
    <w:p w:rsidR="00F558D9" w:rsidRPr="00205A7B" w:rsidRDefault="00F558D9" w:rsidP="00205A7B">
      <w:pPr>
        <w:pStyle w:val="ONUMFS"/>
      </w:pPr>
      <w:r w:rsidRPr="00205A7B">
        <w:t>Centre d</w:t>
      </w:r>
      <w:r w:rsidR="00A40F82" w:rsidRPr="00205A7B">
        <w:t>’</w:t>
      </w:r>
      <w:r w:rsidRPr="00205A7B">
        <w:t>arbitrage et de médiation de l</w:t>
      </w:r>
      <w:r w:rsidR="00A40F82" w:rsidRPr="00205A7B">
        <w:t>’</w:t>
      </w:r>
      <w:r w:rsidRPr="00205A7B">
        <w:t xml:space="preserve">OMPI, </w:t>
      </w:r>
      <w:r w:rsidR="00A40F82" w:rsidRPr="00205A7B">
        <w:t>y compris</w:t>
      </w:r>
      <w:r w:rsidRPr="00205A7B">
        <w:t xml:space="preserve"> les noms de domaine</w:t>
      </w:r>
    </w:p>
    <w:p w:rsidR="00F558D9" w:rsidRPr="005413D4" w:rsidRDefault="00F558D9" w:rsidP="00F558D9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>Système de Madrid</w:t>
      </w:r>
    </w:p>
    <w:p w:rsidR="00F558D9" w:rsidRPr="005413D4" w:rsidRDefault="00F558D9" w:rsidP="00F558D9">
      <w:pPr>
        <w:pStyle w:val="ONUMFS"/>
        <w:ind w:left="567" w:hanging="567"/>
        <w:rPr>
          <w:lang w:val="fr-FR"/>
        </w:rPr>
      </w:pPr>
      <w:r w:rsidRPr="005413D4">
        <w:rPr>
          <w:lang w:val="fr-FR"/>
        </w:rPr>
        <w:t xml:space="preserve">Système de </w:t>
      </w:r>
      <w:r w:rsidR="00A40F82" w:rsidRPr="005413D4">
        <w:rPr>
          <w:lang w:val="fr-FR"/>
        </w:rPr>
        <w:t>La Haye</w:t>
      </w:r>
    </w:p>
    <w:p w:rsidR="00F558D9" w:rsidRPr="005413D4" w:rsidRDefault="00F558D9" w:rsidP="00205A7B">
      <w:pPr>
        <w:pStyle w:val="ONUMFS"/>
        <w:spacing w:after="480"/>
        <w:rPr>
          <w:lang w:val="fr-FR"/>
        </w:rPr>
      </w:pPr>
      <w:r w:rsidRPr="005413D4">
        <w:rPr>
          <w:lang w:val="fr-FR"/>
        </w:rPr>
        <w:t>Système de Lisbonne</w:t>
      </w:r>
    </w:p>
    <w:p w:rsidR="001C282C" w:rsidRPr="005413D4" w:rsidRDefault="00D9206E" w:rsidP="00D9206E">
      <w:pPr>
        <w:pStyle w:val="Heading2"/>
      </w:pPr>
      <w:r w:rsidRPr="005413D4">
        <w:t>Clôture des sessions</w:t>
      </w:r>
    </w:p>
    <w:p w:rsidR="001C282C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Adoption du rapport</w:t>
      </w:r>
    </w:p>
    <w:p w:rsidR="00FE4B1D" w:rsidRPr="005413D4" w:rsidRDefault="001C282C" w:rsidP="001C282C">
      <w:pPr>
        <w:pStyle w:val="ONUMFS"/>
        <w:rPr>
          <w:lang w:val="fr-FR"/>
        </w:rPr>
      </w:pPr>
      <w:r w:rsidRPr="005413D4">
        <w:rPr>
          <w:lang w:val="fr-FR"/>
        </w:rPr>
        <w:t>Clôture des sessions</w:t>
      </w:r>
      <w:r w:rsidR="00FE4B1D" w:rsidRPr="005413D4">
        <w:rPr>
          <w:lang w:val="fr-FR"/>
        </w:rPr>
        <w:br w:type="page"/>
      </w:r>
    </w:p>
    <w:p w:rsidR="001C282C" w:rsidRPr="005413D4" w:rsidRDefault="001C282C" w:rsidP="00D9206E">
      <w:pPr>
        <w:pStyle w:val="Heading1"/>
      </w:pPr>
      <w:r w:rsidRPr="005413D4">
        <w:lastRenderedPageBreak/>
        <w:t>Programme de travail provisoire</w:t>
      </w:r>
    </w:p>
    <w:p w:rsidR="001C282C" w:rsidRPr="005413D4" w:rsidRDefault="001C282C" w:rsidP="00D95192">
      <w:pPr>
        <w:pStyle w:val="ONUMFS"/>
        <w:keepNext/>
        <w:numPr>
          <w:ilvl w:val="0"/>
          <w:numId w:val="0"/>
        </w:numPr>
        <w:rPr>
          <w:lang w:val="fr-FR"/>
        </w:rPr>
      </w:pPr>
      <w:r w:rsidRPr="005413D4">
        <w:rPr>
          <w:lang w:val="fr-FR"/>
        </w:rPr>
        <w:t>Il est proposé d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examiner les points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 aux dates qui suivent</w:t>
      </w:r>
      <w:r w:rsidR="00A40F82" w:rsidRPr="005413D4">
        <w:rPr>
          <w:lang w:val="fr-FR"/>
        </w:rPr>
        <w:t> :</w:t>
      </w:r>
    </w:p>
    <w:p w:rsidR="00F558D9" w:rsidRPr="005413D4" w:rsidRDefault="00F558D9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Vendredi</w:t>
      </w:r>
      <w:r w:rsidR="001C282C" w:rsidRPr="005413D4">
        <w:rPr>
          <w:lang w:val="fr-FR"/>
        </w:rPr>
        <w:t xml:space="preserve"> </w:t>
      </w:r>
      <w:r w:rsidRPr="005413D4">
        <w:rPr>
          <w:lang w:val="fr-FR"/>
        </w:rPr>
        <w:t>15</w:t>
      </w:r>
      <w:r w:rsidR="001C282C" w:rsidRPr="005413D4">
        <w:rPr>
          <w:lang w:val="fr-FR"/>
        </w:rPr>
        <w:t> </w:t>
      </w:r>
      <w:r w:rsidRPr="005413D4">
        <w:rPr>
          <w:lang w:val="fr-FR"/>
        </w:rPr>
        <w:t>juillet</w:t>
      </w:r>
      <w:r w:rsidR="00A40F82" w:rsidRPr="005413D4">
        <w:rPr>
          <w:lang w:val="fr-FR"/>
        </w:rPr>
        <w:t> :</w:t>
      </w:r>
      <w:r w:rsidR="001C282C" w:rsidRPr="005413D4">
        <w:rPr>
          <w:lang w:val="fr-FR"/>
        </w:rPr>
        <w:tab/>
        <w:t xml:space="preserve">points 1 à </w:t>
      </w:r>
      <w:r w:rsidRPr="005413D4">
        <w:rPr>
          <w:lang w:val="fr-FR"/>
        </w:rPr>
        <w:t>4</w:t>
      </w:r>
      <w:r w:rsidR="001C282C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F558D9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Lun</w:t>
      </w:r>
      <w:r w:rsidR="001C282C" w:rsidRPr="005413D4">
        <w:rPr>
          <w:lang w:val="fr-FR"/>
        </w:rPr>
        <w:t>di</w:t>
      </w:r>
      <w:r w:rsidR="00EB4F66" w:rsidRPr="005413D4">
        <w:rPr>
          <w:lang w:val="fr-FR"/>
        </w:rPr>
        <w:t xml:space="preserve"> </w:t>
      </w:r>
      <w:r w:rsidRPr="005413D4">
        <w:rPr>
          <w:lang w:val="fr-FR"/>
        </w:rPr>
        <w:t>18 juillet</w:t>
      </w:r>
      <w:r w:rsidR="00A40F82" w:rsidRPr="005413D4">
        <w:rPr>
          <w:lang w:val="fr-FR"/>
        </w:rPr>
        <w:t> :</w:t>
      </w:r>
      <w:r w:rsidR="001C282C" w:rsidRPr="005413D4">
        <w:rPr>
          <w:lang w:val="fr-FR"/>
        </w:rPr>
        <w:tab/>
        <w:t>points </w:t>
      </w:r>
      <w:r w:rsidRPr="005413D4">
        <w:rPr>
          <w:lang w:val="fr-FR"/>
        </w:rPr>
        <w:t>4</w:t>
      </w:r>
      <w:r w:rsidR="001C282C" w:rsidRPr="005413D4">
        <w:rPr>
          <w:lang w:val="fr-FR"/>
        </w:rPr>
        <w:t xml:space="preserve"> (suite), </w:t>
      </w:r>
      <w:r w:rsidRPr="005413D4">
        <w:rPr>
          <w:lang w:val="fr-FR"/>
        </w:rPr>
        <w:t xml:space="preserve">5, </w:t>
      </w:r>
      <w:r w:rsidR="001C282C" w:rsidRPr="005413D4">
        <w:rPr>
          <w:lang w:val="fr-FR"/>
        </w:rPr>
        <w:t>6,</w:t>
      </w:r>
      <w:r w:rsidRPr="005413D4">
        <w:rPr>
          <w:lang w:val="fr-FR"/>
        </w:rPr>
        <w:t xml:space="preserve"> 8 et 14 </w:t>
      </w:r>
      <w:r w:rsidR="001C282C" w:rsidRPr="005413D4">
        <w:rPr>
          <w:lang w:val="fr-FR"/>
        </w:rPr>
        <w:t>de l</w:t>
      </w:r>
      <w:r w:rsidR="00A40F82" w:rsidRPr="005413D4">
        <w:rPr>
          <w:lang w:val="fr-FR"/>
        </w:rPr>
        <w:t>’</w:t>
      </w:r>
      <w:r w:rsidR="001C282C" w:rsidRPr="005413D4">
        <w:rPr>
          <w:lang w:val="fr-FR"/>
        </w:rPr>
        <w:t>ordre du jour</w:t>
      </w:r>
    </w:p>
    <w:p w:rsidR="00F558D9" w:rsidRPr="005413D4" w:rsidRDefault="00EB4F66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M</w:t>
      </w:r>
      <w:r w:rsidR="00F558D9" w:rsidRPr="005413D4">
        <w:rPr>
          <w:lang w:val="fr-FR"/>
        </w:rPr>
        <w:t>a</w:t>
      </w:r>
      <w:r w:rsidRPr="005413D4">
        <w:rPr>
          <w:lang w:val="fr-FR"/>
        </w:rPr>
        <w:t xml:space="preserve">rdi </w:t>
      </w:r>
      <w:r w:rsidR="00F558D9" w:rsidRPr="005413D4">
        <w:rPr>
          <w:lang w:val="fr-FR"/>
        </w:rPr>
        <w:t>19</w:t>
      </w:r>
      <w:r w:rsidR="001C282C" w:rsidRPr="005413D4">
        <w:rPr>
          <w:lang w:val="fr-FR"/>
        </w:rPr>
        <w:t> </w:t>
      </w:r>
      <w:r w:rsidR="00F558D9" w:rsidRPr="005413D4">
        <w:rPr>
          <w:lang w:val="fr-FR"/>
        </w:rPr>
        <w:t>juillet</w:t>
      </w:r>
      <w:r w:rsidR="00A40F82" w:rsidRPr="005413D4">
        <w:rPr>
          <w:lang w:val="fr-FR"/>
        </w:rPr>
        <w:t> :</w:t>
      </w:r>
      <w:r w:rsidR="001C282C" w:rsidRPr="005413D4">
        <w:rPr>
          <w:lang w:val="fr-FR"/>
        </w:rPr>
        <w:tab/>
      </w:r>
      <w:r w:rsidR="00F558D9" w:rsidRPr="005413D4">
        <w:rPr>
          <w:lang w:val="fr-FR"/>
        </w:rPr>
        <w:t>point 9 de l</w:t>
      </w:r>
      <w:r w:rsidR="00A40F82" w:rsidRPr="005413D4">
        <w:rPr>
          <w:lang w:val="fr-FR"/>
        </w:rPr>
        <w:t>’</w:t>
      </w:r>
      <w:r w:rsidR="00F558D9" w:rsidRPr="005413D4">
        <w:rPr>
          <w:lang w:val="fr-FR"/>
        </w:rPr>
        <w:t>ordre du jour</w:t>
      </w:r>
    </w:p>
    <w:p w:rsidR="001C282C" w:rsidRPr="005413D4" w:rsidRDefault="00F558D9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>Mercredi 20 juillet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ab/>
      </w:r>
      <w:r w:rsidR="001C282C" w:rsidRPr="005413D4">
        <w:rPr>
          <w:lang w:val="fr-FR"/>
        </w:rPr>
        <w:t>points 1</w:t>
      </w:r>
      <w:r w:rsidR="00EB4F66" w:rsidRPr="005413D4">
        <w:rPr>
          <w:lang w:val="fr-FR"/>
        </w:rPr>
        <w:t>0, 1</w:t>
      </w:r>
      <w:r w:rsidRPr="005413D4">
        <w:rPr>
          <w:lang w:val="fr-FR"/>
        </w:rPr>
        <w:t xml:space="preserve">1, 15, 16 </w:t>
      </w:r>
      <w:r w:rsidR="00EB4F66" w:rsidRPr="005413D4">
        <w:rPr>
          <w:lang w:val="fr-FR"/>
        </w:rPr>
        <w:t>et</w:t>
      </w:r>
      <w:r w:rsidRPr="005413D4">
        <w:rPr>
          <w:lang w:val="fr-FR"/>
        </w:rPr>
        <w:t xml:space="preserve"> 17</w:t>
      </w:r>
      <w:r w:rsidR="00EB4F66" w:rsidRPr="005413D4">
        <w:rPr>
          <w:lang w:val="fr-FR"/>
        </w:rPr>
        <w:t xml:space="preserve"> </w:t>
      </w:r>
      <w:r w:rsidR="001C282C" w:rsidRPr="005413D4">
        <w:rPr>
          <w:lang w:val="fr-FR"/>
        </w:rPr>
        <w:t>de l</w:t>
      </w:r>
      <w:r w:rsidR="00A40F82" w:rsidRPr="005413D4">
        <w:rPr>
          <w:lang w:val="fr-FR"/>
        </w:rPr>
        <w:t>’</w:t>
      </w:r>
      <w:r w:rsidR="001C282C" w:rsidRPr="005413D4">
        <w:rPr>
          <w:lang w:val="fr-FR"/>
        </w:rPr>
        <w:t>ordre du jour</w:t>
      </w:r>
    </w:p>
    <w:p w:rsidR="001C282C" w:rsidRPr="005413D4" w:rsidRDefault="00EB4F66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 xml:space="preserve">Jeudi </w:t>
      </w:r>
      <w:r w:rsidR="00F558D9" w:rsidRPr="005413D4">
        <w:rPr>
          <w:lang w:val="fr-FR"/>
        </w:rPr>
        <w:t>21</w:t>
      </w:r>
      <w:r w:rsidR="001C282C" w:rsidRPr="005413D4">
        <w:rPr>
          <w:lang w:val="fr-FR"/>
        </w:rPr>
        <w:t> </w:t>
      </w:r>
      <w:r w:rsidR="00F558D9" w:rsidRPr="005413D4">
        <w:rPr>
          <w:lang w:val="fr-FR"/>
        </w:rPr>
        <w:t>juillet</w:t>
      </w:r>
      <w:r w:rsidR="00A40F82" w:rsidRPr="005413D4">
        <w:rPr>
          <w:lang w:val="fr-FR"/>
        </w:rPr>
        <w:t> :</w:t>
      </w:r>
      <w:r w:rsidR="001C282C" w:rsidRPr="005413D4">
        <w:rPr>
          <w:lang w:val="fr-FR"/>
        </w:rPr>
        <w:tab/>
        <w:t>points </w:t>
      </w:r>
      <w:r w:rsidR="00F558D9" w:rsidRPr="005413D4">
        <w:rPr>
          <w:lang w:val="fr-FR"/>
        </w:rPr>
        <w:t>7</w:t>
      </w:r>
      <w:r w:rsidRPr="005413D4">
        <w:rPr>
          <w:lang w:val="fr-FR"/>
        </w:rPr>
        <w:t xml:space="preserve">, </w:t>
      </w:r>
      <w:r w:rsidR="00F558D9" w:rsidRPr="005413D4">
        <w:rPr>
          <w:lang w:val="fr-FR"/>
        </w:rPr>
        <w:t>1</w:t>
      </w:r>
      <w:r w:rsidRPr="005413D4">
        <w:rPr>
          <w:lang w:val="fr-FR"/>
        </w:rPr>
        <w:t>2</w:t>
      </w:r>
      <w:r w:rsidR="00F558D9" w:rsidRPr="005413D4">
        <w:rPr>
          <w:lang w:val="fr-FR"/>
        </w:rPr>
        <w:t xml:space="preserve"> et 13 </w:t>
      </w:r>
      <w:r w:rsidR="001C282C" w:rsidRPr="005413D4">
        <w:rPr>
          <w:lang w:val="fr-FR"/>
        </w:rPr>
        <w:t>de l</w:t>
      </w:r>
      <w:r w:rsidR="00A40F82" w:rsidRPr="005413D4">
        <w:rPr>
          <w:lang w:val="fr-FR"/>
        </w:rPr>
        <w:t>’</w:t>
      </w:r>
      <w:r w:rsidR="001C282C" w:rsidRPr="005413D4">
        <w:rPr>
          <w:lang w:val="fr-FR"/>
        </w:rPr>
        <w:t>ordre du jour</w:t>
      </w:r>
    </w:p>
    <w:p w:rsidR="001C282C" w:rsidRPr="005413D4" w:rsidRDefault="001C282C" w:rsidP="00205A7B">
      <w:pPr>
        <w:pStyle w:val="ONUMFS"/>
        <w:numPr>
          <w:ilvl w:val="0"/>
          <w:numId w:val="0"/>
        </w:numPr>
        <w:ind w:left="3969" w:hanging="3402"/>
        <w:rPr>
          <w:lang w:val="fr-FR"/>
        </w:rPr>
      </w:pPr>
      <w:r w:rsidRPr="005413D4">
        <w:rPr>
          <w:lang w:val="fr-FR"/>
        </w:rPr>
        <w:t xml:space="preserve">Vendredi </w:t>
      </w:r>
      <w:r w:rsidR="00F558D9" w:rsidRPr="005413D4">
        <w:rPr>
          <w:lang w:val="fr-FR"/>
        </w:rPr>
        <w:t>22</w:t>
      </w:r>
      <w:r w:rsidRPr="005413D4">
        <w:rPr>
          <w:lang w:val="fr-FR"/>
        </w:rPr>
        <w:t> </w:t>
      </w:r>
      <w:r w:rsidR="00F558D9" w:rsidRPr="005413D4">
        <w:rPr>
          <w:lang w:val="fr-FR"/>
        </w:rPr>
        <w:t>juillet</w:t>
      </w:r>
      <w:r w:rsidR="00A40F82" w:rsidRPr="005413D4">
        <w:rPr>
          <w:lang w:val="fr-FR"/>
        </w:rPr>
        <w:t> :</w:t>
      </w:r>
      <w:r w:rsidR="00EB4F66" w:rsidRPr="005413D4">
        <w:rPr>
          <w:lang w:val="fr-FR"/>
        </w:rPr>
        <w:tab/>
        <w:t>points </w:t>
      </w:r>
      <w:r w:rsidR="00F558D9" w:rsidRPr="005413D4">
        <w:rPr>
          <w:lang w:val="fr-FR"/>
        </w:rPr>
        <w:t>18</w:t>
      </w:r>
      <w:r w:rsidRPr="005413D4">
        <w:rPr>
          <w:lang w:val="fr-FR"/>
        </w:rPr>
        <w:t xml:space="preserve"> </w:t>
      </w:r>
      <w:r w:rsidR="00F558D9" w:rsidRPr="005413D4">
        <w:rPr>
          <w:lang w:val="fr-FR"/>
        </w:rPr>
        <w:t>et 19</w:t>
      </w:r>
      <w:r w:rsidR="00EB4F66" w:rsidRPr="005413D4">
        <w:rPr>
          <w:lang w:val="fr-FR"/>
        </w:rPr>
        <w:t xml:space="preserve"> </w:t>
      </w:r>
      <w:r w:rsidRPr="005413D4">
        <w:rPr>
          <w:lang w:val="fr-FR"/>
        </w:rPr>
        <w:t>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1C282C">
      <w:pPr>
        <w:pStyle w:val="ONUMFS"/>
        <w:numPr>
          <w:ilvl w:val="0"/>
          <w:numId w:val="0"/>
        </w:numPr>
        <w:rPr>
          <w:lang w:val="fr-FR"/>
        </w:rPr>
      </w:pPr>
      <w:r w:rsidRPr="005413D4">
        <w:rPr>
          <w:lang w:val="fr-FR"/>
        </w:rPr>
        <w:t>Il est à noter que le programme qui précède est proposé uniquement à titre indicatif et que n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importe lequel des points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 peut être abordé n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 xml:space="preserve">importe quel jour entre le </w:t>
      </w:r>
      <w:r w:rsidR="00F558D9" w:rsidRPr="005413D4">
        <w:rPr>
          <w:lang w:val="fr-FR"/>
        </w:rPr>
        <w:t>15</w:t>
      </w:r>
      <w:r w:rsidR="00EB4F66" w:rsidRPr="005413D4">
        <w:rPr>
          <w:lang w:val="fr-FR"/>
        </w:rPr>
        <w:t xml:space="preserve"> et le </w:t>
      </w:r>
      <w:r w:rsidR="00F558D9" w:rsidRPr="005413D4">
        <w:rPr>
          <w:lang w:val="fr-FR"/>
        </w:rPr>
        <w:t>22</w:t>
      </w:r>
      <w:r w:rsidR="00EB4F66" w:rsidRPr="005413D4">
        <w:rPr>
          <w:lang w:val="fr-FR"/>
        </w:rPr>
        <w:t> </w:t>
      </w:r>
      <w:r w:rsidR="00F558D9" w:rsidRPr="005413D4">
        <w:rPr>
          <w:lang w:val="fr-FR"/>
        </w:rPr>
        <w:t>juillet 2022</w:t>
      </w:r>
      <w:r w:rsidRPr="005413D4">
        <w:rPr>
          <w:lang w:val="fr-FR"/>
        </w:rPr>
        <w:t xml:space="preserve"> sur décision de la présidence, conformément aux Règles générales de procédure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OMPI.</w:t>
      </w:r>
    </w:p>
    <w:p w:rsidR="001C282C" w:rsidRPr="005413D4" w:rsidRDefault="001C282C" w:rsidP="00205A7B">
      <w:pPr>
        <w:pStyle w:val="ONUMFS"/>
        <w:numPr>
          <w:ilvl w:val="0"/>
          <w:numId w:val="0"/>
        </w:numPr>
        <w:spacing w:after="360"/>
        <w:rPr>
          <w:lang w:val="fr-FR"/>
        </w:rPr>
      </w:pPr>
      <w:r w:rsidRPr="005413D4">
        <w:rPr>
          <w:lang w:val="fr-FR"/>
        </w:rPr>
        <w:t>Les séances du matin se tiendront de 10 heures à 13 heures, celles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après</w:t>
      </w:r>
      <w:r w:rsidR="00A40F82" w:rsidRPr="005413D4">
        <w:rPr>
          <w:lang w:val="fr-FR"/>
        </w:rPr>
        <w:t>-</w:t>
      </w:r>
      <w:r w:rsidRPr="005413D4">
        <w:rPr>
          <w:lang w:val="fr-FR"/>
        </w:rPr>
        <w:t>midi de 15 heures à 18 heures</w:t>
      </w:r>
      <w:r w:rsidR="00205A7B" w:rsidRPr="00205A7B">
        <w:t xml:space="preserve"> </w:t>
      </w:r>
      <w:r w:rsidR="00205A7B" w:rsidRPr="00205A7B">
        <w:rPr>
          <w:lang w:val="fr-FR"/>
        </w:rPr>
        <w:t>et, le cas échéant, des séances de nuit pourront être organisées pour conclure les débats sur tous les points de l’ordre du jour prévus pour la journée en question</w:t>
      </w:r>
      <w:r w:rsidRPr="005413D4">
        <w:rPr>
          <w:lang w:val="fr-FR"/>
        </w:rPr>
        <w:t>.</w:t>
      </w:r>
    </w:p>
    <w:p w:rsidR="001C282C" w:rsidRPr="005413D4" w:rsidRDefault="001C282C" w:rsidP="00D9206E">
      <w:pPr>
        <w:pStyle w:val="Heading1"/>
      </w:pPr>
      <w:r w:rsidRPr="005413D4">
        <w:t>Organes intéressés</w:t>
      </w:r>
    </w:p>
    <w:p w:rsidR="001C282C" w:rsidRPr="005413D4" w:rsidRDefault="001C282C" w:rsidP="001C282C">
      <w:pPr>
        <w:pStyle w:val="ONUMFS"/>
        <w:numPr>
          <w:ilvl w:val="0"/>
          <w:numId w:val="0"/>
        </w:numPr>
        <w:rPr>
          <w:lang w:val="fr-FR"/>
        </w:rPr>
      </w:pPr>
      <w:r w:rsidRPr="005413D4">
        <w:rPr>
          <w:lang w:val="fr-FR"/>
        </w:rPr>
        <w:t>Conformément à la pratique habituelle, le projet d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 inclut les questions intéressant chaque organe convoqué dans le cadre de ces assemblées (voir le document A/</w:t>
      </w:r>
      <w:r w:rsidR="00EB4F66" w:rsidRPr="005413D4">
        <w:rPr>
          <w:lang w:val="fr-FR"/>
        </w:rPr>
        <w:t>6</w:t>
      </w:r>
      <w:r w:rsidR="00F558D9" w:rsidRPr="005413D4">
        <w:rPr>
          <w:lang w:val="fr-FR"/>
        </w:rPr>
        <w:t>3</w:t>
      </w:r>
      <w:r w:rsidRPr="005413D4">
        <w:rPr>
          <w:lang w:val="fr-FR"/>
        </w:rPr>
        <w:t>/INF/1), présentées de façon unifiée, c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est</w:t>
      </w:r>
      <w:r w:rsidR="00A40F82" w:rsidRPr="005413D4">
        <w:rPr>
          <w:lang w:val="fr-FR"/>
        </w:rPr>
        <w:t>-</w:t>
      </w:r>
      <w:r w:rsidRPr="005413D4">
        <w:rPr>
          <w:lang w:val="fr-FR"/>
        </w:rPr>
        <w:t>à</w:t>
      </w:r>
      <w:r w:rsidR="00A40F82" w:rsidRPr="005413D4">
        <w:rPr>
          <w:lang w:val="fr-FR"/>
        </w:rPr>
        <w:t>-</w:t>
      </w:r>
      <w:r w:rsidRPr="005413D4">
        <w:rPr>
          <w:lang w:val="fr-FR"/>
        </w:rPr>
        <w:t>dire qu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une question qui concerne plus d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un organe constitue un seul point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de jour, de la manière suivante</w:t>
      </w:r>
      <w:r w:rsidR="00A40F82" w:rsidRPr="005413D4">
        <w:rPr>
          <w:lang w:val="fr-FR"/>
        </w:rPr>
        <w:t> :</w:t>
      </w:r>
    </w:p>
    <w:p w:rsidR="001C282C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Organes intéressés</w:t>
      </w:r>
      <w:r w:rsidR="00A40F82" w:rsidRPr="005413D4">
        <w:rPr>
          <w:lang w:val="fr-FR"/>
        </w:rPr>
        <w:t> :</w:t>
      </w:r>
      <w:r w:rsidR="00D95192" w:rsidRPr="005413D4">
        <w:rPr>
          <w:lang w:val="fr-FR"/>
        </w:rPr>
        <w:t xml:space="preserve"> tous les organes convoqués (22</w:t>
      </w:r>
      <w:r w:rsidRPr="005413D4">
        <w:rPr>
          <w:lang w:val="fr-FR"/>
        </w:rPr>
        <w:t>), énumérés dans le document A/</w:t>
      </w:r>
      <w:r w:rsidR="00EB4F66" w:rsidRPr="005413D4">
        <w:rPr>
          <w:lang w:val="fr-FR"/>
        </w:rPr>
        <w:t>6</w:t>
      </w:r>
      <w:r w:rsidR="00F558D9" w:rsidRPr="005413D4">
        <w:rPr>
          <w:lang w:val="fr-FR"/>
        </w:rPr>
        <w:t>3</w:t>
      </w:r>
      <w:r w:rsidRPr="005413D4">
        <w:rPr>
          <w:lang w:val="fr-FR"/>
        </w:rPr>
        <w:t>/INF/1</w:t>
      </w:r>
      <w:r w:rsidRPr="005413D4">
        <w:rPr>
          <w:lang w:val="fr-FR"/>
        </w:rPr>
        <w:br/>
        <w:t>Président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Assemblée générale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Points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points 1 à </w:t>
      </w:r>
      <w:r w:rsidR="00F558D9" w:rsidRPr="005413D4">
        <w:rPr>
          <w:lang w:val="fr-FR"/>
        </w:rPr>
        <w:t>4, 6</w:t>
      </w:r>
      <w:r w:rsidRPr="005413D4">
        <w:rPr>
          <w:lang w:val="fr-FR"/>
        </w:rPr>
        <w:t xml:space="preserve">, </w:t>
      </w:r>
      <w:r w:rsidR="00FE4B1D" w:rsidRPr="005413D4">
        <w:rPr>
          <w:lang w:val="fr-FR"/>
        </w:rPr>
        <w:t xml:space="preserve">8, </w:t>
      </w:r>
      <w:r w:rsidR="00EB4F66" w:rsidRPr="005413D4">
        <w:rPr>
          <w:lang w:val="fr-FR"/>
        </w:rPr>
        <w:t xml:space="preserve">10.ii), 11, </w:t>
      </w:r>
      <w:r w:rsidR="00F558D9" w:rsidRPr="005413D4">
        <w:rPr>
          <w:lang w:val="fr-FR"/>
        </w:rPr>
        <w:t>18</w:t>
      </w:r>
      <w:r w:rsidRPr="005413D4">
        <w:rPr>
          <w:lang w:val="fr-FR"/>
        </w:rPr>
        <w:t xml:space="preserve"> et </w:t>
      </w:r>
      <w:r w:rsidR="00F558D9" w:rsidRPr="005413D4">
        <w:rPr>
          <w:lang w:val="fr-FR"/>
        </w:rPr>
        <w:t>19</w:t>
      </w:r>
    </w:p>
    <w:p w:rsidR="00BD5997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Assemblée générale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Président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Assemblée générale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Points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points </w:t>
      </w:r>
      <w:r w:rsidR="00EB4F66" w:rsidRPr="005413D4">
        <w:rPr>
          <w:lang w:val="fr-FR"/>
        </w:rPr>
        <w:t xml:space="preserve">9, </w:t>
      </w:r>
      <w:r w:rsidRPr="005413D4">
        <w:rPr>
          <w:lang w:val="fr-FR"/>
        </w:rPr>
        <w:t>10</w:t>
      </w:r>
      <w:r w:rsidR="00EB4F66" w:rsidRPr="005413D4">
        <w:rPr>
          <w:lang w:val="fr-FR"/>
        </w:rPr>
        <w:t>.i)</w:t>
      </w:r>
      <w:r w:rsidRPr="005413D4">
        <w:rPr>
          <w:lang w:val="fr-FR"/>
        </w:rPr>
        <w:t>,</w:t>
      </w:r>
      <w:r w:rsidR="00EB4F66" w:rsidRPr="005413D4">
        <w:rPr>
          <w:lang w:val="fr-FR"/>
        </w:rPr>
        <w:t xml:space="preserve"> 10.iii)</w:t>
      </w:r>
      <w:r w:rsidR="00FE4B1D" w:rsidRPr="005413D4">
        <w:rPr>
          <w:lang w:val="fr-FR"/>
        </w:rPr>
        <w:t xml:space="preserve"> et</w:t>
      </w:r>
      <w:r w:rsidR="00EB4F66" w:rsidRPr="005413D4">
        <w:rPr>
          <w:lang w:val="fr-FR"/>
        </w:rPr>
        <w:t xml:space="preserve"> </w:t>
      </w:r>
      <w:r w:rsidR="00F558D9" w:rsidRPr="005413D4">
        <w:rPr>
          <w:lang w:val="fr-FR"/>
        </w:rPr>
        <w:t>14</w:t>
      </w:r>
    </w:p>
    <w:p w:rsidR="001C282C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Comité de </w:t>
      </w:r>
      <w:r w:rsidR="00F558D9" w:rsidRPr="005413D4">
        <w:rPr>
          <w:lang w:val="fr-FR"/>
        </w:rPr>
        <w:t>coordination</w:t>
      </w:r>
      <w:r w:rsidRPr="005413D4">
        <w:rPr>
          <w:lang w:val="fr-FR"/>
        </w:rPr>
        <w:t xml:space="preserve"> de </w:t>
      </w:r>
      <w:r w:rsidR="00F558D9" w:rsidRPr="005413D4">
        <w:rPr>
          <w:lang w:val="fr-FR"/>
        </w:rPr>
        <w:t>l</w:t>
      </w:r>
      <w:r w:rsidR="00A40F82" w:rsidRPr="005413D4">
        <w:rPr>
          <w:lang w:val="fr-FR"/>
        </w:rPr>
        <w:t>’</w:t>
      </w:r>
      <w:r w:rsidR="00F558D9" w:rsidRPr="005413D4">
        <w:rPr>
          <w:lang w:val="fr-FR"/>
        </w:rPr>
        <w:t>OMPI</w:t>
      </w:r>
      <w:r w:rsidRPr="005413D4">
        <w:rPr>
          <w:lang w:val="fr-FR"/>
        </w:rPr>
        <w:br/>
        <w:t>Président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le président d</w:t>
      </w:r>
      <w:r w:rsidR="000D40A0" w:rsidRPr="005413D4">
        <w:rPr>
          <w:lang w:val="fr-FR"/>
        </w:rPr>
        <w:t>u</w:t>
      </w:r>
      <w:r w:rsidRPr="005413D4">
        <w:rPr>
          <w:lang w:val="fr-FR"/>
        </w:rPr>
        <w:t xml:space="preserve"> </w:t>
      </w:r>
      <w:r w:rsidR="000D40A0" w:rsidRPr="005413D4">
        <w:rPr>
          <w:lang w:val="fr-FR"/>
        </w:rPr>
        <w:t>Comité de coordination</w:t>
      </w:r>
      <w:r w:rsidRPr="005413D4">
        <w:rPr>
          <w:lang w:val="fr-FR"/>
        </w:rPr>
        <w:t xml:space="preserve">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OMPI</w:t>
      </w:r>
      <w:r w:rsidRPr="005413D4">
        <w:rPr>
          <w:lang w:val="fr-FR"/>
        </w:rPr>
        <w:br/>
        <w:t>Point</w:t>
      </w:r>
      <w:r w:rsidR="000D40A0" w:rsidRPr="005413D4">
        <w:rPr>
          <w:lang w:val="fr-FR"/>
        </w:rPr>
        <w:t>s</w:t>
      </w:r>
      <w:r w:rsidRPr="005413D4">
        <w:rPr>
          <w:lang w:val="fr-FR"/>
        </w:rPr>
        <w:t> </w:t>
      </w:r>
      <w:r w:rsidR="000D40A0" w:rsidRPr="005413D4">
        <w:rPr>
          <w:lang w:val="fr-FR"/>
        </w:rPr>
        <w:t>7, 12 et 13</w:t>
      </w:r>
      <w:r w:rsidRPr="005413D4">
        <w:rPr>
          <w:lang w:val="fr-FR"/>
        </w:rPr>
        <w:t xml:space="preserve">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205A7B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</w:t>
      </w:r>
      <w:r w:rsidR="00205A7B">
        <w:rPr>
          <w:lang w:val="fr-FR"/>
        </w:rPr>
        <w:t>s</w:t>
      </w:r>
      <w:r w:rsidRPr="005413D4">
        <w:rPr>
          <w:lang w:val="fr-FR"/>
        </w:rPr>
        <w:t xml:space="preserve"> intéressé</w:t>
      </w:r>
      <w:r w:rsidR="00205A7B">
        <w:rPr>
          <w:lang w:val="fr-FR"/>
        </w:rPr>
        <w:t>s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Comité de coordination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OMPI</w:t>
      </w:r>
      <w:r w:rsidR="000D40A0" w:rsidRPr="005413D4">
        <w:rPr>
          <w:lang w:val="fr-FR"/>
        </w:rPr>
        <w:t>, Comité exécutif de l</w:t>
      </w:r>
      <w:r w:rsidR="00A40F82" w:rsidRPr="005413D4">
        <w:rPr>
          <w:lang w:val="fr-FR"/>
        </w:rPr>
        <w:t>’</w:t>
      </w:r>
      <w:r w:rsidR="000D40A0" w:rsidRPr="005413D4">
        <w:rPr>
          <w:lang w:val="fr-FR"/>
        </w:rPr>
        <w:t>Union de Paris et Comité exécutif de l</w:t>
      </w:r>
      <w:r w:rsidR="00A40F82" w:rsidRPr="005413D4">
        <w:rPr>
          <w:lang w:val="fr-FR"/>
        </w:rPr>
        <w:t>’</w:t>
      </w:r>
      <w:r w:rsidR="000D40A0" w:rsidRPr="005413D4">
        <w:rPr>
          <w:lang w:val="fr-FR"/>
        </w:rPr>
        <w:t>Union de Berne</w:t>
      </w:r>
      <w:r w:rsidRPr="005413D4">
        <w:rPr>
          <w:lang w:val="fr-FR"/>
        </w:rPr>
        <w:br/>
        <w:t>Président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le président du Comité de coordination de l</w:t>
      </w:r>
      <w:r w:rsidR="00A40F82" w:rsidRPr="005413D4">
        <w:rPr>
          <w:lang w:val="fr-FR"/>
        </w:rPr>
        <w:t>’</w:t>
      </w:r>
      <w:r w:rsidR="000D40A0" w:rsidRPr="005413D4">
        <w:rPr>
          <w:lang w:val="fr-FR"/>
        </w:rPr>
        <w:t>OMPI</w:t>
      </w:r>
      <w:r w:rsidR="000D40A0" w:rsidRPr="005413D4">
        <w:rPr>
          <w:lang w:val="fr-FR"/>
        </w:rPr>
        <w:br/>
        <w:t>Point 5</w:t>
      </w:r>
      <w:r w:rsidRPr="005413D4">
        <w:rPr>
          <w:lang w:val="fr-FR"/>
        </w:rPr>
        <w:t xml:space="preserve">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1C282C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Assemblée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Union de Madrid</w:t>
      </w:r>
      <w:r w:rsidRPr="005413D4">
        <w:rPr>
          <w:lang w:val="fr-FR"/>
        </w:rPr>
        <w:br/>
        <w:t>Président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Assemblée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Union de Madrid</w:t>
      </w:r>
      <w:r w:rsidRPr="005413D4">
        <w:rPr>
          <w:lang w:val="fr-FR"/>
        </w:rPr>
        <w:br/>
        <w:t>Point </w:t>
      </w:r>
      <w:r w:rsidR="000D40A0" w:rsidRPr="005413D4">
        <w:rPr>
          <w:lang w:val="fr-FR"/>
        </w:rPr>
        <w:t>15</w:t>
      </w:r>
      <w:r w:rsidRPr="005413D4">
        <w:rPr>
          <w:lang w:val="fr-FR"/>
        </w:rPr>
        <w:t xml:space="preserve">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EB4F66" w:rsidRPr="005413D4" w:rsidRDefault="00EB4F66" w:rsidP="00EB4F66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lastRenderedPageBreak/>
        <w:t>Organe intéressé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Assemblée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 xml:space="preserve">Union de </w:t>
      </w:r>
      <w:r w:rsidR="00A40F82" w:rsidRPr="005413D4">
        <w:rPr>
          <w:lang w:val="fr-FR"/>
        </w:rPr>
        <w:t>La Haye</w:t>
      </w:r>
      <w:r w:rsidRPr="005413D4">
        <w:rPr>
          <w:lang w:val="fr-FR"/>
        </w:rPr>
        <w:br/>
        <w:t>Président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Assemblée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 xml:space="preserve">Union de </w:t>
      </w:r>
      <w:r w:rsidR="00A40F82" w:rsidRPr="005413D4">
        <w:rPr>
          <w:lang w:val="fr-FR"/>
        </w:rPr>
        <w:t>La Haye</w:t>
      </w:r>
      <w:r w:rsidRPr="005413D4">
        <w:rPr>
          <w:lang w:val="fr-FR"/>
        </w:rPr>
        <w:br/>
        <w:t>Point </w:t>
      </w:r>
      <w:r w:rsidR="000D40A0" w:rsidRPr="005413D4">
        <w:rPr>
          <w:lang w:val="fr-FR"/>
        </w:rPr>
        <w:t xml:space="preserve">16 </w:t>
      </w:r>
      <w:r w:rsidRPr="005413D4">
        <w:rPr>
          <w:lang w:val="fr-FR"/>
        </w:rPr>
        <w:t>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</w:t>
      </w:r>
      <w:bookmarkStart w:id="5" w:name="_GoBack"/>
      <w:bookmarkEnd w:id="5"/>
    </w:p>
    <w:p w:rsidR="001C282C" w:rsidRPr="005413D4" w:rsidRDefault="001C282C" w:rsidP="001C282C">
      <w:pPr>
        <w:pStyle w:val="ONUMFS"/>
        <w:numPr>
          <w:ilvl w:val="0"/>
          <w:numId w:val="7"/>
        </w:numPr>
        <w:ind w:left="1134" w:hanging="567"/>
        <w:rPr>
          <w:lang w:val="fr-FR"/>
        </w:rPr>
      </w:pPr>
      <w:r w:rsidRPr="005413D4">
        <w:rPr>
          <w:lang w:val="fr-FR"/>
        </w:rPr>
        <w:t>Organe intéressé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Assemblée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Union de Lisbonne</w:t>
      </w:r>
      <w:r w:rsidRPr="005413D4">
        <w:rPr>
          <w:lang w:val="fr-FR"/>
        </w:rPr>
        <w:br/>
        <w:t>Président</w:t>
      </w:r>
      <w:r w:rsidR="00A40F82" w:rsidRPr="005413D4">
        <w:rPr>
          <w:lang w:val="fr-FR"/>
        </w:rPr>
        <w:t> :</w:t>
      </w:r>
      <w:r w:rsidRPr="005413D4">
        <w:rPr>
          <w:lang w:val="fr-FR"/>
        </w:rPr>
        <w:t xml:space="preserve"> le président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Assemblée de l</w:t>
      </w:r>
      <w:r w:rsidR="00A40F82" w:rsidRPr="005413D4">
        <w:rPr>
          <w:lang w:val="fr-FR"/>
        </w:rPr>
        <w:t>’</w:t>
      </w:r>
      <w:r w:rsidR="000D40A0" w:rsidRPr="005413D4">
        <w:rPr>
          <w:lang w:val="fr-FR"/>
        </w:rPr>
        <w:t>Union de Lisbonne</w:t>
      </w:r>
      <w:r w:rsidR="000D40A0" w:rsidRPr="005413D4">
        <w:rPr>
          <w:lang w:val="fr-FR"/>
        </w:rPr>
        <w:br/>
        <w:t>Point 17</w:t>
      </w:r>
      <w:r w:rsidRPr="005413D4">
        <w:rPr>
          <w:lang w:val="fr-FR"/>
        </w:rPr>
        <w:t xml:space="preserve"> de l</w:t>
      </w:r>
      <w:r w:rsidR="00A40F82" w:rsidRPr="005413D4">
        <w:rPr>
          <w:lang w:val="fr-FR"/>
        </w:rPr>
        <w:t>’</w:t>
      </w:r>
      <w:r w:rsidRPr="005413D4">
        <w:rPr>
          <w:lang w:val="fr-FR"/>
        </w:rPr>
        <w:t>ordre du jour</w:t>
      </w:r>
    </w:p>
    <w:p w:rsidR="00DD64DB" w:rsidRPr="005413D4" w:rsidRDefault="001C282C" w:rsidP="00D9206E">
      <w:pPr>
        <w:pStyle w:val="Endofdocument-Annex"/>
        <w:rPr>
          <w:lang w:val="fr-FR"/>
        </w:rPr>
      </w:pPr>
      <w:r w:rsidRPr="005413D4">
        <w:rPr>
          <w:lang w:val="fr-FR"/>
        </w:rPr>
        <w:t>[Fin du document]</w:t>
      </w:r>
    </w:p>
    <w:sectPr w:rsidR="00DD64DB" w:rsidRPr="005413D4" w:rsidSect="001C2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2C" w:rsidRDefault="001C282C">
      <w:r>
        <w:separator/>
      </w:r>
    </w:p>
  </w:endnote>
  <w:endnote w:type="continuationSeparator" w:id="0">
    <w:p w:rsidR="001C282C" w:rsidRPr="009D30E6" w:rsidRDefault="001C282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C282C" w:rsidRPr="009D30E6" w:rsidRDefault="001C282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C282C" w:rsidRPr="009D30E6" w:rsidRDefault="001C282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42" w:rsidRDefault="00195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D4" w:rsidRDefault="00541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42" w:rsidRDefault="00195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2C" w:rsidRDefault="001C282C">
      <w:r>
        <w:separator/>
      </w:r>
    </w:p>
  </w:footnote>
  <w:footnote w:type="continuationSeparator" w:id="0">
    <w:p w:rsidR="001C282C" w:rsidRDefault="001C282C" w:rsidP="007461F1">
      <w:r>
        <w:separator/>
      </w:r>
    </w:p>
    <w:p w:rsidR="001C282C" w:rsidRPr="009D30E6" w:rsidRDefault="001C282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C282C" w:rsidRPr="009D30E6" w:rsidRDefault="001C282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1C282C" w:rsidRPr="009308DB" w:rsidRDefault="001C282C" w:rsidP="00205A7B">
      <w:pPr>
        <w:pStyle w:val="FootnoteText"/>
        <w:tabs>
          <w:tab w:val="left" w:pos="567"/>
        </w:tabs>
      </w:pPr>
      <w:r w:rsidRPr="009308DB">
        <w:rPr>
          <w:rStyle w:val="FootnoteReference"/>
        </w:rPr>
        <w:footnoteRef/>
      </w:r>
      <w:r w:rsidRPr="009308DB">
        <w:t xml:space="preserve"> </w:t>
      </w:r>
      <w:r w:rsidRPr="009308DB">
        <w:tab/>
        <w:t>Documents relatifs à chaque point de l</w:t>
      </w:r>
      <w:r w:rsidR="00A46638">
        <w:t>’</w:t>
      </w:r>
      <w:r w:rsidRPr="009308DB">
        <w:t>ordre du jour – voir la “Liste des documents” (A/</w:t>
      </w:r>
      <w:r w:rsidR="001F35DB">
        <w:t>6</w:t>
      </w:r>
      <w:r w:rsidR="00FE4B1D">
        <w:t>3</w:t>
      </w:r>
      <w:r w:rsidRPr="009308DB">
        <w:t>/</w:t>
      </w:r>
      <w:r w:rsidR="00686CB4">
        <w:t>2</w:t>
      </w:r>
      <w:r w:rsidRPr="009308DB">
        <w:t>)</w:t>
      </w:r>
      <w:r w:rsidR="00D9519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42" w:rsidRDefault="00195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963071" w:rsidRDefault="001C282C" w:rsidP="00477D6B">
    <w:pPr>
      <w:jc w:val="right"/>
      <w:rPr>
        <w:caps/>
      </w:rPr>
    </w:pPr>
    <w:bookmarkStart w:id="6" w:name="Code2"/>
    <w:r>
      <w:rPr>
        <w:caps/>
      </w:rPr>
      <w:t>A</w:t>
    </w:r>
    <w:r w:rsidR="00D9206E">
      <w:rPr>
        <w:caps/>
      </w:rPr>
      <w:t>/6</w:t>
    </w:r>
    <w:r w:rsidR="00F558D9">
      <w:rPr>
        <w:caps/>
      </w:rPr>
      <w:t>3</w:t>
    </w:r>
    <w:r w:rsidR="00D9206E">
      <w:rPr>
        <w:caps/>
      </w:rPr>
      <w:t>/1 </w:t>
    </w:r>
    <w:r>
      <w:rPr>
        <w:caps/>
      </w:rPr>
      <w:t>P</w:t>
    </w:r>
    <w:r w:rsidR="00B3324C">
      <w:t>rov</w:t>
    </w:r>
    <w:r>
      <w:rPr>
        <w:caps/>
      </w:rPr>
      <w:t>.1</w:t>
    </w:r>
  </w:p>
  <w:bookmarkEnd w:id="6"/>
  <w:p w:rsidR="00574036" w:rsidRDefault="00F16975" w:rsidP="00686CB4">
    <w:pPr>
      <w:spacing w:after="480"/>
      <w:jc w:val="right"/>
    </w:pPr>
    <w:r>
      <w:t>page</w:t>
    </w:r>
    <w:r w:rsidR="009271E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F6B80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42" w:rsidRDefault="00195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2C1166"/>
    <w:multiLevelType w:val="hybridMultilevel"/>
    <w:tmpl w:val="700CEA1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2C"/>
    <w:rsid w:val="00011B7D"/>
    <w:rsid w:val="00020325"/>
    <w:rsid w:val="00035532"/>
    <w:rsid w:val="00075432"/>
    <w:rsid w:val="0009458A"/>
    <w:rsid w:val="000D40A0"/>
    <w:rsid w:val="000F5E56"/>
    <w:rsid w:val="001362EE"/>
    <w:rsid w:val="001832A6"/>
    <w:rsid w:val="00195C6E"/>
    <w:rsid w:val="00195E42"/>
    <w:rsid w:val="001B266A"/>
    <w:rsid w:val="001C282C"/>
    <w:rsid w:val="001C6508"/>
    <w:rsid w:val="001D3D56"/>
    <w:rsid w:val="001F35DB"/>
    <w:rsid w:val="00205A7B"/>
    <w:rsid w:val="00240654"/>
    <w:rsid w:val="002634C4"/>
    <w:rsid w:val="00293889"/>
    <w:rsid w:val="002956DE"/>
    <w:rsid w:val="002E43CE"/>
    <w:rsid w:val="002E4D1A"/>
    <w:rsid w:val="002F16BC"/>
    <w:rsid w:val="002F4E68"/>
    <w:rsid w:val="00322C0B"/>
    <w:rsid w:val="0034198A"/>
    <w:rsid w:val="00361494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30C44"/>
    <w:rsid w:val="00541348"/>
    <w:rsid w:val="005413D4"/>
    <w:rsid w:val="005421DD"/>
    <w:rsid w:val="00554FA5"/>
    <w:rsid w:val="00567A4C"/>
    <w:rsid w:val="00574036"/>
    <w:rsid w:val="00595F07"/>
    <w:rsid w:val="005D70CA"/>
    <w:rsid w:val="005E6516"/>
    <w:rsid w:val="005F645F"/>
    <w:rsid w:val="00605827"/>
    <w:rsid w:val="00616671"/>
    <w:rsid w:val="00686CB4"/>
    <w:rsid w:val="006B0DB5"/>
    <w:rsid w:val="006E5B5B"/>
    <w:rsid w:val="007132D9"/>
    <w:rsid w:val="007461F1"/>
    <w:rsid w:val="007D6961"/>
    <w:rsid w:val="007F07CB"/>
    <w:rsid w:val="00810CEF"/>
    <w:rsid w:val="0081208D"/>
    <w:rsid w:val="008B2CC1"/>
    <w:rsid w:val="008D2D22"/>
    <w:rsid w:val="008E7930"/>
    <w:rsid w:val="0090731E"/>
    <w:rsid w:val="009271E0"/>
    <w:rsid w:val="0094748E"/>
    <w:rsid w:val="00963071"/>
    <w:rsid w:val="00966A22"/>
    <w:rsid w:val="00974CD6"/>
    <w:rsid w:val="009D30E6"/>
    <w:rsid w:val="009E1ECD"/>
    <w:rsid w:val="009E3F6F"/>
    <w:rsid w:val="009F499F"/>
    <w:rsid w:val="00A11D74"/>
    <w:rsid w:val="00A40F82"/>
    <w:rsid w:val="00A412F9"/>
    <w:rsid w:val="00A46638"/>
    <w:rsid w:val="00AC0AE4"/>
    <w:rsid w:val="00AD61DB"/>
    <w:rsid w:val="00B1090C"/>
    <w:rsid w:val="00B24583"/>
    <w:rsid w:val="00B3324C"/>
    <w:rsid w:val="00B35AF5"/>
    <w:rsid w:val="00BD5997"/>
    <w:rsid w:val="00BE0BE0"/>
    <w:rsid w:val="00C46680"/>
    <w:rsid w:val="00C64475"/>
    <w:rsid w:val="00C664C8"/>
    <w:rsid w:val="00C75744"/>
    <w:rsid w:val="00C95FDC"/>
    <w:rsid w:val="00CF0460"/>
    <w:rsid w:val="00D02193"/>
    <w:rsid w:val="00D20C96"/>
    <w:rsid w:val="00D43E0F"/>
    <w:rsid w:val="00D45252"/>
    <w:rsid w:val="00D71B4D"/>
    <w:rsid w:val="00D75C1E"/>
    <w:rsid w:val="00D9206E"/>
    <w:rsid w:val="00D93D55"/>
    <w:rsid w:val="00D95192"/>
    <w:rsid w:val="00DB1C48"/>
    <w:rsid w:val="00DD4917"/>
    <w:rsid w:val="00DD64DB"/>
    <w:rsid w:val="00DD6A16"/>
    <w:rsid w:val="00E0091A"/>
    <w:rsid w:val="00E11A49"/>
    <w:rsid w:val="00E203AA"/>
    <w:rsid w:val="00E5217A"/>
    <w:rsid w:val="00E527A5"/>
    <w:rsid w:val="00E76456"/>
    <w:rsid w:val="00EB4F66"/>
    <w:rsid w:val="00EE71CB"/>
    <w:rsid w:val="00F16975"/>
    <w:rsid w:val="00F461D9"/>
    <w:rsid w:val="00F558D9"/>
    <w:rsid w:val="00F66152"/>
    <w:rsid w:val="00FE4B1D"/>
    <w:rsid w:val="00FF4371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19256345-40F3-4BB6-B316-B3473E5C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Heading2"/>
    <w:next w:val="Normal"/>
    <w:qFormat/>
    <w:rsid w:val="00D9206E"/>
    <w:pPr>
      <w:spacing w:after="28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9206E"/>
    <w:pPr>
      <w:keepNext/>
      <w:spacing w:before="240" w:after="22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9206E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1C282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rsid w:val="001C282C"/>
    <w:rPr>
      <w:vertAlign w:val="superscript"/>
    </w:rPr>
  </w:style>
  <w:style w:type="character" w:styleId="Hyperlink">
    <w:name w:val="Hyperlink"/>
    <w:basedOn w:val="DefaultParagraphFont"/>
    <w:semiHidden/>
    <w:unhideWhenUsed/>
    <w:rsid w:val="009271E0"/>
    <w:rPr>
      <w:color w:val="0000FF" w:themeColor="hyperlink"/>
      <w:u w:val="single"/>
    </w:rPr>
  </w:style>
  <w:style w:type="paragraph" w:styleId="Title">
    <w:name w:val="Title"/>
    <w:basedOn w:val="Heading1"/>
    <w:next w:val="Normal"/>
    <w:link w:val="TitleChar"/>
    <w:qFormat/>
    <w:rsid w:val="00D95192"/>
    <w:pPr>
      <w:spacing w:before="0" w:after="60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D95192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F6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6B8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D072-6AA5-403D-A543-835922CB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814</Words>
  <Characters>4096</Characters>
  <Application>Microsoft Office Word</Application>
  <DocSecurity>0</DocSecurity>
  <Lines>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</vt:lpstr>
    </vt:vector>
  </TitlesOfParts>
  <Company>WIPO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Prov.1</dc:title>
  <dc:creator>WIPO</dc:creator>
  <cp:keywords>PUBLIC</cp:keywords>
  <cp:lastModifiedBy>MARIN-CUDRAZ DAVI Nicoletta</cp:lastModifiedBy>
  <cp:revision>15</cp:revision>
  <cp:lastPrinted>2021-12-14T09:45:00Z</cp:lastPrinted>
  <dcterms:created xsi:type="dcterms:W3CDTF">2021-12-08T15:44:00Z</dcterms:created>
  <dcterms:modified xsi:type="dcterms:W3CDTF">2021-12-14T09:45:00Z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cda68173-4a29-4b1c-a09d-b7d039a58e60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