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43" w:rsidRPr="0040540C" w:rsidRDefault="00C72943" w:rsidP="00C72943">
      <w:pPr>
        <w:spacing w:before="360" w:after="240"/>
        <w:jc w:val="right"/>
      </w:pPr>
      <w:bookmarkStart w:id="0" w:name="TitleOfDoc"/>
      <w:bookmarkStart w:id="1" w:name="_GoBack"/>
      <w:bookmarkEnd w:id="0"/>
      <w:bookmarkEnd w:id="1"/>
      <w:r>
        <w:rPr>
          <w:noProof/>
          <w:lang w:val="en-US" w:eastAsia="en-US"/>
        </w:rPr>
        <w:drawing>
          <wp:inline distT="0" distB="0" distL="0" distR="0" wp14:anchorId="5C2869EF" wp14:editId="1574E9F7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43" w:rsidRDefault="00C72943" w:rsidP="00C72943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a/60/</w:t>
      </w:r>
      <w:bookmarkStart w:id="2" w:name="Code"/>
      <w:r>
        <w:rPr>
          <w:rFonts w:ascii="Arial Black" w:hAnsi="Arial Black"/>
          <w:caps/>
          <w:sz w:val="15"/>
        </w:rPr>
        <w:t>2</w:t>
      </w:r>
    </w:p>
    <w:bookmarkEnd w:id="2"/>
    <w:p w:rsidR="00C72943" w:rsidRPr="0040540C" w:rsidRDefault="00C72943" w:rsidP="00C72943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AD22F2">
        <w:rPr>
          <w:rFonts w:ascii="Arial Black" w:hAnsi="Arial Black"/>
          <w:caps/>
          <w:sz w:val="15"/>
        </w:rPr>
        <w:t> :</w:t>
      </w:r>
      <w:r>
        <w:rPr>
          <w:rFonts w:ascii="Arial Black" w:hAnsi="Arial Black"/>
          <w:caps/>
          <w:sz w:val="15"/>
        </w:rPr>
        <w:t xml:space="preserve"> </w:t>
      </w:r>
      <w:bookmarkStart w:id="3" w:name="Original"/>
      <w:r>
        <w:rPr>
          <w:rFonts w:ascii="Arial Black" w:hAnsi="Arial Black"/>
          <w:caps/>
          <w:sz w:val="15"/>
        </w:rPr>
        <w:t>anglais</w:t>
      </w:r>
    </w:p>
    <w:bookmarkEnd w:id="3"/>
    <w:p w:rsidR="00C72943" w:rsidRPr="0040540C" w:rsidRDefault="00C72943" w:rsidP="00C72943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AD22F2">
        <w:rPr>
          <w:rFonts w:ascii="Arial Black" w:hAnsi="Arial Black"/>
          <w:caps/>
          <w:sz w:val="15"/>
        </w:rPr>
        <w:t> :</w:t>
      </w:r>
      <w:r>
        <w:rPr>
          <w:rFonts w:ascii="Arial Black" w:hAnsi="Arial Black"/>
          <w:caps/>
          <w:sz w:val="15"/>
        </w:rPr>
        <w:t xml:space="preserve"> </w:t>
      </w:r>
      <w:bookmarkStart w:id="4" w:name="Date"/>
      <w:r>
        <w:rPr>
          <w:rFonts w:ascii="Arial Black" w:hAnsi="Arial Black"/>
          <w:caps/>
          <w:sz w:val="15"/>
        </w:rPr>
        <w:t>2</w:t>
      </w:r>
      <w:r w:rsidR="00AD22F2">
        <w:rPr>
          <w:rFonts w:ascii="Arial Black" w:hAnsi="Arial Black"/>
          <w:caps/>
          <w:sz w:val="15"/>
        </w:rPr>
        <w:t>7 mars 20</w:t>
      </w:r>
      <w:r>
        <w:rPr>
          <w:rFonts w:ascii="Arial Black" w:hAnsi="Arial Black"/>
          <w:caps/>
          <w:sz w:val="15"/>
        </w:rPr>
        <w:t>20</w:t>
      </w:r>
    </w:p>
    <w:bookmarkEnd w:id="4"/>
    <w:p w:rsidR="00C72943" w:rsidRPr="00B1090C" w:rsidRDefault="00C72943" w:rsidP="00C72943">
      <w:pPr>
        <w:pStyle w:val="Heading1"/>
      </w:pPr>
      <w:r w:rsidRPr="00D20C96">
        <w:t>Assemblées des États membres de l</w:t>
      </w:r>
      <w:r w:rsidR="00AD22F2">
        <w:rPr>
          <w:caps/>
        </w:rPr>
        <w:t>’</w:t>
      </w:r>
      <w:r w:rsidRPr="00D20C96">
        <w:t>OMPI</w:t>
      </w:r>
    </w:p>
    <w:p w:rsidR="00C72943" w:rsidRPr="003845C1" w:rsidRDefault="00C72943" w:rsidP="00C72943">
      <w:pPr>
        <w:spacing w:after="720"/>
        <w:outlineLvl w:val="1"/>
        <w:rPr>
          <w:b/>
          <w:sz w:val="24"/>
          <w:szCs w:val="24"/>
        </w:rPr>
      </w:pPr>
      <w:r w:rsidRPr="00D20C96">
        <w:rPr>
          <w:b/>
          <w:sz w:val="24"/>
          <w:szCs w:val="24"/>
        </w:rPr>
        <w:t>Soixantième série de réunions</w:t>
      </w:r>
      <w:r>
        <w:rPr>
          <w:b/>
          <w:sz w:val="24"/>
          <w:szCs w:val="24"/>
        </w:rPr>
        <w:br/>
      </w:r>
      <w:r w:rsidRPr="00D20C96">
        <w:rPr>
          <w:b/>
          <w:sz w:val="24"/>
          <w:szCs w:val="24"/>
        </w:rPr>
        <w:t xml:space="preserve">Genève, 7 </w:t>
      </w:r>
      <w:r>
        <w:rPr>
          <w:b/>
          <w:sz w:val="24"/>
          <w:szCs w:val="24"/>
        </w:rPr>
        <w:t>et</w:t>
      </w:r>
      <w:r w:rsidRPr="00D20C96">
        <w:rPr>
          <w:b/>
          <w:sz w:val="24"/>
          <w:szCs w:val="24"/>
        </w:rPr>
        <w:t xml:space="preserve"> </w:t>
      </w:r>
      <w:r w:rsidR="00AD22F2" w:rsidRPr="00D20C96">
        <w:rPr>
          <w:b/>
          <w:sz w:val="24"/>
          <w:szCs w:val="24"/>
        </w:rPr>
        <w:t>8</w:t>
      </w:r>
      <w:r w:rsidR="00AD22F2">
        <w:rPr>
          <w:b/>
          <w:sz w:val="24"/>
          <w:szCs w:val="24"/>
        </w:rPr>
        <w:t> </w:t>
      </w:r>
      <w:r w:rsidR="00AD22F2" w:rsidRPr="00D20C96">
        <w:rPr>
          <w:b/>
          <w:sz w:val="24"/>
          <w:szCs w:val="24"/>
        </w:rPr>
        <w:t>mai</w:t>
      </w:r>
      <w:r w:rsidR="00AD22F2">
        <w:rPr>
          <w:b/>
          <w:sz w:val="24"/>
          <w:szCs w:val="24"/>
        </w:rPr>
        <w:t> </w:t>
      </w:r>
      <w:r w:rsidR="00AD22F2" w:rsidRPr="00D20C96">
        <w:rPr>
          <w:b/>
          <w:sz w:val="24"/>
          <w:szCs w:val="24"/>
        </w:rPr>
        <w:t>20</w:t>
      </w:r>
      <w:r w:rsidRPr="00D20C96">
        <w:rPr>
          <w:b/>
          <w:sz w:val="24"/>
          <w:szCs w:val="24"/>
        </w:rPr>
        <w:t>20</w:t>
      </w:r>
    </w:p>
    <w:p w:rsidR="00C72943" w:rsidRPr="003845C1" w:rsidRDefault="00C72943" w:rsidP="00C72943">
      <w:pPr>
        <w:spacing w:after="360"/>
        <w:rPr>
          <w:caps/>
          <w:sz w:val="24"/>
        </w:rPr>
      </w:pPr>
      <w:r>
        <w:rPr>
          <w:caps/>
          <w:sz w:val="24"/>
        </w:rPr>
        <w:t>Nomination du Directeur général</w:t>
      </w:r>
    </w:p>
    <w:p w:rsidR="00C72943" w:rsidRPr="008B2CC1" w:rsidRDefault="00C72943" w:rsidP="00C72943">
      <w:pPr>
        <w:spacing w:after="960"/>
        <w:rPr>
          <w:i/>
        </w:rPr>
      </w:pPr>
      <w:r w:rsidRPr="00B55DD3">
        <w:rPr>
          <w:i/>
        </w:rPr>
        <w:t>Mémorandum du président du Comité de coordination de l</w:t>
      </w:r>
      <w:r w:rsidR="00AD22F2">
        <w:rPr>
          <w:i/>
        </w:rPr>
        <w:t>’</w:t>
      </w:r>
      <w:r w:rsidRPr="00B55DD3">
        <w:rPr>
          <w:i/>
        </w:rPr>
        <w:t>OMPI</w:t>
      </w:r>
    </w:p>
    <w:p w:rsidR="00BA4468" w:rsidRPr="00B55DD3" w:rsidRDefault="00BA4468" w:rsidP="00C72943">
      <w:pPr>
        <w:pStyle w:val="ONUMFS"/>
      </w:pPr>
      <w:r w:rsidRPr="00B55DD3">
        <w:t>L</w:t>
      </w:r>
      <w:r w:rsidR="00AD22F2">
        <w:t>’</w:t>
      </w:r>
      <w:r w:rsidRPr="00B55DD3">
        <w:t>article</w:t>
      </w:r>
      <w:r w:rsidR="008C6DE0" w:rsidRPr="00B55DD3">
        <w:t> </w:t>
      </w:r>
      <w:proofErr w:type="gramStart"/>
      <w:r w:rsidRPr="00B55DD3">
        <w:t>6.2)i</w:t>
      </w:r>
      <w:proofErr w:type="gramEnd"/>
      <w:r w:rsidRPr="00B55DD3">
        <w:t>) de la Convention instituant l</w:t>
      </w:r>
      <w:r w:rsidR="00AD22F2">
        <w:t>’</w:t>
      </w:r>
      <w:r w:rsidRPr="00B55DD3">
        <w:t>Organisation Mondiale de la Propriété Intellectuelle (Convention instituant l</w:t>
      </w:r>
      <w:r w:rsidR="00AD22F2">
        <w:t>’</w:t>
      </w:r>
      <w:r w:rsidRPr="00B55DD3">
        <w:t>OMPI) prévoit que l</w:t>
      </w:r>
      <w:r w:rsidR="00AD22F2">
        <w:t>’</w:t>
      </w:r>
      <w:r w:rsidRPr="00B55DD3">
        <w:t>Assemblée générale</w:t>
      </w:r>
      <w:r w:rsidR="00DE33B7">
        <w:t xml:space="preserve"> de l</w:t>
      </w:r>
      <w:r w:rsidR="00AD22F2">
        <w:t>’</w:t>
      </w:r>
      <w:r w:rsidR="00DE33B7">
        <w:t>OMPI</w:t>
      </w:r>
      <w:r w:rsidRPr="00B55DD3">
        <w:t xml:space="preserve"> “nomme le Directeur général sur présentation du Comité de coordination”.</w:t>
      </w:r>
    </w:p>
    <w:p w:rsidR="00BA4468" w:rsidRPr="00B55DD3" w:rsidRDefault="00BA4468" w:rsidP="00C72943">
      <w:pPr>
        <w:pStyle w:val="ONUMFS"/>
      </w:pPr>
      <w:r w:rsidRPr="00B55DD3">
        <w:t>L</w:t>
      </w:r>
      <w:r w:rsidR="00AD22F2">
        <w:t>’</w:t>
      </w:r>
      <w:r w:rsidRPr="00B55DD3">
        <w:t>article</w:t>
      </w:r>
      <w:r w:rsidR="008C6DE0" w:rsidRPr="00B55DD3">
        <w:t> </w:t>
      </w:r>
      <w:r w:rsidRPr="00B55DD3">
        <w:t>9.3) de la Convention instituant l</w:t>
      </w:r>
      <w:r w:rsidR="00AD22F2">
        <w:t>’</w:t>
      </w:r>
      <w:r w:rsidRPr="00B55DD3">
        <w:t>OMPI prévoit que le “Directeur général est nommé pour une période déterminée, qui ne peut être inférieure à six</w:t>
      </w:r>
      <w:r w:rsidR="008C6DE0" w:rsidRPr="00B55DD3">
        <w:t> </w:t>
      </w:r>
      <w:r w:rsidRPr="00B55DD3">
        <w:t>a</w:t>
      </w:r>
      <w:r w:rsidR="00501D19" w:rsidRPr="00B55DD3">
        <w:t>ns</w:t>
      </w:r>
      <w:r w:rsidR="00501D19">
        <w:t xml:space="preserve">.  </w:t>
      </w:r>
      <w:r w:rsidR="00501D19" w:rsidRPr="00B55DD3">
        <w:t>Sa</w:t>
      </w:r>
      <w:r w:rsidRPr="00B55DD3">
        <w:t xml:space="preserve"> nomination peut être renouvelée pour des périodes déterminé</w:t>
      </w:r>
      <w:r w:rsidR="00501D19" w:rsidRPr="00B55DD3">
        <w:t>es</w:t>
      </w:r>
      <w:r w:rsidR="00501D19">
        <w:t xml:space="preserve">.  </w:t>
      </w:r>
      <w:r w:rsidR="00501D19" w:rsidRPr="00B55DD3">
        <w:t>La</w:t>
      </w:r>
      <w:r w:rsidRPr="00B55DD3">
        <w:t xml:space="preserve"> durée de la première période et celle des périodes suivantes éventuelles, ainsi que toutes autres conditions de sa nomination, sont fixées par l</w:t>
      </w:r>
      <w:r w:rsidR="00AD22F2">
        <w:t>’</w:t>
      </w:r>
      <w:r w:rsidRPr="00B55DD3">
        <w:t>Assemblée générale</w:t>
      </w:r>
      <w:r w:rsidR="00DE33B7">
        <w:t xml:space="preserve"> de l</w:t>
      </w:r>
      <w:r w:rsidR="00AD22F2">
        <w:t>’</w:t>
      </w:r>
      <w:r w:rsidR="00DE33B7">
        <w:t>OMPI</w:t>
      </w:r>
      <w:r w:rsidRPr="00B55DD3">
        <w:t>”.</w:t>
      </w:r>
    </w:p>
    <w:p w:rsidR="00BA4468" w:rsidRPr="00B55DD3" w:rsidRDefault="00BA4468" w:rsidP="00C72943">
      <w:pPr>
        <w:pStyle w:val="ONUMFS"/>
      </w:pPr>
      <w:r w:rsidRPr="00B55DD3">
        <w:t xml:space="preserve">Au cours de sa session tenue le </w:t>
      </w:r>
      <w:r w:rsidR="00DE33B7">
        <w:t>4</w:t>
      </w:r>
      <w:r w:rsidR="00485EBD" w:rsidRPr="00B55DD3">
        <w:t> mars 20</w:t>
      </w:r>
      <w:r w:rsidR="00DE33B7">
        <w:t>20</w:t>
      </w:r>
      <w:r w:rsidRPr="00B55DD3">
        <w:t xml:space="preserve">, le Comité de coordination </w:t>
      </w:r>
      <w:r w:rsidR="00DE33B7">
        <w:t>de l</w:t>
      </w:r>
      <w:r w:rsidR="00AD22F2">
        <w:t>’</w:t>
      </w:r>
      <w:r w:rsidR="00DE33B7">
        <w:t xml:space="preserve">OMPI </w:t>
      </w:r>
      <w:r w:rsidRPr="00B55DD3">
        <w:t>a désign</w:t>
      </w:r>
      <w:r w:rsidR="00DE33B7">
        <w:t>é</w:t>
      </w:r>
      <w:r w:rsidRPr="00B55DD3">
        <w:t xml:space="preserve"> </w:t>
      </w:r>
      <w:r w:rsidR="00485EBD" w:rsidRPr="00B55DD3">
        <w:t>M. </w:t>
      </w:r>
      <w:proofErr w:type="spellStart"/>
      <w:r w:rsidR="00DE33B7">
        <w:t>Daren</w:t>
      </w:r>
      <w:proofErr w:type="spellEnd"/>
      <w:r w:rsidR="00485EBD" w:rsidRPr="00B55DD3">
        <w:t> </w:t>
      </w:r>
      <w:r w:rsidR="00DE33B7">
        <w:t>Tang</w:t>
      </w:r>
      <w:r w:rsidRPr="00B55DD3">
        <w:t xml:space="preserve"> comme candidat au poste de </w:t>
      </w:r>
      <w:r w:rsidR="0038573C">
        <w:t>Directeur</w:t>
      </w:r>
      <w:r w:rsidR="00862857" w:rsidRPr="00B55DD3">
        <w:t xml:space="preserve"> </w:t>
      </w:r>
      <w:r w:rsidRPr="00B55DD3">
        <w:t>général de l</w:t>
      </w:r>
      <w:r w:rsidR="00AD22F2">
        <w:t>’</w:t>
      </w:r>
      <w:r w:rsidRPr="00B55DD3">
        <w:t>OMPI (paragraphe </w:t>
      </w:r>
      <w:r w:rsidR="00DE33B7">
        <w:t>38</w:t>
      </w:r>
      <w:r w:rsidRPr="00B55DD3">
        <w:t xml:space="preserve"> du document WO/CC/</w:t>
      </w:r>
      <w:r w:rsidR="00DE33B7">
        <w:t>77</w:t>
      </w:r>
      <w:r w:rsidRPr="00B55DD3">
        <w:t>/4).  Le curriculum vitae du candidat, M. </w:t>
      </w:r>
      <w:proofErr w:type="spellStart"/>
      <w:r w:rsidR="00DE33B7">
        <w:t>Daren</w:t>
      </w:r>
      <w:proofErr w:type="spellEnd"/>
      <w:r w:rsidRPr="00B55DD3">
        <w:t> </w:t>
      </w:r>
      <w:r w:rsidR="00DE33B7">
        <w:t>Tang</w:t>
      </w:r>
      <w:r w:rsidRPr="00B55DD3">
        <w:t>, est joint en annexe au présent document.</w:t>
      </w:r>
    </w:p>
    <w:p w:rsidR="00BA4468" w:rsidRPr="00B55DD3" w:rsidRDefault="00BA4468" w:rsidP="00C72943">
      <w:pPr>
        <w:pStyle w:val="ONUMFS"/>
      </w:pPr>
      <w:r w:rsidRPr="00B55DD3">
        <w:t>Conformément à l</w:t>
      </w:r>
      <w:r w:rsidR="00AD22F2">
        <w:t>’</w:t>
      </w:r>
      <w:r w:rsidRPr="00B55DD3">
        <w:t>article 9.3) de la Convention instituant l</w:t>
      </w:r>
      <w:r w:rsidR="00AD22F2">
        <w:t>’</w:t>
      </w:r>
      <w:r w:rsidRPr="00B55DD3">
        <w:t>OMPI, il est proposé que M. </w:t>
      </w:r>
      <w:proofErr w:type="spellStart"/>
      <w:r w:rsidR="00DE33B7">
        <w:t>Daren</w:t>
      </w:r>
      <w:proofErr w:type="spellEnd"/>
      <w:r w:rsidR="00DE33B7" w:rsidRPr="00B55DD3">
        <w:t> </w:t>
      </w:r>
      <w:r w:rsidR="00DE33B7">
        <w:t>Tang</w:t>
      </w:r>
      <w:r w:rsidR="00DE33B7" w:rsidRPr="00B55DD3">
        <w:t xml:space="preserve"> </w:t>
      </w:r>
      <w:r w:rsidRPr="00B55DD3">
        <w:t xml:space="preserve">soit nommé </w:t>
      </w:r>
      <w:r w:rsidR="0038573C">
        <w:t>Directeur</w:t>
      </w:r>
      <w:r w:rsidR="00DE33B7" w:rsidRPr="00B55DD3">
        <w:t xml:space="preserve"> général de l</w:t>
      </w:r>
      <w:r w:rsidR="00AD22F2">
        <w:t>’</w:t>
      </w:r>
      <w:r w:rsidR="00DE33B7" w:rsidRPr="00B55DD3">
        <w:t xml:space="preserve">OMPI </w:t>
      </w:r>
      <w:r w:rsidRPr="00B55DD3">
        <w:t>pour un mandat de six</w:t>
      </w:r>
      <w:r w:rsidR="008C6DE0" w:rsidRPr="00B55DD3">
        <w:t> </w:t>
      </w:r>
      <w:r w:rsidRPr="00B55DD3">
        <w:t>a</w:t>
      </w:r>
      <w:r w:rsidR="00501D19" w:rsidRPr="00B55DD3">
        <w:t>ns</w:t>
      </w:r>
      <w:r w:rsidR="00501D19">
        <w:t xml:space="preserve">.  </w:t>
      </w:r>
      <w:r w:rsidR="00501D19" w:rsidRPr="00B55DD3">
        <w:t>Le</w:t>
      </w:r>
      <w:r w:rsidRPr="00B55DD3">
        <w:t xml:space="preserve"> mandat de M. </w:t>
      </w:r>
      <w:proofErr w:type="spellStart"/>
      <w:r w:rsidR="00DE33B7">
        <w:t>Daren</w:t>
      </w:r>
      <w:proofErr w:type="spellEnd"/>
      <w:r w:rsidR="00DE33B7" w:rsidRPr="00B55DD3">
        <w:t> </w:t>
      </w:r>
      <w:r w:rsidR="00DE33B7">
        <w:t>Tang</w:t>
      </w:r>
      <w:r w:rsidR="00DE33B7" w:rsidRPr="00B55DD3">
        <w:t xml:space="preserve"> </w:t>
      </w:r>
      <w:r w:rsidRPr="00B55DD3">
        <w:t>débuterait le</w:t>
      </w:r>
      <w:r w:rsidR="00AD22F2">
        <w:t xml:space="preserve"> 1</w:t>
      </w:r>
      <w:r w:rsidR="00AD22F2" w:rsidRPr="00AD22F2">
        <w:rPr>
          <w:vertAlign w:val="superscript"/>
        </w:rPr>
        <w:t>er</w:t>
      </w:r>
      <w:r w:rsidR="00AD22F2">
        <w:t> </w:t>
      </w:r>
      <w:r w:rsidRPr="00B55DD3">
        <w:t>octobre 20</w:t>
      </w:r>
      <w:r w:rsidR="00DE33B7">
        <w:t>20 et prendrait fin le 30 septembre 2026</w:t>
      </w:r>
      <w:r w:rsidRPr="00B55DD3">
        <w:t>.</w:t>
      </w:r>
    </w:p>
    <w:p w:rsidR="00AD22F2" w:rsidRDefault="00BA4468" w:rsidP="00C72943">
      <w:pPr>
        <w:pStyle w:val="ONUMFS"/>
        <w:tabs>
          <w:tab w:val="left" w:pos="6237"/>
        </w:tabs>
        <w:ind w:left="5533"/>
        <w:rPr>
          <w:i/>
        </w:rPr>
      </w:pPr>
      <w:r w:rsidRPr="00C72943">
        <w:rPr>
          <w:i/>
        </w:rPr>
        <w:t>L</w:t>
      </w:r>
      <w:r w:rsidR="00AD22F2">
        <w:rPr>
          <w:i/>
        </w:rPr>
        <w:t>’</w:t>
      </w:r>
      <w:r w:rsidR="00DE33B7" w:rsidRPr="00C72943">
        <w:rPr>
          <w:i/>
        </w:rPr>
        <w:t>Assemblée générale de l</w:t>
      </w:r>
      <w:r w:rsidR="00AD22F2">
        <w:rPr>
          <w:i/>
        </w:rPr>
        <w:t>’</w:t>
      </w:r>
      <w:r w:rsidR="00DE33B7" w:rsidRPr="00C72943">
        <w:rPr>
          <w:i/>
        </w:rPr>
        <w:t>OMPI et l</w:t>
      </w:r>
      <w:r w:rsidRPr="00C72943">
        <w:rPr>
          <w:i/>
        </w:rPr>
        <w:t>es assemblées des unions de Paris et de Berne</w:t>
      </w:r>
      <w:r w:rsidR="00DE33B7" w:rsidRPr="00C72943">
        <w:rPr>
          <w:i/>
        </w:rPr>
        <w:t>, chacune pour ce qui la concerne,</w:t>
      </w:r>
      <w:r w:rsidRPr="00C72943">
        <w:rPr>
          <w:i/>
        </w:rPr>
        <w:t xml:space="preserve"> sont invitées à</w:t>
      </w:r>
    </w:p>
    <w:p w:rsidR="00AD22F2" w:rsidRDefault="00C72943" w:rsidP="00C72943">
      <w:pPr>
        <w:pStyle w:val="ONUMFS"/>
        <w:numPr>
          <w:ilvl w:val="2"/>
          <w:numId w:val="11"/>
        </w:numPr>
        <w:tabs>
          <w:tab w:val="clear" w:pos="1701"/>
        </w:tabs>
        <w:ind w:left="6237"/>
        <w:rPr>
          <w:i/>
        </w:rPr>
      </w:pPr>
      <w:proofErr w:type="gramStart"/>
      <w:r w:rsidRPr="00C72943">
        <w:rPr>
          <w:i/>
        </w:rPr>
        <w:lastRenderedPageBreak/>
        <w:t>e</w:t>
      </w:r>
      <w:r w:rsidR="00DE33B7" w:rsidRPr="00C72943">
        <w:rPr>
          <w:i/>
        </w:rPr>
        <w:t>xaminer</w:t>
      </w:r>
      <w:proofErr w:type="gramEnd"/>
      <w:r w:rsidR="00DE33B7" w:rsidRPr="00C72943">
        <w:rPr>
          <w:i/>
        </w:rPr>
        <w:t xml:space="preserve"> </w:t>
      </w:r>
      <w:r w:rsidR="00BA4468" w:rsidRPr="00C72943">
        <w:rPr>
          <w:i/>
        </w:rPr>
        <w:t>la proposition du Comité de coordination de l</w:t>
      </w:r>
      <w:r w:rsidR="00AD22F2">
        <w:rPr>
          <w:i/>
        </w:rPr>
        <w:t>’</w:t>
      </w:r>
      <w:r w:rsidR="006C57BB" w:rsidRPr="00C72943">
        <w:rPr>
          <w:i/>
        </w:rPr>
        <w:t>OMPI énoncée au paragraphe 3;</w:t>
      </w:r>
    </w:p>
    <w:p w:rsidR="00BA4468" w:rsidRPr="00C72943" w:rsidRDefault="00BA4468" w:rsidP="00C72943">
      <w:pPr>
        <w:pStyle w:val="ONUMFS"/>
        <w:numPr>
          <w:ilvl w:val="2"/>
          <w:numId w:val="11"/>
        </w:numPr>
        <w:tabs>
          <w:tab w:val="clear" w:pos="1701"/>
        </w:tabs>
        <w:ind w:left="6237"/>
        <w:rPr>
          <w:i/>
        </w:rPr>
      </w:pPr>
      <w:proofErr w:type="gramStart"/>
      <w:r w:rsidRPr="00C72943">
        <w:rPr>
          <w:i/>
        </w:rPr>
        <w:t>nommer</w:t>
      </w:r>
      <w:proofErr w:type="gramEnd"/>
      <w:r w:rsidRPr="00C72943">
        <w:rPr>
          <w:i/>
        </w:rPr>
        <w:t xml:space="preserve"> M. </w:t>
      </w:r>
      <w:proofErr w:type="spellStart"/>
      <w:r w:rsidR="006C57BB" w:rsidRPr="00C72943">
        <w:rPr>
          <w:i/>
        </w:rPr>
        <w:t>Daren</w:t>
      </w:r>
      <w:proofErr w:type="spellEnd"/>
      <w:r w:rsidRPr="00C72943">
        <w:rPr>
          <w:i/>
        </w:rPr>
        <w:t> </w:t>
      </w:r>
      <w:r w:rsidR="006C57BB" w:rsidRPr="00C72943">
        <w:rPr>
          <w:i/>
        </w:rPr>
        <w:t>Tang</w:t>
      </w:r>
      <w:r w:rsidRPr="00C72943">
        <w:rPr>
          <w:i/>
        </w:rPr>
        <w:t xml:space="preserve"> au poste de </w:t>
      </w:r>
      <w:r w:rsidR="0038573C">
        <w:rPr>
          <w:i/>
        </w:rPr>
        <w:t>Directeur</w:t>
      </w:r>
      <w:r w:rsidR="00862857" w:rsidRPr="00C72943">
        <w:rPr>
          <w:i/>
        </w:rPr>
        <w:t xml:space="preserve"> </w:t>
      </w:r>
      <w:r w:rsidRPr="00C72943">
        <w:rPr>
          <w:i/>
        </w:rPr>
        <w:t>général pour un mandat allant du</w:t>
      </w:r>
      <w:r w:rsidR="00AD22F2">
        <w:rPr>
          <w:i/>
        </w:rPr>
        <w:t xml:space="preserve"> 1</w:t>
      </w:r>
      <w:r w:rsidR="00AD22F2" w:rsidRPr="00AD22F2">
        <w:rPr>
          <w:i/>
          <w:vertAlign w:val="superscript"/>
        </w:rPr>
        <w:t>er</w:t>
      </w:r>
      <w:r w:rsidR="00AD22F2">
        <w:rPr>
          <w:i/>
        </w:rPr>
        <w:t> </w:t>
      </w:r>
      <w:r w:rsidRPr="00C72943">
        <w:rPr>
          <w:i/>
        </w:rPr>
        <w:t>octobre 20</w:t>
      </w:r>
      <w:r w:rsidR="006C57BB" w:rsidRPr="00C72943">
        <w:rPr>
          <w:i/>
        </w:rPr>
        <w:t>20</w:t>
      </w:r>
      <w:r w:rsidRPr="00C72943">
        <w:rPr>
          <w:i/>
        </w:rPr>
        <w:t xml:space="preserve"> au 30 septembre 202</w:t>
      </w:r>
      <w:r w:rsidR="006C57BB" w:rsidRPr="00C72943">
        <w:rPr>
          <w:i/>
        </w:rPr>
        <w:t>6</w:t>
      </w:r>
      <w:r w:rsidRPr="00C72943">
        <w:rPr>
          <w:i/>
        </w:rPr>
        <w:t>.</w:t>
      </w:r>
    </w:p>
    <w:p w:rsidR="00BA4468" w:rsidRPr="00B55DD3" w:rsidRDefault="00BA4468" w:rsidP="00C72943">
      <w:pPr>
        <w:pStyle w:val="Endofdocument-Annex"/>
      </w:pPr>
      <w:r w:rsidRPr="00B55DD3">
        <w:t>[L</w:t>
      </w:r>
      <w:r w:rsidR="00AD22F2">
        <w:t>’</w:t>
      </w:r>
      <w:r w:rsidRPr="00B55DD3">
        <w:t>annexe suit]</w:t>
      </w:r>
    </w:p>
    <w:p w:rsidR="00C72943" w:rsidRDefault="00C72943" w:rsidP="00734390">
      <w:pPr>
        <w:sectPr w:rsidR="00C72943" w:rsidSect="0095435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C72943" w:rsidRDefault="00C72943" w:rsidP="00AD22F2">
      <w:pPr>
        <w:spacing w:after="220"/>
        <w:jc w:val="center"/>
        <w:rPr>
          <w:lang w:val="fr-CH"/>
        </w:rPr>
      </w:pPr>
      <w:r w:rsidRPr="00721B14">
        <w:rPr>
          <w:lang w:val="fr-CH"/>
        </w:rPr>
        <w:lastRenderedPageBreak/>
        <w:t>Curriculum vitae de M.</w:t>
      </w:r>
      <w:r>
        <w:rPr>
          <w:lang w:val="fr-CH"/>
        </w:rPr>
        <w:t> </w:t>
      </w:r>
      <w:proofErr w:type="spellStart"/>
      <w:r w:rsidRPr="00721B14">
        <w:rPr>
          <w:lang w:val="fr-CH"/>
        </w:rPr>
        <w:t>Daren</w:t>
      </w:r>
      <w:proofErr w:type="spellEnd"/>
      <w:r w:rsidRPr="00721B14">
        <w:rPr>
          <w:lang w:val="fr-CH"/>
        </w:rPr>
        <w:t xml:space="preserve"> Tang</w:t>
      </w:r>
      <w:r w:rsidR="00AD22F2">
        <w:rPr>
          <w:lang w:val="fr-CH"/>
        </w:rPr>
        <w:br/>
      </w:r>
      <w:r w:rsidRPr="00721B14">
        <w:rPr>
          <w:lang w:val="fr-CH"/>
        </w:rPr>
        <w:t>(Directeur général de l</w:t>
      </w:r>
      <w:r w:rsidR="00AD22F2">
        <w:rPr>
          <w:lang w:val="fr-CH"/>
        </w:rPr>
        <w:t>’</w:t>
      </w:r>
      <w:r w:rsidRPr="00721B14">
        <w:rPr>
          <w:lang w:val="fr-CH"/>
        </w:rPr>
        <w:t>Office de la propriété intellectuelle de Singapour)</w:t>
      </w:r>
    </w:p>
    <w:p w:rsidR="00C72943" w:rsidRPr="00721B14" w:rsidRDefault="00C72943" w:rsidP="00C72943">
      <w:pPr>
        <w:pStyle w:val="BodyText"/>
        <w:tabs>
          <w:tab w:val="left" w:pos="1540"/>
        </w:tabs>
        <w:rPr>
          <w:szCs w:val="22"/>
          <w:lang w:val="fr-CH"/>
        </w:rPr>
      </w:pPr>
      <w:r w:rsidRPr="00721B14">
        <w:rPr>
          <w:noProof/>
          <w:szCs w:val="22"/>
          <w:lang w:val="en-US" w:eastAsia="en-US"/>
        </w:rPr>
        <w:drawing>
          <wp:anchor distT="0" distB="0" distL="0" distR="0" simplePos="0" relativeHeight="251659264" behindDoc="0" locked="0" layoutInCell="1" allowOverlap="1" wp14:anchorId="0CA24CAD" wp14:editId="4964352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66087" cy="1958339"/>
            <wp:effectExtent l="0" t="0" r="1270" b="444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87" cy="195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B14">
        <w:rPr>
          <w:szCs w:val="22"/>
          <w:lang w:val="fr-CH"/>
        </w:rPr>
        <w:t>Année de naissance</w:t>
      </w:r>
      <w:r w:rsidR="00AD22F2">
        <w:rPr>
          <w:szCs w:val="22"/>
          <w:lang w:val="fr-CH"/>
        </w:rPr>
        <w:t> :</w:t>
      </w:r>
      <w:r w:rsidRPr="00721B14">
        <w:rPr>
          <w:szCs w:val="22"/>
          <w:lang w:val="fr-CH"/>
        </w:rPr>
        <w:t xml:space="preserve"> 1972</w:t>
      </w:r>
    </w:p>
    <w:p w:rsidR="00C72943" w:rsidRDefault="00C72943" w:rsidP="00C72943">
      <w:pPr>
        <w:pStyle w:val="BodyText"/>
        <w:rPr>
          <w:szCs w:val="22"/>
          <w:lang w:val="fr-CH"/>
        </w:rPr>
      </w:pPr>
      <w:r w:rsidRPr="00721B14">
        <w:rPr>
          <w:szCs w:val="22"/>
          <w:lang w:val="fr-CH"/>
        </w:rPr>
        <w:t>Nationalité</w:t>
      </w:r>
      <w:r w:rsidR="00AD22F2">
        <w:rPr>
          <w:szCs w:val="22"/>
          <w:lang w:val="fr-CH"/>
        </w:rPr>
        <w:t> :</w:t>
      </w:r>
      <w:r w:rsidRPr="00721B14">
        <w:rPr>
          <w:szCs w:val="22"/>
          <w:lang w:val="fr-CH"/>
        </w:rPr>
        <w:t xml:space="preserve"> singapourienne</w:t>
      </w:r>
    </w:p>
    <w:p w:rsidR="00C72943" w:rsidRPr="00721B14" w:rsidRDefault="00C72943" w:rsidP="00AD22F2">
      <w:pPr>
        <w:pStyle w:val="BodyText"/>
        <w:spacing w:before="440"/>
        <w:rPr>
          <w:b/>
          <w:caps/>
          <w:szCs w:val="22"/>
          <w:lang w:val="fr-CH"/>
        </w:rPr>
      </w:pPr>
      <w:r w:rsidRPr="00721B14">
        <w:rPr>
          <w:b/>
          <w:caps/>
          <w:szCs w:val="22"/>
          <w:lang w:val="fr-CH"/>
        </w:rPr>
        <w:t>Titres universitaires</w:t>
      </w:r>
    </w:p>
    <w:p w:rsidR="00C72943" w:rsidRDefault="00C72943" w:rsidP="00AD22F2">
      <w:pPr>
        <w:pStyle w:val="BodyText"/>
        <w:ind w:left="1134" w:hanging="1134"/>
        <w:rPr>
          <w:szCs w:val="22"/>
        </w:rPr>
      </w:pPr>
      <w:r w:rsidRPr="00721B14">
        <w:rPr>
          <w:b/>
          <w:szCs w:val="22"/>
        </w:rPr>
        <w:t>2013</w:t>
      </w:r>
      <w:r w:rsidRPr="00721B14">
        <w:rPr>
          <w:b/>
          <w:szCs w:val="22"/>
        </w:rPr>
        <w:tab/>
        <w:t>Advanced Management Program</w:t>
      </w:r>
      <w:r w:rsidR="00AD22F2">
        <w:rPr>
          <w:b/>
          <w:szCs w:val="22"/>
        </w:rPr>
        <w:br/>
      </w:r>
      <w:r w:rsidRPr="00721B14">
        <w:rPr>
          <w:szCs w:val="22"/>
        </w:rPr>
        <w:t xml:space="preserve">Harvard Business </w:t>
      </w:r>
      <w:proofErr w:type="spellStart"/>
      <w:r w:rsidRPr="00721B14">
        <w:rPr>
          <w:szCs w:val="22"/>
        </w:rPr>
        <w:t>School</w:t>
      </w:r>
      <w:proofErr w:type="spellEnd"/>
      <w:r w:rsidRPr="00721B14">
        <w:rPr>
          <w:szCs w:val="22"/>
        </w:rPr>
        <w:t>, États</w:t>
      </w:r>
      <w:r w:rsidR="00501D19">
        <w:rPr>
          <w:szCs w:val="22"/>
        </w:rPr>
        <w:noBreakHyphen/>
      </w:r>
      <w:r w:rsidRPr="00721B14">
        <w:rPr>
          <w:szCs w:val="22"/>
        </w:rPr>
        <w:t>Unis d</w:t>
      </w:r>
      <w:r w:rsidR="00AD22F2">
        <w:rPr>
          <w:szCs w:val="22"/>
        </w:rPr>
        <w:t>’</w:t>
      </w:r>
      <w:r w:rsidRPr="00721B14">
        <w:rPr>
          <w:szCs w:val="22"/>
        </w:rPr>
        <w:t>Amérique</w:t>
      </w:r>
    </w:p>
    <w:p w:rsidR="00C72943" w:rsidRDefault="00C72943" w:rsidP="00AD22F2">
      <w:pPr>
        <w:pStyle w:val="BodyText"/>
        <w:ind w:left="1134" w:hanging="1134"/>
        <w:rPr>
          <w:szCs w:val="22"/>
        </w:rPr>
      </w:pPr>
      <w:r w:rsidRPr="00721B14">
        <w:rPr>
          <w:b/>
          <w:szCs w:val="22"/>
        </w:rPr>
        <w:t>2006</w:t>
      </w:r>
      <w:r w:rsidRPr="00721B14">
        <w:rPr>
          <w:b/>
          <w:szCs w:val="22"/>
        </w:rPr>
        <w:tab/>
        <w:t xml:space="preserve">Master of </w:t>
      </w:r>
      <w:proofErr w:type="spellStart"/>
      <w:r w:rsidRPr="00721B14">
        <w:rPr>
          <w:b/>
          <w:szCs w:val="22"/>
        </w:rPr>
        <w:t>Laws</w:t>
      </w:r>
      <w:proofErr w:type="spellEnd"/>
      <w:r w:rsidRPr="00721B14">
        <w:rPr>
          <w:b/>
          <w:szCs w:val="22"/>
        </w:rPr>
        <w:t xml:space="preserve"> (LL.M.) </w:t>
      </w:r>
      <w:proofErr w:type="spellStart"/>
      <w:r w:rsidRPr="00721B14">
        <w:rPr>
          <w:b/>
          <w:szCs w:val="22"/>
        </w:rPr>
        <w:t>with</w:t>
      </w:r>
      <w:proofErr w:type="spellEnd"/>
      <w:r w:rsidRPr="00721B14">
        <w:rPr>
          <w:b/>
          <w:szCs w:val="22"/>
        </w:rPr>
        <w:t xml:space="preserve"> Distinction</w:t>
      </w:r>
      <w:r w:rsidR="00AD22F2">
        <w:rPr>
          <w:szCs w:val="22"/>
        </w:rPr>
        <w:br/>
      </w:r>
      <w:r w:rsidRPr="00721B14">
        <w:rPr>
          <w:szCs w:val="22"/>
        </w:rPr>
        <w:t xml:space="preserve">Georgetown </w:t>
      </w:r>
      <w:proofErr w:type="spellStart"/>
      <w:r w:rsidRPr="00721B14">
        <w:rPr>
          <w:szCs w:val="22"/>
        </w:rPr>
        <w:t>University</w:t>
      </w:r>
      <w:proofErr w:type="spellEnd"/>
      <w:r w:rsidRPr="00721B14">
        <w:rPr>
          <w:szCs w:val="22"/>
        </w:rPr>
        <w:t xml:space="preserve"> Law Centre, États</w:t>
      </w:r>
      <w:r w:rsidR="00501D19">
        <w:rPr>
          <w:szCs w:val="22"/>
        </w:rPr>
        <w:noBreakHyphen/>
      </w:r>
      <w:r w:rsidRPr="00721B14">
        <w:rPr>
          <w:szCs w:val="22"/>
        </w:rPr>
        <w:t>Unis d</w:t>
      </w:r>
      <w:r w:rsidR="00AD22F2">
        <w:rPr>
          <w:szCs w:val="22"/>
        </w:rPr>
        <w:t>’</w:t>
      </w:r>
      <w:r w:rsidRPr="00721B14">
        <w:rPr>
          <w:szCs w:val="22"/>
        </w:rPr>
        <w:t>Amérique</w:t>
      </w:r>
      <w:r w:rsidR="00AD22F2">
        <w:rPr>
          <w:szCs w:val="22"/>
        </w:rPr>
        <w:br/>
      </w:r>
      <w:proofErr w:type="spellStart"/>
      <w:r w:rsidRPr="00721B14">
        <w:rPr>
          <w:szCs w:val="22"/>
        </w:rPr>
        <w:t>Fellow</w:t>
      </w:r>
      <w:proofErr w:type="spellEnd"/>
      <w:r w:rsidRPr="00721B14">
        <w:rPr>
          <w:szCs w:val="22"/>
        </w:rPr>
        <w:t xml:space="preserve">, Institute of International </w:t>
      </w:r>
      <w:proofErr w:type="spellStart"/>
      <w:r w:rsidRPr="00721B14">
        <w:rPr>
          <w:szCs w:val="22"/>
        </w:rPr>
        <w:t>Economic</w:t>
      </w:r>
      <w:proofErr w:type="spellEnd"/>
      <w:r w:rsidRPr="00721B14">
        <w:rPr>
          <w:szCs w:val="22"/>
        </w:rPr>
        <w:t xml:space="preserve"> Law</w:t>
      </w:r>
    </w:p>
    <w:p w:rsidR="00C72943" w:rsidRDefault="00C72943" w:rsidP="00AD22F2">
      <w:pPr>
        <w:pStyle w:val="BodyText"/>
        <w:ind w:left="1134" w:hanging="1134"/>
        <w:rPr>
          <w:szCs w:val="22"/>
          <w:lang w:val="fr-CH"/>
        </w:rPr>
      </w:pPr>
      <w:r w:rsidRPr="00721B14">
        <w:rPr>
          <w:b/>
          <w:szCs w:val="22"/>
        </w:rPr>
        <w:t>1997</w:t>
      </w:r>
      <w:r w:rsidRPr="00721B14">
        <w:rPr>
          <w:b/>
          <w:szCs w:val="22"/>
        </w:rPr>
        <w:tab/>
      </w:r>
      <w:proofErr w:type="spellStart"/>
      <w:r w:rsidRPr="00721B14">
        <w:rPr>
          <w:b/>
          <w:szCs w:val="22"/>
        </w:rPr>
        <w:t>Bachelor</w:t>
      </w:r>
      <w:proofErr w:type="spellEnd"/>
      <w:r w:rsidRPr="00721B14">
        <w:rPr>
          <w:b/>
          <w:szCs w:val="22"/>
        </w:rPr>
        <w:t xml:space="preserve"> of </w:t>
      </w:r>
      <w:proofErr w:type="spellStart"/>
      <w:r w:rsidRPr="00721B14">
        <w:rPr>
          <w:b/>
          <w:szCs w:val="22"/>
        </w:rPr>
        <w:t>Laws</w:t>
      </w:r>
      <w:proofErr w:type="spellEnd"/>
      <w:r w:rsidRPr="00721B14">
        <w:rPr>
          <w:b/>
          <w:szCs w:val="22"/>
        </w:rPr>
        <w:t xml:space="preserve"> (LL.B) </w:t>
      </w:r>
      <w:proofErr w:type="spellStart"/>
      <w:r w:rsidRPr="00721B14">
        <w:rPr>
          <w:b/>
          <w:szCs w:val="22"/>
        </w:rPr>
        <w:t>with</w:t>
      </w:r>
      <w:proofErr w:type="spellEnd"/>
      <w:r w:rsidRPr="00721B14">
        <w:rPr>
          <w:b/>
          <w:szCs w:val="22"/>
        </w:rPr>
        <w:t xml:space="preserve"> </w:t>
      </w:r>
      <w:proofErr w:type="spellStart"/>
      <w:r w:rsidRPr="00721B14">
        <w:rPr>
          <w:b/>
          <w:szCs w:val="22"/>
        </w:rPr>
        <w:t>Honours</w:t>
      </w:r>
      <w:proofErr w:type="spellEnd"/>
      <w:r w:rsidR="00AD22F2">
        <w:rPr>
          <w:b/>
          <w:szCs w:val="22"/>
        </w:rPr>
        <w:br/>
      </w:r>
      <w:r w:rsidRPr="00721B14">
        <w:rPr>
          <w:szCs w:val="22"/>
          <w:lang w:val="fr-CH"/>
        </w:rPr>
        <w:t xml:space="preserve">National </w:t>
      </w:r>
      <w:proofErr w:type="spellStart"/>
      <w:r w:rsidRPr="00721B14">
        <w:rPr>
          <w:szCs w:val="22"/>
          <w:lang w:val="fr-CH"/>
        </w:rPr>
        <w:t>University</w:t>
      </w:r>
      <w:proofErr w:type="spellEnd"/>
      <w:r w:rsidRPr="00721B14">
        <w:rPr>
          <w:szCs w:val="22"/>
          <w:lang w:val="fr-CH"/>
        </w:rPr>
        <w:t xml:space="preserve"> of Singapore</w:t>
      </w:r>
    </w:p>
    <w:p w:rsidR="00C72943" w:rsidRPr="00721B14" w:rsidRDefault="00C72943" w:rsidP="00AD22F2">
      <w:pPr>
        <w:pStyle w:val="BodyText"/>
        <w:spacing w:before="440"/>
        <w:rPr>
          <w:b/>
          <w:caps/>
          <w:szCs w:val="22"/>
          <w:lang w:val="fr-CH"/>
        </w:rPr>
      </w:pPr>
      <w:r w:rsidRPr="00721B14">
        <w:rPr>
          <w:b/>
          <w:caps/>
          <w:szCs w:val="22"/>
          <w:lang w:val="fr-CH"/>
        </w:rPr>
        <w:t>Expérience professionnelle</w:t>
      </w:r>
    </w:p>
    <w:p w:rsidR="00C72943" w:rsidRDefault="00C72943" w:rsidP="00AD22F2">
      <w:pPr>
        <w:pStyle w:val="BodyText"/>
        <w:tabs>
          <w:tab w:val="left" w:pos="1701"/>
        </w:tabs>
        <w:rPr>
          <w:szCs w:val="22"/>
          <w:lang w:val="fr-CH"/>
        </w:rPr>
      </w:pPr>
      <w:r w:rsidRPr="00721B14">
        <w:rPr>
          <w:b/>
          <w:szCs w:val="22"/>
          <w:lang w:val="fr-CH"/>
        </w:rPr>
        <w:t>2015</w:t>
      </w:r>
      <w:r w:rsidRPr="00721B14">
        <w:rPr>
          <w:szCs w:val="22"/>
          <w:lang w:val="fr-CH"/>
        </w:rPr>
        <w:t xml:space="preserve"> </w:t>
      </w:r>
      <w:r w:rsidRPr="00721B14">
        <w:rPr>
          <w:b/>
          <w:szCs w:val="22"/>
          <w:lang w:val="fr-CH"/>
        </w:rPr>
        <w:t>–</w:t>
      </w:r>
      <w:r w:rsidRPr="00721B14">
        <w:rPr>
          <w:szCs w:val="22"/>
          <w:lang w:val="fr-CH"/>
        </w:rPr>
        <w:tab/>
      </w:r>
      <w:r w:rsidRPr="00721B14">
        <w:rPr>
          <w:b/>
          <w:szCs w:val="22"/>
          <w:lang w:val="fr-CH"/>
        </w:rPr>
        <w:t>Directeur général</w:t>
      </w:r>
      <w:r w:rsidR="00AD22F2">
        <w:rPr>
          <w:b/>
          <w:szCs w:val="22"/>
          <w:lang w:val="fr-CH"/>
        </w:rPr>
        <w:br/>
      </w:r>
      <w:r w:rsidR="00AD22F2" w:rsidRPr="00AD22F2">
        <w:rPr>
          <w:b/>
          <w:szCs w:val="22"/>
          <w:lang w:val="fr-CH"/>
        </w:rPr>
        <w:t>à présent</w:t>
      </w:r>
      <w:r w:rsidR="00AD22F2">
        <w:rPr>
          <w:szCs w:val="22"/>
          <w:lang w:val="fr-CH"/>
        </w:rPr>
        <w:tab/>
      </w:r>
      <w:r w:rsidRPr="00721B14">
        <w:rPr>
          <w:szCs w:val="22"/>
          <w:lang w:val="fr-CH"/>
        </w:rPr>
        <w:t>Office de la propriété intellectuelle de Singapour (IPOS)</w:t>
      </w:r>
      <w:r w:rsidR="00AD22F2">
        <w:rPr>
          <w:szCs w:val="22"/>
          <w:lang w:val="fr-CH"/>
        </w:rPr>
        <w:br/>
      </w:r>
      <w:r>
        <w:rPr>
          <w:szCs w:val="22"/>
          <w:lang w:val="fr-CH"/>
        </w:rPr>
        <w:tab/>
      </w:r>
      <w:r w:rsidRPr="00721B14">
        <w:rPr>
          <w:szCs w:val="22"/>
          <w:lang w:val="fr-CH"/>
        </w:rPr>
        <w:t>Ministère de la justice, Singapour</w:t>
      </w:r>
    </w:p>
    <w:p w:rsidR="00C72943" w:rsidRPr="00AD22F2" w:rsidRDefault="00C72943" w:rsidP="00AD22F2">
      <w:pPr>
        <w:pStyle w:val="ListParagraph"/>
        <w:tabs>
          <w:tab w:val="left" w:pos="2260"/>
        </w:tabs>
        <w:autoSpaceDE w:val="0"/>
        <w:autoSpaceDN w:val="0"/>
        <w:spacing w:after="220"/>
        <w:ind w:left="1701"/>
        <w:contextualSpacing w:val="0"/>
        <w:rPr>
          <w:szCs w:val="22"/>
        </w:rPr>
      </w:pPr>
      <w:r w:rsidRPr="00AD22F2">
        <w:rPr>
          <w:szCs w:val="22"/>
        </w:rPr>
        <w:t>A conduit la transformation stratégique de l</w:t>
      </w:r>
      <w:r w:rsidR="00AD22F2">
        <w:rPr>
          <w:szCs w:val="22"/>
        </w:rPr>
        <w:t>’</w:t>
      </w:r>
      <w:r w:rsidRPr="00AD22F2">
        <w:rPr>
          <w:szCs w:val="22"/>
        </w:rPr>
        <w:t>IPOS, organisme chargé de l</w:t>
      </w:r>
      <w:r w:rsidR="00AD22F2">
        <w:rPr>
          <w:szCs w:val="22"/>
        </w:rPr>
        <w:t>’</w:t>
      </w:r>
      <w:r w:rsidRPr="00AD22F2">
        <w:rPr>
          <w:szCs w:val="22"/>
        </w:rPr>
        <w:t>enregistrement et de la réglementation de la propriété intellectuelle, en une agence de l</w:t>
      </w:r>
      <w:r w:rsidR="00AD22F2">
        <w:rPr>
          <w:szCs w:val="22"/>
        </w:rPr>
        <w:t>’</w:t>
      </w:r>
      <w:r w:rsidRPr="00AD22F2">
        <w:rPr>
          <w:szCs w:val="22"/>
        </w:rPr>
        <w:t>innovation qui contribue au développement économique de Singapour</w:t>
      </w:r>
      <w:r w:rsidR="00AD22F2">
        <w:rPr>
          <w:szCs w:val="22"/>
        </w:rPr>
        <w:t> :</w:t>
      </w:r>
    </w:p>
    <w:p w:rsidR="00C72943" w:rsidRPr="00AD22F2" w:rsidRDefault="00C72943" w:rsidP="00AD22F2">
      <w:pPr>
        <w:pStyle w:val="ListParagraph"/>
        <w:numPr>
          <w:ilvl w:val="0"/>
          <w:numId w:val="13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a</w:t>
      </w:r>
      <w:proofErr w:type="gramEnd"/>
      <w:r w:rsidRPr="00AD22F2">
        <w:t xml:space="preserve"> lancé une série de produits de propriété intellectuelle innovants, notamment une application mobile pour les demandes d</w:t>
      </w:r>
      <w:r w:rsidR="00AD22F2">
        <w:t>’</w:t>
      </w:r>
      <w:r w:rsidRPr="00AD22F2">
        <w:t>enregistrement de marques et un référentiel national regroupant des compétences et des emplois en matière de propriété intellectuelle.  A lancé et supervisé une collaboration avec une université locale, afin de proposer l</w:t>
      </w:r>
      <w:r w:rsidR="00AD22F2">
        <w:t>’</w:t>
      </w:r>
      <w:r w:rsidRPr="00AD22F2">
        <w:t>un des rares programmes de troisième cycle au monde dans le domaine de la gestion de la propriété intellectuelle et de l</w:t>
      </w:r>
      <w:r w:rsidR="00AD22F2">
        <w:t>’</w:t>
      </w:r>
      <w:r w:rsidRPr="00AD22F2">
        <w:t>innovation;</w:t>
      </w:r>
    </w:p>
    <w:p w:rsidR="00C72943" w:rsidRPr="00AD22F2" w:rsidRDefault="00C72943" w:rsidP="00AD22F2">
      <w:pPr>
        <w:pStyle w:val="ListParagraph"/>
        <w:numPr>
          <w:ilvl w:val="0"/>
          <w:numId w:val="13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a</w:t>
      </w:r>
      <w:proofErr w:type="gramEnd"/>
      <w:r w:rsidRPr="00AD22F2">
        <w:t xml:space="preserve"> mis en place des réformes législatives afin que les procédures civiles de règlement des litiges de propriété intellectuelle soient plus accessible</w:t>
      </w:r>
      <w:r w:rsidR="00501D19">
        <w:t xml:space="preserve">s </w:t>
      </w:r>
      <w:r w:rsidRPr="00AD22F2">
        <w:t>aux PME, et afin de renforcer la médiation dans ce domaine;</w:t>
      </w:r>
    </w:p>
    <w:p w:rsidR="00C72943" w:rsidRPr="00AD22F2" w:rsidRDefault="00C72943" w:rsidP="00AD22F2">
      <w:pPr>
        <w:pStyle w:val="ListParagraph"/>
        <w:numPr>
          <w:ilvl w:val="0"/>
          <w:numId w:val="13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a</w:t>
      </w:r>
      <w:proofErr w:type="gramEnd"/>
      <w:r w:rsidRPr="00AD22F2">
        <w:t xml:space="preserve"> mis en place de nouvelles compétences au sein de l</w:t>
      </w:r>
      <w:r w:rsidR="00AD22F2">
        <w:t>’</w:t>
      </w:r>
      <w:r w:rsidRPr="00AD22F2">
        <w:t>IPOS, affectées à la stratégie en matière de propriété intellectuelle et à l</w:t>
      </w:r>
      <w:r w:rsidR="00AD22F2">
        <w:t>’</w:t>
      </w:r>
      <w:r w:rsidRPr="00AD22F2">
        <w:t>analyse des brevets, ainsi qu</w:t>
      </w:r>
      <w:r w:rsidR="00AD22F2">
        <w:t>’</w:t>
      </w:r>
      <w:r w:rsidRPr="00AD22F2">
        <w:t>à la diffusion de la première application mobile au monde concernant les demandes d</w:t>
      </w:r>
      <w:r w:rsidR="00AD22F2">
        <w:t>’</w:t>
      </w:r>
      <w:r w:rsidRPr="00AD22F2">
        <w:t>enregistrement de marques;</w:t>
      </w:r>
    </w:p>
    <w:p w:rsidR="00C72943" w:rsidRPr="00AD22F2" w:rsidRDefault="00C72943" w:rsidP="00AD22F2">
      <w:pPr>
        <w:pStyle w:val="ListParagraph"/>
        <w:numPr>
          <w:ilvl w:val="0"/>
          <w:numId w:val="13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a</w:t>
      </w:r>
      <w:proofErr w:type="gramEnd"/>
      <w:r w:rsidRPr="00AD22F2">
        <w:t xml:space="preserve"> appuyé l</w:t>
      </w:r>
      <w:r w:rsidR="00AD22F2">
        <w:t>’</w:t>
      </w:r>
      <w:r w:rsidRPr="00AD22F2">
        <w:t>utilisation de la propriété intellectuelle par le secteur privé dans un souci de croissance, au moyen de formations dispensées à 5000 personnes en 2018, touchant 800 entreprises entre 2017 et 2018, et à travers une collaboration visant à fournir aux entreprises une assurance en matière de propriété intellectuelle.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lastRenderedPageBreak/>
        <w:t>Pour ces efforts,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IPOS a été reconnu comme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office de propriété intellectuelle le plus innovant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 xml:space="preserve">Asie et occupe la deuxième place au classement du World </w:t>
      </w:r>
      <w:proofErr w:type="spellStart"/>
      <w:r w:rsidRPr="00AD22F2">
        <w:rPr>
          <w:szCs w:val="22"/>
          <w:lang w:val="fr-CH"/>
        </w:rPr>
        <w:t>Trademark</w:t>
      </w:r>
      <w:proofErr w:type="spellEnd"/>
      <w:r w:rsidRPr="00AD22F2">
        <w:rPr>
          <w:szCs w:val="22"/>
          <w:lang w:val="fr-CH"/>
        </w:rPr>
        <w:t xml:space="preserve"> </w:t>
      </w:r>
      <w:proofErr w:type="spellStart"/>
      <w:r w:rsidRPr="00AD22F2">
        <w:rPr>
          <w:szCs w:val="22"/>
          <w:lang w:val="fr-CH"/>
        </w:rPr>
        <w:t>Review</w:t>
      </w:r>
      <w:proofErr w:type="spellEnd"/>
      <w:r w:rsidRPr="00AD22F2">
        <w:rPr>
          <w:szCs w:val="22"/>
          <w:lang w:val="fr-CH"/>
        </w:rPr>
        <w:t xml:space="preserve"> en 2019.  Singapour occupe également la deuxième place au classement du Forum économique mondial pour la protection de la propriété intellectuelle (2018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2019), et se classe parmi les 10</w:t>
      </w:r>
      <w:r w:rsidR="00501D19">
        <w:rPr>
          <w:szCs w:val="22"/>
          <w:lang w:val="fr-CH"/>
        </w:rPr>
        <w:t> </w:t>
      </w:r>
      <w:r w:rsidRPr="00AD22F2">
        <w:rPr>
          <w:szCs w:val="22"/>
          <w:lang w:val="fr-CH"/>
        </w:rPr>
        <w:t>premiers pays selon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Indice mondial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innovation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Organisation Mondiale de la Propriété Intellectuelle (OMPI) (2015 à 2019).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t xml:space="preserve">Membre du </w:t>
      </w:r>
      <w:proofErr w:type="spellStart"/>
      <w:r w:rsidRPr="00AD22F2">
        <w:rPr>
          <w:szCs w:val="22"/>
          <w:lang w:val="fr-CH"/>
        </w:rPr>
        <w:t>Committee</w:t>
      </w:r>
      <w:proofErr w:type="spellEnd"/>
      <w:r w:rsidRPr="00AD22F2">
        <w:rPr>
          <w:szCs w:val="22"/>
          <w:lang w:val="fr-CH"/>
        </w:rPr>
        <w:t xml:space="preserve"> for the Future </w:t>
      </w:r>
      <w:proofErr w:type="spellStart"/>
      <w:r w:rsidRPr="00AD22F2">
        <w:rPr>
          <w:szCs w:val="22"/>
          <w:lang w:val="fr-CH"/>
        </w:rPr>
        <w:t>Economy</w:t>
      </w:r>
      <w:proofErr w:type="spellEnd"/>
      <w:r w:rsidRPr="00AD22F2">
        <w:rPr>
          <w:szCs w:val="22"/>
          <w:lang w:val="fr-CH"/>
        </w:rPr>
        <w:t>, chargé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examiner les stratégies économiques de Singapour.  A actualisé le plan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 xml:space="preserve">cadre relatif à la plateforme pour la propriété intellectuelle (IP Hub </w:t>
      </w:r>
      <w:proofErr w:type="spellStart"/>
      <w:r w:rsidRPr="00AD22F2">
        <w:rPr>
          <w:szCs w:val="22"/>
          <w:lang w:val="fr-CH"/>
        </w:rPr>
        <w:t>Masterplan</w:t>
      </w:r>
      <w:proofErr w:type="spellEnd"/>
      <w:r w:rsidRPr="00AD22F2">
        <w:rPr>
          <w:szCs w:val="22"/>
          <w:lang w:val="fr-CH"/>
        </w:rPr>
        <w:t>) en 2017, afin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élargir le mandat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IPOS pour y inclure la commercialisation de la propriété intellectuelle.  A conclu des accords avec des partenaires régionaux et internationaux couvrant plus de 70 marchés.</w:t>
      </w:r>
    </w:p>
    <w:p w:rsidR="00C72943" w:rsidRDefault="00C72943" w:rsidP="00AD22F2">
      <w:pPr>
        <w:pStyle w:val="BodyText"/>
        <w:ind w:left="1701" w:hanging="1701"/>
        <w:rPr>
          <w:szCs w:val="22"/>
          <w:lang w:val="fr-CH"/>
        </w:rPr>
      </w:pPr>
      <w:r w:rsidRPr="00C3006A">
        <w:rPr>
          <w:b/>
          <w:szCs w:val="22"/>
          <w:lang w:val="fr-CH"/>
        </w:rPr>
        <w:t>2012 – 2015</w:t>
      </w:r>
      <w:r w:rsidR="00AD22F2">
        <w:rPr>
          <w:b/>
          <w:szCs w:val="22"/>
          <w:lang w:val="fr-CH"/>
        </w:rPr>
        <w:tab/>
      </w:r>
      <w:r w:rsidRPr="00C3006A">
        <w:rPr>
          <w:b/>
          <w:szCs w:val="22"/>
          <w:lang w:val="fr-CH"/>
        </w:rPr>
        <w:t>Vice</w:t>
      </w:r>
      <w:r w:rsidR="00501D19">
        <w:rPr>
          <w:b/>
          <w:szCs w:val="22"/>
          <w:lang w:val="fr-CH"/>
        </w:rPr>
        <w:noBreakHyphen/>
      </w:r>
      <w:r w:rsidRPr="00C3006A">
        <w:rPr>
          <w:b/>
          <w:szCs w:val="22"/>
          <w:lang w:val="fr-CH"/>
        </w:rPr>
        <w:t>directeur général et directeur juridique</w:t>
      </w:r>
      <w:r w:rsidR="00AD22F2">
        <w:rPr>
          <w:b/>
          <w:szCs w:val="22"/>
          <w:lang w:val="fr-CH"/>
        </w:rPr>
        <w:br/>
      </w:r>
      <w:r w:rsidRPr="00721B14">
        <w:rPr>
          <w:szCs w:val="22"/>
          <w:lang w:val="fr-CH"/>
        </w:rPr>
        <w:t xml:space="preserve">Office de la propriété intellectuelle de </w:t>
      </w:r>
      <w:r>
        <w:rPr>
          <w:szCs w:val="22"/>
          <w:lang w:val="fr-CH"/>
        </w:rPr>
        <w:t>S</w:t>
      </w:r>
      <w:r w:rsidRPr="00721B14">
        <w:rPr>
          <w:szCs w:val="22"/>
          <w:lang w:val="fr-CH"/>
        </w:rPr>
        <w:t>ingapour</w:t>
      </w:r>
      <w:r w:rsidR="00AD22F2">
        <w:rPr>
          <w:szCs w:val="22"/>
          <w:lang w:val="fr-CH"/>
        </w:rPr>
        <w:br/>
      </w:r>
      <w:r w:rsidRPr="00721B14">
        <w:rPr>
          <w:szCs w:val="22"/>
          <w:lang w:val="fr-CH"/>
        </w:rPr>
        <w:t>Ministère de la justice de Singapour</w:t>
      </w:r>
    </w:p>
    <w:p w:rsidR="00C72943" w:rsidRPr="00AD22F2" w:rsidRDefault="00C72943" w:rsidP="00AD22F2">
      <w:pPr>
        <w:pStyle w:val="ListParagraph"/>
        <w:tabs>
          <w:tab w:val="left" w:pos="2260"/>
        </w:tabs>
        <w:autoSpaceDE w:val="0"/>
        <w:autoSpaceDN w:val="0"/>
        <w:spacing w:after="220"/>
        <w:ind w:left="1701"/>
        <w:contextualSpacing w:val="0"/>
        <w:rPr>
          <w:szCs w:val="22"/>
        </w:rPr>
      </w:pPr>
      <w:r w:rsidRPr="00AD22F2">
        <w:rPr>
          <w:szCs w:val="22"/>
        </w:rPr>
        <w:t>A supervisé des projets essentiels, dans le cadre du mandat élargi de l</w:t>
      </w:r>
      <w:r w:rsidR="00AD22F2">
        <w:rPr>
          <w:szCs w:val="22"/>
        </w:rPr>
        <w:t>’</w:t>
      </w:r>
      <w:r w:rsidRPr="00AD22F2">
        <w:rPr>
          <w:szCs w:val="22"/>
        </w:rPr>
        <w:t>IPOS et des réseaux régionaux et internationaux en place</w:t>
      </w:r>
      <w:r w:rsidR="00AD22F2">
        <w:rPr>
          <w:szCs w:val="22"/>
        </w:rPr>
        <w:t> :</w:t>
      </w:r>
    </w:p>
    <w:p w:rsidR="00C72943" w:rsidRPr="00AD22F2" w:rsidRDefault="00C72943" w:rsidP="00AD22F2">
      <w:pPr>
        <w:pStyle w:val="ListParagraph"/>
        <w:numPr>
          <w:ilvl w:val="0"/>
          <w:numId w:val="14"/>
        </w:numPr>
        <w:tabs>
          <w:tab w:val="left" w:pos="2259"/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nomination</w:t>
      </w:r>
      <w:proofErr w:type="gramEnd"/>
      <w:r w:rsidRPr="00AD22F2">
        <w:t xml:space="preserve"> de l</w:t>
      </w:r>
      <w:r w:rsidR="00AD22F2">
        <w:t>’</w:t>
      </w:r>
      <w:r w:rsidRPr="00AD22F2">
        <w:t>Office de Singapour en qualité de dix</w:t>
      </w:r>
      <w:r w:rsidR="00501D19">
        <w:noBreakHyphen/>
      </w:r>
      <w:r w:rsidRPr="00AD22F2">
        <w:t>neuvième administration chargée de la recherche internationale et de l</w:t>
      </w:r>
      <w:r w:rsidR="00AD22F2">
        <w:t>’</w:t>
      </w:r>
      <w:r w:rsidRPr="00AD22F2">
        <w:t>examen préliminaire international, le premier au sein de l</w:t>
      </w:r>
      <w:r w:rsidR="00AD22F2">
        <w:t>’</w:t>
      </w:r>
      <w:r w:rsidRPr="00AD22F2">
        <w:t>ASEAN dans le cadre du Traité de coopération en matière de brevets de l</w:t>
      </w:r>
      <w:r w:rsidR="00AD22F2">
        <w:t>’</w:t>
      </w:r>
      <w:r w:rsidRPr="00AD22F2">
        <w:t>OMPI;</w:t>
      </w:r>
    </w:p>
    <w:p w:rsidR="00C72943" w:rsidRPr="00AD22F2" w:rsidRDefault="00C72943" w:rsidP="00AD22F2">
      <w:pPr>
        <w:pStyle w:val="ListParagraph"/>
        <w:numPr>
          <w:ilvl w:val="0"/>
          <w:numId w:val="14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adhésion</w:t>
      </w:r>
      <w:proofErr w:type="gramEnd"/>
      <w:r w:rsidRPr="00AD22F2">
        <w:t xml:space="preserve"> de Singapour au Traité de Marrakech et ratification du traité;</w:t>
      </w:r>
    </w:p>
    <w:p w:rsidR="00C72943" w:rsidRPr="00AD22F2" w:rsidRDefault="00C72943" w:rsidP="00AD22F2">
      <w:pPr>
        <w:pStyle w:val="ListParagraph"/>
        <w:numPr>
          <w:ilvl w:val="0"/>
          <w:numId w:val="14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établissement</w:t>
      </w:r>
      <w:proofErr w:type="gramEnd"/>
      <w:r w:rsidRPr="00AD22F2">
        <w:t xml:space="preserve"> en 2013 du plan</w:t>
      </w:r>
      <w:r w:rsidR="00501D19">
        <w:noBreakHyphen/>
      </w:r>
      <w:r w:rsidRPr="00AD22F2">
        <w:t xml:space="preserve">cadre national relatif à la plateforme pour la propriété intellectuelle (IP Hub </w:t>
      </w:r>
      <w:proofErr w:type="spellStart"/>
      <w:r w:rsidRPr="00AD22F2">
        <w:t>Masterplan</w:t>
      </w:r>
      <w:proofErr w:type="spellEnd"/>
      <w:r w:rsidRPr="00AD22F2">
        <w:t>), un plan sur 10 ans visant à guider l</w:t>
      </w:r>
      <w:r w:rsidR="00AD22F2">
        <w:t>’</w:t>
      </w:r>
      <w:r w:rsidRPr="00AD22F2">
        <w:t>évolution de Singapour en tant que plateforme mondiale pour la propriété intellectuelle en Asie;</w:t>
      </w:r>
    </w:p>
    <w:p w:rsidR="00C72943" w:rsidRPr="00AD22F2" w:rsidRDefault="00C72943" w:rsidP="00AD22F2">
      <w:pPr>
        <w:pStyle w:val="ListParagraph"/>
        <w:numPr>
          <w:ilvl w:val="0"/>
          <w:numId w:val="14"/>
        </w:numPr>
        <w:tabs>
          <w:tab w:val="left" w:pos="2260"/>
        </w:tabs>
        <w:autoSpaceDE w:val="0"/>
        <w:autoSpaceDN w:val="0"/>
        <w:spacing w:after="220"/>
        <w:ind w:left="2268" w:hanging="567"/>
        <w:contextualSpacing w:val="0"/>
      </w:pPr>
      <w:proofErr w:type="gramStart"/>
      <w:r w:rsidRPr="00AD22F2">
        <w:t>réaménagement</w:t>
      </w:r>
      <w:proofErr w:type="gramEnd"/>
      <w:r w:rsidRPr="00AD22F2">
        <w:t xml:space="preserve"> du système de dépôt et d</w:t>
      </w:r>
      <w:r w:rsidR="00AD22F2">
        <w:t>’</w:t>
      </w:r>
      <w:r w:rsidRPr="00AD22F2">
        <w:t>enregistrement de l</w:t>
      </w:r>
      <w:r w:rsidR="00AD22F2">
        <w:t>’</w:t>
      </w:r>
      <w:r w:rsidRPr="00AD22F2">
        <w:t>IPOS et mise en œuvre d</w:t>
      </w:r>
      <w:r w:rsidR="00AD22F2">
        <w:t>’</w:t>
      </w:r>
      <w:r w:rsidRPr="00AD22F2">
        <w:t>IP</w:t>
      </w:r>
      <w:r w:rsidRPr="00AD22F2">
        <w:rPr>
          <w:vertAlign w:val="superscript"/>
        </w:rPr>
        <w:t>2</w:t>
      </w:r>
      <w:r w:rsidRPr="00AD22F2">
        <w:t>SG, une plateforme en ligne intégrée pour l</w:t>
      </w:r>
      <w:r w:rsidR="00AD22F2">
        <w:t>’</w:t>
      </w:r>
      <w:r w:rsidRPr="00AD22F2">
        <w:t>enregistrement de la propriété intellectuelle à Singapour;</w:t>
      </w:r>
    </w:p>
    <w:p w:rsidR="00C72943" w:rsidRPr="00AD22F2" w:rsidRDefault="00C72943" w:rsidP="00AD22F2">
      <w:pPr>
        <w:pStyle w:val="BodyText"/>
        <w:numPr>
          <w:ilvl w:val="0"/>
          <w:numId w:val="14"/>
        </w:numPr>
        <w:ind w:left="2268" w:hanging="567"/>
        <w:rPr>
          <w:lang w:val="fr-CH"/>
        </w:rPr>
      </w:pPr>
      <w:proofErr w:type="gramStart"/>
      <w:r w:rsidRPr="00AD22F2">
        <w:rPr>
          <w:lang w:val="fr-CH"/>
        </w:rPr>
        <w:t>réformes</w:t>
      </w:r>
      <w:proofErr w:type="gramEnd"/>
      <w:r w:rsidRPr="00AD22F2">
        <w:rPr>
          <w:lang w:val="fr-CH"/>
        </w:rPr>
        <w:t xml:space="preserve"> législatives et politiques majeures dans le domaine de la propriété intellectuelle pour les systèmes des brevets, des marques, des dessins et modèles et du droit d</w:t>
      </w:r>
      <w:r w:rsidR="00AD22F2">
        <w:rPr>
          <w:lang w:val="fr-CH"/>
        </w:rPr>
        <w:t>’</w:t>
      </w:r>
      <w:r w:rsidRPr="00AD22F2">
        <w:rPr>
          <w:lang w:val="fr-CH"/>
        </w:rPr>
        <w:t>auteur de Singapour.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t>A contribué à guider le programme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ASEAN en matière de propriété intellectuelle lorsque Singapour présidait le Groupe de travail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ASEAN sur la coopération en matière de propriété intellectuelle, et a renforcé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écosystème des brevets pour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</w:t>
      </w:r>
      <w:r w:rsidR="00501D19" w:rsidRPr="00AD22F2">
        <w:rPr>
          <w:szCs w:val="22"/>
          <w:lang w:val="fr-CH"/>
        </w:rPr>
        <w:t>EAN</w:t>
      </w:r>
      <w:r w:rsidR="00501D19">
        <w:rPr>
          <w:szCs w:val="22"/>
          <w:lang w:val="fr-CH"/>
        </w:rPr>
        <w:t xml:space="preserve">.  </w:t>
      </w:r>
      <w:r w:rsidR="00501D19" w:rsidRPr="00AD22F2">
        <w:rPr>
          <w:szCs w:val="22"/>
          <w:lang w:val="fr-CH"/>
        </w:rPr>
        <w:t>Le</w:t>
      </w:r>
      <w:r w:rsidRPr="00AD22F2">
        <w:rPr>
          <w:szCs w:val="22"/>
          <w:lang w:val="fr-CH"/>
        </w:rPr>
        <w:t xml:space="preserve"> groupe de travail a traité 28 initiatives, ayant abouti à 108 résultats, dans le cadre du plan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action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 xml:space="preserve">ASEAN en matière de propriété intellectuelle (ASEAN IP </w:t>
      </w:r>
      <w:proofErr w:type="spellStart"/>
      <w:r w:rsidRPr="00AD22F2">
        <w:rPr>
          <w:szCs w:val="22"/>
          <w:lang w:val="fr-CH"/>
        </w:rPr>
        <w:t>Review</w:t>
      </w:r>
      <w:proofErr w:type="spellEnd"/>
      <w:r w:rsidRPr="00AD22F2">
        <w:rPr>
          <w:szCs w:val="22"/>
          <w:lang w:val="fr-CH"/>
        </w:rPr>
        <w:t xml:space="preserve"> Action Plan), notamment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hébergement par Singapour du portail de la propriété intellectuelle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ASEAN (ASEAN IP Portal), une plateforme intégrée de propriété intellectuelle regroupant tous les offices de propriété intellectuelle des pays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ASEAN autour des questions relatives à la propriété intellectuelle.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lastRenderedPageBreak/>
        <w:t>A présidé les négociations sur la propriété intellectuelle dans des accords de libre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échange, notamment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 xml:space="preserve">accord de partenariat </w:t>
      </w:r>
      <w:proofErr w:type="spellStart"/>
      <w:r w:rsidRPr="00AD22F2">
        <w:rPr>
          <w:szCs w:val="22"/>
          <w:lang w:val="fr-CH"/>
        </w:rPr>
        <w:t>transpacifique</w:t>
      </w:r>
      <w:proofErr w:type="spellEnd"/>
      <w:r w:rsidRPr="00AD22F2">
        <w:rPr>
          <w:szCs w:val="22"/>
          <w:lang w:val="fr-CH"/>
        </w:rPr>
        <w:t xml:space="preserve"> et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accord de partenariat économique global régional.  A mené et a conclu des négociations sur la propriété intellectuelle dans le cadre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accord de libre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échange entre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Union européenne et Singapour.</w:t>
      </w:r>
    </w:p>
    <w:p w:rsidR="00C72943" w:rsidRDefault="00C72943" w:rsidP="00AD22F2">
      <w:pPr>
        <w:pStyle w:val="BodyText"/>
        <w:keepNext/>
        <w:keepLines/>
        <w:ind w:left="1701" w:hanging="1701"/>
        <w:rPr>
          <w:szCs w:val="22"/>
          <w:lang w:val="fr-CH"/>
        </w:rPr>
      </w:pPr>
      <w:r w:rsidRPr="003446D7">
        <w:rPr>
          <w:b/>
          <w:szCs w:val="22"/>
          <w:lang w:val="fr-CH"/>
        </w:rPr>
        <w:t>2003 – 2012</w:t>
      </w:r>
      <w:r w:rsidR="00AD22F2">
        <w:rPr>
          <w:b/>
          <w:szCs w:val="22"/>
          <w:lang w:val="fr-CH"/>
        </w:rPr>
        <w:tab/>
      </w:r>
      <w:r w:rsidRPr="003446D7">
        <w:rPr>
          <w:b/>
          <w:szCs w:val="22"/>
          <w:lang w:val="fr-CH"/>
        </w:rPr>
        <w:t>Procureur principal</w:t>
      </w:r>
      <w:r w:rsidR="00AD22F2">
        <w:rPr>
          <w:b/>
          <w:szCs w:val="22"/>
          <w:lang w:val="fr-CH"/>
        </w:rPr>
        <w:br/>
      </w:r>
      <w:r w:rsidRPr="00721B14">
        <w:rPr>
          <w:szCs w:val="22"/>
          <w:lang w:val="fr-CH"/>
        </w:rPr>
        <w:t>Division des affaires internationales</w:t>
      </w:r>
      <w:r w:rsidR="00AD22F2">
        <w:rPr>
          <w:szCs w:val="22"/>
          <w:lang w:val="fr-CH"/>
        </w:rPr>
        <w:br/>
      </w:r>
      <w:r w:rsidRPr="00721B14">
        <w:rPr>
          <w:szCs w:val="22"/>
          <w:lang w:val="fr-CH"/>
        </w:rPr>
        <w:t>Bureau du procureur général, Singapour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t>Conseiller juridique principal et négociateur pour diverses questions de droit international revêtant une importance cruciale pour Singapour, notamment les accords de libre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échange, les conventions de double imposition, les accords internationaux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investissement, le droit de la mer, les accords régionaux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ASEAN et les questions liées à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ONU.  A fait partie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équipe juridique représentant Singapour qui a plaidé un différend territorial devant la Cour internationale de justice.</w:t>
      </w:r>
    </w:p>
    <w:p w:rsidR="00C72943" w:rsidRPr="00AD22F2" w:rsidRDefault="00C72943" w:rsidP="00AD22F2">
      <w:pPr>
        <w:pStyle w:val="BodyText"/>
        <w:ind w:left="1701" w:hanging="1701"/>
        <w:rPr>
          <w:szCs w:val="22"/>
          <w:lang w:val="fr-CH"/>
        </w:rPr>
      </w:pPr>
      <w:r w:rsidRPr="00AD22F2">
        <w:rPr>
          <w:b/>
          <w:szCs w:val="22"/>
          <w:lang w:val="fr-CH"/>
        </w:rPr>
        <w:t>2001 – 2003</w:t>
      </w:r>
      <w:r w:rsidR="00AD22F2">
        <w:rPr>
          <w:b/>
          <w:szCs w:val="22"/>
          <w:lang w:val="fr-CH"/>
        </w:rPr>
        <w:tab/>
      </w:r>
      <w:r w:rsidRPr="00AD22F2">
        <w:rPr>
          <w:b/>
          <w:szCs w:val="22"/>
          <w:lang w:val="fr-CH"/>
        </w:rPr>
        <w:t>Consultant juridique</w:t>
      </w:r>
      <w:r w:rsidR="00AD22F2">
        <w:rPr>
          <w:b/>
          <w:szCs w:val="22"/>
          <w:lang w:val="fr-CH"/>
        </w:rPr>
        <w:br/>
      </w:r>
      <w:r w:rsidRPr="00AD22F2">
        <w:rPr>
          <w:szCs w:val="22"/>
          <w:lang w:val="fr-CH"/>
        </w:rPr>
        <w:t>Ministère du commerce et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industrie, Singapour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t>Négociateur principal et conseiller juridique représentant Singapour dans le cadre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accord de libre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échange entre les États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Unis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Amérique et Singapour, le premier accord de libre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échange entre les États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Unis 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Amérique et un pays asiatique.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1997 – 2001</w:t>
      </w:r>
      <w:r w:rsidR="00AD22F2">
        <w:rPr>
          <w:b/>
          <w:szCs w:val="22"/>
          <w:lang w:val="fr-CH"/>
        </w:rPr>
        <w:tab/>
      </w:r>
      <w:r w:rsidRPr="00AD22F2">
        <w:rPr>
          <w:b/>
          <w:szCs w:val="22"/>
          <w:lang w:val="fr-CH"/>
        </w:rPr>
        <w:t>Procureur/substitut au procureur</w:t>
      </w:r>
    </w:p>
    <w:p w:rsidR="00C72943" w:rsidRPr="00AD22F2" w:rsidRDefault="00C72943" w:rsidP="00AD22F2">
      <w:pPr>
        <w:pStyle w:val="BodyText"/>
        <w:ind w:left="1701"/>
        <w:rPr>
          <w:szCs w:val="22"/>
          <w:lang w:val="fr-CH"/>
        </w:rPr>
      </w:pPr>
      <w:r w:rsidRPr="00AD22F2">
        <w:rPr>
          <w:szCs w:val="22"/>
          <w:lang w:val="fr-CH"/>
        </w:rPr>
        <w:t>Plusieurs affectations au Bureau du procureur général et au Ministère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intérieur de Singapour.</w:t>
      </w:r>
    </w:p>
    <w:p w:rsidR="00C72943" w:rsidRPr="00AD22F2" w:rsidRDefault="00C72943" w:rsidP="00AD22F2">
      <w:pPr>
        <w:pStyle w:val="BodyText"/>
        <w:spacing w:before="440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FONCTIONS ACTUELLES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Président du Comité permanent du droit d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>auteur et des droits connexes (SCCR), OMPI</w:t>
      </w:r>
    </w:p>
    <w:p w:rsidR="00C72943" w:rsidRPr="00AD22F2" w:rsidRDefault="00C72943" w:rsidP="00C72943">
      <w:pPr>
        <w:pStyle w:val="BodyText"/>
        <w:rPr>
          <w:szCs w:val="22"/>
          <w:lang w:val="fr-CH"/>
        </w:rPr>
      </w:pPr>
      <w:r w:rsidRPr="00AD22F2">
        <w:rPr>
          <w:szCs w:val="22"/>
          <w:lang w:val="fr-CH"/>
        </w:rPr>
        <w:t xml:space="preserve">Nommé président en mai 2017.  A fait progresser les discussions entre les États membres au sujet du programme du SCCR, </w:t>
      </w:r>
      <w:r w:rsidR="00AD22F2">
        <w:rPr>
          <w:szCs w:val="22"/>
          <w:lang w:val="fr-CH"/>
        </w:rPr>
        <w:t>y compris</w:t>
      </w:r>
      <w:r w:rsidRPr="00AD22F2">
        <w:rPr>
          <w:szCs w:val="22"/>
          <w:lang w:val="fr-CH"/>
        </w:rPr>
        <w:t xml:space="preserve"> le traité sur la protection des organismes de radiodiffusion (Traité sur la radiodiffusion) et les limitations et exceptions.  A négocié un consensus afin que les membres du SCCR puissent soumettre une recommandation relative au Traité sur la radiodiffusion aux sessions de 2018 et de 2019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Assemblée générale de l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OMPI.</w:t>
      </w:r>
    </w:p>
    <w:p w:rsidR="00C72943" w:rsidRPr="00AD22F2" w:rsidRDefault="00C72943" w:rsidP="00C72943">
      <w:pPr>
        <w:pStyle w:val="BodyText"/>
        <w:rPr>
          <w:szCs w:val="22"/>
          <w:lang w:val="fr-CH"/>
        </w:rPr>
      </w:pPr>
      <w:r w:rsidRPr="00AD22F2">
        <w:rPr>
          <w:b/>
          <w:szCs w:val="22"/>
          <w:lang w:val="fr-CH"/>
        </w:rPr>
        <w:t>Membre du Singapore</w:t>
      </w:r>
      <w:r w:rsidR="00501D19">
        <w:rPr>
          <w:b/>
          <w:szCs w:val="22"/>
          <w:lang w:val="fr-CH"/>
        </w:rPr>
        <w:noBreakHyphen/>
      </w:r>
      <w:r w:rsidRPr="00AD22F2">
        <w:rPr>
          <w:b/>
          <w:szCs w:val="22"/>
          <w:lang w:val="fr-CH"/>
        </w:rPr>
        <w:t>Guangdong Collaboration Council (SGCC)</w:t>
      </w:r>
    </w:p>
    <w:p w:rsidR="00C72943" w:rsidRPr="00AD22F2" w:rsidRDefault="00C72943" w:rsidP="00C72943">
      <w:pPr>
        <w:pStyle w:val="BodyText"/>
        <w:keepNext/>
        <w:rPr>
          <w:szCs w:val="22"/>
          <w:lang w:val="fr-CH"/>
        </w:rPr>
      </w:pPr>
      <w:r w:rsidRPr="00AD22F2">
        <w:rPr>
          <w:szCs w:val="22"/>
          <w:lang w:val="fr-CH"/>
        </w:rPr>
        <w:t>A mis en place une collaboration intergouvernementale en matière de propriété intellectuelle dans la ville du savoir de Guangzhou.</w:t>
      </w:r>
    </w:p>
    <w:p w:rsidR="00C72943" w:rsidRPr="00AD22F2" w:rsidRDefault="00C72943" w:rsidP="00C72943">
      <w:pPr>
        <w:pStyle w:val="BodyText"/>
        <w:keepNext/>
        <w:rPr>
          <w:b/>
          <w:szCs w:val="22"/>
        </w:rPr>
      </w:pPr>
      <w:r w:rsidRPr="00AD22F2">
        <w:rPr>
          <w:b/>
          <w:szCs w:val="22"/>
        </w:rPr>
        <w:t xml:space="preserve">Membre du </w:t>
      </w:r>
      <w:proofErr w:type="spellStart"/>
      <w:r w:rsidRPr="00AD22F2">
        <w:rPr>
          <w:b/>
          <w:szCs w:val="22"/>
        </w:rPr>
        <w:t>Manufacturing</w:t>
      </w:r>
      <w:proofErr w:type="spellEnd"/>
      <w:r w:rsidRPr="00AD22F2">
        <w:rPr>
          <w:b/>
          <w:szCs w:val="22"/>
        </w:rPr>
        <w:t xml:space="preserve"> </w:t>
      </w:r>
      <w:proofErr w:type="spellStart"/>
      <w:r w:rsidRPr="00AD22F2">
        <w:rPr>
          <w:b/>
          <w:szCs w:val="22"/>
        </w:rPr>
        <w:t>Sub</w:t>
      </w:r>
      <w:r w:rsidR="00501D19">
        <w:rPr>
          <w:b/>
          <w:szCs w:val="22"/>
        </w:rPr>
        <w:noBreakHyphen/>
      </w:r>
      <w:r w:rsidRPr="00AD22F2">
        <w:rPr>
          <w:b/>
          <w:szCs w:val="22"/>
        </w:rPr>
        <w:t>Committee</w:t>
      </w:r>
      <w:proofErr w:type="spellEnd"/>
      <w:r w:rsidRPr="00AD22F2">
        <w:rPr>
          <w:b/>
          <w:szCs w:val="22"/>
        </w:rPr>
        <w:t xml:space="preserve"> of the Future </w:t>
      </w:r>
      <w:proofErr w:type="spellStart"/>
      <w:r w:rsidRPr="00AD22F2">
        <w:rPr>
          <w:b/>
          <w:szCs w:val="22"/>
        </w:rPr>
        <w:t>Economy</w:t>
      </w:r>
      <w:proofErr w:type="spellEnd"/>
      <w:r w:rsidRPr="00AD22F2">
        <w:rPr>
          <w:b/>
          <w:szCs w:val="22"/>
        </w:rPr>
        <w:t xml:space="preserve"> Council, Singapour</w:t>
      </w:r>
    </w:p>
    <w:p w:rsidR="00C72943" w:rsidRPr="00AD22F2" w:rsidRDefault="00C72943" w:rsidP="00C72943">
      <w:pPr>
        <w:pStyle w:val="BodyText"/>
        <w:rPr>
          <w:b/>
          <w:szCs w:val="22"/>
        </w:rPr>
      </w:pPr>
      <w:r w:rsidRPr="00AD22F2">
        <w:rPr>
          <w:b/>
          <w:szCs w:val="22"/>
        </w:rPr>
        <w:t xml:space="preserve">Membre du Modern Services </w:t>
      </w:r>
      <w:proofErr w:type="spellStart"/>
      <w:r w:rsidRPr="00AD22F2">
        <w:rPr>
          <w:b/>
          <w:szCs w:val="22"/>
        </w:rPr>
        <w:t>Sub</w:t>
      </w:r>
      <w:r w:rsidR="00501D19">
        <w:rPr>
          <w:b/>
          <w:szCs w:val="22"/>
        </w:rPr>
        <w:noBreakHyphen/>
      </w:r>
      <w:r w:rsidRPr="00AD22F2">
        <w:rPr>
          <w:b/>
          <w:szCs w:val="22"/>
        </w:rPr>
        <w:t>Committee</w:t>
      </w:r>
      <w:proofErr w:type="spellEnd"/>
      <w:r w:rsidRPr="00AD22F2">
        <w:rPr>
          <w:b/>
          <w:szCs w:val="22"/>
        </w:rPr>
        <w:t xml:space="preserve"> of the Future </w:t>
      </w:r>
      <w:proofErr w:type="spellStart"/>
      <w:r w:rsidRPr="00AD22F2">
        <w:rPr>
          <w:b/>
          <w:szCs w:val="22"/>
        </w:rPr>
        <w:t>Economy</w:t>
      </w:r>
      <w:proofErr w:type="spellEnd"/>
      <w:r w:rsidRPr="00AD22F2">
        <w:rPr>
          <w:b/>
          <w:szCs w:val="22"/>
        </w:rPr>
        <w:t xml:space="preserve"> Council, Singapour</w:t>
      </w:r>
    </w:p>
    <w:p w:rsidR="00C72943" w:rsidRPr="00AD22F2" w:rsidRDefault="00C72943" w:rsidP="00C72943">
      <w:pPr>
        <w:pStyle w:val="BodyText"/>
        <w:rPr>
          <w:b/>
          <w:szCs w:val="22"/>
        </w:rPr>
      </w:pPr>
      <w:r w:rsidRPr="00AD22F2">
        <w:rPr>
          <w:b/>
          <w:szCs w:val="22"/>
        </w:rPr>
        <w:t xml:space="preserve">Membre du </w:t>
      </w:r>
      <w:proofErr w:type="spellStart"/>
      <w:r w:rsidRPr="00AD22F2">
        <w:rPr>
          <w:b/>
          <w:szCs w:val="22"/>
        </w:rPr>
        <w:t>Research</w:t>
      </w:r>
      <w:proofErr w:type="spellEnd"/>
      <w:r w:rsidRPr="00AD22F2">
        <w:rPr>
          <w:b/>
          <w:szCs w:val="22"/>
        </w:rPr>
        <w:t xml:space="preserve">, Innovation and Enterprise </w:t>
      </w:r>
      <w:proofErr w:type="spellStart"/>
      <w:r w:rsidRPr="00AD22F2">
        <w:rPr>
          <w:b/>
          <w:szCs w:val="22"/>
        </w:rPr>
        <w:t>Strategy</w:t>
      </w:r>
      <w:proofErr w:type="spellEnd"/>
      <w:r w:rsidRPr="00AD22F2">
        <w:rPr>
          <w:b/>
          <w:szCs w:val="22"/>
        </w:rPr>
        <w:t xml:space="preserve"> </w:t>
      </w:r>
      <w:proofErr w:type="spellStart"/>
      <w:r w:rsidRPr="00AD22F2">
        <w:rPr>
          <w:b/>
          <w:szCs w:val="22"/>
        </w:rPr>
        <w:t>Committee</w:t>
      </w:r>
      <w:proofErr w:type="spellEnd"/>
      <w:r w:rsidRPr="00AD22F2">
        <w:rPr>
          <w:b/>
          <w:szCs w:val="22"/>
        </w:rPr>
        <w:t xml:space="preserve"> (RIE SC), Cabinet du Premier ministre, Singapour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</w:rPr>
        <w:t xml:space="preserve">Membre du </w:t>
      </w:r>
      <w:proofErr w:type="spellStart"/>
      <w:r w:rsidRPr="00AD22F2">
        <w:rPr>
          <w:b/>
          <w:szCs w:val="22"/>
        </w:rPr>
        <w:t>Research</w:t>
      </w:r>
      <w:proofErr w:type="spellEnd"/>
      <w:r w:rsidRPr="00AD22F2">
        <w:rPr>
          <w:b/>
          <w:szCs w:val="22"/>
        </w:rPr>
        <w:t xml:space="preserve">, Innovation and Enterprise </w:t>
      </w:r>
      <w:proofErr w:type="spellStart"/>
      <w:r w:rsidRPr="00AD22F2">
        <w:rPr>
          <w:b/>
          <w:szCs w:val="22"/>
        </w:rPr>
        <w:t>Executive</w:t>
      </w:r>
      <w:proofErr w:type="spellEnd"/>
      <w:r w:rsidRPr="00AD22F2">
        <w:rPr>
          <w:b/>
          <w:szCs w:val="22"/>
        </w:rPr>
        <w:t xml:space="preserve"> </w:t>
      </w:r>
      <w:proofErr w:type="spellStart"/>
      <w:r w:rsidRPr="00AD22F2">
        <w:rPr>
          <w:b/>
          <w:szCs w:val="22"/>
        </w:rPr>
        <w:t>Committee</w:t>
      </w:r>
      <w:proofErr w:type="spellEnd"/>
      <w:r w:rsidRPr="00AD22F2">
        <w:rPr>
          <w:b/>
          <w:szCs w:val="22"/>
        </w:rPr>
        <w:t xml:space="preserve"> (RIE </w:t>
      </w:r>
      <w:proofErr w:type="spellStart"/>
      <w:r w:rsidRPr="00AD22F2">
        <w:rPr>
          <w:b/>
          <w:szCs w:val="22"/>
        </w:rPr>
        <w:t>Exco</w:t>
      </w:r>
      <w:proofErr w:type="spellEnd"/>
      <w:r w:rsidRPr="00AD22F2">
        <w:rPr>
          <w:b/>
          <w:szCs w:val="22"/>
        </w:rPr>
        <w:t>),</w:t>
      </w:r>
      <w:r w:rsidR="00DF11A9">
        <w:rPr>
          <w:b/>
          <w:szCs w:val="22"/>
        </w:rPr>
        <w:t xml:space="preserve"> </w:t>
      </w:r>
      <w:r w:rsidRPr="00AD22F2">
        <w:rPr>
          <w:b/>
          <w:szCs w:val="22"/>
          <w:lang w:val="fr-CH"/>
        </w:rPr>
        <w:t>Cabinet du Premier ministre, Singapour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lastRenderedPageBreak/>
        <w:t>Coprésident du groupe de travail national sur la propriété intellectuelle, Cabinet du Premier ministre, Singapour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Membre du comité consultatif de l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>Autorité saoudienne de la propriété intellectuelle (SAIP)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Membre du groupe d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>experts de l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>IP Office of the Future Project, Association internationale pour les marques (INTA)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Président du conseil d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>administration, IPOS International</w:t>
      </w:r>
    </w:p>
    <w:p w:rsidR="00C72943" w:rsidRPr="00AD22F2" w:rsidRDefault="00C72943" w:rsidP="00C72943">
      <w:pPr>
        <w:pStyle w:val="BodyText"/>
        <w:rPr>
          <w:b/>
          <w:szCs w:val="22"/>
        </w:rPr>
      </w:pPr>
      <w:r w:rsidRPr="00AD22F2">
        <w:rPr>
          <w:b/>
          <w:szCs w:val="22"/>
        </w:rPr>
        <w:t>Membre du conseil d</w:t>
      </w:r>
      <w:r w:rsidR="00AD22F2">
        <w:rPr>
          <w:b/>
          <w:szCs w:val="22"/>
        </w:rPr>
        <w:t>’</w:t>
      </w:r>
      <w:r w:rsidRPr="00AD22F2">
        <w:rPr>
          <w:b/>
          <w:szCs w:val="22"/>
        </w:rPr>
        <w:t>administration, EW Barker Centre for Law &amp; Business,</w:t>
      </w:r>
      <w:r w:rsidR="00DF11A9">
        <w:rPr>
          <w:b/>
          <w:szCs w:val="22"/>
        </w:rPr>
        <w:t xml:space="preserve"> </w:t>
      </w:r>
      <w:r w:rsidRPr="00AD22F2">
        <w:rPr>
          <w:b/>
          <w:szCs w:val="22"/>
        </w:rPr>
        <w:t xml:space="preserve">National </w:t>
      </w:r>
      <w:proofErr w:type="spellStart"/>
      <w:r w:rsidRPr="00AD22F2">
        <w:rPr>
          <w:b/>
          <w:szCs w:val="22"/>
        </w:rPr>
        <w:t>University</w:t>
      </w:r>
      <w:proofErr w:type="spellEnd"/>
      <w:r w:rsidRPr="00AD22F2">
        <w:rPr>
          <w:b/>
          <w:szCs w:val="22"/>
        </w:rPr>
        <w:t xml:space="preserve"> of Singapore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Directeur du conseil d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>administration, Fraunhofer Singapore</w:t>
      </w:r>
    </w:p>
    <w:p w:rsidR="00C72943" w:rsidRPr="00AD22F2" w:rsidRDefault="00C72943" w:rsidP="00C72943">
      <w:pPr>
        <w:pStyle w:val="BodyText"/>
        <w:tabs>
          <w:tab w:val="left" w:pos="1539"/>
        </w:tabs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Coordonnateur et examinateur principal du cours en droit de la propriété intellectuelle pour l</w:t>
      </w:r>
      <w:r w:rsidR="00AD22F2">
        <w:rPr>
          <w:b/>
          <w:szCs w:val="22"/>
          <w:lang w:val="fr-CH"/>
        </w:rPr>
        <w:t>’</w:t>
      </w:r>
      <w:r w:rsidRPr="00AD22F2">
        <w:rPr>
          <w:b/>
          <w:szCs w:val="22"/>
          <w:lang w:val="fr-CH"/>
        </w:rPr>
        <w:t xml:space="preserve">examen du barreau de Singapour, géré par le Singapore Institute of </w:t>
      </w:r>
      <w:proofErr w:type="spellStart"/>
      <w:r w:rsidRPr="00AD22F2">
        <w:rPr>
          <w:b/>
          <w:szCs w:val="22"/>
          <w:lang w:val="fr-CH"/>
        </w:rPr>
        <w:t>Legal</w:t>
      </w:r>
      <w:proofErr w:type="spellEnd"/>
      <w:r w:rsidRPr="00AD22F2">
        <w:rPr>
          <w:b/>
          <w:szCs w:val="22"/>
          <w:lang w:val="fr-CH"/>
        </w:rPr>
        <w:t xml:space="preserve"> </w:t>
      </w:r>
      <w:proofErr w:type="spellStart"/>
      <w:r w:rsidRPr="00AD22F2">
        <w:rPr>
          <w:b/>
          <w:szCs w:val="22"/>
          <w:lang w:val="fr-CH"/>
        </w:rPr>
        <w:t>Education</w:t>
      </w:r>
      <w:proofErr w:type="spellEnd"/>
    </w:p>
    <w:p w:rsidR="00C72943" w:rsidRPr="00AD22F2" w:rsidRDefault="00C72943" w:rsidP="00AD22F2">
      <w:pPr>
        <w:pStyle w:val="BodyText"/>
        <w:tabs>
          <w:tab w:val="left" w:pos="1539"/>
        </w:tabs>
        <w:spacing w:before="440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RÉCOMPENSES</w:t>
      </w:r>
    </w:p>
    <w:p w:rsidR="00C72943" w:rsidRPr="00AD22F2" w:rsidRDefault="00C72943" w:rsidP="00AD22F2">
      <w:pPr>
        <w:pStyle w:val="BodyText"/>
        <w:ind w:left="1134" w:hanging="1134"/>
        <w:rPr>
          <w:szCs w:val="22"/>
          <w:lang w:val="fr-CH"/>
        </w:rPr>
      </w:pPr>
      <w:r w:rsidRPr="00AD22F2">
        <w:rPr>
          <w:b/>
          <w:szCs w:val="22"/>
          <w:lang w:val="fr-CH"/>
        </w:rPr>
        <w:t>2016</w:t>
      </w:r>
      <w:r w:rsidRPr="00AD22F2">
        <w:rPr>
          <w:b/>
          <w:szCs w:val="22"/>
          <w:lang w:val="fr-CH"/>
        </w:rPr>
        <w:tab/>
      </w:r>
      <w:r w:rsidRPr="00AD22F2">
        <w:rPr>
          <w:rStyle w:val="Emphasis"/>
          <w:sz w:val="21"/>
          <w:szCs w:val="21"/>
          <w:lang w:val="fr-CH"/>
        </w:rPr>
        <w:t>Médaille de l</w:t>
      </w:r>
      <w:r w:rsidR="00AD22F2">
        <w:rPr>
          <w:rStyle w:val="Emphasis"/>
          <w:sz w:val="21"/>
          <w:szCs w:val="21"/>
          <w:lang w:val="fr-CH"/>
        </w:rPr>
        <w:t>’</w:t>
      </w:r>
      <w:r w:rsidRPr="00AD22F2">
        <w:rPr>
          <w:rStyle w:val="Emphasis"/>
          <w:sz w:val="21"/>
          <w:szCs w:val="21"/>
          <w:lang w:val="fr-CH"/>
        </w:rPr>
        <w:t>administration publique</w:t>
      </w:r>
      <w:r w:rsidRPr="00AD22F2">
        <w:rPr>
          <w:b/>
          <w:szCs w:val="22"/>
          <w:lang w:val="fr-CH"/>
        </w:rPr>
        <w:t xml:space="preserve"> </w:t>
      </w:r>
      <w:r w:rsidRPr="00AD22F2">
        <w:rPr>
          <w:szCs w:val="22"/>
          <w:lang w:val="fr-CH"/>
        </w:rPr>
        <w:t>(argent)</w:t>
      </w:r>
      <w:r w:rsidR="00AD22F2">
        <w:rPr>
          <w:szCs w:val="22"/>
          <w:lang w:val="fr-CH"/>
        </w:rPr>
        <w:br/>
      </w:r>
      <w:r w:rsidRPr="00AD22F2">
        <w:rPr>
          <w:szCs w:val="22"/>
          <w:lang w:val="fr-CH"/>
        </w:rPr>
        <w:t xml:space="preserve">Cabinet du </w:t>
      </w:r>
      <w:r w:rsidR="00501D19">
        <w:rPr>
          <w:szCs w:val="22"/>
          <w:lang w:val="fr-CH"/>
        </w:rPr>
        <w:t>P</w:t>
      </w:r>
      <w:r w:rsidRPr="00AD22F2">
        <w:rPr>
          <w:szCs w:val="22"/>
          <w:lang w:val="fr-CH"/>
        </w:rPr>
        <w:t>remier ministre, Singapour</w:t>
      </w:r>
    </w:p>
    <w:p w:rsidR="00C72943" w:rsidRPr="00AD22F2" w:rsidRDefault="00C72943" w:rsidP="00AD22F2">
      <w:pPr>
        <w:pStyle w:val="BodyText"/>
        <w:ind w:left="1134" w:hanging="1134"/>
        <w:rPr>
          <w:szCs w:val="22"/>
          <w:lang w:val="fr-CH"/>
        </w:rPr>
      </w:pPr>
      <w:r w:rsidRPr="00AD22F2">
        <w:rPr>
          <w:b/>
          <w:szCs w:val="22"/>
          <w:lang w:val="fr-CH"/>
        </w:rPr>
        <w:t>2006</w:t>
      </w:r>
      <w:r w:rsidRPr="00AD22F2">
        <w:rPr>
          <w:b/>
          <w:szCs w:val="22"/>
          <w:lang w:val="fr-CH"/>
        </w:rPr>
        <w:tab/>
      </w:r>
      <w:proofErr w:type="spellStart"/>
      <w:r w:rsidRPr="00AD22F2">
        <w:rPr>
          <w:b/>
          <w:szCs w:val="22"/>
          <w:lang w:val="fr-CH"/>
        </w:rPr>
        <w:t>Fellow</w:t>
      </w:r>
      <w:proofErr w:type="spellEnd"/>
      <w:r w:rsidR="00AD22F2">
        <w:rPr>
          <w:b/>
          <w:szCs w:val="22"/>
          <w:lang w:val="fr-CH"/>
        </w:rPr>
        <w:br/>
      </w:r>
      <w:r w:rsidRPr="00AD22F2">
        <w:rPr>
          <w:szCs w:val="22"/>
          <w:lang w:val="fr-CH"/>
        </w:rPr>
        <w:t xml:space="preserve">Institute of International </w:t>
      </w:r>
      <w:proofErr w:type="spellStart"/>
      <w:r w:rsidRPr="00AD22F2">
        <w:rPr>
          <w:szCs w:val="22"/>
          <w:lang w:val="fr-CH"/>
        </w:rPr>
        <w:t>Economic</w:t>
      </w:r>
      <w:proofErr w:type="spellEnd"/>
      <w:r w:rsidRPr="00AD22F2">
        <w:rPr>
          <w:szCs w:val="22"/>
          <w:lang w:val="fr-CH"/>
        </w:rPr>
        <w:t xml:space="preserve"> Law, Georgetown </w:t>
      </w:r>
      <w:proofErr w:type="spellStart"/>
      <w:r w:rsidRPr="00AD22F2">
        <w:rPr>
          <w:szCs w:val="22"/>
          <w:lang w:val="fr-CH"/>
        </w:rPr>
        <w:t>University</w:t>
      </w:r>
      <w:proofErr w:type="spellEnd"/>
      <w:r w:rsidRPr="00AD22F2">
        <w:rPr>
          <w:szCs w:val="22"/>
          <w:lang w:val="fr-CH"/>
        </w:rPr>
        <w:t xml:space="preserve"> (États</w:t>
      </w:r>
      <w:r w:rsidR="00501D19">
        <w:rPr>
          <w:szCs w:val="22"/>
          <w:lang w:val="fr-CH"/>
        </w:rPr>
        <w:noBreakHyphen/>
      </w:r>
      <w:r w:rsidRPr="00AD22F2">
        <w:rPr>
          <w:szCs w:val="22"/>
          <w:lang w:val="fr-CH"/>
        </w:rPr>
        <w:t>Unis</w:t>
      </w:r>
      <w:r w:rsidR="00501D19">
        <w:rPr>
          <w:szCs w:val="22"/>
          <w:lang w:val="fr-CH"/>
        </w:rPr>
        <w:t> </w:t>
      </w:r>
      <w:r w:rsidRPr="00AD22F2">
        <w:rPr>
          <w:szCs w:val="22"/>
          <w:lang w:val="fr-CH"/>
        </w:rPr>
        <w:t>d</w:t>
      </w:r>
      <w:r w:rsidR="00AD22F2">
        <w:rPr>
          <w:szCs w:val="22"/>
          <w:lang w:val="fr-CH"/>
        </w:rPr>
        <w:t>’</w:t>
      </w:r>
      <w:r w:rsidRPr="00AD22F2">
        <w:rPr>
          <w:szCs w:val="22"/>
          <w:lang w:val="fr-CH"/>
        </w:rPr>
        <w:t>Amérique)</w:t>
      </w:r>
    </w:p>
    <w:p w:rsidR="00C72943" w:rsidRPr="00AD22F2" w:rsidRDefault="00C72943" w:rsidP="00C72943">
      <w:pPr>
        <w:pStyle w:val="BodyText"/>
        <w:rPr>
          <w:b/>
          <w:szCs w:val="22"/>
          <w:lang w:val="fr-CH"/>
        </w:rPr>
      </w:pPr>
      <w:r w:rsidRPr="00AD22F2">
        <w:rPr>
          <w:b/>
          <w:szCs w:val="22"/>
          <w:lang w:val="fr-CH"/>
        </w:rPr>
        <w:t>LANGUES</w:t>
      </w:r>
    </w:p>
    <w:p w:rsidR="00C72943" w:rsidRPr="00AD22F2" w:rsidRDefault="00C72943" w:rsidP="00C72943">
      <w:pPr>
        <w:spacing w:after="220"/>
        <w:rPr>
          <w:szCs w:val="22"/>
          <w:lang w:val="fr-CH"/>
        </w:rPr>
      </w:pPr>
      <w:r w:rsidRPr="00AD22F2">
        <w:rPr>
          <w:szCs w:val="22"/>
          <w:lang w:val="fr-CH"/>
        </w:rPr>
        <w:t>Anglais, chinois</w:t>
      </w:r>
    </w:p>
    <w:p w:rsidR="00BA4468" w:rsidRPr="00AD22F2" w:rsidRDefault="00AD22F2" w:rsidP="00AD22F2">
      <w:pPr>
        <w:pStyle w:val="Endofdocument-Annex"/>
      </w:pPr>
      <w:r>
        <w:t>[Fin de l’annexe et du document]</w:t>
      </w:r>
    </w:p>
    <w:sectPr w:rsidR="00BA4468" w:rsidRPr="00AD22F2" w:rsidSect="003924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63" w:rsidRDefault="00900663">
      <w:r>
        <w:separator/>
      </w:r>
    </w:p>
  </w:endnote>
  <w:endnote w:type="continuationSeparator" w:id="0">
    <w:p w:rsidR="00900663" w:rsidRPr="009D30E6" w:rsidRDefault="0090066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00663" w:rsidRPr="009D30E6" w:rsidRDefault="0090066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00663" w:rsidRPr="009D30E6" w:rsidRDefault="0090066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5A" w:rsidRDefault="0095435A" w:rsidP="0095435A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6E695F" wp14:editId="26CCFF09">
              <wp:simplePos x="0" y="0"/>
              <wp:positionH relativeFrom="page">
                <wp:posOffset>3719195</wp:posOffset>
              </wp:positionH>
              <wp:positionV relativeFrom="page">
                <wp:posOffset>9896475</wp:posOffset>
              </wp:positionV>
              <wp:extent cx="121920" cy="180975"/>
              <wp:effectExtent l="444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5A" w:rsidRDefault="0095435A" w:rsidP="0095435A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4D3">
                            <w:rPr>
                              <w:noProof/>
                              <w:w w:val="10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E6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79.25pt;width:9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U1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" filled="f" stroked="f">
              <v:textbox inset="0,0,0,0">
                <w:txbxContent>
                  <w:p w:rsidR="0095435A" w:rsidRDefault="0095435A" w:rsidP="0095435A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4D3">
                      <w:rPr>
                        <w:noProof/>
                        <w:w w:val="10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18A" w:rsidRDefault="00AD22F2">
    <w:pPr>
      <w:pStyle w:val="BodyText"/>
      <w:spacing w:line="14" w:lineRule="auto"/>
      <w:rPr>
        <w:sz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85AAE6" wp14:editId="1AFA2D65">
              <wp:simplePos x="0" y="0"/>
              <wp:positionH relativeFrom="page">
                <wp:posOffset>3719195</wp:posOffset>
              </wp:positionH>
              <wp:positionV relativeFrom="page">
                <wp:posOffset>9896475</wp:posOffset>
              </wp:positionV>
              <wp:extent cx="121920" cy="18097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18A" w:rsidRDefault="00AD22F2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4D3">
                            <w:rPr>
                              <w:noProof/>
                              <w:w w:val="10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5AA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85pt;margin-top:779.25pt;width:9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9sLrQIAAK8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" filled="f" stroked="f">
              <v:textbox inset="0,0,0,0">
                <w:txbxContent>
                  <w:p w:rsidR="0082718A" w:rsidRDefault="00AD22F2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4D3">
                      <w:rPr>
                        <w:noProof/>
                        <w:w w:val="10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5A" w:rsidRDefault="00954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63" w:rsidRDefault="00900663">
      <w:r>
        <w:separator/>
      </w:r>
    </w:p>
  </w:footnote>
  <w:footnote w:type="continuationSeparator" w:id="0">
    <w:p w:rsidR="00900663" w:rsidRDefault="00900663" w:rsidP="007461F1">
      <w:r>
        <w:separator/>
      </w:r>
    </w:p>
    <w:p w:rsidR="00900663" w:rsidRPr="009D30E6" w:rsidRDefault="0090066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00663" w:rsidRPr="009D30E6" w:rsidRDefault="0090066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5A" w:rsidRDefault="0095435A" w:rsidP="0095435A">
    <w:pPr>
      <w:jc w:val="right"/>
    </w:pPr>
    <w:r>
      <w:t>A/60/2</w:t>
    </w:r>
  </w:p>
  <w:p w:rsidR="0095435A" w:rsidRDefault="0095435A" w:rsidP="0095435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924D3">
      <w:rPr>
        <w:noProof/>
      </w:rPr>
      <w:t>2</w:t>
    </w:r>
    <w:r>
      <w:fldChar w:fldCharType="end"/>
    </w:r>
  </w:p>
  <w:p w:rsidR="0095435A" w:rsidRDefault="0095435A" w:rsidP="0095435A">
    <w:pPr>
      <w:jc w:val="right"/>
    </w:pPr>
  </w:p>
  <w:p w:rsidR="0095435A" w:rsidRDefault="0095435A" w:rsidP="0095435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BA4468" w:rsidP="00477D6B">
    <w:pPr>
      <w:jc w:val="right"/>
    </w:pPr>
    <w:bookmarkStart w:id="5" w:name="Code2"/>
    <w:bookmarkEnd w:id="5"/>
    <w:r>
      <w:t>A/</w:t>
    </w:r>
    <w:r w:rsidR="006C57BB">
      <w:t>60/</w:t>
    </w:r>
    <w:r>
      <w:t>2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5435A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C72943" w:rsidRDefault="00C72943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5A" w:rsidRDefault="0095435A" w:rsidP="0095435A">
    <w:pPr>
      <w:jc w:val="right"/>
    </w:pPr>
    <w:r>
      <w:t>A/60/2</w:t>
    </w:r>
  </w:p>
  <w:p w:rsidR="0095435A" w:rsidRDefault="0095435A" w:rsidP="0095435A">
    <w:pPr>
      <w:jc w:val="right"/>
    </w:pPr>
    <w:r>
      <w:t xml:space="preserve">Annexe, page </w:t>
    </w:r>
    <w:r>
      <w:fldChar w:fldCharType="begin"/>
    </w:r>
    <w:r>
      <w:instrText xml:space="preserve"> PAGE  \* MERGEFORMAT </w:instrText>
    </w:r>
    <w:r>
      <w:fldChar w:fldCharType="separate"/>
    </w:r>
    <w:r w:rsidR="003924D3">
      <w:rPr>
        <w:noProof/>
      </w:rPr>
      <w:t>4</w:t>
    </w:r>
    <w:r>
      <w:fldChar w:fldCharType="end"/>
    </w:r>
  </w:p>
  <w:p w:rsidR="0095435A" w:rsidRDefault="0095435A" w:rsidP="0095435A">
    <w:pPr>
      <w:jc w:val="right"/>
    </w:pPr>
  </w:p>
  <w:p w:rsidR="0095435A" w:rsidRDefault="0095435A" w:rsidP="0095435A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43" w:rsidRDefault="00C72943" w:rsidP="00477D6B">
    <w:pPr>
      <w:jc w:val="right"/>
    </w:pPr>
    <w:r>
      <w:t>A/60/2</w:t>
    </w:r>
  </w:p>
  <w:p w:rsidR="00C72943" w:rsidRDefault="00C72943" w:rsidP="00477D6B">
    <w:pPr>
      <w:jc w:val="right"/>
    </w:pPr>
    <w:r>
      <w:t xml:space="preserve">Annexe, page </w:t>
    </w:r>
    <w:r>
      <w:fldChar w:fldCharType="begin"/>
    </w:r>
    <w:r>
      <w:instrText xml:space="preserve"> PAGE  \* MERGEFORMAT </w:instrText>
    </w:r>
    <w:r>
      <w:fldChar w:fldCharType="separate"/>
    </w:r>
    <w:r w:rsidR="003924D3">
      <w:rPr>
        <w:noProof/>
      </w:rPr>
      <w:t>3</w:t>
    </w:r>
    <w:r>
      <w:fldChar w:fldCharType="end"/>
    </w:r>
  </w:p>
  <w:p w:rsidR="00C72943" w:rsidRDefault="00C72943" w:rsidP="00477D6B">
    <w:pPr>
      <w:jc w:val="right"/>
    </w:pPr>
  </w:p>
  <w:p w:rsidR="00C72943" w:rsidRDefault="00C72943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43" w:rsidRDefault="00C72943" w:rsidP="00C72943">
    <w:pPr>
      <w:pStyle w:val="Header"/>
      <w:jc w:val="right"/>
    </w:pPr>
    <w:r>
      <w:t>A/60/2</w:t>
    </w:r>
  </w:p>
  <w:p w:rsidR="00C72943" w:rsidRDefault="00C72943" w:rsidP="00C72943">
    <w:pPr>
      <w:pStyle w:val="Header"/>
      <w:jc w:val="right"/>
    </w:pPr>
    <w:r>
      <w:t>ANNEXE</w:t>
    </w:r>
  </w:p>
  <w:p w:rsidR="00C72943" w:rsidRDefault="00C72943" w:rsidP="00C72943">
    <w:pPr>
      <w:pStyle w:val="Header"/>
      <w:jc w:val="right"/>
    </w:pPr>
  </w:p>
  <w:p w:rsidR="00C72943" w:rsidRDefault="00C72943" w:rsidP="00C7294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964A90"/>
    <w:multiLevelType w:val="hybridMultilevel"/>
    <w:tmpl w:val="82B4BFA2"/>
    <w:lvl w:ilvl="0" w:tplc="622EF6B4">
      <w:numFmt w:val="bullet"/>
      <w:lvlText w:val="□"/>
      <w:lvlJc w:val="left"/>
      <w:pPr>
        <w:ind w:left="2260" w:hanging="360"/>
      </w:pPr>
      <w:rPr>
        <w:rFonts w:ascii="Times New Roman" w:eastAsia="Times New Roman" w:hAnsi="Times New Roman" w:cs="Times New Roman" w:hint="default"/>
        <w:w w:val="75"/>
        <w:sz w:val="24"/>
        <w:szCs w:val="24"/>
      </w:rPr>
    </w:lvl>
    <w:lvl w:ilvl="1" w:tplc="E4EA82CE">
      <w:numFmt w:val="bullet"/>
      <w:lvlText w:val="•"/>
      <w:lvlJc w:val="left"/>
      <w:pPr>
        <w:ind w:left="2978" w:hanging="360"/>
      </w:pPr>
      <w:rPr>
        <w:rFonts w:hint="default"/>
      </w:rPr>
    </w:lvl>
    <w:lvl w:ilvl="2" w:tplc="89D2A576">
      <w:numFmt w:val="bullet"/>
      <w:lvlText w:val="•"/>
      <w:lvlJc w:val="left"/>
      <w:pPr>
        <w:ind w:left="3697" w:hanging="360"/>
      </w:pPr>
      <w:rPr>
        <w:rFonts w:hint="default"/>
      </w:rPr>
    </w:lvl>
    <w:lvl w:ilvl="3" w:tplc="0896A790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D952D9DC">
      <w:numFmt w:val="bullet"/>
      <w:lvlText w:val="•"/>
      <w:lvlJc w:val="left"/>
      <w:pPr>
        <w:ind w:left="5134" w:hanging="360"/>
      </w:pPr>
      <w:rPr>
        <w:rFonts w:hint="default"/>
      </w:rPr>
    </w:lvl>
    <w:lvl w:ilvl="5" w:tplc="56EAA4A2"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6A6C1DBC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0B4A9BC4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3ED85130"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5" w15:restartNumberingAfterBreak="0">
    <w:nsid w:val="20B0292B"/>
    <w:multiLevelType w:val="hybridMultilevel"/>
    <w:tmpl w:val="4394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50227D"/>
    <w:multiLevelType w:val="hybridMultilevel"/>
    <w:tmpl w:val="9DE04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C48F2"/>
    <w:multiLevelType w:val="hybridMultilevel"/>
    <w:tmpl w:val="74C0593C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  <w:w w:val="75"/>
        <w:sz w:val="24"/>
        <w:szCs w:val="24"/>
      </w:rPr>
    </w:lvl>
    <w:lvl w:ilvl="1" w:tplc="E4EA82CE">
      <w:numFmt w:val="bullet"/>
      <w:lvlText w:val="•"/>
      <w:lvlJc w:val="left"/>
      <w:pPr>
        <w:ind w:left="2978" w:hanging="360"/>
      </w:pPr>
      <w:rPr>
        <w:rFonts w:hint="default"/>
      </w:rPr>
    </w:lvl>
    <w:lvl w:ilvl="2" w:tplc="89D2A576">
      <w:numFmt w:val="bullet"/>
      <w:lvlText w:val="•"/>
      <w:lvlJc w:val="left"/>
      <w:pPr>
        <w:ind w:left="3697" w:hanging="360"/>
      </w:pPr>
      <w:rPr>
        <w:rFonts w:hint="default"/>
      </w:rPr>
    </w:lvl>
    <w:lvl w:ilvl="3" w:tplc="0896A790">
      <w:numFmt w:val="bullet"/>
      <w:lvlText w:val="•"/>
      <w:lvlJc w:val="left"/>
      <w:pPr>
        <w:ind w:left="4415" w:hanging="360"/>
      </w:pPr>
      <w:rPr>
        <w:rFonts w:hint="default"/>
      </w:rPr>
    </w:lvl>
    <w:lvl w:ilvl="4" w:tplc="D952D9DC">
      <w:numFmt w:val="bullet"/>
      <w:lvlText w:val="•"/>
      <w:lvlJc w:val="left"/>
      <w:pPr>
        <w:ind w:left="5134" w:hanging="360"/>
      </w:pPr>
      <w:rPr>
        <w:rFonts w:hint="default"/>
      </w:rPr>
    </w:lvl>
    <w:lvl w:ilvl="5" w:tplc="56EAA4A2"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6A6C1DBC"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0B4A9BC4"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3ED85130"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10" w15:restartNumberingAfterBreak="0">
    <w:nsid w:val="799344D4"/>
    <w:multiLevelType w:val="hybridMultilevel"/>
    <w:tmpl w:val="B5503FF6"/>
    <w:lvl w:ilvl="0" w:tplc="1E16A6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68"/>
    <w:rsid w:val="00011B7D"/>
    <w:rsid w:val="00075432"/>
    <w:rsid w:val="000F5E56"/>
    <w:rsid w:val="001362EE"/>
    <w:rsid w:val="001832A6"/>
    <w:rsid w:val="00195C6E"/>
    <w:rsid w:val="001B266A"/>
    <w:rsid w:val="001D3D56"/>
    <w:rsid w:val="002124EF"/>
    <w:rsid w:val="00240654"/>
    <w:rsid w:val="002634C4"/>
    <w:rsid w:val="002E4D1A"/>
    <w:rsid w:val="002F16BC"/>
    <w:rsid w:val="002F4E68"/>
    <w:rsid w:val="003845C1"/>
    <w:rsid w:val="0038573C"/>
    <w:rsid w:val="003924D3"/>
    <w:rsid w:val="004008A2"/>
    <w:rsid w:val="004025DF"/>
    <w:rsid w:val="00423E3E"/>
    <w:rsid w:val="00427AF4"/>
    <w:rsid w:val="004647DA"/>
    <w:rsid w:val="00477D6B"/>
    <w:rsid w:val="00485EBD"/>
    <w:rsid w:val="004D6471"/>
    <w:rsid w:val="00501D19"/>
    <w:rsid w:val="00525B63"/>
    <w:rsid w:val="00567A4C"/>
    <w:rsid w:val="00595F07"/>
    <w:rsid w:val="005E6516"/>
    <w:rsid w:val="00605827"/>
    <w:rsid w:val="006B0DB5"/>
    <w:rsid w:val="006C57BB"/>
    <w:rsid w:val="00734390"/>
    <w:rsid w:val="007461F1"/>
    <w:rsid w:val="007C3075"/>
    <w:rsid w:val="007D6961"/>
    <w:rsid w:val="007F07CB"/>
    <w:rsid w:val="00803AD4"/>
    <w:rsid w:val="00810CEF"/>
    <w:rsid w:val="0081208D"/>
    <w:rsid w:val="00862857"/>
    <w:rsid w:val="008B2CC1"/>
    <w:rsid w:val="008C6DE0"/>
    <w:rsid w:val="008E7930"/>
    <w:rsid w:val="00900663"/>
    <w:rsid w:val="0090731E"/>
    <w:rsid w:val="0095435A"/>
    <w:rsid w:val="00966A22"/>
    <w:rsid w:val="00974CD6"/>
    <w:rsid w:val="009D30E6"/>
    <w:rsid w:val="009E3F6F"/>
    <w:rsid w:val="009F499F"/>
    <w:rsid w:val="00A15F8C"/>
    <w:rsid w:val="00A73382"/>
    <w:rsid w:val="00AC0AE4"/>
    <w:rsid w:val="00AD22F2"/>
    <w:rsid w:val="00AD61DB"/>
    <w:rsid w:val="00B55DD3"/>
    <w:rsid w:val="00B71417"/>
    <w:rsid w:val="00BA4468"/>
    <w:rsid w:val="00BB53B1"/>
    <w:rsid w:val="00C664C8"/>
    <w:rsid w:val="00C72943"/>
    <w:rsid w:val="00C8265D"/>
    <w:rsid w:val="00CF0460"/>
    <w:rsid w:val="00D061C3"/>
    <w:rsid w:val="00D43E0F"/>
    <w:rsid w:val="00D45252"/>
    <w:rsid w:val="00D70E9C"/>
    <w:rsid w:val="00D71B4D"/>
    <w:rsid w:val="00D75C1E"/>
    <w:rsid w:val="00D93D55"/>
    <w:rsid w:val="00DD5A3D"/>
    <w:rsid w:val="00DD6A16"/>
    <w:rsid w:val="00DE33B7"/>
    <w:rsid w:val="00DF11A9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17F8EBA-EE30-4042-8C0E-A90FAB68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43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C72943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72943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72943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C72943"/>
    <w:pPr>
      <w:keepNext/>
      <w:spacing w:before="240" w:after="28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2943"/>
    <w:pPr>
      <w:spacing w:after="220"/>
    </w:pPr>
  </w:style>
  <w:style w:type="paragraph" w:styleId="Caption">
    <w:name w:val="caption"/>
    <w:basedOn w:val="Normal"/>
    <w:next w:val="Normal"/>
    <w:qFormat/>
    <w:rsid w:val="00C72943"/>
    <w:rPr>
      <w:b/>
      <w:bCs/>
      <w:sz w:val="18"/>
    </w:rPr>
  </w:style>
  <w:style w:type="paragraph" w:styleId="CommentText">
    <w:name w:val="annotation text"/>
    <w:basedOn w:val="Normal"/>
    <w:semiHidden/>
    <w:rsid w:val="00C72943"/>
    <w:rPr>
      <w:sz w:val="18"/>
    </w:rPr>
  </w:style>
  <w:style w:type="paragraph" w:styleId="EndnoteText">
    <w:name w:val="endnote text"/>
    <w:basedOn w:val="Normal"/>
    <w:semiHidden/>
    <w:rsid w:val="00C72943"/>
    <w:rPr>
      <w:sz w:val="18"/>
    </w:rPr>
  </w:style>
  <w:style w:type="paragraph" w:styleId="Footer">
    <w:name w:val="footer"/>
    <w:basedOn w:val="Normal"/>
    <w:semiHidden/>
    <w:rsid w:val="00C7294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72943"/>
    <w:rPr>
      <w:sz w:val="18"/>
    </w:rPr>
  </w:style>
  <w:style w:type="paragraph" w:customStyle="1" w:styleId="Endofdocument-Annex">
    <w:name w:val="[End of document - Annex]"/>
    <w:basedOn w:val="Normal"/>
    <w:rsid w:val="00C72943"/>
    <w:pPr>
      <w:spacing w:before="720"/>
      <w:ind w:left="5534"/>
    </w:pPr>
  </w:style>
  <w:style w:type="paragraph" w:customStyle="1" w:styleId="Meetingtitle">
    <w:name w:val="Meeting title"/>
    <w:basedOn w:val="Normal"/>
    <w:next w:val="Normal"/>
    <w:rsid w:val="00DD5A3D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Header">
    <w:name w:val="header"/>
    <w:basedOn w:val="Normal"/>
    <w:semiHidden/>
    <w:rsid w:val="00C72943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72943"/>
    <w:pPr>
      <w:numPr>
        <w:numId w:val="9"/>
      </w:numPr>
    </w:pPr>
  </w:style>
  <w:style w:type="paragraph" w:customStyle="1" w:styleId="ONUME">
    <w:name w:val="ONUM E"/>
    <w:basedOn w:val="BodyText"/>
    <w:rsid w:val="00C72943"/>
    <w:pPr>
      <w:numPr>
        <w:numId w:val="10"/>
      </w:numPr>
    </w:pPr>
  </w:style>
  <w:style w:type="paragraph" w:customStyle="1" w:styleId="ONUMFS">
    <w:name w:val="ONUM FS"/>
    <w:basedOn w:val="BodyText"/>
    <w:rsid w:val="00C72943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C72943"/>
  </w:style>
  <w:style w:type="paragraph" w:styleId="Signature">
    <w:name w:val="Signature"/>
    <w:basedOn w:val="Normal"/>
    <w:semiHidden/>
    <w:rsid w:val="00C72943"/>
    <w:pPr>
      <w:ind w:left="5250"/>
    </w:pPr>
  </w:style>
  <w:style w:type="paragraph" w:customStyle="1" w:styleId="Meetingplacedate">
    <w:name w:val="Meeting place &amp; date"/>
    <w:basedOn w:val="Normal"/>
    <w:next w:val="Normal"/>
    <w:rsid w:val="00DD5A3D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Closing">
    <w:name w:val="Closing"/>
    <w:basedOn w:val="Normal"/>
    <w:link w:val="ClosingChar"/>
    <w:rsid w:val="00BA4468"/>
    <w:pPr>
      <w:ind w:left="4536"/>
      <w:jc w:val="center"/>
    </w:pPr>
    <w:rPr>
      <w:rFonts w:ascii="Times New Roman" w:eastAsia="Times New Roman" w:hAnsi="Times New Roman" w:cs="Times New Roman"/>
      <w:sz w:val="24"/>
      <w:lang w:val="en-US" w:eastAsia="fr-FR"/>
    </w:rPr>
  </w:style>
  <w:style w:type="character" w:customStyle="1" w:styleId="ClosingChar">
    <w:name w:val="Closing Char"/>
    <w:basedOn w:val="DefaultParagraphFont"/>
    <w:link w:val="Closing"/>
    <w:rsid w:val="00BA4468"/>
    <w:rPr>
      <w:sz w:val="24"/>
      <w:lang w:eastAsia="fr-FR"/>
    </w:rPr>
  </w:style>
  <w:style w:type="paragraph" w:customStyle="1" w:styleId="EndofDocument">
    <w:name w:val="End of Document"/>
    <w:basedOn w:val="Normal"/>
    <w:rsid w:val="00BA4468"/>
    <w:pPr>
      <w:ind w:left="4536"/>
      <w:jc w:val="center"/>
    </w:pPr>
    <w:rPr>
      <w:rFonts w:ascii="Times New Roman" w:eastAsia="Times New Roman" w:hAnsi="Times New Roman" w:cs="Times New Roman"/>
      <w:sz w:val="24"/>
      <w:lang w:val="en-US" w:eastAsia="fr-FR"/>
    </w:rPr>
  </w:style>
  <w:style w:type="paragraph" w:styleId="ListParagraph">
    <w:name w:val="List Paragraph"/>
    <w:basedOn w:val="Normal"/>
    <w:uiPriority w:val="1"/>
    <w:qFormat/>
    <w:rsid w:val="00C72943"/>
    <w:pPr>
      <w:ind w:left="720"/>
      <w:contextualSpacing/>
    </w:pPr>
    <w:rPr>
      <w:lang w:val="fr-CH"/>
    </w:rPr>
  </w:style>
  <w:style w:type="character" w:styleId="Hyperlink">
    <w:name w:val="Hyperlink"/>
    <w:basedOn w:val="DefaultParagraphFont"/>
    <w:rsid w:val="00D061C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C72943"/>
    <w:rPr>
      <w:rFonts w:ascii="Arial" w:eastAsia="SimSun" w:hAnsi="Arial" w:cs="Arial"/>
      <w:sz w:val="22"/>
      <w:lang w:val="fr-FR" w:eastAsia="zh-CN"/>
    </w:rPr>
  </w:style>
  <w:style w:type="character" w:styleId="Emphasis">
    <w:name w:val="Emphasis"/>
    <w:basedOn w:val="DefaultParagraphFont"/>
    <w:uiPriority w:val="20"/>
    <w:qFormat/>
    <w:rsid w:val="00C7294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3DAC-7D6F-4CF1-83DA-26E1F96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8898</Characters>
  <Application>Microsoft Office Word</Application>
  <DocSecurity>0</DocSecurity>
  <Lines>186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</vt:lpstr>
    </vt:vector>
  </TitlesOfParts>
  <Company>WIPO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</dc:title>
  <dc:creator>COUTURE Sébastien</dc:creator>
  <cp:keywords>PUBLIC</cp:keywords>
  <cp:lastModifiedBy>HÄFLIGER Patience</cp:lastModifiedBy>
  <cp:revision>5</cp:revision>
  <cp:lastPrinted>2014-04-02T14:11:00Z</cp:lastPrinted>
  <dcterms:created xsi:type="dcterms:W3CDTF">2020-11-18T10:27:00Z</dcterms:created>
  <dcterms:modified xsi:type="dcterms:W3CDTF">2020-11-18T10:29:00Z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60a34acf-e4df-4632-9c64-630ac21f4082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