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D" w:rsidRPr="00123893" w:rsidRDefault="0017026D" w:rsidP="0017026D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:rsidR="0017026D" w:rsidRDefault="0017026D" w:rsidP="0017026D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3D46622" wp14:editId="165F191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6D" w:rsidRPr="007378AD" w:rsidRDefault="0017026D" w:rsidP="0017026D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INF/5</w:t>
      </w:r>
    </w:p>
    <w:p w:rsidR="0017026D" w:rsidRPr="007378AD" w:rsidRDefault="0017026D" w:rsidP="0017026D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17026D" w:rsidRPr="007378AD" w:rsidRDefault="0017026D" w:rsidP="0017026D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30 juillet 2019</w:t>
      </w:r>
    </w:p>
    <w:p w:rsidR="0017026D" w:rsidRPr="00217165" w:rsidRDefault="0017026D" w:rsidP="0017026D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>
        <w:rPr>
          <w:lang w:val="fr-CH"/>
        </w:rPr>
        <w:t>’</w:t>
      </w:r>
      <w:r w:rsidRPr="00217165">
        <w:rPr>
          <w:lang w:val="fr-CH"/>
        </w:rPr>
        <w:t>OMPI</w:t>
      </w:r>
    </w:p>
    <w:p w:rsidR="0017026D" w:rsidRPr="00217165" w:rsidRDefault="0017026D" w:rsidP="0017026D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 neuvième</w:t>
      </w:r>
      <w:r w:rsidRPr="00217165">
        <w:rPr>
          <w:b/>
          <w:sz w:val="24"/>
          <w:lang w:val="fr-CH"/>
        </w:rPr>
        <w:t xml:space="preserve"> série de réunions</w:t>
      </w:r>
      <w:r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 xml:space="preserve">Genève, </w:t>
      </w:r>
      <w:r>
        <w:rPr>
          <w:b/>
          <w:sz w:val="24"/>
          <w:lang w:val="fr-CH"/>
        </w:rPr>
        <w:t>30</w:t>
      </w:r>
      <w:r w:rsidRPr="002A1C08">
        <w:rPr>
          <w:b/>
          <w:sz w:val="24"/>
          <w:lang w:val="fr-CH"/>
        </w:rPr>
        <w:t xml:space="preserve"> septembre –</w:t>
      </w:r>
      <w:r>
        <w:rPr>
          <w:b/>
          <w:sz w:val="24"/>
          <w:lang w:val="fr-CH"/>
        </w:rPr>
        <w:t xml:space="preserve"> 9</w:t>
      </w:r>
      <w:r w:rsidRPr="002A1C08">
        <w:rPr>
          <w:b/>
          <w:sz w:val="24"/>
          <w:lang w:val="fr-CH"/>
        </w:rPr>
        <w:t xml:space="preserve"> octobre</w:t>
      </w:r>
      <w:r>
        <w:rPr>
          <w:b/>
          <w:sz w:val="24"/>
          <w:lang w:val="fr-CH"/>
        </w:rPr>
        <w:t xml:space="preserve"> 2019</w:t>
      </w:r>
    </w:p>
    <w:p w:rsidR="000861C0" w:rsidRPr="00D62434" w:rsidRDefault="000861C0" w:rsidP="000861C0">
      <w:pPr>
        <w:spacing w:after="360"/>
        <w:rPr>
          <w:caps/>
          <w:sz w:val="24"/>
          <w:lang w:val="fr-CH"/>
        </w:rPr>
      </w:pPr>
      <w:r w:rsidRPr="00D62434">
        <w:rPr>
          <w:caps/>
          <w:sz w:val="24"/>
          <w:lang w:val="fr-CH"/>
        </w:rPr>
        <w:t>Situation concernant le Traité de Beijing sur les interprétations et exécutions audiovisuelles</w:t>
      </w:r>
    </w:p>
    <w:p w:rsidR="000861C0" w:rsidRPr="00D62434" w:rsidRDefault="000861C0" w:rsidP="000861C0">
      <w:pPr>
        <w:spacing w:after="960"/>
        <w:rPr>
          <w:i/>
          <w:lang w:val="fr-CH"/>
        </w:rPr>
      </w:pPr>
      <w:bookmarkStart w:id="5" w:name="Prepared"/>
      <w:bookmarkEnd w:id="5"/>
      <w:r w:rsidRPr="00D62434">
        <w:rPr>
          <w:i/>
          <w:lang w:val="fr-CH"/>
        </w:rPr>
        <w:t>Document d</w:t>
      </w:r>
      <w:r w:rsidR="009C3F62" w:rsidRPr="00D62434">
        <w:rPr>
          <w:i/>
          <w:lang w:val="fr-CH"/>
        </w:rPr>
        <w:t>’</w:t>
      </w:r>
      <w:r w:rsidRPr="00D62434">
        <w:rPr>
          <w:i/>
          <w:lang w:val="fr-CH"/>
        </w:rPr>
        <w:t>information établi par le Secrétariat</w:t>
      </w:r>
    </w:p>
    <w:p w:rsidR="000861C0" w:rsidRPr="00D62434" w:rsidRDefault="000861C0" w:rsidP="000861C0">
      <w:pPr>
        <w:spacing w:after="240"/>
        <w:rPr>
          <w:lang w:val="fr-CH"/>
        </w:rPr>
      </w:pPr>
      <w:r w:rsidRPr="00D62434">
        <w:rPr>
          <w:lang w:val="fr-CH"/>
        </w:rPr>
        <w:t>Le présent document fournit des informations sur la signature et la ratification du Traité de Beijing sur les interprétations et exécutions audiovisuelles (“Traité de Beijing”), les adhésions à ce traité, et les progrès réalisés sur la voie de son entrée en vigueur.</w:t>
      </w:r>
    </w:p>
    <w:p w:rsidR="000861C0" w:rsidRPr="00D62434" w:rsidRDefault="000861C0" w:rsidP="00263E57">
      <w:pPr>
        <w:pStyle w:val="Heading2"/>
        <w:rPr>
          <w:lang w:val="fr-CH"/>
        </w:rPr>
      </w:pPr>
      <w:r w:rsidRPr="00D62434">
        <w:rPr>
          <w:lang w:val="fr-CH"/>
        </w:rPr>
        <w:t>Signature du Traité de Beijing</w:t>
      </w:r>
    </w:p>
    <w:p w:rsidR="000861C0" w:rsidRPr="00896C2D" w:rsidRDefault="000861C0" w:rsidP="00263E57">
      <w:pPr>
        <w:pStyle w:val="ONUMFS"/>
        <w:rPr>
          <w:lang w:val="fr-CH"/>
        </w:rPr>
      </w:pPr>
      <w:r w:rsidRPr="00896C2D">
        <w:rPr>
          <w:lang w:val="fr-CH"/>
        </w:rPr>
        <w:t>Le 24 juin 2012, la Conférence diplomatique sur la protection des interprétations et exécutions audiovisuelles a adopté par consensus le Traité de Beijing, qui a été ouvert à la signature le 26 juin 2012.</w:t>
      </w:r>
      <w:r w:rsidR="001A77BF" w:rsidRPr="00896C2D">
        <w:rPr>
          <w:lang w:val="fr-CH"/>
        </w:rPr>
        <w:t xml:space="preserve">  </w:t>
      </w:r>
      <w:r w:rsidRPr="00896C2D">
        <w:rPr>
          <w:lang w:val="fr-CH"/>
        </w:rPr>
        <w:t>Conformément à 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article 25 du traité, celui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ci est resté ouvert à la signature au siège de 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OMPI pendant un an après son adoption, c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est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à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dire jusqu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au</w:t>
      </w:r>
      <w:r w:rsidR="0017191E" w:rsidRPr="00896C2D">
        <w:rPr>
          <w:lang w:val="fr-CH"/>
        </w:rPr>
        <w:t xml:space="preserve"> </w:t>
      </w:r>
      <w:r w:rsidRPr="00896C2D">
        <w:rPr>
          <w:lang w:val="fr-CH"/>
        </w:rPr>
        <w:t>24 juin 2013.</w:t>
      </w:r>
    </w:p>
    <w:p w:rsidR="000861C0" w:rsidRPr="00896C2D" w:rsidRDefault="000861C0" w:rsidP="00263E57">
      <w:pPr>
        <w:pStyle w:val="ONUMFS"/>
        <w:rPr>
          <w:lang w:val="fr-CH"/>
        </w:rPr>
      </w:pPr>
      <w:r w:rsidRPr="00896C2D">
        <w:rPr>
          <w:lang w:val="fr-CH"/>
        </w:rPr>
        <w:t>Au 24 juin 2013, 74 parties remplissant les conditions requises, dont la liste figure à 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annexe I, avaient signé le traité.</w:t>
      </w:r>
    </w:p>
    <w:p w:rsidR="000861C0" w:rsidRPr="00896C2D" w:rsidRDefault="000861C0" w:rsidP="00263E57">
      <w:pPr>
        <w:pStyle w:val="Heading2"/>
        <w:keepNext/>
        <w:keepLines/>
        <w:rPr>
          <w:lang w:val="fr-CH"/>
        </w:rPr>
      </w:pPr>
      <w:r w:rsidRPr="00896C2D">
        <w:rPr>
          <w:lang w:val="fr-CH"/>
        </w:rPr>
        <w:t>Ratifications du Traité de Beijing et adhésions au traité</w:t>
      </w:r>
    </w:p>
    <w:p w:rsidR="000861C0" w:rsidRPr="00896C2D" w:rsidRDefault="000861C0" w:rsidP="00263E57">
      <w:pPr>
        <w:pStyle w:val="ONUMFS"/>
        <w:rPr>
          <w:lang w:val="fr-CH"/>
        </w:rPr>
      </w:pPr>
      <w:r w:rsidRPr="00896C2D">
        <w:rPr>
          <w:lang w:val="fr-CH"/>
        </w:rPr>
        <w:t>En vertu de 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article 26 du Traité de Beijing, celui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ci entrera en vigueur trois mois après que 30 parties remplissant les conditions requises, définies à l</w:t>
      </w:r>
      <w:r w:rsidR="009C3F62" w:rsidRPr="00896C2D">
        <w:rPr>
          <w:lang w:val="fr-CH"/>
        </w:rPr>
        <w:t>’article 2</w:t>
      </w:r>
      <w:r w:rsidRPr="00896C2D">
        <w:rPr>
          <w:lang w:val="fr-CH"/>
        </w:rPr>
        <w:t>3 du traité, auront déposé leur instrument de ratification ou d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adhésion.</w:t>
      </w:r>
    </w:p>
    <w:p w:rsidR="000861C0" w:rsidRPr="00896C2D" w:rsidRDefault="000861C0" w:rsidP="00263E57">
      <w:pPr>
        <w:pStyle w:val="ONUMFS"/>
        <w:rPr>
          <w:lang w:val="fr-CH"/>
        </w:rPr>
      </w:pPr>
      <w:r w:rsidRPr="00896C2D">
        <w:rPr>
          <w:lang w:val="fr-CH"/>
        </w:rPr>
        <w:lastRenderedPageBreak/>
        <w:t>À la date indiquée à 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annexe II, les 26 États membres de 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OMPI mentionnés avaient ratifié le Traité de Beijing ou y avaient adhéré.</w:t>
      </w:r>
    </w:p>
    <w:p w:rsidR="000861C0" w:rsidRPr="00896C2D" w:rsidRDefault="000861C0" w:rsidP="00263E57">
      <w:pPr>
        <w:pStyle w:val="Heading2"/>
        <w:rPr>
          <w:lang w:val="fr-CH"/>
        </w:rPr>
      </w:pPr>
      <w:r w:rsidRPr="00896C2D">
        <w:rPr>
          <w:lang w:val="fr-CH"/>
        </w:rPr>
        <w:t>Promotion du Traité de Beijing</w:t>
      </w:r>
    </w:p>
    <w:p w:rsidR="000861C0" w:rsidRPr="00896C2D" w:rsidRDefault="000861C0" w:rsidP="00263E57">
      <w:pPr>
        <w:pStyle w:val="ONUMFS"/>
        <w:rPr>
          <w:lang w:val="fr-CH"/>
        </w:rPr>
      </w:pPr>
      <w:r w:rsidRPr="00896C2D">
        <w:rPr>
          <w:lang w:val="fr-CH"/>
        </w:rPr>
        <w:t xml:space="preserve">Depuis septembre 2018, le Secrétariat a organisé </w:t>
      </w:r>
      <w:r w:rsidR="000A4C0D" w:rsidRPr="00896C2D">
        <w:rPr>
          <w:lang w:val="fr-CH"/>
        </w:rPr>
        <w:t>19 </w:t>
      </w:r>
      <w:r w:rsidRPr="00896C2D">
        <w:rPr>
          <w:lang w:val="fr-CH"/>
        </w:rPr>
        <w:t>événements aux niveaux international, régional et sous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régional pour promouvoir le Traité de Beijing, à Beijing et Suzhou (Chine), Bi</w:t>
      </w:r>
      <w:r w:rsidR="0017191E" w:rsidRPr="00896C2D">
        <w:rPr>
          <w:lang w:val="fr-CH"/>
        </w:rPr>
        <w:t>c</w:t>
      </w:r>
      <w:r w:rsidRPr="00896C2D">
        <w:rPr>
          <w:lang w:val="fr-CH"/>
        </w:rPr>
        <w:t>hkek (Kirghizistan), Hanoi (Viet</w:t>
      </w:r>
      <w:r w:rsidR="000A4C0D" w:rsidRPr="00896C2D">
        <w:rPr>
          <w:lang w:val="fr-CH"/>
        </w:rPr>
        <w:t> </w:t>
      </w:r>
      <w:r w:rsidRPr="00896C2D">
        <w:rPr>
          <w:lang w:val="fr-CH"/>
        </w:rPr>
        <w:t>Nam), Majuro (Îles Marshall), Manille (Philippines), Mexico (Mexique), Nuku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alofa (Tonga), Phnom Penh (Cambodge), Praia (Cabo Verde), Rio de Janeiro (Brésil), Saint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Marin, Saint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Domingue (République dominicaine), Séoul (République de Corée)</w:t>
      </w:r>
      <w:r w:rsidR="004950D1">
        <w:rPr>
          <w:lang w:val="fr-CH"/>
        </w:rPr>
        <w:t>, Tegucigalpa (Honduras), Tokyo </w:t>
      </w:r>
      <w:r w:rsidRPr="00896C2D">
        <w:rPr>
          <w:lang w:val="fr-CH"/>
        </w:rPr>
        <w:t>(Japon), Oulan</w:t>
      </w:r>
      <w:r w:rsidR="0017191E" w:rsidRPr="00896C2D">
        <w:rPr>
          <w:lang w:val="fr-CH"/>
        </w:rPr>
        <w:t> </w:t>
      </w:r>
      <w:r w:rsidRPr="00896C2D">
        <w:rPr>
          <w:lang w:val="fr-CH"/>
        </w:rPr>
        <w:t>Bator (Mongolie), Vientiane (République démocratique populaire lao) et Erevan (Arménie), et a inclus des informations sur le Traité de Beijing dans plusieurs autres programmes et activités.</w:t>
      </w:r>
    </w:p>
    <w:p w:rsidR="000861C0" w:rsidRPr="00896C2D" w:rsidRDefault="000861C0" w:rsidP="00263E57">
      <w:pPr>
        <w:pStyle w:val="ONUMFS"/>
        <w:rPr>
          <w:lang w:val="fr-CH"/>
        </w:rPr>
      </w:pPr>
      <w:r w:rsidRPr="00896C2D">
        <w:rPr>
          <w:lang w:val="fr-CH"/>
        </w:rPr>
        <w:t>Le Secrétariat a aussi mené un certain nombre d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activités, notamment en matière d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assistance législative, au niveau national.</w:t>
      </w:r>
    </w:p>
    <w:p w:rsidR="00275B36" w:rsidRPr="00896C2D" w:rsidRDefault="000861C0" w:rsidP="000861C0">
      <w:pPr>
        <w:spacing w:before="720"/>
        <w:ind w:left="5533"/>
        <w:rPr>
          <w:lang w:val="fr-CH"/>
        </w:rPr>
        <w:sectPr w:rsidR="00275B36" w:rsidRPr="00896C2D" w:rsidSect="00B40876">
          <w:headerReference w:type="even" r:id="rId9"/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96C2D">
        <w:rPr>
          <w:lang w:val="fr-CH"/>
        </w:rPr>
        <w:t>[Les annexes suivent]</w:t>
      </w:r>
    </w:p>
    <w:p w:rsidR="000861C0" w:rsidRPr="00896C2D" w:rsidRDefault="000861C0" w:rsidP="00263E57">
      <w:pPr>
        <w:pStyle w:val="Heading2"/>
        <w:numPr>
          <w:ilvl w:val="0"/>
          <w:numId w:val="0"/>
        </w:numPr>
        <w:rPr>
          <w:lang w:val="fr-CH"/>
        </w:rPr>
      </w:pPr>
      <w:r w:rsidRPr="00896C2D">
        <w:rPr>
          <w:lang w:val="fr-CH"/>
        </w:rPr>
        <w:lastRenderedPageBreak/>
        <w:t>SIGNATAIRES DU TRAITÉ DE BEIJING SUR LES INTERPRÉTATIONS ET EXÉCUTIONS AUDIOVISUELLES (</w:t>
      </w:r>
      <w:r w:rsidR="0017191E" w:rsidRPr="00896C2D">
        <w:rPr>
          <w:lang w:val="fr-CH"/>
        </w:rPr>
        <w:t>au 24 juin 2013</w:t>
      </w:r>
      <w:r w:rsidRPr="00896C2D">
        <w:rPr>
          <w:lang w:val="fr-CH"/>
        </w:rPr>
        <w:t>)</w:t>
      </w:r>
    </w:p>
    <w:p w:rsidR="000861C0" w:rsidRPr="00896C2D" w:rsidRDefault="000861C0" w:rsidP="000861C0">
      <w:pPr>
        <w:spacing w:after="240"/>
        <w:rPr>
          <w:lang w:val="fr-CH"/>
        </w:rPr>
      </w:pPr>
      <w:r w:rsidRPr="00896C2D">
        <w:rPr>
          <w:lang w:val="fr-CH"/>
        </w:rPr>
        <w:t>Les parties ci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après, qui remplissent les conditions requises, ont signé le Traité de Beijing sur les interprétations et exécutions audiovisuelles</w:t>
      </w:r>
      <w:r w:rsidR="009C3F62" w:rsidRPr="00896C2D">
        <w:rPr>
          <w:lang w:val="fr-CH"/>
        </w:rPr>
        <w:t> :</w:t>
      </w:r>
      <w:r w:rsidRPr="00896C2D">
        <w:rPr>
          <w:lang w:val="fr-CH"/>
        </w:rPr>
        <w:t xml:space="preserve"> Allemagne, Autriche, Belgique, Botswana, Bulgarie, Burkina Faso, Burundi, Cameroun, Chili, Chine, Chypre, Colombie, Congo, Costa</w:t>
      </w:r>
      <w:r w:rsidR="000A4C0D" w:rsidRPr="00896C2D">
        <w:rPr>
          <w:lang w:val="fr-CH"/>
        </w:rPr>
        <w:t> </w:t>
      </w:r>
      <w:r w:rsidRPr="00896C2D">
        <w:rPr>
          <w:lang w:val="fr-CH"/>
        </w:rPr>
        <w:t>Rica, Côte d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Ivoire, Danemark, Djibouti, El</w:t>
      </w:r>
      <w:r w:rsidR="000A4C0D" w:rsidRPr="00896C2D">
        <w:rPr>
          <w:lang w:val="fr-CH"/>
        </w:rPr>
        <w:t> </w:t>
      </w:r>
      <w:r w:rsidRPr="00896C2D">
        <w:rPr>
          <w:lang w:val="fr-CH"/>
        </w:rPr>
        <w:t>Salvador, Espagne, Estonie, États</w:t>
      </w:r>
      <w:r w:rsidR="004950D1">
        <w:rPr>
          <w:lang w:val="fr-CH"/>
        </w:rPr>
        <w:noBreakHyphen/>
        <w:t>Unis </w:t>
      </w:r>
      <w:r w:rsidRPr="00896C2D">
        <w:rPr>
          <w:lang w:val="fr-CH"/>
        </w:rPr>
        <w:t>d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Amérique, Finlande, France, Ghana, Grèce, Grenade, Guatemala, Guinée, Haïti, Honduras, Hongrie, Indonésie, Irlande, Italie, Jamaïque, Jordanie, Kenya, Luxembourg, Madagascar, Mali, Maroc, Maurice, Mauritanie, Mexique, Mongolie, Monténégro, Namibie, Nicaragua, Ouganda, Pays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Bas, Pérou, Pologne, Qatar, République arabe syrienne, République centrafricaine, République de Moldova, République populaire démocratique de Corée, République tchèque, Roumanie, Royaume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Uni, Sao Tomé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et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Principe, Sénégal, Seychelles, Sierra Leone, Slovénie, Soudan, Suède, Suis</w:t>
      </w:r>
      <w:r w:rsidR="004950D1">
        <w:rPr>
          <w:lang w:val="fr-CH"/>
        </w:rPr>
        <w:t>se, Tchad, Togo, Tunisie, Union </w:t>
      </w:r>
      <w:r w:rsidRPr="00896C2D">
        <w:rPr>
          <w:lang w:val="fr-CH"/>
        </w:rPr>
        <w:t>européenne, Zambie et Zimbabwe (74).</w:t>
      </w:r>
    </w:p>
    <w:p w:rsidR="00275B36" w:rsidRPr="00896C2D" w:rsidRDefault="000861C0" w:rsidP="000861C0">
      <w:pPr>
        <w:spacing w:before="720"/>
        <w:ind w:left="5533"/>
        <w:rPr>
          <w:lang w:val="fr-CH"/>
        </w:rPr>
        <w:sectPr w:rsidR="00275B36" w:rsidRPr="00896C2D" w:rsidSect="00DE6E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96C2D">
        <w:rPr>
          <w:lang w:val="fr-CH"/>
        </w:rPr>
        <w:t>[L</w:t>
      </w:r>
      <w:r w:rsidR="009C3F62" w:rsidRPr="00896C2D">
        <w:rPr>
          <w:lang w:val="fr-CH"/>
        </w:rPr>
        <w:t>’</w:t>
      </w:r>
      <w:r w:rsidRPr="00896C2D">
        <w:rPr>
          <w:lang w:val="fr-CH"/>
        </w:rPr>
        <w:t>annexe</w:t>
      </w:r>
      <w:r w:rsidR="0017191E" w:rsidRPr="00896C2D">
        <w:rPr>
          <w:lang w:val="fr-CH"/>
        </w:rPr>
        <w:t> </w:t>
      </w:r>
      <w:r w:rsidRPr="00896C2D">
        <w:rPr>
          <w:lang w:val="fr-CH"/>
        </w:rPr>
        <w:t>II suit]</w:t>
      </w:r>
    </w:p>
    <w:p w:rsidR="000861C0" w:rsidRPr="00896C2D" w:rsidRDefault="0017191E" w:rsidP="00263E57">
      <w:pPr>
        <w:pStyle w:val="Heading2"/>
        <w:numPr>
          <w:ilvl w:val="0"/>
          <w:numId w:val="0"/>
        </w:numPr>
        <w:rPr>
          <w:lang w:val="fr-CH"/>
        </w:rPr>
      </w:pPr>
      <w:r w:rsidRPr="00896C2D">
        <w:rPr>
          <w:lang w:val="fr-CH"/>
        </w:rPr>
        <w:lastRenderedPageBreak/>
        <w:t>RATIFICATIONS DU TRAITÉ DE BEIJING SUR LES INTERPRÉTATIONS ET EXÉCUTIONS AUDIOVISUELLES OU ADHÉSIONS AU TRAITÉ (</w:t>
      </w:r>
      <w:r w:rsidRPr="00896C2D">
        <w:rPr>
          <w:color w:val="000000"/>
          <w:lang w:val="fr-CH"/>
        </w:rPr>
        <w:t>au </w:t>
      </w:r>
      <w:r w:rsidRPr="00896C2D">
        <w:rPr>
          <w:lang w:val="fr-CH"/>
        </w:rPr>
        <w:t>2 juillet 2019)</w:t>
      </w:r>
    </w:p>
    <w:p w:rsidR="000861C0" w:rsidRPr="00896C2D" w:rsidRDefault="0017191E" w:rsidP="0017191E">
      <w:pPr>
        <w:rPr>
          <w:lang w:val="fr-CH"/>
        </w:rPr>
      </w:pPr>
      <w:r w:rsidRPr="00896C2D">
        <w:rPr>
          <w:lang w:val="fr-CH"/>
        </w:rPr>
        <w:t>Les États membres ci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après ont ratifié le Traité de Beijing sur les interprétations et exécutions audiovisuelles ou y ont adhéré</w:t>
      </w:r>
      <w:r w:rsidR="009C3F62" w:rsidRPr="00896C2D">
        <w:rPr>
          <w:lang w:val="fr-CH"/>
        </w:rPr>
        <w:t> :</w:t>
      </w:r>
      <w:r w:rsidRPr="00896C2D">
        <w:rPr>
          <w:lang w:val="fr-CH"/>
        </w:rPr>
        <w:t xml:space="preserve"> Algérie, Belize, Botswana, Burkina Faso, Cambodge, Chili, Chine, El</w:t>
      </w:r>
      <w:r w:rsidR="000A4C0D" w:rsidRPr="00896C2D">
        <w:rPr>
          <w:lang w:val="fr-CH"/>
        </w:rPr>
        <w:t> </w:t>
      </w:r>
      <w:r w:rsidRPr="00896C2D">
        <w:rPr>
          <w:lang w:val="fr-CH"/>
        </w:rPr>
        <w:t>Salvador, Émirats arabes unis, Fédération de Russie, Gabon, Îles Cook, Îles Marshall, Japon, Mali, Nigéria, Pérou, Qatar, République arabe syrienne, République de Moldova, République dominicaine, République populaire démocratique de Corée, Saint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Vincent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et</w:t>
      </w:r>
      <w:r w:rsidR="009C3F62" w:rsidRPr="00896C2D">
        <w:rPr>
          <w:lang w:val="fr-CH"/>
        </w:rPr>
        <w:t>-</w:t>
      </w:r>
      <w:r w:rsidRPr="00896C2D">
        <w:rPr>
          <w:lang w:val="fr-CH"/>
        </w:rPr>
        <w:t>les Grenadines, Samoa, Slovaquie et Tunisie (26).</w:t>
      </w:r>
    </w:p>
    <w:p w:rsidR="000861C0" w:rsidRPr="00263E57" w:rsidRDefault="0017191E" w:rsidP="0017191E">
      <w:pPr>
        <w:spacing w:before="720"/>
        <w:ind w:left="5533"/>
        <w:rPr>
          <w:lang w:val="fr-CH"/>
        </w:rPr>
      </w:pPr>
      <w:r w:rsidRPr="00263E57">
        <w:rPr>
          <w:lang w:val="fr-CH"/>
        </w:rPr>
        <w:t>[Fin de l</w:t>
      </w:r>
      <w:r w:rsidR="009C3F62" w:rsidRPr="00263E57">
        <w:rPr>
          <w:lang w:val="fr-CH"/>
        </w:rPr>
        <w:t>’</w:t>
      </w:r>
      <w:r w:rsidRPr="00263E57">
        <w:rPr>
          <w:lang w:val="fr-CH"/>
        </w:rPr>
        <w:t>annexe II et du document]</w:t>
      </w:r>
    </w:p>
    <w:sectPr w:rsidR="000861C0" w:rsidRPr="00263E57" w:rsidSect="00B4087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9F" w:rsidRDefault="005F4F9F">
      <w:r>
        <w:separator/>
      </w:r>
    </w:p>
  </w:endnote>
  <w:endnote w:type="continuationSeparator" w:id="0">
    <w:p w:rsidR="005F4F9F" w:rsidRDefault="005F4F9F" w:rsidP="003B38C1">
      <w:r>
        <w:separator/>
      </w:r>
    </w:p>
    <w:p w:rsidR="005F4F9F" w:rsidRPr="003B38C1" w:rsidRDefault="005F4F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4F9F" w:rsidRPr="003B38C1" w:rsidRDefault="005F4F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 w:rsidP="00B40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 w:rsidP="00B4087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 w:rsidP="00B40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9F" w:rsidRDefault="005F4F9F">
      <w:r>
        <w:separator/>
      </w:r>
    </w:p>
  </w:footnote>
  <w:footnote w:type="continuationSeparator" w:id="0">
    <w:p w:rsidR="005F4F9F" w:rsidRDefault="005F4F9F" w:rsidP="008B60B2">
      <w:r>
        <w:separator/>
      </w:r>
    </w:p>
    <w:p w:rsidR="005F4F9F" w:rsidRPr="00ED77FB" w:rsidRDefault="005F4F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4F9F" w:rsidRPr="00ED77FB" w:rsidRDefault="005F4F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 w:rsidP="00B40876">
    <w:pPr>
      <w:jc w:val="right"/>
    </w:pPr>
    <w:r>
      <w:t>A/59/INF/5</w:t>
    </w:r>
  </w:p>
  <w:p w:rsidR="00B40876" w:rsidRDefault="00B40876" w:rsidP="00B40876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40876" w:rsidRDefault="00B40876" w:rsidP="00B4087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6" w:rsidRDefault="00275B36" w:rsidP="00DE6E44">
    <w:pPr>
      <w:jc w:val="right"/>
    </w:pPr>
    <w:r>
      <w:t>A/5</w:t>
    </w:r>
    <w:r w:rsidR="0041060B">
      <w:t>9</w:t>
    </w:r>
    <w:r>
      <w:t>/INF/</w:t>
    </w:r>
    <w:r w:rsidR="007438BA">
      <w:t>5</w:t>
    </w:r>
  </w:p>
  <w:p w:rsidR="00275B36" w:rsidRDefault="00275B36" w:rsidP="00477D6B">
    <w:pPr>
      <w:jc w:val="right"/>
    </w:pPr>
    <w:r>
      <w:t>page</w:t>
    </w:r>
    <w:r w:rsidR="00263E5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950D1">
      <w:rPr>
        <w:noProof/>
      </w:rPr>
      <w:t>2</w:t>
    </w:r>
    <w:r>
      <w:fldChar w:fldCharType="end"/>
    </w:r>
  </w:p>
  <w:p w:rsidR="00275B36" w:rsidRDefault="00275B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Pr="003E35D7" w:rsidRDefault="00B40876" w:rsidP="00B40876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B40876" w:rsidRPr="003E35D7" w:rsidRDefault="00B40876" w:rsidP="00B40876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:rsidR="00B40876" w:rsidRPr="003E35D7" w:rsidRDefault="00B40876" w:rsidP="00B40876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6" w:rsidRPr="003E35D7" w:rsidRDefault="00275B36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275B36" w:rsidRPr="003E35D7" w:rsidRDefault="00275B36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0861C0">
      <w:rPr>
        <w:noProof/>
        <w:lang w:val="it-IT"/>
      </w:rPr>
      <w:t>2</w:t>
    </w:r>
    <w:r>
      <w:fldChar w:fldCharType="end"/>
    </w:r>
  </w:p>
  <w:p w:rsidR="00275B36" w:rsidRPr="003E35D7" w:rsidRDefault="00275B36" w:rsidP="00477D6B">
    <w:pPr>
      <w:jc w:val="right"/>
      <w:rPr>
        <w:lang w:val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6" w:rsidRDefault="00275B36" w:rsidP="00DE6E44">
    <w:pPr>
      <w:jc w:val="right"/>
    </w:pPr>
    <w:r>
      <w:t>A/5</w:t>
    </w:r>
    <w:r w:rsidR="006D3837">
      <w:t>9</w:t>
    </w:r>
    <w:r>
      <w:t>/INF/</w:t>
    </w:r>
    <w:r w:rsidR="00414188">
      <w:t>5</w:t>
    </w:r>
  </w:p>
  <w:p w:rsidR="00275B36" w:rsidRDefault="00275B36" w:rsidP="00DE6E44">
    <w:pPr>
      <w:jc w:val="right"/>
    </w:pPr>
    <w:r>
      <w:t>ANNEX</w:t>
    </w:r>
    <w:r w:rsidR="00263E57">
      <w:t>E</w:t>
    </w:r>
    <w:r>
      <w:t xml:space="preserve"> I</w:t>
    </w:r>
  </w:p>
  <w:p w:rsidR="00263E57" w:rsidRDefault="00263E57" w:rsidP="00DE6E44">
    <w:pPr>
      <w:jc w:val="right"/>
    </w:pPr>
  </w:p>
  <w:p w:rsidR="00263E57" w:rsidRDefault="00263E57" w:rsidP="00DE6E44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 w:rsidP="00B40876">
    <w:pPr>
      <w:jc w:val="right"/>
    </w:pPr>
    <w:r>
      <w:t>A/59/INF/5</w:t>
    </w:r>
  </w:p>
  <w:p w:rsidR="00B40876" w:rsidRDefault="00B40876" w:rsidP="00B40876">
    <w:pPr>
      <w:jc w:val="right"/>
    </w:pPr>
    <w:r>
      <w:t>ANNEXE II</w:t>
    </w:r>
  </w:p>
  <w:p w:rsidR="00B40876" w:rsidRDefault="00B40876" w:rsidP="00B40876">
    <w:pPr>
      <w:jc w:val="right"/>
    </w:pPr>
  </w:p>
  <w:p w:rsidR="00B40876" w:rsidRDefault="00B40876" w:rsidP="00B40876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275B36" w:rsidP="00477D6B">
    <w:pPr>
      <w:jc w:val="right"/>
    </w:pPr>
    <w:bookmarkStart w:id="6" w:name="Code2"/>
    <w:bookmarkEnd w:id="6"/>
    <w:r>
      <w:t>A/5</w:t>
    </w:r>
    <w:r w:rsidR="006D3837">
      <w:t>9</w:t>
    </w:r>
    <w:r>
      <w:t>/INF/</w:t>
    </w:r>
    <w:r w:rsidR="00414188">
      <w:t>5</w:t>
    </w:r>
  </w:p>
  <w:p w:rsidR="00EC4E49" w:rsidRDefault="00615248" w:rsidP="00477D6B">
    <w:pPr>
      <w:jc w:val="right"/>
    </w:pPr>
    <w:r>
      <w:t>ANNEX</w:t>
    </w:r>
    <w:r w:rsidR="00263E57">
      <w:t>E</w:t>
    </w:r>
    <w:r>
      <w:t xml:space="preserve"> II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76" w:rsidRDefault="00B40876" w:rsidP="00B40876">
    <w:pPr>
      <w:jc w:val="right"/>
    </w:pPr>
    <w:r>
      <w:t>A/59/INF/5</w:t>
    </w:r>
  </w:p>
  <w:p w:rsidR="00B40876" w:rsidRDefault="00B40876" w:rsidP="00B40876">
    <w:pPr>
      <w:jc w:val="right"/>
    </w:pPr>
    <w:r>
      <w:t>ANNEXE II</w:t>
    </w:r>
  </w:p>
  <w:p w:rsidR="00B40876" w:rsidRDefault="00B40876" w:rsidP="00B40876">
    <w:pPr>
      <w:jc w:val="right"/>
    </w:pPr>
  </w:p>
  <w:p w:rsidR="00B40876" w:rsidRDefault="00B40876" w:rsidP="00B4087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5A1544"/>
    <w:multiLevelType w:val="hybridMultilevel"/>
    <w:tmpl w:val="FCD400B8"/>
    <w:lvl w:ilvl="0" w:tplc="D9A65486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Treaties &amp; Laws\WIPO Treaties|TextBase TMs\WorkspaceFTS\Copyright\Copyright|Team Server TMs\French|TextBase TMs\WorkspaceFTS\GRTKF\GRTKF|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275B36"/>
    <w:rsid w:val="00043CAA"/>
    <w:rsid w:val="000444B1"/>
    <w:rsid w:val="0006318A"/>
    <w:rsid w:val="00072DA2"/>
    <w:rsid w:val="00075432"/>
    <w:rsid w:val="000765C4"/>
    <w:rsid w:val="000861C0"/>
    <w:rsid w:val="000968ED"/>
    <w:rsid w:val="000A4C0D"/>
    <w:rsid w:val="000B067B"/>
    <w:rsid w:val="000B779D"/>
    <w:rsid w:val="000C117A"/>
    <w:rsid w:val="000E6FDE"/>
    <w:rsid w:val="000F5E56"/>
    <w:rsid w:val="00101C1F"/>
    <w:rsid w:val="001362EE"/>
    <w:rsid w:val="00156693"/>
    <w:rsid w:val="00162C6D"/>
    <w:rsid w:val="001647D5"/>
    <w:rsid w:val="00167EAE"/>
    <w:rsid w:val="0017026D"/>
    <w:rsid w:val="0017191E"/>
    <w:rsid w:val="00175FA0"/>
    <w:rsid w:val="001832A6"/>
    <w:rsid w:val="001A0ECC"/>
    <w:rsid w:val="001A77BF"/>
    <w:rsid w:val="0021217E"/>
    <w:rsid w:val="00250DDD"/>
    <w:rsid w:val="002634C4"/>
    <w:rsid w:val="00263E57"/>
    <w:rsid w:val="00275B36"/>
    <w:rsid w:val="002928D3"/>
    <w:rsid w:val="002D3232"/>
    <w:rsid w:val="002E0EEF"/>
    <w:rsid w:val="002E3348"/>
    <w:rsid w:val="002F1FE6"/>
    <w:rsid w:val="002F4E68"/>
    <w:rsid w:val="0030098B"/>
    <w:rsid w:val="0030187D"/>
    <w:rsid w:val="00312F7F"/>
    <w:rsid w:val="003178BA"/>
    <w:rsid w:val="003437D8"/>
    <w:rsid w:val="003456BE"/>
    <w:rsid w:val="00350AE2"/>
    <w:rsid w:val="00361450"/>
    <w:rsid w:val="00363EEF"/>
    <w:rsid w:val="003673CF"/>
    <w:rsid w:val="00371A71"/>
    <w:rsid w:val="003845C1"/>
    <w:rsid w:val="003A6F89"/>
    <w:rsid w:val="003B38C1"/>
    <w:rsid w:val="003D2030"/>
    <w:rsid w:val="003D57B0"/>
    <w:rsid w:val="0041060B"/>
    <w:rsid w:val="00414188"/>
    <w:rsid w:val="00423E3E"/>
    <w:rsid w:val="00427AF4"/>
    <w:rsid w:val="004647DA"/>
    <w:rsid w:val="00474062"/>
    <w:rsid w:val="00477D6B"/>
    <w:rsid w:val="00490464"/>
    <w:rsid w:val="004950D1"/>
    <w:rsid w:val="005019FF"/>
    <w:rsid w:val="00510BBF"/>
    <w:rsid w:val="0051408C"/>
    <w:rsid w:val="0053057A"/>
    <w:rsid w:val="00560A29"/>
    <w:rsid w:val="00582F75"/>
    <w:rsid w:val="005C6649"/>
    <w:rsid w:val="005F4F9F"/>
    <w:rsid w:val="00605827"/>
    <w:rsid w:val="00615248"/>
    <w:rsid w:val="00646050"/>
    <w:rsid w:val="0064618B"/>
    <w:rsid w:val="00663F9D"/>
    <w:rsid w:val="006713CA"/>
    <w:rsid w:val="00675811"/>
    <w:rsid w:val="00676C5C"/>
    <w:rsid w:val="006D3837"/>
    <w:rsid w:val="006D3C16"/>
    <w:rsid w:val="006E4F5F"/>
    <w:rsid w:val="00703D03"/>
    <w:rsid w:val="0071092E"/>
    <w:rsid w:val="007438BA"/>
    <w:rsid w:val="007D1613"/>
    <w:rsid w:val="007E4C0E"/>
    <w:rsid w:val="00860537"/>
    <w:rsid w:val="00877718"/>
    <w:rsid w:val="00896C2D"/>
    <w:rsid w:val="008A134B"/>
    <w:rsid w:val="008B2CC1"/>
    <w:rsid w:val="008B60B2"/>
    <w:rsid w:val="008D1611"/>
    <w:rsid w:val="008F0AA4"/>
    <w:rsid w:val="0090731E"/>
    <w:rsid w:val="00916EE2"/>
    <w:rsid w:val="00966A22"/>
    <w:rsid w:val="0096722F"/>
    <w:rsid w:val="00975151"/>
    <w:rsid w:val="00980843"/>
    <w:rsid w:val="009A5A99"/>
    <w:rsid w:val="009A62FA"/>
    <w:rsid w:val="009A7C61"/>
    <w:rsid w:val="009C127D"/>
    <w:rsid w:val="009C3F62"/>
    <w:rsid w:val="009D7B28"/>
    <w:rsid w:val="009E2791"/>
    <w:rsid w:val="009E3F6F"/>
    <w:rsid w:val="009F499F"/>
    <w:rsid w:val="00A37342"/>
    <w:rsid w:val="00A42DAF"/>
    <w:rsid w:val="00A45BD8"/>
    <w:rsid w:val="00A4727E"/>
    <w:rsid w:val="00A67C08"/>
    <w:rsid w:val="00A75212"/>
    <w:rsid w:val="00A7760A"/>
    <w:rsid w:val="00A869B7"/>
    <w:rsid w:val="00AA2DD4"/>
    <w:rsid w:val="00AC205C"/>
    <w:rsid w:val="00AD13EF"/>
    <w:rsid w:val="00AF0A6B"/>
    <w:rsid w:val="00AF5278"/>
    <w:rsid w:val="00B05A69"/>
    <w:rsid w:val="00B40876"/>
    <w:rsid w:val="00B9734B"/>
    <w:rsid w:val="00BA0A62"/>
    <w:rsid w:val="00BA30E2"/>
    <w:rsid w:val="00BC3EAF"/>
    <w:rsid w:val="00C11BFE"/>
    <w:rsid w:val="00C402BC"/>
    <w:rsid w:val="00C5068F"/>
    <w:rsid w:val="00C521B1"/>
    <w:rsid w:val="00C86D74"/>
    <w:rsid w:val="00CD04F1"/>
    <w:rsid w:val="00CD7F59"/>
    <w:rsid w:val="00D26D31"/>
    <w:rsid w:val="00D44A0B"/>
    <w:rsid w:val="00D45252"/>
    <w:rsid w:val="00D62434"/>
    <w:rsid w:val="00D6583B"/>
    <w:rsid w:val="00D66E37"/>
    <w:rsid w:val="00D71B4D"/>
    <w:rsid w:val="00D84070"/>
    <w:rsid w:val="00D93D55"/>
    <w:rsid w:val="00DC0E7C"/>
    <w:rsid w:val="00DF023A"/>
    <w:rsid w:val="00DF383E"/>
    <w:rsid w:val="00E15015"/>
    <w:rsid w:val="00E3275C"/>
    <w:rsid w:val="00E335FE"/>
    <w:rsid w:val="00E57793"/>
    <w:rsid w:val="00E85557"/>
    <w:rsid w:val="00E94192"/>
    <w:rsid w:val="00EA7D6E"/>
    <w:rsid w:val="00EB2210"/>
    <w:rsid w:val="00EC4E49"/>
    <w:rsid w:val="00ED77FB"/>
    <w:rsid w:val="00EE45FA"/>
    <w:rsid w:val="00EE7A67"/>
    <w:rsid w:val="00F66152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15F9D85-C4B5-4316-8F0F-F5702E7E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63EEF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63E57"/>
    <w:pPr>
      <w:numPr>
        <w:numId w:val="9"/>
      </w:numPr>
      <w:spacing w:before="240" w:after="220"/>
      <w:ind w:left="0" w:firstLine="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275B3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qFormat/>
    <w:rsid w:val="00275B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52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24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524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1524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1524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759F-EDE5-4DA9-B52A-5CEF6727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3629</Characters>
  <Application>Microsoft Office Word</Application>
  <DocSecurity>0</DocSecurity>
  <Lines>67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A/58/</vt:lpstr>
      <vt:lpstr>A/58/</vt:lpstr>
    </vt:vector>
  </TitlesOfParts>
  <Company>WIPO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Evangelista, Michele;Woods, Michele</dc:creator>
  <cp:keywords>PUBLIC</cp:keywords>
  <cp:lastModifiedBy>HÄFLIGER Patience</cp:lastModifiedBy>
  <cp:revision>4</cp:revision>
  <cp:lastPrinted>2019-07-16T06:42:00Z</cp:lastPrinted>
  <dcterms:created xsi:type="dcterms:W3CDTF">2019-07-22T09:28:00Z</dcterms:created>
  <dcterms:modified xsi:type="dcterms:W3CDTF">2019-08-14T12:22:00Z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98278781-8776-42fa-94b2-37104f3a3f76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