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04F1C" w14:textId="77777777" w:rsidR="00F91CBB" w:rsidRPr="00123893" w:rsidRDefault="00F91CBB" w:rsidP="00F91CBB">
      <w:pPr>
        <w:widowControl w:val="0"/>
        <w:jc w:val="right"/>
        <w:rPr>
          <w:b/>
          <w:sz w:val="2"/>
          <w:szCs w:val="40"/>
        </w:rPr>
      </w:pPr>
      <w:bookmarkStart w:id="0" w:name="Prepared"/>
      <w:bookmarkStart w:id="1" w:name="_GoBack"/>
      <w:bookmarkEnd w:id="0"/>
      <w:bookmarkEnd w:id="1"/>
      <w:r>
        <w:rPr>
          <w:b/>
          <w:sz w:val="40"/>
          <w:szCs w:val="40"/>
        </w:rPr>
        <w:t>F</w:t>
      </w:r>
    </w:p>
    <w:p w14:paraId="0AE7BCB1" w14:textId="77777777" w:rsidR="00F91CBB" w:rsidRDefault="00F91CBB" w:rsidP="00F91CBB">
      <w:pPr>
        <w:spacing w:line="360" w:lineRule="auto"/>
        <w:ind w:left="4592"/>
        <w:rPr>
          <w:rFonts w:ascii="Arial Black" w:hAnsi="Arial Black"/>
          <w:caps/>
          <w:sz w:val="15"/>
        </w:rPr>
      </w:pPr>
      <w:r>
        <w:rPr>
          <w:noProof/>
          <w:lang w:eastAsia="en-US"/>
        </w:rPr>
        <w:drawing>
          <wp:inline distT="0" distB="0" distL="0" distR="0" wp14:anchorId="474B7B28" wp14:editId="35C083C6">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773E8BC5" w14:textId="77777777" w:rsidR="00F91CBB" w:rsidRPr="007378AD" w:rsidRDefault="00F91CBB" w:rsidP="00F91CBB">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A/59</w:t>
      </w:r>
      <w:r w:rsidRPr="007378AD">
        <w:rPr>
          <w:rFonts w:ascii="Arial Black" w:hAnsi="Arial Black"/>
          <w:b/>
          <w:caps/>
          <w:sz w:val="15"/>
          <w:lang w:val="fr-CH"/>
        </w:rPr>
        <w:t>/</w:t>
      </w:r>
      <w:bookmarkStart w:id="2" w:name="Code"/>
      <w:bookmarkEnd w:id="2"/>
      <w:r>
        <w:rPr>
          <w:rFonts w:ascii="Arial Black" w:hAnsi="Arial Black"/>
          <w:b/>
          <w:caps/>
          <w:sz w:val="15"/>
          <w:lang w:val="fr-CH"/>
        </w:rPr>
        <w:t>INF/3</w:t>
      </w:r>
    </w:p>
    <w:p w14:paraId="3584EA9F" w14:textId="74C6069B" w:rsidR="00F91CBB" w:rsidRPr="007378AD" w:rsidRDefault="00F91CBB" w:rsidP="00F91CBB">
      <w:pPr>
        <w:jc w:val="right"/>
        <w:rPr>
          <w:rFonts w:ascii="Arial Black" w:hAnsi="Arial Black"/>
          <w:b/>
          <w:caps/>
          <w:sz w:val="15"/>
          <w:lang w:val="fr-CH"/>
        </w:rPr>
      </w:pPr>
      <w:r w:rsidRPr="007378AD">
        <w:rPr>
          <w:rFonts w:ascii="Arial Black" w:hAnsi="Arial Black"/>
          <w:b/>
          <w:caps/>
          <w:sz w:val="15"/>
          <w:lang w:val="fr-CH"/>
        </w:rPr>
        <w:t>ORIGINAL</w:t>
      </w:r>
      <w:r w:rsidR="00B34C7F">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14:paraId="47299886" w14:textId="79AE586F" w:rsidR="00F91CBB" w:rsidRPr="007378AD" w:rsidRDefault="00F91CBB" w:rsidP="00F91CBB">
      <w:pPr>
        <w:spacing w:line="1680" w:lineRule="auto"/>
        <w:jc w:val="right"/>
        <w:rPr>
          <w:rFonts w:ascii="Arial Black" w:hAnsi="Arial Black"/>
          <w:b/>
          <w:caps/>
          <w:sz w:val="15"/>
          <w:lang w:val="fr-CH"/>
        </w:rPr>
      </w:pPr>
      <w:r w:rsidRPr="007378AD">
        <w:rPr>
          <w:rFonts w:ascii="Arial Black" w:hAnsi="Arial Black"/>
          <w:b/>
          <w:caps/>
          <w:sz w:val="15"/>
          <w:lang w:val="fr-CH"/>
        </w:rPr>
        <w:t>DATE</w:t>
      </w:r>
      <w:r w:rsidR="00B34C7F">
        <w:rPr>
          <w:rFonts w:ascii="Arial Black" w:hAnsi="Arial Black"/>
          <w:b/>
          <w:caps/>
          <w:sz w:val="15"/>
          <w:lang w:val="fr-CH"/>
        </w:rPr>
        <w:t> :</w:t>
      </w:r>
      <w:r>
        <w:rPr>
          <w:rFonts w:ascii="Arial Black" w:hAnsi="Arial Black"/>
          <w:b/>
          <w:caps/>
          <w:sz w:val="15"/>
          <w:lang w:val="fr-CH"/>
        </w:rPr>
        <w:t xml:space="preserve"> </w:t>
      </w:r>
      <w:bookmarkStart w:id="4" w:name="Date"/>
      <w:bookmarkEnd w:id="4"/>
      <w:r>
        <w:rPr>
          <w:rFonts w:ascii="Arial Black" w:hAnsi="Arial Black"/>
          <w:b/>
          <w:caps/>
          <w:sz w:val="15"/>
          <w:lang w:val="fr-CH"/>
        </w:rPr>
        <w:t>1</w:t>
      </w:r>
      <w:r w:rsidR="00B34C7F">
        <w:rPr>
          <w:rFonts w:ascii="Arial Black" w:hAnsi="Arial Black"/>
          <w:b/>
          <w:caps/>
          <w:sz w:val="15"/>
          <w:lang w:val="fr-CH"/>
        </w:rPr>
        <w:t>2 septembre 20</w:t>
      </w:r>
      <w:r>
        <w:rPr>
          <w:rFonts w:ascii="Arial Black" w:hAnsi="Arial Black"/>
          <w:b/>
          <w:caps/>
          <w:sz w:val="15"/>
          <w:lang w:val="fr-CH"/>
        </w:rPr>
        <w:t>19</w:t>
      </w:r>
    </w:p>
    <w:p w14:paraId="21CD2074" w14:textId="4804BC7E" w:rsidR="00F91CBB" w:rsidRPr="00217165" w:rsidRDefault="00F91CBB" w:rsidP="00F91CBB">
      <w:pPr>
        <w:pStyle w:val="Heading1"/>
        <w:rPr>
          <w:lang w:val="fr-CH"/>
        </w:rPr>
      </w:pPr>
      <w:r w:rsidRPr="00217165">
        <w:rPr>
          <w:lang w:val="fr-CH"/>
        </w:rPr>
        <w:t>Assemblées des États membres de l</w:t>
      </w:r>
      <w:r w:rsidR="00B34C7F">
        <w:rPr>
          <w:lang w:val="fr-CH"/>
        </w:rPr>
        <w:t>’</w:t>
      </w:r>
      <w:r w:rsidRPr="00217165">
        <w:rPr>
          <w:lang w:val="fr-CH"/>
        </w:rPr>
        <w:t>OMPI</w:t>
      </w:r>
    </w:p>
    <w:p w14:paraId="5562B876" w14:textId="0284D867" w:rsidR="00F91CBB" w:rsidRPr="00217165" w:rsidRDefault="00F91CBB" w:rsidP="00F91CBB">
      <w:pPr>
        <w:spacing w:after="720"/>
        <w:rPr>
          <w:b/>
          <w:sz w:val="24"/>
          <w:lang w:val="fr-CH"/>
        </w:rPr>
      </w:pPr>
      <w:r>
        <w:rPr>
          <w:b/>
          <w:sz w:val="24"/>
          <w:lang w:val="fr-CH"/>
        </w:rPr>
        <w:t>Cinquante</w:t>
      </w:r>
      <w:r w:rsidR="006E7721">
        <w:rPr>
          <w:b/>
          <w:sz w:val="24"/>
          <w:lang w:val="fr-CH"/>
        </w:rPr>
        <w:t>-</w:t>
      </w:r>
      <w:r>
        <w:rPr>
          <w:b/>
          <w:sz w:val="24"/>
          <w:lang w:val="fr-CH"/>
        </w:rPr>
        <w:t>neuvième</w:t>
      </w:r>
      <w:r w:rsidRPr="00217165">
        <w:rPr>
          <w:b/>
          <w:sz w:val="24"/>
          <w:lang w:val="fr-CH"/>
        </w:rPr>
        <w:t xml:space="preserve"> série de réunions</w:t>
      </w:r>
      <w:r w:rsidRPr="00217165">
        <w:rPr>
          <w:b/>
          <w:sz w:val="24"/>
          <w:lang w:val="fr-CH"/>
        </w:rPr>
        <w:br/>
      </w:r>
      <w:r w:rsidRPr="002A1C08">
        <w:rPr>
          <w:b/>
          <w:sz w:val="24"/>
          <w:lang w:val="fr-CH"/>
        </w:rPr>
        <w:t xml:space="preserve">Genève, </w:t>
      </w:r>
      <w:r>
        <w:rPr>
          <w:b/>
          <w:sz w:val="24"/>
          <w:lang w:val="fr-CH"/>
        </w:rPr>
        <w:t>3</w:t>
      </w:r>
      <w:r w:rsidR="00B34C7F">
        <w:rPr>
          <w:b/>
          <w:sz w:val="24"/>
          <w:lang w:val="fr-CH"/>
        </w:rPr>
        <w:t>0 </w:t>
      </w:r>
      <w:r w:rsidR="00B34C7F" w:rsidRPr="002A1C08">
        <w:rPr>
          <w:b/>
          <w:sz w:val="24"/>
          <w:lang w:val="fr-CH"/>
        </w:rPr>
        <w:t>septembre</w:t>
      </w:r>
      <w:r w:rsidRPr="002A1C08">
        <w:rPr>
          <w:b/>
          <w:sz w:val="24"/>
          <w:lang w:val="fr-CH"/>
        </w:rPr>
        <w:t xml:space="preserve"> –</w:t>
      </w:r>
      <w:r>
        <w:rPr>
          <w:b/>
          <w:sz w:val="24"/>
          <w:lang w:val="fr-CH"/>
        </w:rPr>
        <w:t xml:space="preserve"> </w:t>
      </w:r>
      <w:r w:rsidR="00B34C7F">
        <w:rPr>
          <w:b/>
          <w:sz w:val="24"/>
          <w:lang w:val="fr-CH"/>
        </w:rPr>
        <w:t>9 </w:t>
      </w:r>
      <w:r w:rsidR="00B34C7F" w:rsidRPr="002A1C08">
        <w:rPr>
          <w:b/>
          <w:sz w:val="24"/>
          <w:lang w:val="fr-CH"/>
        </w:rPr>
        <w:t>octobre</w:t>
      </w:r>
      <w:r w:rsidR="00B34C7F">
        <w:rPr>
          <w:b/>
          <w:sz w:val="24"/>
          <w:lang w:val="fr-CH"/>
        </w:rPr>
        <w:t> 20</w:t>
      </w:r>
      <w:r>
        <w:rPr>
          <w:b/>
          <w:sz w:val="24"/>
          <w:lang w:val="fr-CH"/>
        </w:rPr>
        <w:t>19</w:t>
      </w:r>
    </w:p>
    <w:p w14:paraId="44A395EA" w14:textId="523B867F" w:rsidR="00524595" w:rsidRPr="001600A8" w:rsidRDefault="00FD1847" w:rsidP="00FD1847">
      <w:pPr>
        <w:spacing w:after="360"/>
        <w:rPr>
          <w:caps/>
          <w:sz w:val="24"/>
          <w:lang w:val="fr-CH"/>
        </w:rPr>
      </w:pPr>
      <w:r w:rsidRPr="001600A8">
        <w:rPr>
          <w:caps/>
          <w:sz w:val="24"/>
          <w:lang w:val="fr-CH"/>
        </w:rPr>
        <w:t>Informations demandées par le Comité du programme et budget, comme indiqué dans le document</w:t>
      </w:r>
      <w:r w:rsidR="007F3CE5">
        <w:rPr>
          <w:caps/>
          <w:sz w:val="24"/>
          <w:lang w:val="fr-CH"/>
        </w:rPr>
        <w:t> </w:t>
      </w:r>
      <w:r w:rsidRPr="001600A8">
        <w:rPr>
          <w:caps/>
          <w:sz w:val="24"/>
          <w:lang w:val="fr-CH"/>
        </w:rPr>
        <w:t>WO/PBC/30/15 sous le point</w:t>
      </w:r>
      <w:r w:rsidR="00FC76B3" w:rsidRPr="001600A8">
        <w:rPr>
          <w:caps/>
          <w:sz w:val="24"/>
          <w:lang w:val="fr-CH"/>
        </w:rPr>
        <w:t> </w:t>
      </w:r>
      <w:r w:rsidRPr="001600A8">
        <w:rPr>
          <w:caps/>
          <w:sz w:val="24"/>
          <w:lang w:val="fr-CH"/>
        </w:rPr>
        <w:t>11.iv) de</w:t>
      </w:r>
      <w:r w:rsidR="00B86B83" w:rsidRPr="00176521">
        <w:rPr>
          <w:lang w:val="fr-CH"/>
        </w:rPr>
        <w:t> </w:t>
      </w:r>
      <w:r w:rsidRPr="001600A8">
        <w:rPr>
          <w:caps/>
          <w:sz w:val="24"/>
          <w:lang w:val="fr-CH"/>
        </w:rPr>
        <w:t>l</w:t>
      </w:r>
      <w:r w:rsidR="00B34C7F">
        <w:rPr>
          <w:caps/>
          <w:sz w:val="24"/>
          <w:lang w:val="fr-CH"/>
        </w:rPr>
        <w:t>’</w:t>
      </w:r>
      <w:r w:rsidRPr="001600A8">
        <w:rPr>
          <w:caps/>
          <w:sz w:val="24"/>
          <w:lang w:val="fr-CH"/>
        </w:rPr>
        <w:t>ordre du jour</w:t>
      </w:r>
    </w:p>
    <w:p w14:paraId="52BB167C" w14:textId="0529FC41" w:rsidR="00524595" w:rsidRPr="001600A8" w:rsidRDefault="00FD1847" w:rsidP="00176521">
      <w:pPr>
        <w:spacing w:after="960"/>
        <w:rPr>
          <w:i/>
          <w:lang w:val="fr-CH"/>
        </w:rPr>
      </w:pPr>
      <w:r w:rsidRPr="001600A8">
        <w:rPr>
          <w:i/>
          <w:lang w:val="fr-CH"/>
        </w:rPr>
        <w:t>Document d</w:t>
      </w:r>
      <w:r w:rsidR="00B34C7F">
        <w:rPr>
          <w:i/>
          <w:lang w:val="fr-CH"/>
        </w:rPr>
        <w:t>’</w:t>
      </w:r>
      <w:r w:rsidRPr="001600A8">
        <w:rPr>
          <w:i/>
          <w:lang w:val="fr-CH"/>
        </w:rPr>
        <w:t>information établi par le Secrétariat</w:t>
      </w:r>
    </w:p>
    <w:p w14:paraId="6E5A8323" w14:textId="1952CFFA" w:rsidR="00524595" w:rsidRPr="001600A8" w:rsidRDefault="00FC76B3" w:rsidP="00FD1847">
      <w:pPr>
        <w:pStyle w:val="null"/>
        <w:spacing w:before="0" w:beforeAutospacing="0" w:after="0" w:afterAutospacing="0"/>
        <w:jc w:val="both"/>
        <w:rPr>
          <w:rFonts w:ascii="Arial" w:eastAsia="Times New Roman" w:hAnsi="Arial" w:cs="Arial"/>
          <w:b/>
          <w:iCs/>
          <w:sz w:val="22"/>
          <w:szCs w:val="22"/>
        </w:rPr>
      </w:pPr>
      <w:proofErr w:type="spellStart"/>
      <w:r w:rsidRPr="001600A8">
        <w:rPr>
          <w:rFonts w:ascii="Arial" w:eastAsia="Times New Roman" w:hAnsi="Arial" w:cs="Arial"/>
          <w:b/>
          <w:iCs/>
          <w:sz w:val="22"/>
          <w:szCs w:val="22"/>
        </w:rPr>
        <w:t>Généralités</w:t>
      </w:r>
      <w:proofErr w:type="spellEnd"/>
    </w:p>
    <w:p w14:paraId="2165CBBB" w14:textId="77777777" w:rsidR="00524595" w:rsidRPr="001600A8" w:rsidRDefault="00524595" w:rsidP="00FA2F1A">
      <w:pPr>
        <w:pStyle w:val="null"/>
        <w:spacing w:before="0" w:beforeAutospacing="0" w:after="0" w:afterAutospacing="0"/>
        <w:jc w:val="both"/>
        <w:rPr>
          <w:rFonts w:ascii="Arial" w:eastAsia="Times New Roman" w:hAnsi="Arial" w:cs="Arial"/>
          <w:iCs/>
          <w:sz w:val="22"/>
          <w:szCs w:val="22"/>
        </w:rPr>
      </w:pPr>
    </w:p>
    <w:p w14:paraId="59457BB4" w14:textId="2AFCD74E" w:rsidR="00524595" w:rsidRPr="001600A8" w:rsidRDefault="00FD1847" w:rsidP="00176521">
      <w:pPr>
        <w:pStyle w:val="ONUMFS"/>
        <w:rPr>
          <w:lang w:val="fr-CH"/>
        </w:rPr>
      </w:pPr>
      <w:r w:rsidRPr="001600A8">
        <w:rPr>
          <w:lang w:val="fr-CH"/>
        </w:rPr>
        <w:t>À sa trent</w:t>
      </w:r>
      <w:r w:rsidR="00B34C7F">
        <w:rPr>
          <w:lang w:val="fr-CH"/>
        </w:rPr>
        <w:t>ième session</w:t>
      </w:r>
      <w:r w:rsidRPr="001600A8">
        <w:rPr>
          <w:lang w:val="fr-CH"/>
        </w:rPr>
        <w:t xml:space="preserve"> en juillet</w:t>
      </w:r>
      <w:r w:rsidR="00FC76B3" w:rsidRPr="001600A8">
        <w:rPr>
          <w:lang w:val="fr-CH"/>
        </w:rPr>
        <w:t> </w:t>
      </w:r>
      <w:r w:rsidRPr="001600A8">
        <w:rPr>
          <w:lang w:val="fr-CH"/>
        </w:rPr>
        <w:t>2019, le Comité du programme et budget (PBC), ayant achevé son examen détaillé du programme et budget proposé pour l</w:t>
      </w:r>
      <w:r w:rsidR="00B34C7F">
        <w:rPr>
          <w:lang w:val="fr-CH"/>
        </w:rPr>
        <w:t>’</w:t>
      </w:r>
      <w:r w:rsidRPr="001600A8">
        <w:rPr>
          <w:lang w:val="fr-CH"/>
        </w:rPr>
        <w:t>exercice biennal</w:t>
      </w:r>
      <w:r w:rsidR="00FC76B3" w:rsidRPr="001600A8">
        <w:rPr>
          <w:lang w:val="fr-CH"/>
        </w:rPr>
        <w:t> </w:t>
      </w:r>
      <w:r w:rsidRPr="001600A8">
        <w:rPr>
          <w:lang w:val="fr-CH"/>
        </w:rPr>
        <w:t>2020</w:t>
      </w:r>
      <w:r w:rsidR="00B34C7F">
        <w:rPr>
          <w:lang w:val="fr-CH"/>
        </w:rPr>
        <w:t>-</w:t>
      </w:r>
      <w:r w:rsidRPr="001600A8">
        <w:rPr>
          <w:lang w:val="fr-CH"/>
        </w:rPr>
        <w:t>2021 figurant dans les documents</w:t>
      </w:r>
      <w:r w:rsidR="007F3CE5">
        <w:rPr>
          <w:lang w:val="fr-CH"/>
        </w:rPr>
        <w:t> </w:t>
      </w:r>
      <w:r w:rsidRPr="001600A8">
        <w:rPr>
          <w:lang w:val="fr-CH"/>
        </w:rPr>
        <w:t>WO/PBC/30/10 et WO/PBC/30/10</w:t>
      </w:r>
      <w:r w:rsidR="006E7721">
        <w:rPr>
          <w:lang w:val="fr-CH"/>
        </w:rPr>
        <w:t> </w:t>
      </w:r>
      <w:r w:rsidRPr="001600A8">
        <w:rPr>
          <w:lang w:val="fr-CH"/>
        </w:rPr>
        <w:t>Corr., est convenu de revenir sur la question faisant l</w:t>
      </w:r>
      <w:r w:rsidR="00B34C7F">
        <w:rPr>
          <w:lang w:val="fr-CH"/>
        </w:rPr>
        <w:t>’</w:t>
      </w:r>
      <w:r w:rsidRPr="001600A8">
        <w:rPr>
          <w:lang w:val="fr-CH"/>
        </w:rPr>
        <w:t>objet du document</w:t>
      </w:r>
      <w:r w:rsidR="007F3CE5">
        <w:rPr>
          <w:lang w:val="fr-CH"/>
        </w:rPr>
        <w:t> </w:t>
      </w:r>
      <w:r w:rsidRPr="001600A8">
        <w:rPr>
          <w:lang w:val="fr-CH"/>
        </w:rPr>
        <w:t>WO/PBC/30/10</w:t>
      </w:r>
      <w:r w:rsidR="006E7721">
        <w:rPr>
          <w:lang w:val="fr-CH"/>
        </w:rPr>
        <w:t> </w:t>
      </w:r>
      <w:r w:rsidRPr="001600A8">
        <w:rPr>
          <w:lang w:val="fr-CH"/>
        </w:rPr>
        <w:t>C</w:t>
      </w:r>
      <w:r w:rsidR="00FC76B3" w:rsidRPr="001600A8">
        <w:rPr>
          <w:lang w:val="fr-CH"/>
        </w:rPr>
        <w:t xml:space="preserve">orr. </w:t>
      </w:r>
      <w:r w:rsidRPr="001600A8">
        <w:rPr>
          <w:lang w:val="fr-CH"/>
        </w:rPr>
        <w:t>lors de l</w:t>
      </w:r>
      <w:r w:rsidR="00B34C7F">
        <w:rPr>
          <w:lang w:val="fr-CH"/>
        </w:rPr>
        <w:t>’</w:t>
      </w:r>
      <w:r w:rsidRPr="001600A8">
        <w:rPr>
          <w:lang w:val="fr-CH"/>
        </w:rPr>
        <w:t>adoption du programme et budget pour l</w:t>
      </w:r>
      <w:r w:rsidR="00B34C7F">
        <w:rPr>
          <w:lang w:val="fr-CH"/>
        </w:rPr>
        <w:t>’</w:t>
      </w:r>
      <w:r w:rsidRPr="001600A8">
        <w:rPr>
          <w:lang w:val="fr-CH"/>
        </w:rPr>
        <w:t xml:space="preserve">exercice </w:t>
      </w:r>
      <w:r w:rsidR="00B34C7F" w:rsidRPr="001600A8">
        <w:rPr>
          <w:lang w:val="fr-CH"/>
        </w:rPr>
        <w:t>biennal</w:t>
      </w:r>
      <w:r w:rsidR="00B34C7F">
        <w:rPr>
          <w:lang w:val="fr-CH"/>
        </w:rPr>
        <w:t> </w:t>
      </w:r>
      <w:r w:rsidR="00B34C7F" w:rsidRPr="001600A8">
        <w:rPr>
          <w:lang w:val="fr-CH"/>
        </w:rPr>
        <w:t>2020</w:t>
      </w:r>
      <w:r w:rsidR="00B34C7F">
        <w:rPr>
          <w:lang w:val="fr-CH"/>
        </w:rPr>
        <w:t>-</w:t>
      </w:r>
      <w:r w:rsidRPr="001600A8">
        <w:rPr>
          <w:lang w:val="fr-CH"/>
        </w:rPr>
        <w:t>2021 à la cinquante</w:t>
      </w:r>
      <w:r w:rsidR="00B34C7F">
        <w:rPr>
          <w:lang w:val="fr-CH"/>
        </w:rPr>
        <w:t>-</w:t>
      </w:r>
      <w:r w:rsidRPr="001600A8">
        <w:rPr>
          <w:lang w:val="fr-CH"/>
        </w:rPr>
        <w:t>neuvième série de réunions des assemblées des États membres de l</w:t>
      </w:r>
      <w:r w:rsidR="00B34C7F">
        <w:rPr>
          <w:lang w:val="fr-CH"/>
        </w:rPr>
        <w:t>’</w:t>
      </w:r>
      <w:r w:rsidRPr="001600A8">
        <w:rPr>
          <w:lang w:val="fr-CH"/>
        </w:rPr>
        <w:t>OMPI.</w:t>
      </w:r>
    </w:p>
    <w:p w14:paraId="0EB6CF82" w14:textId="467D12D7" w:rsidR="00524595" w:rsidRPr="001600A8" w:rsidRDefault="00FD1847" w:rsidP="00176521">
      <w:pPr>
        <w:pStyle w:val="ONUMFS"/>
        <w:spacing w:after="440"/>
        <w:rPr>
          <w:lang w:val="fr-CH"/>
        </w:rPr>
      </w:pPr>
      <w:r w:rsidRPr="001600A8">
        <w:rPr>
          <w:lang w:val="fr-CH"/>
        </w:rPr>
        <w:t>Dans ce contexte,</w:t>
      </w:r>
      <w:r w:rsidR="00B34C7F" w:rsidRPr="001600A8">
        <w:rPr>
          <w:lang w:val="fr-CH"/>
        </w:rPr>
        <w:t xml:space="preserve"> le</w:t>
      </w:r>
      <w:r w:rsidR="00B34C7F">
        <w:rPr>
          <w:lang w:val="fr-CH"/>
        </w:rPr>
        <w:t> </w:t>
      </w:r>
      <w:r w:rsidR="00B34C7F" w:rsidRPr="001600A8">
        <w:rPr>
          <w:lang w:val="fr-CH"/>
        </w:rPr>
        <w:t>PBC</w:t>
      </w:r>
      <w:r w:rsidRPr="001600A8">
        <w:rPr>
          <w:lang w:val="fr-CH"/>
        </w:rPr>
        <w:t xml:space="preserve"> a prié le Secrétariat de présenter pour examen lors des assemblées de l</w:t>
      </w:r>
      <w:r w:rsidR="00B34C7F">
        <w:rPr>
          <w:lang w:val="fr-CH"/>
        </w:rPr>
        <w:t>’</w:t>
      </w:r>
      <w:r w:rsidRPr="001600A8">
        <w:rPr>
          <w:lang w:val="fr-CH"/>
        </w:rPr>
        <w:t>OMPI un document de travail indiquant le montant exact, les calculs détaillés, les sources et les modalités de financement nécessaires en rapport avec le jugement n</w:t>
      </w:r>
      <w:r w:rsidR="00FC76B3" w:rsidRPr="001600A8">
        <w:rPr>
          <w:lang w:val="fr-CH"/>
        </w:rPr>
        <w:t>° </w:t>
      </w:r>
      <w:r w:rsidRPr="001600A8">
        <w:rPr>
          <w:lang w:val="fr-CH"/>
        </w:rPr>
        <w:t>4138 du Tribunal administratif de l</w:t>
      </w:r>
      <w:r w:rsidR="00B34C7F">
        <w:rPr>
          <w:lang w:val="fr-CH"/>
        </w:rPr>
        <w:t>’</w:t>
      </w:r>
      <w:r w:rsidRPr="001600A8">
        <w:rPr>
          <w:lang w:val="fr-CH"/>
        </w:rPr>
        <w:t>OIT (TAOIT).</w:t>
      </w:r>
    </w:p>
    <w:p w14:paraId="790B0A18" w14:textId="0EC46E5D" w:rsidR="00524595" w:rsidRPr="001600A8" w:rsidRDefault="00FD1847" w:rsidP="00176521">
      <w:pPr>
        <w:keepNext/>
        <w:rPr>
          <w:rFonts w:eastAsia="Times New Roman"/>
          <w:b/>
          <w:iCs/>
          <w:szCs w:val="22"/>
          <w:lang w:val="fr-CH" w:eastAsia="en-US"/>
        </w:rPr>
      </w:pPr>
      <w:r w:rsidRPr="001600A8">
        <w:rPr>
          <w:rFonts w:eastAsia="Times New Roman"/>
          <w:b/>
          <w:iCs/>
          <w:szCs w:val="22"/>
          <w:lang w:val="fr-CH" w:eastAsia="en-US"/>
        </w:rPr>
        <w:lastRenderedPageBreak/>
        <w:t>Estimation des dépenses de personnel pour l</w:t>
      </w:r>
      <w:r w:rsidR="00B34C7F">
        <w:rPr>
          <w:rFonts w:eastAsia="Times New Roman"/>
          <w:b/>
          <w:iCs/>
          <w:szCs w:val="22"/>
          <w:lang w:val="fr-CH" w:eastAsia="en-US"/>
        </w:rPr>
        <w:t>’</w:t>
      </w:r>
      <w:r w:rsidRPr="001600A8">
        <w:rPr>
          <w:rFonts w:eastAsia="Times New Roman"/>
          <w:b/>
          <w:iCs/>
          <w:szCs w:val="22"/>
          <w:lang w:val="fr-CH" w:eastAsia="en-US"/>
        </w:rPr>
        <w:t>exercice biennal</w:t>
      </w:r>
      <w:r w:rsidR="00FC76B3" w:rsidRPr="001600A8">
        <w:rPr>
          <w:rFonts w:eastAsia="Times New Roman"/>
          <w:b/>
          <w:iCs/>
          <w:szCs w:val="22"/>
          <w:lang w:val="fr-CH" w:eastAsia="en-US"/>
        </w:rPr>
        <w:t> </w:t>
      </w:r>
      <w:r w:rsidRPr="001600A8">
        <w:rPr>
          <w:rFonts w:eastAsia="Times New Roman"/>
          <w:b/>
          <w:iCs/>
          <w:szCs w:val="22"/>
          <w:lang w:val="fr-CH" w:eastAsia="en-US"/>
        </w:rPr>
        <w:t>2020</w:t>
      </w:r>
      <w:r w:rsidR="00B34C7F">
        <w:rPr>
          <w:rFonts w:eastAsia="Times New Roman"/>
          <w:b/>
          <w:iCs/>
          <w:szCs w:val="22"/>
          <w:lang w:val="fr-CH" w:eastAsia="en-US"/>
        </w:rPr>
        <w:t>-</w:t>
      </w:r>
      <w:r w:rsidRPr="001600A8">
        <w:rPr>
          <w:rFonts w:eastAsia="Times New Roman"/>
          <w:b/>
          <w:iCs/>
          <w:szCs w:val="22"/>
          <w:lang w:val="fr-CH" w:eastAsia="en-US"/>
        </w:rPr>
        <w:t>2021</w:t>
      </w:r>
    </w:p>
    <w:p w14:paraId="378F214C" w14:textId="77777777" w:rsidR="00524595" w:rsidRPr="001600A8" w:rsidRDefault="00524595" w:rsidP="00176521">
      <w:pPr>
        <w:keepNext/>
        <w:rPr>
          <w:rFonts w:eastAsia="Times New Roman"/>
          <w:iCs/>
          <w:szCs w:val="22"/>
          <w:lang w:val="fr-CH" w:eastAsia="en-US"/>
        </w:rPr>
      </w:pPr>
    </w:p>
    <w:p w14:paraId="08FD2DB7" w14:textId="1D4C1EF8" w:rsidR="00524595" w:rsidRPr="001600A8" w:rsidRDefault="00FD1847" w:rsidP="00176521">
      <w:pPr>
        <w:pStyle w:val="ONUMFS"/>
        <w:keepNext/>
        <w:rPr>
          <w:lang w:val="fr-CH"/>
        </w:rPr>
      </w:pPr>
      <w:r w:rsidRPr="001600A8">
        <w:rPr>
          <w:lang w:val="fr-CH"/>
        </w:rPr>
        <w:t>Les dépenses de personnel pour l</w:t>
      </w:r>
      <w:r w:rsidR="00B34C7F">
        <w:rPr>
          <w:lang w:val="fr-CH"/>
        </w:rPr>
        <w:t>’</w:t>
      </w:r>
      <w:r w:rsidRPr="001600A8">
        <w:rPr>
          <w:lang w:val="fr-CH"/>
        </w:rPr>
        <w:t>exercice biennal</w:t>
      </w:r>
      <w:r w:rsidR="00FC76B3" w:rsidRPr="001600A8">
        <w:rPr>
          <w:lang w:val="fr-CH"/>
        </w:rPr>
        <w:t> </w:t>
      </w:r>
      <w:r w:rsidRPr="001600A8">
        <w:rPr>
          <w:lang w:val="fr-CH"/>
        </w:rPr>
        <w:t>2020</w:t>
      </w:r>
      <w:r w:rsidR="00B34C7F">
        <w:rPr>
          <w:lang w:val="fr-CH"/>
        </w:rPr>
        <w:t>-</w:t>
      </w:r>
      <w:r w:rsidRPr="001600A8">
        <w:rPr>
          <w:lang w:val="fr-CH"/>
        </w:rPr>
        <w:t>2021 sont estimées à 475</w:t>
      </w:r>
      <w:r w:rsidR="00FC76B3" w:rsidRPr="001600A8">
        <w:rPr>
          <w:lang w:val="fr-CH"/>
        </w:rPr>
        <w:t> 918 900 </w:t>
      </w:r>
      <w:r w:rsidRPr="001600A8">
        <w:rPr>
          <w:lang w:val="fr-CH"/>
        </w:rPr>
        <w:t>francs suisses.</w:t>
      </w:r>
      <w:r w:rsidR="00F06BAF" w:rsidRPr="001600A8">
        <w:rPr>
          <w:lang w:val="fr-CH"/>
        </w:rPr>
        <w:t xml:space="preserve">  </w:t>
      </w:r>
      <w:r w:rsidR="00663F4E" w:rsidRPr="001600A8">
        <w:rPr>
          <w:lang w:val="fr-CH"/>
        </w:rPr>
        <w:t>Cela résulte d</w:t>
      </w:r>
      <w:r w:rsidR="00B34C7F">
        <w:rPr>
          <w:lang w:val="fr-CH"/>
        </w:rPr>
        <w:t>’</w:t>
      </w:r>
      <w:r w:rsidR="00663F4E" w:rsidRPr="001600A8">
        <w:rPr>
          <w:lang w:val="fr-CH"/>
        </w:rPr>
        <w:t>une réduction de 1</w:t>
      </w:r>
      <w:r w:rsidR="00FC76B3" w:rsidRPr="001600A8">
        <w:rPr>
          <w:lang w:val="fr-CH"/>
        </w:rPr>
        <w:t> 655 800 </w:t>
      </w:r>
      <w:r w:rsidR="00663F4E" w:rsidRPr="001600A8">
        <w:rPr>
          <w:lang w:val="fr-CH"/>
        </w:rPr>
        <w:t>francs suisses pour le programme de récompenses et de reconnaissance de l</w:t>
      </w:r>
      <w:r w:rsidR="00B34C7F">
        <w:rPr>
          <w:lang w:val="fr-CH"/>
        </w:rPr>
        <w:t>’</w:t>
      </w:r>
      <w:r w:rsidR="00663F4E" w:rsidRPr="001600A8">
        <w:rPr>
          <w:lang w:val="fr-CH"/>
        </w:rPr>
        <w:t>OMPI, par rapport aux 477</w:t>
      </w:r>
      <w:r w:rsidR="00FC76B3" w:rsidRPr="001600A8">
        <w:rPr>
          <w:lang w:val="fr-CH"/>
        </w:rPr>
        <w:t> 574 700 </w:t>
      </w:r>
      <w:r w:rsidR="00663F4E" w:rsidRPr="001600A8">
        <w:rPr>
          <w:lang w:val="fr-CH"/>
        </w:rPr>
        <w:t>francs suisses dont il est question dans le document</w:t>
      </w:r>
      <w:r w:rsidR="007F3CE5">
        <w:rPr>
          <w:lang w:val="fr-CH"/>
        </w:rPr>
        <w:t> </w:t>
      </w:r>
      <w:r w:rsidR="00663F4E" w:rsidRPr="001600A8">
        <w:rPr>
          <w:lang w:val="fr-CH"/>
        </w:rPr>
        <w:t>WO/PBC/30/10</w:t>
      </w:r>
      <w:r w:rsidR="006E7721">
        <w:rPr>
          <w:lang w:val="fr-CH"/>
        </w:rPr>
        <w:t> </w:t>
      </w:r>
      <w:r w:rsidR="00663F4E" w:rsidRPr="001600A8">
        <w:rPr>
          <w:lang w:val="fr-CH"/>
        </w:rPr>
        <w:t>Corr.</w:t>
      </w:r>
    </w:p>
    <w:p w14:paraId="51C35AB7" w14:textId="4CB50D92" w:rsidR="00524595" w:rsidRPr="001600A8" w:rsidRDefault="00663F4E" w:rsidP="00176521">
      <w:pPr>
        <w:pStyle w:val="ONUMFS"/>
        <w:rPr>
          <w:lang w:val="fr-CH" w:eastAsia="en-US"/>
        </w:rPr>
      </w:pPr>
      <w:r w:rsidRPr="001600A8">
        <w:rPr>
          <w:lang w:val="fr-CH" w:eastAsia="en-US"/>
        </w:rPr>
        <w:t>La méthode de calcul des dépenses de personnel pour l</w:t>
      </w:r>
      <w:r w:rsidR="00B34C7F">
        <w:rPr>
          <w:lang w:val="fr-CH" w:eastAsia="en-US"/>
        </w:rPr>
        <w:t>’</w:t>
      </w:r>
      <w:r w:rsidRPr="001600A8">
        <w:rPr>
          <w:lang w:val="fr-CH" w:eastAsia="en-US"/>
        </w:rPr>
        <w:t>exercice biennal</w:t>
      </w:r>
      <w:r w:rsidR="00FC76B3" w:rsidRPr="001600A8">
        <w:rPr>
          <w:lang w:val="fr-CH" w:eastAsia="en-US"/>
        </w:rPr>
        <w:t> </w:t>
      </w:r>
      <w:r w:rsidRPr="001600A8">
        <w:rPr>
          <w:lang w:val="fr-CH" w:eastAsia="en-US"/>
        </w:rPr>
        <w:t>2020</w:t>
      </w:r>
      <w:r w:rsidR="00B34C7F">
        <w:rPr>
          <w:lang w:val="fr-CH" w:eastAsia="en-US"/>
        </w:rPr>
        <w:t>-</w:t>
      </w:r>
      <w:r w:rsidRPr="001600A8">
        <w:rPr>
          <w:lang w:val="fr-CH" w:eastAsia="en-US"/>
        </w:rPr>
        <w:t>2021 et l</w:t>
      </w:r>
      <w:r w:rsidR="00B34C7F">
        <w:rPr>
          <w:lang w:val="fr-CH" w:eastAsia="en-US"/>
        </w:rPr>
        <w:t>’</w:t>
      </w:r>
      <w:r w:rsidRPr="001600A8">
        <w:rPr>
          <w:lang w:val="fr-CH" w:eastAsia="en-US"/>
        </w:rPr>
        <w:t>hypothèse de planification sous</w:t>
      </w:r>
      <w:r w:rsidR="00B34C7F">
        <w:rPr>
          <w:lang w:val="fr-CH" w:eastAsia="en-US"/>
        </w:rPr>
        <w:t>-</w:t>
      </w:r>
      <w:r w:rsidRPr="001600A8">
        <w:rPr>
          <w:lang w:val="fr-CH" w:eastAsia="en-US"/>
        </w:rPr>
        <w:t>jacente sont décrites dans les sections ci</w:t>
      </w:r>
      <w:r w:rsidR="00B34C7F">
        <w:rPr>
          <w:lang w:val="fr-CH" w:eastAsia="en-US"/>
        </w:rPr>
        <w:t>-</w:t>
      </w:r>
      <w:r w:rsidRPr="001600A8">
        <w:rPr>
          <w:lang w:val="fr-CH" w:eastAsia="en-US"/>
        </w:rPr>
        <w:t>après</w:t>
      </w:r>
      <w:r w:rsidRPr="001600A8">
        <w:rPr>
          <w:rStyle w:val="FootnoteReference"/>
          <w:rFonts w:eastAsia="Times New Roman"/>
          <w:iCs/>
          <w:szCs w:val="22"/>
          <w:lang w:eastAsia="en-US"/>
        </w:rPr>
        <w:footnoteReference w:id="2"/>
      </w:r>
      <w:r w:rsidRPr="001600A8">
        <w:rPr>
          <w:lang w:val="fr-CH" w:eastAsia="en-US"/>
        </w:rPr>
        <w:t>.</w:t>
      </w:r>
    </w:p>
    <w:p w14:paraId="04798FE6" w14:textId="723196DF" w:rsidR="00524595" w:rsidRPr="00176521" w:rsidRDefault="00663F4E" w:rsidP="00663F4E">
      <w:pPr>
        <w:pStyle w:val="ListParagraph"/>
        <w:ind w:left="0"/>
        <w:rPr>
          <w:rFonts w:eastAsia="Times New Roman"/>
          <w:iCs/>
          <w:szCs w:val="22"/>
          <w:u w:val="single"/>
          <w:lang w:val="fr-FR" w:eastAsia="en-US"/>
        </w:rPr>
      </w:pPr>
      <w:r w:rsidRPr="00176521">
        <w:rPr>
          <w:rFonts w:eastAsia="Times New Roman"/>
          <w:iCs/>
          <w:szCs w:val="22"/>
          <w:u w:val="single"/>
          <w:lang w:val="fr-FR" w:eastAsia="en-US"/>
        </w:rPr>
        <w:t>Méthode</w:t>
      </w:r>
    </w:p>
    <w:p w14:paraId="46922825" w14:textId="77777777" w:rsidR="00524595" w:rsidRPr="001600A8" w:rsidRDefault="00524595" w:rsidP="0052447B">
      <w:pPr>
        <w:pStyle w:val="ListParagraph"/>
        <w:ind w:left="0"/>
        <w:rPr>
          <w:rFonts w:eastAsia="Times New Roman"/>
          <w:iCs/>
          <w:szCs w:val="22"/>
          <w:lang w:eastAsia="en-US"/>
        </w:rPr>
      </w:pPr>
    </w:p>
    <w:p w14:paraId="6D3E3940" w14:textId="446C42CA" w:rsidR="00B34C7F" w:rsidRDefault="00663F4E" w:rsidP="00176521">
      <w:pPr>
        <w:pStyle w:val="ONUMFS"/>
        <w:rPr>
          <w:lang w:val="fr-CH"/>
        </w:rPr>
      </w:pPr>
      <w:r w:rsidRPr="001600A8">
        <w:rPr>
          <w:lang w:val="fr-CH"/>
        </w:rPr>
        <w:t>Les dépenses de personnel pour l</w:t>
      </w:r>
      <w:r w:rsidR="00B34C7F">
        <w:rPr>
          <w:lang w:val="fr-CH"/>
        </w:rPr>
        <w:t>’</w:t>
      </w:r>
      <w:r w:rsidRPr="001600A8">
        <w:rPr>
          <w:lang w:val="fr-CH"/>
        </w:rPr>
        <w:t>exercice biennal</w:t>
      </w:r>
      <w:r w:rsidR="00FC76B3" w:rsidRPr="001600A8">
        <w:rPr>
          <w:lang w:val="fr-CH"/>
        </w:rPr>
        <w:t> </w:t>
      </w:r>
      <w:r w:rsidRPr="001600A8">
        <w:rPr>
          <w:lang w:val="fr-CH"/>
        </w:rPr>
        <w:t>2020</w:t>
      </w:r>
      <w:r w:rsidR="00B34C7F">
        <w:rPr>
          <w:lang w:val="fr-CH"/>
        </w:rPr>
        <w:t>-</w:t>
      </w:r>
      <w:r w:rsidRPr="001600A8">
        <w:rPr>
          <w:lang w:val="fr-CH"/>
        </w:rPr>
        <w:t>2021 continuent d</w:t>
      </w:r>
      <w:r w:rsidR="00B34C7F">
        <w:rPr>
          <w:lang w:val="fr-CH"/>
        </w:rPr>
        <w:t>’</w:t>
      </w:r>
      <w:r w:rsidRPr="001600A8">
        <w:rPr>
          <w:lang w:val="fr-CH"/>
        </w:rPr>
        <w:t>être calculées sur la base des montants réels et d</w:t>
      </w:r>
      <w:r w:rsidR="00B34C7F">
        <w:rPr>
          <w:lang w:val="fr-CH"/>
        </w:rPr>
        <w:t>’</w:t>
      </w:r>
      <w:r w:rsidRPr="001600A8">
        <w:rPr>
          <w:lang w:val="fr-CH"/>
        </w:rPr>
        <w:t>un ensemble d</w:t>
      </w:r>
      <w:r w:rsidR="00B34C7F">
        <w:rPr>
          <w:lang w:val="fr-CH"/>
        </w:rPr>
        <w:t>’</w:t>
      </w:r>
      <w:r w:rsidRPr="001600A8">
        <w:rPr>
          <w:lang w:val="fr-CH"/>
        </w:rPr>
        <w:t>hypothèses de planification.</w:t>
      </w:r>
    </w:p>
    <w:p w14:paraId="55D3E065" w14:textId="404BF7B8" w:rsidR="00524595" w:rsidRPr="001600A8" w:rsidRDefault="00663F4E" w:rsidP="00176521">
      <w:pPr>
        <w:pStyle w:val="ONUMFS"/>
        <w:rPr>
          <w:lang w:val="fr-CH"/>
        </w:rPr>
      </w:pPr>
      <w:r w:rsidRPr="001600A8">
        <w:rPr>
          <w:lang w:val="fr-CH"/>
        </w:rPr>
        <w:t>Le calcul des dépenses de personnel pour l</w:t>
      </w:r>
      <w:r w:rsidR="00B34C7F">
        <w:rPr>
          <w:lang w:val="fr-CH"/>
        </w:rPr>
        <w:t>’</w:t>
      </w:r>
      <w:r w:rsidRPr="001600A8">
        <w:rPr>
          <w:lang w:val="fr-CH"/>
        </w:rPr>
        <w:t xml:space="preserve">exercice </w:t>
      </w:r>
      <w:r w:rsidR="00B34C7F" w:rsidRPr="001600A8">
        <w:rPr>
          <w:lang w:val="fr-CH"/>
        </w:rPr>
        <w:t>biennal</w:t>
      </w:r>
      <w:r w:rsidR="00B34C7F">
        <w:rPr>
          <w:lang w:val="fr-CH"/>
        </w:rPr>
        <w:t> </w:t>
      </w:r>
      <w:r w:rsidR="00B34C7F" w:rsidRPr="001600A8">
        <w:rPr>
          <w:lang w:val="fr-CH"/>
        </w:rPr>
        <w:t>2020</w:t>
      </w:r>
      <w:r w:rsidR="00B34C7F">
        <w:rPr>
          <w:lang w:val="fr-CH"/>
        </w:rPr>
        <w:t>-</w:t>
      </w:r>
      <w:r w:rsidRPr="001600A8">
        <w:rPr>
          <w:lang w:val="fr-CH"/>
        </w:rPr>
        <w:t>2021 tient compte des changements découlant de l</w:t>
      </w:r>
      <w:r w:rsidR="00B34C7F">
        <w:rPr>
          <w:lang w:val="fr-CH"/>
        </w:rPr>
        <w:t>’</w:t>
      </w:r>
      <w:r w:rsidRPr="001600A8">
        <w:rPr>
          <w:lang w:val="fr-CH"/>
        </w:rPr>
        <w:t>entrée en vigueur du barème unifié des traitements le</w:t>
      </w:r>
      <w:r w:rsidR="00B34C7F">
        <w:rPr>
          <w:lang w:val="fr-CH"/>
        </w:rPr>
        <w:t xml:space="preserve"> 1</w:t>
      </w:r>
      <w:r w:rsidR="00B34C7F" w:rsidRPr="00B34C7F">
        <w:rPr>
          <w:vertAlign w:val="superscript"/>
          <w:lang w:val="fr-CH"/>
        </w:rPr>
        <w:t>er</w:t>
      </w:r>
      <w:r w:rsidR="00B34C7F">
        <w:rPr>
          <w:lang w:val="fr-CH"/>
        </w:rPr>
        <w:t> </w:t>
      </w:r>
      <w:r w:rsidRPr="001600A8">
        <w:rPr>
          <w:lang w:val="fr-CH"/>
        </w:rPr>
        <w:t>janvier</w:t>
      </w:r>
      <w:r w:rsidR="00FC76B3" w:rsidRPr="001600A8">
        <w:rPr>
          <w:lang w:val="fr-CH"/>
        </w:rPr>
        <w:t> </w:t>
      </w:r>
      <w:r w:rsidRPr="001600A8">
        <w:rPr>
          <w:lang w:val="fr-CH"/>
        </w:rPr>
        <w:t>2017 et de la mise en œuvre du nouveau régime commun de prestations versées aux administrateurs et aux fonctionnaires de rang supérieur, établi sur la base des recommandations de la Commission de la fonction publique internationale (CFPI), ainsi que des amendements apportés au Statut et Règlement du personnel.</w:t>
      </w:r>
    </w:p>
    <w:p w14:paraId="3C545D21" w14:textId="7C8C108C" w:rsidR="00524595" w:rsidRPr="001600A8" w:rsidRDefault="00663F4E" w:rsidP="00176521">
      <w:pPr>
        <w:pStyle w:val="ONUMFS"/>
        <w:rPr>
          <w:lang w:val="fr-CH"/>
        </w:rPr>
      </w:pPr>
      <w:r w:rsidRPr="001600A8">
        <w:rPr>
          <w:lang w:val="fr-CH"/>
        </w:rPr>
        <w:t>Si les dépenses relatives aux postes occupés sont fondées sur les derniers barèmes de l</w:t>
      </w:r>
      <w:r w:rsidR="00B34C7F">
        <w:rPr>
          <w:lang w:val="fr-CH"/>
        </w:rPr>
        <w:t>’</w:t>
      </w:r>
      <w:r w:rsidRPr="001600A8">
        <w:rPr>
          <w:lang w:val="fr-CH"/>
        </w:rPr>
        <w:t>ONU disponibles en matière de traitement et de rémunération considérée aux fins de la pension et sur les politiques applicables en matière d</w:t>
      </w:r>
      <w:r w:rsidR="00B34C7F">
        <w:rPr>
          <w:lang w:val="fr-CH"/>
        </w:rPr>
        <w:t>’</w:t>
      </w:r>
      <w:r w:rsidRPr="001600A8">
        <w:rPr>
          <w:lang w:val="fr-CH"/>
        </w:rPr>
        <w:t>avantages et de prestations, les dépenses relatives aux postes à pourvoir sont fondées sur les dépenses moyennes standard.</w:t>
      </w:r>
    </w:p>
    <w:p w14:paraId="200CEAC8" w14:textId="7B2B3217" w:rsidR="00524595" w:rsidRPr="001600A8" w:rsidRDefault="00663F4E" w:rsidP="00663F4E">
      <w:pPr>
        <w:pStyle w:val="ListParagraph"/>
        <w:ind w:left="0"/>
        <w:rPr>
          <w:rFonts w:eastAsia="Times New Roman"/>
          <w:iCs/>
          <w:szCs w:val="22"/>
          <w:u w:val="single"/>
          <w:lang w:eastAsia="en-US"/>
        </w:rPr>
      </w:pPr>
      <w:proofErr w:type="spellStart"/>
      <w:r w:rsidRPr="001600A8">
        <w:rPr>
          <w:rFonts w:eastAsia="Times New Roman"/>
          <w:iCs/>
          <w:szCs w:val="22"/>
          <w:u w:val="single"/>
          <w:lang w:eastAsia="en-US"/>
        </w:rPr>
        <w:t>Hypothèses</w:t>
      </w:r>
      <w:proofErr w:type="spellEnd"/>
      <w:r w:rsidRPr="001600A8">
        <w:rPr>
          <w:rFonts w:eastAsia="Times New Roman"/>
          <w:iCs/>
          <w:szCs w:val="22"/>
          <w:u w:val="single"/>
          <w:lang w:eastAsia="en-US"/>
        </w:rPr>
        <w:t xml:space="preserve"> de </w:t>
      </w:r>
      <w:proofErr w:type="spellStart"/>
      <w:r w:rsidRPr="001600A8">
        <w:rPr>
          <w:rFonts w:eastAsia="Times New Roman"/>
          <w:iCs/>
          <w:szCs w:val="22"/>
          <w:u w:val="single"/>
          <w:lang w:eastAsia="en-US"/>
        </w:rPr>
        <w:t>planification</w:t>
      </w:r>
      <w:proofErr w:type="spellEnd"/>
    </w:p>
    <w:p w14:paraId="2A97CBE1" w14:textId="77777777" w:rsidR="00524595" w:rsidRPr="001600A8" w:rsidRDefault="00524595" w:rsidP="0052447B">
      <w:pPr>
        <w:pStyle w:val="ListParagraph"/>
        <w:ind w:left="0"/>
        <w:rPr>
          <w:rFonts w:eastAsia="Times New Roman"/>
          <w:iCs/>
          <w:szCs w:val="22"/>
          <w:lang w:eastAsia="en-US"/>
        </w:rPr>
      </w:pPr>
    </w:p>
    <w:p w14:paraId="1C754CAF" w14:textId="1B0603A7" w:rsidR="00524595" w:rsidRPr="001600A8" w:rsidRDefault="00663F4E" w:rsidP="00176521">
      <w:pPr>
        <w:pStyle w:val="ONUMFS"/>
        <w:numPr>
          <w:ilvl w:val="1"/>
          <w:numId w:val="6"/>
        </w:numPr>
        <w:rPr>
          <w:lang w:val="fr-CH"/>
        </w:rPr>
      </w:pPr>
      <w:r w:rsidRPr="001600A8">
        <w:rPr>
          <w:lang w:val="fr-CH"/>
        </w:rPr>
        <w:t xml:space="preserve">En ce qui concerne les postes occupés, le calcul des traitements </w:t>
      </w:r>
      <w:r w:rsidR="00B34C7F" w:rsidRPr="001600A8">
        <w:rPr>
          <w:lang w:val="fr-CH"/>
        </w:rPr>
        <w:t>pour</w:t>
      </w:r>
      <w:r w:rsidR="00B34C7F">
        <w:rPr>
          <w:lang w:val="fr-CH"/>
        </w:rPr>
        <w:t> </w:t>
      </w:r>
      <w:r w:rsidR="00B34C7F" w:rsidRPr="001600A8">
        <w:rPr>
          <w:lang w:val="fr-CH"/>
        </w:rPr>
        <w:t>2020</w:t>
      </w:r>
      <w:r w:rsidR="00B34C7F">
        <w:rPr>
          <w:lang w:val="fr-CH"/>
        </w:rPr>
        <w:t>-</w:t>
      </w:r>
      <w:r w:rsidRPr="001600A8">
        <w:rPr>
          <w:lang w:val="fr-CH"/>
        </w:rPr>
        <w:t>2021</w:t>
      </w:r>
      <w:r w:rsidRPr="001600A8">
        <w:rPr>
          <w:rStyle w:val="FootnoteReference"/>
          <w:rFonts w:eastAsia="Times New Roman"/>
          <w:iCs/>
        </w:rPr>
        <w:footnoteReference w:id="3"/>
      </w:r>
      <w:r w:rsidRPr="001600A8">
        <w:rPr>
          <w:lang w:val="fr-CH"/>
        </w:rPr>
        <w:t xml:space="preserve"> tient compte des barèmes applicables de</w:t>
      </w:r>
      <w:r w:rsidR="00B34C7F" w:rsidRPr="001600A8">
        <w:rPr>
          <w:lang w:val="fr-CH"/>
        </w:rPr>
        <w:t xml:space="preserve"> la</w:t>
      </w:r>
      <w:r w:rsidR="00B34C7F">
        <w:rPr>
          <w:lang w:val="fr-CH"/>
        </w:rPr>
        <w:t> </w:t>
      </w:r>
      <w:r w:rsidR="00B34C7F" w:rsidRPr="001600A8">
        <w:rPr>
          <w:lang w:val="fr-CH"/>
        </w:rPr>
        <w:t>CFP</w:t>
      </w:r>
      <w:r w:rsidRPr="001600A8">
        <w:rPr>
          <w:lang w:val="fr-CH"/>
        </w:rPr>
        <w:t>I (pour la catégorie des services généraux) et du barème des traitements et des avancements d</w:t>
      </w:r>
      <w:r w:rsidR="00B34C7F">
        <w:rPr>
          <w:lang w:val="fr-CH"/>
        </w:rPr>
        <w:t>’</w:t>
      </w:r>
      <w:r w:rsidRPr="001600A8">
        <w:rPr>
          <w:lang w:val="fr-CH"/>
        </w:rPr>
        <w:t>échelon en vigueur à compter du</w:t>
      </w:r>
      <w:r w:rsidR="00B34C7F">
        <w:rPr>
          <w:lang w:val="fr-CH"/>
        </w:rPr>
        <w:t xml:space="preserve"> 1</w:t>
      </w:r>
      <w:r w:rsidR="00B34C7F" w:rsidRPr="00B34C7F">
        <w:rPr>
          <w:vertAlign w:val="superscript"/>
          <w:lang w:val="fr-CH"/>
        </w:rPr>
        <w:t>er</w:t>
      </w:r>
      <w:r w:rsidR="00B34C7F">
        <w:rPr>
          <w:lang w:val="fr-CH"/>
        </w:rPr>
        <w:t> </w:t>
      </w:r>
      <w:r w:rsidRPr="001600A8">
        <w:rPr>
          <w:lang w:val="fr-CH"/>
        </w:rPr>
        <w:t>janvier</w:t>
      </w:r>
      <w:r w:rsidR="00FC76B3" w:rsidRPr="001600A8">
        <w:rPr>
          <w:lang w:val="fr-CH"/>
        </w:rPr>
        <w:t> </w:t>
      </w:r>
      <w:r w:rsidRPr="001600A8">
        <w:rPr>
          <w:lang w:val="fr-CH"/>
        </w:rPr>
        <w:t>2018 (pour les administrateurs et les fonctionnaires de rang supérieur), au prorata pour l</w:t>
      </w:r>
      <w:r w:rsidR="00B34C7F">
        <w:rPr>
          <w:lang w:val="fr-CH"/>
        </w:rPr>
        <w:t>’</w:t>
      </w:r>
      <w:r w:rsidRPr="001600A8">
        <w:rPr>
          <w:lang w:val="fr-CH"/>
        </w:rPr>
        <w:t>exercice biennal</w:t>
      </w:r>
      <w:r w:rsidR="00FC76B3" w:rsidRPr="001600A8">
        <w:rPr>
          <w:lang w:val="fr-CH"/>
        </w:rPr>
        <w:t> </w:t>
      </w:r>
      <w:r w:rsidRPr="001600A8">
        <w:rPr>
          <w:lang w:val="fr-CH"/>
        </w:rPr>
        <w:t>2020</w:t>
      </w:r>
      <w:r w:rsidR="00B34C7F">
        <w:rPr>
          <w:lang w:val="fr-CH"/>
        </w:rPr>
        <w:t>-</w:t>
      </w:r>
      <w:r w:rsidRPr="001600A8">
        <w:rPr>
          <w:lang w:val="fr-CH"/>
        </w:rPr>
        <w:t>2021.  En ce qui concerne les postes vacants, les dépenses standard sont calculées sur la base du premier échelon du grade et de l</w:t>
      </w:r>
      <w:r w:rsidR="00B34C7F">
        <w:rPr>
          <w:lang w:val="fr-CH"/>
        </w:rPr>
        <w:t>’</w:t>
      </w:r>
      <w:r w:rsidRPr="001600A8">
        <w:rPr>
          <w:lang w:val="fr-CH"/>
        </w:rPr>
        <w:t>hypothèse d</w:t>
      </w:r>
      <w:r w:rsidR="00B34C7F">
        <w:rPr>
          <w:lang w:val="fr-CH"/>
        </w:rPr>
        <w:t>’</w:t>
      </w:r>
      <w:r w:rsidRPr="001600A8">
        <w:rPr>
          <w:lang w:val="fr-CH"/>
        </w:rPr>
        <w:t xml:space="preserve">un fonctionnaire avec conjoint à charge et </w:t>
      </w:r>
      <w:r w:rsidR="001600A8" w:rsidRPr="001600A8">
        <w:rPr>
          <w:lang w:val="fr-CH"/>
        </w:rPr>
        <w:t>un enfant.</w:t>
      </w:r>
    </w:p>
    <w:p w14:paraId="5B0B9629" w14:textId="6BA7A392" w:rsidR="00524595" w:rsidRPr="001600A8" w:rsidRDefault="00663F4E" w:rsidP="00176521">
      <w:pPr>
        <w:pStyle w:val="ONUMFS"/>
        <w:numPr>
          <w:ilvl w:val="1"/>
          <w:numId w:val="6"/>
        </w:numPr>
        <w:rPr>
          <w:lang w:val="fr-CH"/>
        </w:rPr>
      </w:pPr>
      <w:r w:rsidRPr="001600A8">
        <w:rPr>
          <w:lang w:val="fr-CH"/>
        </w:rPr>
        <w:t>À la suite du jugement n</w:t>
      </w:r>
      <w:r w:rsidR="00FC76B3" w:rsidRPr="001600A8">
        <w:rPr>
          <w:lang w:val="fr-CH"/>
        </w:rPr>
        <w:t>° </w:t>
      </w:r>
      <w:r w:rsidRPr="001600A8">
        <w:rPr>
          <w:lang w:val="fr-CH"/>
        </w:rPr>
        <w:t>4138</w:t>
      </w:r>
      <w:r w:rsidR="00B34C7F" w:rsidRPr="001600A8">
        <w:rPr>
          <w:lang w:val="fr-CH"/>
        </w:rPr>
        <w:t xml:space="preserve"> du</w:t>
      </w:r>
      <w:r w:rsidR="00B34C7F">
        <w:rPr>
          <w:lang w:val="fr-CH"/>
        </w:rPr>
        <w:t> </w:t>
      </w:r>
      <w:r w:rsidR="00B34C7F" w:rsidRPr="001600A8">
        <w:rPr>
          <w:lang w:val="fr-CH"/>
        </w:rPr>
        <w:t>TAO</w:t>
      </w:r>
      <w:r w:rsidRPr="001600A8">
        <w:rPr>
          <w:lang w:val="fr-CH"/>
        </w:rPr>
        <w:t>IT, le taux de change et le coefficient d</w:t>
      </w:r>
      <w:r w:rsidR="00B34C7F">
        <w:rPr>
          <w:lang w:val="fr-CH"/>
        </w:rPr>
        <w:t>’</w:t>
      </w:r>
      <w:r w:rsidRPr="001600A8">
        <w:rPr>
          <w:lang w:val="fr-CH"/>
        </w:rPr>
        <w:t xml:space="preserve">ajustement de poste sont appliqués à compter de </w:t>
      </w:r>
      <w:r w:rsidR="00B34C7F" w:rsidRPr="001600A8">
        <w:rPr>
          <w:lang w:val="fr-CH"/>
        </w:rPr>
        <w:t>janvier</w:t>
      </w:r>
      <w:r w:rsidR="00B34C7F">
        <w:rPr>
          <w:lang w:val="fr-CH"/>
        </w:rPr>
        <w:t> </w:t>
      </w:r>
      <w:r w:rsidR="00B34C7F" w:rsidRPr="001600A8">
        <w:rPr>
          <w:lang w:val="fr-CH"/>
        </w:rPr>
        <w:t>20</w:t>
      </w:r>
      <w:r w:rsidRPr="001600A8">
        <w:rPr>
          <w:lang w:val="fr-CH"/>
        </w:rPr>
        <w:t>18</w:t>
      </w:r>
      <w:r w:rsidRPr="001600A8">
        <w:rPr>
          <w:rStyle w:val="FootnoteReference"/>
          <w:rFonts w:eastAsia="Times New Roman"/>
          <w:iCs/>
        </w:rPr>
        <w:footnoteReference w:id="4"/>
      </w:r>
      <w:r w:rsidR="001600A8" w:rsidRPr="001600A8">
        <w:rPr>
          <w:lang w:val="fr-CH"/>
        </w:rPr>
        <w:t>.</w:t>
      </w:r>
    </w:p>
    <w:p w14:paraId="668C92C3" w14:textId="533B605E" w:rsidR="00524595" w:rsidRPr="001600A8" w:rsidRDefault="00663F4E" w:rsidP="00176521">
      <w:pPr>
        <w:pStyle w:val="ONUMFS"/>
        <w:numPr>
          <w:ilvl w:val="1"/>
          <w:numId w:val="6"/>
        </w:numPr>
        <w:rPr>
          <w:lang w:val="fr-CH"/>
        </w:rPr>
      </w:pPr>
      <w:r w:rsidRPr="001600A8">
        <w:rPr>
          <w:lang w:val="fr-CH"/>
        </w:rPr>
        <w:t>Le taux de change dollar</w:t>
      </w:r>
      <w:r w:rsidR="006E7721">
        <w:rPr>
          <w:lang w:val="fr-CH"/>
        </w:rPr>
        <w:t> </w:t>
      </w:r>
      <w:r w:rsidRPr="001600A8">
        <w:rPr>
          <w:lang w:val="fr-CH"/>
        </w:rPr>
        <w:t>É.</w:t>
      </w:r>
      <w:r w:rsidR="00B34C7F">
        <w:rPr>
          <w:lang w:val="fr-CH"/>
        </w:rPr>
        <w:t>-</w:t>
      </w:r>
      <w:r w:rsidRPr="001600A8">
        <w:rPr>
          <w:lang w:val="fr-CH"/>
        </w:rPr>
        <w:t>U./franc suisse s</w:t>
      </w:r>
      <w:r w:rsidR="00B34C7F">
        <w:rPr>
          <w:lang w:val="fr-CH"/>
        </w:rPr>
        <w:t>’</w:t>
      </w:r>
      <w:r w:rsidRPr="001600A8">
        <w:rPr>
          <w:lang w:val="fr-CH"/>
        </w:rPr>
        <w:t>effectue selon un rapport</w:t>
      </w:r>
      <w:r w:rsidR="00FC76B3" w:rsidRPr="001600A8">
        <w:rPr>
          <w:lang w:val="fr-CH"/>
        </w:rPr>
        <w:t> </w:t>
      </w:r>
      <w:r w:rsidRPr="001600A8">
        <w:rPr>
          <w:lang w:val="fr-CH"/>
        </w:rPr>
        <w:t>1:1 pour les rémunérations considérées aux fins de la pension.</w:t>
      </w:r>
      <w:r w:rsidR="0052447B" w:rsidRPr="001600A8">
        <w:rPr>
          <w:lang w:val="fr-CH"/>
        </w:rPr>
        <w:t xml:space="preserve"> </w:t>
      </w:r>
      <w:r w:rsidR="00FC76B3" w:rsidRPr="001600A8">
        <w:rPr>
          <w:lang w:val="fr-CH"/>
        </w:rPr>
        <w:t xml:space="preserve"> </w:t>
      </w:r>
      <w:r w:rsidRPr="001600A8">
        <w:rPr>
          <w:lang w:val="fr-CH"/>
        </w:rPr>
        <w:t>Le barème de</w:t>
      </w:r>
      <w:r w:rsidR="00B34C7F" w:rsidRPr="001600A8">
        <w:rPr>
          <w:lang w:val="fr-CH"/>
        </w:rPr>
        <w:t xml:space="preserve"> la</w:t>
      </w:r>
      <w:r w:rsidR="00B34C7F">
        <w:rPr>
          <w:lang w:val="fr-CH"/>
        </w:rPr>
        <w:t> </w:t>
      </w:r>
      <w:r w:rsidR="00B34C7F" w:rsidRPr="001600A8">
        <w:rPr>
          <w:lang w:val="fr-CH"/>
        </w:rPr>
        <w:t>CFP</w:t>
      </w:r>
      <w:r w:rsidRPr="001600A8">
        <w:rPr>
          <w:lang w:val="fr-CH"/>
        </w:rPr>
        <w:t>I pour les administrateurs et les fonctionnaires de rang supérieur s</w:t>
      </w:r>
      <w:r w:rsidR="00B34C7F">
        <w:rPr>
          <w:lang w:val="fr-CH"/>
        </w:rPr>
        <w:t>’</w:t>
      </w:r>
      <w:r w:rsidRPr="001600A8">
        <w:rPr>
          <w:lang w:val="fr-CH"/>
        </w:rPr>
        <w:t>applique à compter de février</w:t>
      </w:r>
      <w:r w:rsidR="00FC76B3" w:rsidRPr="001600A8">
        <w:rPr>
          <w:lang w:val="fr-CH"/>
        </w:rPr>
        <w:t> </w:t>
      </w:r>
      <w:proofErr w:type="gramStart"/>
      <w:r w:rsidRPr="001600A8">
        <w:rPr>
          <w:lang w:val="fr-CH"/>
        </w:rPr>
        <w:t>2019;  en</w:t>
      </w:r>
      <w:proofErr w:type="gramEnd"/>
      <w:r w:rsidRPr="001600A8">
        <w:rPr>
          <w:lang w:val="fr-CH"/>
        </w:rPr>
        <w:t xml:space="preserve"> ce qui concerne la catégorie des services généraux, le barème d</w:t>
      </w:r>
      <w:r w:rsidR="00B34C7F">
        <w:rPr>
          <w:lang w:val="fr-CH"/>
        </w:rPr>
        <w:t>’</w:t>
      </w:r>
      <w:r w:rsidRPr="001600A8">
        <w:rPr>
          <w:lang w:val="fr-CH"/>
        </w:rPr>
        <w:t>avril</w:t>
      </w:r>
      <w:r w:rsidR="00FC76B3" w:rsidRPr="001600A8">
        <w:rPr>
          <w:lang w:val="fr-CH"/>
        </w:rPr>
        <w:t> </w:t>
      </w:r>
      <w:r w:rsidRPr="001600A8">
        <w:rPr>
          <w:lang w:val="fr-CH"/>
        </w:rPr>
        <w:t>2011 a été appliqué pour les postes occupés et le barème de septembre</w:t>
      </w:r>
      <w:r w:rsidR="00FC76B3" w:rsidRPr="001600A8">
        <w:rPr>
          <w:lang w:val="fr-CH"/>
        </w:rPr>
        <w:t> </w:t>
      </w:r>
      <w:r w:rsidR="001600A8" w:rsidRPr="001600A8">
        <w:rPr>
          <w:lang w:val="fr-CH"/>
        </w:rPr>
        <w:t>2017 pour les postes vacants.</w:t>
      </w:r>
    </w:p>
    <w:p w14:paraId="6FE71317" w14:textId="77777777" w:rsidR="007F3CE5" w:rsidRPr="007F3CE5" w:rsidRDefault="00663F4E" w:rsidP="007F3CE5">
      <w:pPr>
        <w:pStyle w:val="ONUMFS"/>
        <w:numPr>
          <w:ilvl w:val="1"/>
          <w:numId w:val="6"/>
        </w:numPr>
        <w:rPr>
          <w:iCs/>
          <w:lang w:val="fr-CH"/>
        </w:rPr>
      </w:pPr>
      <w:r w:rsidRPr="001600A8">
        <w:rPr>
          <w:lang w:val="fr-CH"/>
        </w:rPr>
        <w:lastRenderedPageBreak/>
        <w:t xml:space="preserve">En ce qui concerne les postes occupés, les avantages et les prestations applicables, </w:t>
      </w:r>
      <w:r w:rsidR="00B34C7F">
        <w:rPr>
          <w:lang w:val="fr-CH"/>
        </w:rPr>
        <w:t>y compris</w:t>
      </w:r>
      <w:r w:rsidRPr="001600A8">
        <w:rPr>
          <w:lang w:val="fr-CH"/>
        </w:rPr>
        <w:t xml:space="preserve"> l</w:t>
      </w:r>
      <w:r w:rsidR="00B34C7F">
        <w:rPr>
          <w:lang w:val="fr-CH"/>
        </w:rPr>
        <w:t>’</w:t>
      </w:r>
      <w:r w:rsidRPr="001600A8">
        <w:rPr>
          <w:lang w:val="fr-CH"/>
        </w:rPr>
        <w:t>indemnité pour frais d</w:t>
      </w:r>
      <w:r w:rsidR="00B34C7F">
        <w:rPr>
          <w:lang w:val="fr-CH"/>
        </w:rPr>
        <w:t>’</w:t>
      </w:r>
      <w:r w:rsidRPr="001600A8">
        <w:rPr>
          <w:lang w:val="fr-CH"/>
        </w:rPr>
        <w:t>études et le congé dans les foyers, sont estimés par niveau de poste compte tenu des dernières informations provenant du système de paie.</w:t>
      </w:r>
      <w:r w:rsidR="0052447B" w:rsidRPr="001600A8">
        <w:rPr>
          <w:lang w:val="fr-CH"/>
        </w:rPr>
        <w:t xml:space="preserve">  </w:t>
      </w:r>
      <w:r w:rsidRPr="001600A8">
        <w:rPr>
          <w:lang w:val="fr-CH"/>
        </w:rPr>
        <w:t>Un coût</w:t>
      </w:r>
      <w:r w:rsidR="007F3CE5">
        <w:rPr>
          <w:lang w:val="fr-CH"/>
        </w:rPr>
        <w:t xml:space="preserve"> </w:t>
      </w:r>
      <w:r w:rsidR="007F3CE5" w:rsidRPr="007F3CE5">
        <w:rPr>
          <w:iCs/>
          <w:lang w:val="fr-CH"/>
        </w:rPr>
        <w:t>moyen a été estimé pour les postes à pourvoir.</w:t>
      </w:r>
    </w:p>
    <w:p w14:paraId="0ED4555D" w14:textId="77777777" w:rsidR="007F3CE5" w:rsidRPr="007F3CE5" w:rsidRDefault="007F3CE5" w:rsidP="007F3CE5">
      <w:pPr>
        <w:pStyle w:val="ONUMFS"/>
        <w:numPr>
          <w:ilvl w:val="1"/>
          <w:numId w:val="6"/>
        </w:numPr>
        <w:rPr>
          <w:iCs/>
          <w:lang w:val="fr-CH"/>
        </w:rPr>
      </w:pPr>
      <w:r w:rsidRPr="007F3CE5">
        <w:rPr>
          <w:iCs/>
          <w:lang w:val="fr-CH"/>
        </w:rPr>
        <w:t>Les provisions relatives à l’indemnité pour frais d’études tiennent compte du système révisé d’indemnité pour frais d’études fondé sur un barème dégressif universel pour le remboursement des frais de scolarité.</w:t>
      </w:r>
    </w:p>
    <w:p w14:paraId="00F6A6E4" w14:textId="50400016" w:rsidR="00524595" w:rsidRPr="001600A8" w:rsidRDefault="00663F4E" w:rsidP="00176521">
      <w:pPr>
        <w:pStyle w:val="ONUMFS"/>
        <w:numPr>
          <w:ilvl w:val="1"/>
          <w:numId w:val="6"/>
        </w:numPr>
        <w:rPr>
          <w:lang w:val="fr-CH"/>
        </w:rPr>
      </w:pPr>
      <w:r w:rsidRPr="001600A8">
        <w:rPr>
          <w:lang w:val="fr-CH"/>
        </w:rPr>
        <w:t xml:space="preserve">Quatre nouveaux postes ont été créés dans le budget proposé </w:t>
      </w:r>
      <w:r w:rsidR="00B34C7F" w:rsidRPr="001600A8">
        <w:rPr>
          <w:lang w:val="fr-CH"/>
        </w:rPr>
        <w:t>pour</w:t>
      </w:r>
      <w:r w:rsidR="00B34C7F">
        <w:rPr>
          <w:lang w:val="fr-CH"/>
        </w:rPr>
        <w:t> </w:t>
      </w:r>
      <w:r w:rsidR="00B34C7F" w:rsidRPr="001600A8">
        <w:rPr>
          <w:lang w:val="fr-CH"/>
        </w:rPr>
        <w:t>2020</w:t>
      </w:r>
      <w:r w:rsidR="00B34C7F">
        <w:rPr>
          <w:lang w:val="fr-CH"/>
        </w:rPr>
        <w:t>-</w:t>
      </w:r>
      <w:r w:rsidRPr="001600A8">
        <w:rPr>
          <w:lang w:val="fr-CH"/>
        </w:rPr>
        <w:t>2021 en application de la formule de flexibilité dans le cadre du budget de l</w:t>
      </w:r>
      <w:r w:rsidR="00B34C7F">
        <w:rPr>
          <w:lang w:val="fr-CH"/>
        </w:rPr>
        <w:t>’</w:t>
      </w:r>
      <w:r w:rsidRPr="001600A8">
        <w:rPr>
          <w:lang w:val="fr-CH"/>
        </w:rPr>
        <w:t>Union de Madrid, portant à 1209 le nombre total de postes.</w:t>
      </w:r>
      <w:r w:rsidR="0052447B" w:rsidRPr="001600A8">
        <w:rPr>
          <w:lang w:val="fr-CH"/>
        </w:rPr>
        <w:t xml:space="preserve">  </w:t>
      </w:r>
      <w:r w:rsidRPr="001600A8">
        <w:rPr>
          <w:lang w:val="fr-CH"/>
        </w:rPr>
        <w:t>Un taux de vacance global de 4% a été appliqué au calcul global des postes afin de tenir compte des retards dans les recrutements.</w:t>
      </w:r>
    </w:p>
    <w:p w14:paraId="116D1ED2" w14:textId="1A4C1116" w:rsidR="00524595" w:rsidRPr="001600A8" w:rsidRDefault="00663F4E" w:rsidP="00176521">
      <w:pPr>
        <w:pStyle w:val="ONUMFS"/>
        <w:numPr>
          <w:ilvl w:val="1"/>
          <w:numId w:val="6"/>
        </w:numPr>
        <w:rPr>
          <w:lang w:val="fr-CH"/>
        </w:rPr>
      </w:pPr>
      <w:r w:rsidRPr="001600A8">
        <w:rPr>
          <w:lang w:val="fr-CH"/>
        </w:rPr>
        <w:t>Pour relever le financement des prestations à long terme dues au personnel, qui comprennent les engagements au titre de l</w:t>
      </w:r>
      <w:r w:rsidR="00B34C7F">
        <w:rPr>
          <w:lang w:val="fr-CH"/>
        </w:rPr>
        <w:t>’</w:t>
      </w:r>
      <w:r w:rsidRPr="001600A8">
        <w:rPr>
          <w:lang w:val="fr-CH"/>
        </w:rPr>
        <w:t>assurance maladie après la cessation de service, le taux de provisionnement à ce titre a été relevé de 6% à 8</w:t>
      </w:r>
      <w:proofErr w:type="gramStart"/>
      <w:r w:rsidRPr="001600A8">
        <w:rPr>
          <w:lang w:val="fr-CH"/>
        </w:rPr>
        <w:t>%;  un</w:t>
      </w:r>
      <w:proofErr w:type="gramEnd"/>
      <w:r w:rsidRPr="001600A8">
        <w:rPr>
          <w:lang w:val="fr-CH"/>
        </w:rPr>
        <w:t xml:space="preserve"> taux de provisionnement pour cessation de service de 2% a été appliqué pour</w:t>
      </w:r>
      <w:r w:rsidR="001600A8" w:rsidRPr="001600A8">
        <w:rPr>
          <w:lang w:val="fr-CH"/>
        </w:rPr>
        <w:t xml:space="preserve"> les fonctionnaires temporaires.</w:t>
      </w:r>
    </w:p>
    <w:p w14:paraId="2244154A" w14:textId="4297F23D" w:rsidR="00524595" w:rsidRPr="001600A8" w:rsidRDefault="00FC76B3" w:rsidP="00176521">
      <w:pPr>
        <w:pStyle w:val="ONUMFS"/>
        <w:numPr>
          <w:ilvl w:val="1"/>
          <w:numId w:val="6"/>
        </w:numPr>
        <w:rPr>
          <w:lang w:val="fr-CH"/>
        </w:rPr>
      </w:pPr>
      <w:r w:rsidRPr="001600A8">
        <w:rPr>
          <w:lang w:val="fr-CH"/>
        </w:rPr>
        <w:t>Les autres dépenses de personnel incluent les provisions biennales pour l</w:t>
      </w:r>
      <w:r w:rsidR="00B34C7F">
        <w:rPr>
          <w:lang w:val="fr-CH"/>
        </w:rPr>
        <w:t>’</w:t>
      </w:r>
      <w:r w:rsidRPr="001600A8">
        <w:rPr>
          <w:lang w:val="fr-CH"/>
        </w:rPr>
        <w:t>assurance accidents professionnels (900 000 francs suisses), les contributions à la caisse de retraite fermée (700 000 francs suisses), les frais de justice (400 000 </w:t>
      </w:r>
      <w:r w:rsidR="001600A8" w:rsidRPr="001600A8">
        <w:rPr>
          <w:lang w:val="fr-CH"/>
        </w:rPr>
        <w:t>francs suisses</w:t>
      </w:r>
      <w:r w:rsidRPr="001600A8">
        <w:rPr>
          <w:lang w:val="fr-CH"/>
        </w:rPr>
        <w:t>) et le programme de récompenses et de reconnaissance de l</w:t>
      </w:r>
      <w:r w:rsidR="00B34C7F">
        <w:rPr>
          <w:lang w:val="fr-CH"/>
        </w:rPr>
        <w:t>’</w:t>
      </w:r>
      <w:r w:rsidRPr="001600A8">
        <w:rPr>
          <w:lang w:val="fr-CH"/>
        </w:rPr>
        <w:t>OMPI (1 152 000 francs suisses)</w:t>
      </w:r>
      <w:r w:rsidR="001600A8" w:rsidRPr="001600A8">
        <w:rPr>
          <w:lang w:val="fr-CH"/>
        </w:rPr>
        <w:t>.</w:t>
      </w:r>
    </w:p>
    <w:p w14:paraId="28F1834D" w14:textId="3B6D1165" w:rsidR="00524595" w:rsidRPr="001600A8" w:rsidRDefault="001600A8" w:rsidP="00176521">
      <w:pPr>
        <w:pStyle w:val="ONUMFS"/>
        <w:numPr>
          <w:ilvl w:val="1"/>
          <w:numId w:val="6"/>
        </w:numPr>
        <w:rPr>
          <w:lang w:val="fr-CH"/>
        </w:rPr>
      </w:pPr>
      <w:r w:rsidRPr="001600A8">
        <w:rPr>
          <w:lang w:val="fr-CH"/>
        </w:rPr>
        <w:t>L</w:t>
      </w:r>
      <w:r w:rsidR="00FC76B3" w:rsidRPr="001600A8">
        <w:rPr>
          <w:lang w:val="fr-CH"/>
        </w:rPr>
        <w:t>es provisions pour les reclassements s</w:t>
      </w:r>
      <w:r w:rsidR="00B34C7F">
        <w:rPr>
          <w:lang w:val="fr-CH"/>
        </w:rPr>
        <w:t>’</w:t>
      </w:r>
      <w:r w:rsidR="00FC76B3" w:rsidRPr="001600A8">
        <w:rPr>
          <w:lang w:val="fr-CH"/>
        </w:rPr>
        <w:t xml:space="preserve">élèvent à 4 millions de francs suisses dans la catégorie “Crédits non affectés (Personnel)” pour la mise en œuvre des résultats des décisions des comités de </w:t>
      </w:r>
      <w:r w:rsidRPr="001600A8">
        <w:rPr>
          <w:lang w:val="fr-CH"/>
        </w:rPr>
        <w:t>reclassement.</w:t>
      </w:r>
    </w:p>
    <w:p w14:paraId="5446E0C6" w14:textId="78956E35" w:rsidR="00524595" w:rsidRPr="001600A8" w:rsidRDefault="001600A8" w:rsidP="00176521">
      <w:pPr>
        <w:pStyle w:val="ONUMFS"/>
        <w:numPr>
          <w:ilvl w:val="1"/>
          <w:numId w:val="6"/>
        </w:numPr>
        <w:rPr>
          <w:lang w:val="fr-CH"/>
        </w:rPr>
      </w:pPr>
      <w:r w:rsidRPr="001600A8">
        <w:rPr>
          <w:lang w:val="fr-CH"/>
        </w:rPr>
        <w:t>L</w:t>
      </w:r>
      <w:r w:rsidR="00FC76B3" w:rsidRPr="001600A8">
        <w:rPr>
          <w:lang w:val="fr-CH"/>
        </w:rPr>
        <w:t>es régularisations devraient être achevées au cours de l</w:t>
      </w:r>
      <w:r w:rsidR="00B34C7F">
        <w:rPr>
          <w:lang w:val="fr-CH"/>
        </w:rPr>
        <w:t>’</w:t>
      </w:r>
      <w:r w:rsidR="00FC76B3" w:rsidRPr="001600A8">
        <w:rPr>
          <w:lang w:val="fr-CH"/>
        </w:rPr>
        <w:t>exercice biennal 2018</w:t>
      </w:r>
      <w:r w:rsidR="00B34C7F">
        <w:rPr>
          <w:lang w:val="fr-CH"/>
        </w:rPr>
        <w:t>-</w:t>
      </w:r>
      <w:proofErr w:type="gramStart"/>
      <w:r w:rsidR="00FC76B3" w:rsidRPr="001600A8">
        <w:rPr>
          <w:lang w:val="fr-CH"/>
        </w:rPr>
        <w:t>2019;  aucun</w:t>
      </w:r>
      <w:proofErr w:type="gramEnd"/>
      <w:r w:rsidR="00FC76B3" w:rsidRPr="001600A8">
        <w:rPr>
          <w:lang w:val="fr-CH"/>
        </w:rPr>
        <w:t xml:space="preserve"> montant n</w:t>
      </w:r>
      <w:r w:rsidR="00B34C7F">
        <w:rPr>
          <w:lang w:val="fr-CH"/>
        </w:rPr>
        <w:t>’</w:t>
      </w:r>
      <w:r w:rsidR="00FC76B3" w:rsidRPr="001600A8">
        <w:rPr>
          <w:lang w:val="fr-CH"/>
        </w:rPr>
        <w:t>a donc été prévu pour l</w:t>
      </w:r>
      <w:r w:rsidR="00B34C7F">
        <w:rPr>
          <w:lang w:val="fr-CH"/>
        </w:rPr>
        <w:t>’</w:t>
      </w:r>
      <w:r w:rsidR="00FC76B3" w:rsidRPr="001600A8">
        <w:rPr>
          <w:lang w:val="fr-CH"/>
        </w:rPr>
        <w:t>exercice biennal 2020</w:t>
      </w:r>
      <w:r w:rsidR="00B34C7F">
        <w:rPr>
          <w:lang w:val="fr-CH"/>
        </w:rPr>
        <w:t>-</w:t>
      </w:r>
      <w:r w:rsidR="00FC76B3" w:rsidRPr="001600A8">
        <w:rPr>
          <w:lang w:val="fr-CH"/>
        </w:rPr>
        <w:t>2021 pour les régularisations.</w:t>
      </w:r>
      <w:r w:rsidR="0052447B" w:rsidRPr="001600A8">
        <w:rPr>
          <w:lang w:val="fr-CH"/>
        </w:rPr>
        <w:t xml:space="preserve">  </w:t>
      </w:r>
      <w:r w:rsidR="00FC76B3" w:rsidRPr="001600A8">
        <w:rPr>
          <w:lang w:val="fr-CH"/>
        </w:rPr>
        <w:t>Afin de permettre au Secrétariat de mieux gérer et contrôler les dépenses relatives aux heures supplémentaires, les coûts estimés dans ce domaine continuent de faire l</w:t>
      </w:r>
      <w:r w:rsidR="00B34C7F">
        <w:rPr>
          <w:lang w:val="fr-CH"/>
        </w:rPr>
        <w:t>’</w:t>
      </w:r>
      <w:r w:rsidR="00FC76B3" w:rsidRPr="001600A8">
        <w:rPr>
          <w:lang w:val="fr-CH"/>
        </w:rPr>
        <w:t>objet d</w:t>
      </w:r>
      <w:r w:rsidR="00B34C7F">
        <w:rPr>
          <w:lang w:val="fr-CH"/>
        </w:rPr>
        <w:t>’</w:t>
      </w:r>
      <w:r w:rsidR="00FC76B3" w:rsidRPr="001600A8">
        <w:rPr>
          <w:lang w:val="fr-CH"/>
        </w:rPr>
        <w:t>une provision budgétaire distincte dans les “Crédits non affectés (Personnel)”.</w:t>
      </w:r>
      <w:r w:rsidR="0052447B" w:rsidRPr="001600A8">
        <w:rPr>
          <w:lang w:val="fr-CH"/>
        </w:rPr>
        <w:t xml:space="preserve"> </w:t>
      </w:r>
      <w:r w:rsidR="00FC76B3" w:rsidRPr="001600A8">
        <w:rPr>
          <w:lang w:val="fr-CH"/>
        </w:rPr>
        <w:t xml:space="preserve"> Cette provision a été portée à 3 millions de francs suisses en raison de l</w:t>
      </w:r>
      <w:r w:rsidR="00B34C7F">
        <w:rPr>
          <w:lang w:val="fr-CH"/>
        </w:rPr>
        <w:t>’</w:t>
      </w:r>
      <w:r w:rsidR="00FC76B3" w:rsidRPr="001600A8">
        <w:rPr>
          <w:lang w:val="fr-CH"/>
        </w:rPr>
        <w:t>introduction de l</w:t>
      </w:r>
      <w:r w:rsidR="00B34C7F">
        <w:rPr>
          <w:lang w:val="fr-CH"/>
        </w:rPr>
        <w:t>’</w:t>
      </w:r>
      <w:r w:rsidR="00FC76B3" w:rsidRPr="001600A8">
        <w:rPr>
          <w:lang w:val="fr-CH"/>
        </w:rPr>
        <w:t>aménagement du temps de travail.</w:t>
      </w:r>
      <w:r w:rsidR="0052447B" w:rsidRPr="001600A8">
        <w:rPr>
          <w:lang w:val="fr-CH"/>
        </w:rPr>
        <w:t xml:space="preserve"> </w:t>
      </w:r>
      <w:r w:rsidR="00FC76B3" w:rsidRPr="001600A8">
        <w:rPr>
          <w:lang w:val="fr-CH"/>
        </w:rPr>
        <w:t xml:space="preserve"> Ces dépenses continueront d</w:t>
      </w:r>
      <w:r w:rsidR="00B34C7F">
        <w:rPr>
          <w:lang w:val="fr-CH"/>
        </w:rPr>
        <w:t>’</w:t>
      </w:r>
      <w:r w:rsidR="00FC76B3" w:rsidRPr="001600A8">
        <w:rPr>
          <w:lang w:val="fr-CH"/>
        </w:rPr>
        <w:t>être suivies de près, en coordination avec le programme 23 (Gestion et mise en valeur des ressources humaines) et les autres programmes concernés.</w:t>
      </w:r>
    </w:p>
    <w:p w14:paraId="277065C0" w14:textId="1EE8C037" w:rsidR="00B34C7F" w:rsidRDefault="00FC76B3" w:rsidP="00176521">
      <w:pPr>
        <w:pStyle w:val="ONUMFS"/>
        <w:spacing w:after="440"/>
        <w:rPr>
          <w:lang w:val="fr-CH"/>
        </w:rPr>
      </w:pPr>
      <w:r w:rsidRPr="001600A8">
        <w:rPr>
          <w:lang w:val="fr-CH"/>
        </w:rPr>
        <w:t>Compte tenu des hypothèses de planification présentées ci</w:t>
      </w:r>
      <w:r w:rsidR="00B34C7F">
        <w:rPr>
          <w:lang w:val="fr-CH"/>
        </w:rPr>
        <w:t>-</w:t>
      </w:r>
      <w:r w:rsidRPr="001600A8">
        <w:rPr>
          <w:lang w:val="fr-CH"/>
        </w:rPr>
        <w:t>dessus, l</w:t>
      </w:r>
      <w:r w:rsidR="00B34C7F">
        <w:rPr>
          <w:lang w:val="fr-CH"/>
        </w:rPr>
        <w:t>’</w:t>
      </w:r>
      <w:r w:rsidRPr="001600A8">
        <w:rPr>
          <w:lang w:val="fr-CH"/>
        </w:rPr>
        <w:t xml:space="preserve">augmentation des dépenses de personnel </w:t>
      </w:r>
      <w:r w:rsidR="00B34C7F" w:rsidRPr="001600A8">
        <w:rPr>
          <w:lang w:val="fr-CH"/>
        </w:rPr>
        <w:t>pour</w:t>
      </w:r>
      <w:r w:rsidR="00B34C7F">
        <w:rPr>
          <w:lang w:val="fr-CH"/>
        </w:rPr>
        <w:t> </w:t>
      </w:r>
      <w:r w:rsidR="00B34C7F" w:rsidRPr="001600A8">
        <w:rPr>
          <w:lang w:val="fr-CH"/>
        </w:rPr>
        <w:t>2020</w:t>
      </w:r>
      <w:r w:rsidR="00B34C7F">
        <w:rPr>
          <w:lang w:val="fr-CH"/>
        </w:rPr>
        <w:t>-</w:t>
      </w:r>
      <w:r w:rsidRPr="001600A8">
        <w:rPr>
          <w:lang w:val="fr-CH"/>
        </w:rPr>
        <w:t>2021 s</w:t>
      </w:r>
      <w:r w:rsidR="00B34C7F">
        <w:rPr>
          <w:lang w:val="fr-CH"/>
        </w:rPr>
        <w:t>’</w:t>
      </w:r>
      <w:r w:rsidRPr="001600A8">
        <w:rPr>
          <w:lang w:val="fr-CH"/>
        </w:rPr>
        <w:t>élève à 15,9 millions de francs suisses, soit 3,5%, par rapport au budget approuvé pour l</w:t>
      </w:r>
      <w:r w:rsidR="00B34C7F">
        <w:rPr>
          <w:lang w:val="fr-CH"/>
        </w:rPr>
        <w:t>’</w:t>
      </w:r>
      <w:r w:rsidRPr="001600A8">
        <w:rPr>
          <w:lang w:val="fr-CH"/>
        </w:rPr>
        <w:t>exercice biennal 2018</w:t>
      </w:r>
      <w:r w:rsidR="00B34C7F">
        <w:rPr>
          <w:lang w:val="fr-CH"/>
        </w:rPr>
        <w:t>-</w:t>
      </w:r>
      <w:r w:rsidRPr="001600A8">
        <w:rPr>
          <w:lang w:val="fr-CH"/>
        </w:rPr>
        <w:t>2019.</w:t>
      </w:r>
      <w:r w:rsidR="0052447B" w:rsidRPr="001600A8">
        <w:rPr>
          <w:lang w:val="fr-CH"/>
        </w:rPr>
        <w:t xml:space="preserve">  </w:t>
      </w:r>
      <w:r w:rsidRPr="001600A8">
        <w:rPr>
          <w:lang w:val="fr-CH"/>
        </w:rPr>
        <w:t xml:space="preserve">La part des dépenses de personnel prévues dans le budget total est passée de 62,4% </w:t>
      </w:r>
      <w:r w:rsidR="00B34C7F" w:rsidRPr="001600A8">
        <w:rPr>
          <w:lang w:val="fr-CH"/>
        </w:rPr>
        <w:t>en</w:t>
      </w:r>
      <w:r w:rsidR="00B34C7F">
        <w:rPr>
          <w:lang w:val="fr-CH"/>
        </w:rPr>
        <w:t> </w:t>
      </w:r>
      <w:r w:rsidR="00B34C7F" w:rsidRPr="001600A8">
        <w:rPr>
          <w:lang w:val="fr-CH"/>
        </w:rPr>
        <w:t>2018</w:t>
      </w:r>
      <w:r w:rsidR="00B34C7F">
        <w:rPr>
          <w:lang w:val="fr-CH"/>
        </w:rPr>
        <w:t>-</w:t>
      </w:r>
      <w:r w:rsidRPr="001600A8">
        <w:rPr>
          <w:lang w:val="fr-CH"/>
        </w:rPr>
        <w:t xml:space="preserve">2019 à 61,9% </w:t>
      </w:r>
      <w:r w:rsidR="00B34C7F" w:rsidRPr="001600A8">
        <w:rPr>
          <w:lang w:val="fr-CH"/>
        </w:rPr>
        <w:t>en</w:t>
      </w:r>
      <w:r w:rsidR="00B34C7F">
        <w:rPr>
          <w:lang w:val="fr-CH"/>
        </w:rPr>
        <w:t> </w:t>
      </w:r>
      <w:r w:rsidR="0016459F">
        <w:rPr>
          <w:lang w:val="fr-CH"/>
        </w:rPr>
        <w:br/>
      </w:r>
      <w:r w:rsidR="00B34C7F" w:rsidRPr="001600A8">
        <w:rPr>
          <w:lang w:val="fr-CH"/>
        </w:rPr>
        <w:t>2020</w:t>
      </w:r>
      <w:r w:rsidR="00B34C7F">
        <w:rPr>
          <w:lang w:val="fr-CH"/>
        </w:rPr>
        <w:t>-</w:t>
      </w:r>
      <w:r w:rsidRPr="001600A8">
        <w:rPr>
          <w:lang w:val="fr-CH"/>
        </w:rPr>
        <w:t>2021.</w:t>
      </w:r>
    </w:p>
    <w:p w14:paraId="76FF9EBA" w14:textId="04FAE002" w:rsidR="00524595" w:rsidRPr="001600A8" w:rsidRDefault="00FC76B3" w:rsidP="00FC76B3">
      <w:pPr>
        <w:pStyle w:val="ListParagraph"/>
        <w:ind w:left="0"/>
        <w:rPr>
          <w:rFonts w:eastAsia="Times New Roman"/>
          <w:b/>
          <w:iCs/>
          <w:szCs w:val="22"/>
          <w:lang w:val="fr-CH" w:eastAsia="en-US"/>
        </w:rPr>
      </w:pPr>
      <w:r w:rsidRPr="001600A8">
        <w:rPr>
          <w:rFonts w:eastAsia="Times New Roman"/>
          <w:b/>
          <w:iCs/>
          <w:szCs w:val="22"/>
          <w:lang w:val="fr-CH" w:eastAsia="en-US"/>
        </w:rPr>
        <w:t>Sources et modalités de financement</w:t>
      </w:r>
    </w:p>
    <w:p w14:paraId="47793DAE" w14:textId="77777777" w:rsidR="00524595" w:rsidRPr="001600A8" w:rsidRDefault="00524595" w:rsidP="0052447B">
      <w:pPr>
        <w:pStyle w:val="ListParagraph"/>
        <w:ind w:left="0"/>
        <w:rPr>
          <w:rFonts w:eastAsia="Times New Roman"/>
          <w:iCs/>
          <w:szCs w:val="22"/>
          <w:lang w:val="fr-CH" w:eastAsia="en-US"/>
        </w:rPr>
      </w:pPr>
    </w:p>
    <w:p w14:paraId="11401CA6" w14:textId="2BDA0E85" w:rsidR="00524595" w:rsidRPr="001600A8" w:rsidRDefault="00FC76B3" w:rsidP="00176521">
      <w:pPr>
        <w:pStyle w:val="ONUMFS"/>
        <w:rPr>
          <w:lang w:val="fr-CH" w:eastAsia="en-US"/>
        </w:rPr>
      </w:pPr>
      <w:r w:rsidRPr="001600A8">
        <w:rPr>
          <w:lang w:val="fr-CH" w:eastAsia="en-US"/>
        </w:rPr>
        <w:t>Le budget des dépenses de l</w:t>
      </w:r>
      <w:r w:rsidR="00B34C7F">
        <w:rPr>
          <w:lang w:val="fr-CH" w:eastAsia="en-US"/>
        </w:rPr>
        <w:t>’</w:t>
      </w:r>
      <w:r w:rsidRPr="001600A8">
        <w:rPr>
          <w:lang w:val="fr-CH" w:eastAsia="en-US"/>
        </w:rPr>
        <w:t>Organisation est estimé à 768 401 034 francs suisses pour l</w:t>
      </w:r>
      <w:r w:rsidR="00B34C7F">
        <w:rPr>
          <w:lang w:val="fr-CH" w:eastAsia="en-US"/>
        </w:rPr>
        <w:t>’</w:t>
      </w:r>
      <w:r w:rsidRPr="001600A8">
        <w:rPr>
          <w:lang w:val="fr-CH" w:eastAsia="en-US"/>
        </w:rPr>
        <w:t>exercice biennal 2020</w:t>
      </w:r>
      <w:r w:rsidR="00B34C7F">
        <w:rPr>
          <w:lang w:val="fr-CH" w:eastAsia="en-US"/>
        </w:rPr>
        <w:t>-</w:t>
      </w:r>
      <w:r w:rsidRPr="001600A8">
        <w:rPr>
          <w:lang w:val="fr-CH" w:eastAsia="en-US"/>
        </w:rPr>
        <w:t>2021 et il est financé par les recettes globales, qui devraient s</w:t>
      </w:r>
      <w:r w:rsidR="00B34C7F">
        <w:rPr>
          <w:lang w:val="fr-CH" w:eastAsia="en-US"/>
        </w:rPr>
        <w:t>’</w:t>
      </w:r>
      <w:r w:rsidRPr="001600A8">
        <w:rPr>
          <w:lang w:val="fr-CH" w:eastAsia="en-US"/>
        </w:rPr>
        <w:t>établir à 882,8 millions de francs suisses pour l</w:t>
      </w:r>
      <w:r w:rsidR="00B34C7F">
        <w:rPr>
          <w:lang w:val="fr-CH" w:eastAsia="en-US"/>
        </w:rPr>
        <w:t>’</w:t>
      </w:r>
      <w:r w:rsidRPr="001600A8">
        <w:rPr>
          <w:lang w:val="fr-CH" w:eastAsia="en-US"/>
        </w:rPr>
        <w:t>exercice biennal 2020</w:t>
      </w:r>
      <w:r w:rsidR="00B34C7F">
        <w:rPr>
          <w:lang w:val="fr-CH" w:eastAsia="en-US"/>
        </w:rPr>
        <w:t>-</w:t>
      </w:r>
      <w:r w:rsidRPr="001600A8">
        <w:rPr>
          <w:lang w:val="fr-CH" w:eastAsia="en-US"/>
        </w:rPr>
        <w:t>2021</w:t>
      </w:r>
      <w:r w:rsidRPr="001600A8">
        <w:rPr>
          <w:rStyle w:val="FootnoteReference"/>
          <w:rFonts w:eastAsia="Times New Roman"/>
          <w:iCs/>
          <w:szCs w:val="22"/>
          <w:lang w:eastAsia="en-US"/>
        </w:rPr>
        <w:footnoteReference w:id="5"/>
      </w:r>
      <w:r w:rsidRPr="001600A8">
        <w:rPr>
          <w:lang w:val="fr-CH" w:eastAsia="en-US"/>
        </w:rPr>
        <w:t>.</w:t>
      </w:r>
      <w:r w:rsidR="008543F3" w:rsidRPr="001600A8">
        <w:rPr>
          <w:lang w:val="fr-CH" w:eastAsia="en-US"/>
        </w:rPr>
        <w:t xml:space="preserve">  </w:t>
      </w:r>
      <w:r w:rsidRPr="001600A8">
        <w:rPr>
          <w:lang w:val="fr-CH" w:eastAsia="en-US"/>
        </w:rPr>
        <w:t>L</w:t>
      </w:r>
      <w:r w:rsidR="001600A8" w:rsidRPr="001600A8">
        <w:rPr>
          <w:lang w:val="fr-CH" w:eastAsia="en-US"/>
        </w:rPr>
        <w:t>a</w:t>
      </w:r>
      <w:r w:rsidRPr="001600A8">
        <w:rPr>
          <w:lang w:val="fr-CH" w:eastAsia="en-US"/>
        </w:rPr>
        <w:t xml:space="preserve"> </w:t>
      </w:r>
      <w:r w:rsidR="001600A8" w:rsidRPr="001600A8">
        <w:rPr>
          <w:lang w:val="fr-CH" w:eastAsia="en-US"/>
        </w:rPr>
        <w:t>figure</w:t>
      </w:r>
      <w:r w:rsidRPr="001600A8">
        <w:rPr>
          <w:lang w:val="fr-CH" w:eastAsia="en-US"/>
        </w:rPr>
        <w:t> 1 ci</w:t>
      </w:r>
      <w:r w:rsidR="00B34C7F">
        <w:rPr>
          <w:lang w:val="fr-CH" w:eastAsia="en-US"/>
        </w:rPr>
        <w:t>-</w:t>
      </w:r>
      <w:r w:rsidRPr="001600A8">
        <w:rPr>
          <w:lang w:val="fr-CH" w:eastAsia="en-US"/>
        </w:rPr>
        <w:t>dessous donne un aperçu de la répartition des recettes pour l</w:t>
      </w:r>
      <w:r w:rsidR="00B34C7F">
        <w:rPr>
          <w:lang w:val="fr-CH" w:eastAsia="en-US"/>
        </w:rPr>
        <w:t>’</w:t>
      </w:r>
      <w:r w:rsidRPr="001600A8">
        <w:rPr>
          <w:lang w:val="fr-CH" w:eastAsia="en-US"/>
        </w:rPr>
        <w:t>exercice 2020</w:t>
      </w:r>
      <w:r w:rsidR="00B34C7F">
        <w:rPr>
          <w:lang w:val="fr-CH" w:eastAsia="en-US"/>
        </w:rPr>
        <w:t>-</w:t>
      </w:r>
      <w:r w:rsidRPr="001600A8">
        <w:rPr>
          <w:lang w:val="fr-CH" w:eastAsia="en-US"/>
        </w:rPr>
        <w:t>2021 par provenance.</w:t>
      </w:r>
    </w:p>
    <w:p w14:paraId="4E54DC75" w14:textId="6501078B" w:rsidR="00524595" w:rsidRPr="00176521" w:rsidRDefault="00FC76B3" w:rsidP="00FC76B3">
      <w:pPr>
        <w:pStyle w:val="TableAndChartTitle"/>
        <w:spacing w:after="0"/>
        <w:ind w:left="-1411"/>
        <w:rPr>
          <w:color w:val="1F497D"/>
          <w:szCs w:val="18"/>
          <w:lang w:val="fr-CH"/>
        </w:rPr>
      </w:pPr>
      <w:r w:rsidRPr="00176521">
        <w:rPr>
          <w:color w:val="1F497D"/>
          <w:szCs w:val="18"/>
          <w:lang w:val="fr-CH"/>
        </w:rPr>
        <w:lastRenderedPageBreak/>
        <w:t>F</w:t>
      </w:r>
      <w:r w:rsidR="00176521" w:rsidRPr="00176521">
        <w:rPr>
          <w:color w:val="1F497D"/>
          <w:szCs w:val="18"/>
          <w:lang w:val="fr-CH"/>
        </w:rPr>
        <w:t>igure 1.</w:t>
      </w:r>
      <w:r w:rsidRPr="00176521">
        <w:rPr>
          <w:color w:val="1F497D"/>
          <w:szCs w:val="18"/>
          <w:lang w:val="fr-CH"/>
        </w:rPr>
        <w:t xml:space="preserve"> Répartition des recettes </w:t>
      </w:r>
      <w:r w:rsidR="00B34C7F" w:rsidRPr="00176521">
        <w:rPr>
          <w:color w:val="1F497D"/>
          <w:szCs w:val="18"/>
          <w:lang w:val="fr-CH"/>
        </w:rPr>
        <w:t>pour</w:t>
      </w:r>
      <w:r w:rsidR="00B34C7F">
        <w:rPr>
          <w:color w:val="1F497D"/>
          <w:szCs w:val="18"/>
          <w:lang w:val="fr-CH"/>
        </w:rPr>
        <w:t> </w:t>
      </w:r>
      <w:r w:rsidR="00B34C7F" w:rsidRPr="00176521">
        <w:rPr>
          <w:color w:val="1F497D"/>
          <w:szCs w:val="18"/>
          <w:lang w:val="fr-CH"/>
        </w:rPr>
        <w:t>2020</w:t>
      </w:r>
      <w:r w:rsidR="00B34C7F">
        <w:rPr>
          <w:color w:val="1F497D"/>
          <w:szCs w:val="18"/>
          <w:lang w:val="fr-CH"/>
        </w:rPr>
        <w:t>-</w:t>
      </w:r>
      <w:r w:rsidRPr="00176521">
        <w:rPr>
          <w:color w:val="1F497D"/>
          <w:szCs w:val="18"/>
          <w:lang w:val="fr-CH"/>
        </w:rPr>
        <w:t>2021 par provenance</w:t>
      </w:r>
    </w:p>
    <w:p w14:paraId="289A63B3" w14:textId="1EE67C83" w:rsidR="00524595" w:rsidRDefault="006D03C6" w:rsidP="001C10AB">
      <w:pPr>
        <w:pStyle w:val="TableAndChartTitle"/>
        <w:spacing w:after="240"/>
        <w:rPr>
          <w:color w:val="auto"/>
          <w:lang w:val="fr-CH"/>
        </w:rPr>
      </w:pPr>
      <w:r w:rsidRPr="006D03C6">
        <w:rPr>
          <w:noProof/>
          <w:lang w:val="en-US"/>
        </w:rPr>
        <w:drawing>
          <wp:inline distT="0" distB="0" distL="0" distR="0" wp14:anchorId="77DA4128" wp14:editId="2C01EA85">
            <wp:extent cx="4086000" cy="2203200"/>
            <wp:effectExtent l="0" t="0" r="0" b="6985"/>
            <wp:docPr id="4" name="Image 4" descr="Figure 1. Répartition des recettes pour 2020-2021 par provenance" title="Figure 1. Répartition des recettes pour 2020-2021 par prov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000" cy="2203200"/>
                    </a:xfrm>
                    <a:prstGeom prst="rect">
                      <a:avLst/>
                    </a:prstGeom>
                    <a:noFill/>
                    <a:ln>
                      <a:noFill/>
                    </a:ln>
                  </pic:spPr>
                </pic:pic>
              </a:graphicData>
            </a:graphic>
          </wp:inline>
        </w:drawing>
      </w:r>
    </w:p>
    <w:p w14:paraId="0264D182" w14:textId="75A4914C" w:rsidR="000765C4" w:rsidRPr="00176521" w:rsidRDefault="00FC76B3" w:rsidP="00435B41">
      <w:pPr>
        <w:pStyle w:val="Endofdocument-Annex"/>
        <w:rPr>
          <w:lang w:val="fr-CH" w:eastAsia="en-US"/>
        </w:rPr>
      </w:pPr>
      <w:r w:rsidRPr="00176521">
        <w:rPr>
          <w:lang w:val="fr-CH" w:eastAsia="en-US"/>
        </w:rPr>
        <w:t>[Fin du document]</w:t>
      </w:r>
    </w:p>
    <w:sectPr w:rsidR="000765C4" w:rsidRPr="00176521" w:rsidSect="00805D31">
      <w:headerReference w:type="default" r:id="rId10"/>
      <w:endnotePr>
        <w:numFmt w:val="decimal"/>
      </w:endnotePr>
      <w:pgSz w:w="11907" w:h="16840" w:code="9"/>
      <w:pgMar w:top="1368" w:right="1138" w:bottom="1368" w:left="1138"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7595" w14:textId="77777777" w:rsidR="00AC0FA3" w:rsidRDefault="00AC0FA3">
      <w:r>
        <w:separator/>
      </w:r>
    </w:p>
  </w:endnote>
  <w:endnote w:type="continuationSeparator" w:id="0">
    <w:p w14:paraId="47B2CA31" w14:textId="77777777" w:rsidR="00AC0FA3" w:rsidRDefault="00AC0FA3" w:rsidP="003B38C1">
      <w:r>
        <w:separator/>
      </w:r>
    </w:p>
    <w:p w14:paraId="31039823" w14:textId="77777777" w:rsidR="00AC0FA3" w:rsidRPr="003B38C1" w:rsidRDefault="00AC0FA3" w:rsidP="003B38C1">
      <w:pPr>
        <w:spacing w:after="60"/>
        <w:rPr>
          <w:sz w:val="17"/>
        </w:rPr>
      </w:pPr>
      <w:r>
        <w:rPr>
          <w:sz w:val="17"/>
        </w:rPr>
        <w:t>[Endnote continued from previous page]</w:t>
      </w:r>
    </w:p>
  </w:endnote>
  <w:endnote w:type="continuationNotice" w:id="1">
    <w:p w14:paraId="29805E15" w14:textId="77777777" w:rsidR="00AC0FA3" w:rsidRPr="003B38C1" w:rsidRDefault="00AC0F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83C9" w14:textId="77777777" w:rsidR="00AC0FA3" w:rsidRDefault="00AC0FA3">
      <w:r>
        <w:separator/>
      </w:r>
    </w:p>
  </w:footnote>
  <w:footnote w:type="continuationSeparator" w:id="0">
    <w:p w14:paraId="4F4F0C42" w14:textId="77777777" w:rsidR="00AC0FA3" w:rsidRDefault="00AC0FA3" w:rsidP="008B60B2">
      <w:r>
        <w:separator/>
      </w:r>
    </w:p>
    <w:p w14:paraId="26961FF6" w14:textId="77777777" w:rsidR="00AC0FA3" w:rsidRPr="00ED77FB" w:rsidRDefault="00AC0FA3" w:rsidP="008B60B2">
      <w:pPr>
        <w:spacing w:after="60"/>
        <w:rPr>
          <w:sz w:val="17"/>
          <w:szCs w:val="17"/>
        </w:rPr>
      </w:pPr>
      <w:r w:rsidRPr="00ED77FB">
        <w:rPr>
          <w:sz w:val="17"/>
          <w:szCs w:val="17"/>
        </w:rPr>
        <w:t>[Footnote continued from previous page]</w:t>
      </w:r>
    </w:p>
  </w:footnote>
  <w:footnote w:type="continuationNotice" w:id="1">
    <w:p w14:paraId="1D3B0A02" w14:textId="77777777" w:rsidR="00AC0FA3" w:rsidRPr="00ED77FB" w:rsidRDefault="00AC0FA3" w:rsidP="008B60B2">
      <w:pPr>
        <w:spacing w:before="60"/>
        <w:jc w:val="right"/>
        <w:rPr>
          <w:sz w:val="17"/>
          <w:szCs w:val="17"/>
        </w:rPr>
      </w:pPr>
      <w:r w:rsidRPr="00ED77FB">
        <w:rPr>
          <w:sz w:val="17"/>
          <w:szCs w:val="17"/>
        </w:rPr>
        <w:t>[Footnote continued on next page]</w:t>
      </w:r>
    </w:p>
  </w:footnote>
  <w:footnote w:id="2">
    <w:p w14:paraId="4086F428" w14:textId="45789A25" w:rsidR="00663F4E" w:rsidRPr="001600A8" w:rsidRDefault="00663F4E" w:rsidP="00663F4E">
      <w:pPr>
        <w:pStyle w:val="FootnoteText"/>
        <w:rPr>
          <w:lang w:val="fr-CH"/>
        </w:rPr>
      </w:pPr>
      <w:r w:rsidRPr="001600A8">
        <w:rPr>
          <w:rStyle w:val="FootnoteReference"/>
        </w:rPr>
        <w:footnoteRef/>
      </w:r>
      <w:r w:rsidR="00B56427">
        <w:rPr>
          <w:lang w:val="fr-CH"/>
        </w:rPr>
        <w:t xml:space="preserve"> </w:t>
      </w:r>
      <w:r w:rsidR="00B56427">
        <w:rPr>
          <w:lang w:val="fr-CH"/>
        </w:rPr>
        <w:tab/>
      </w:r>
      <w:r w:rsidRPr="001600A8">
        <w:rPr>
          <w:lang w:val="fr-CH"/>
        </w:rPr>
        <w:t>Voir les paragraphes</w:t>
      </w:r>
      <w:r w:rsidR="00FC76B3" w:rsidRPr="001600A8">
        <w:rPr>
          <w:lang w:val="fr-CH"/>
        </w:rPr>
        <w:t> </w:t>
      </w:r>
      <w:r w:rsidRPr="001600A8">
        <w:rPr>
          <w:lang w:val="fr-CH"/>
        </w:rPr>
        <w:t>25 à 28 du document</w:t>
      </w:r>
      <w:r w:rsidR="007F3CE5">
        <w:rPr>
          <w:lang w:val="fr-CH"/>
        </w:rPr>
        <w:t> </w:t>
      </w:r>
      <w:r w:rsidRPr="001600A8">
        <w:rPr>
          <w:lang w:val="fr-CH"/>
        </w:rPr>
        <w:t xml:space="preserve">A/59/8. </w:t>
      </w:r>
    </w:p>
  </w:footnote>
  <w:footnote w:id="3">
    <w:p w14:paraId="703AEF58" w14:textId="04D1CD7E" w:rsidR="00663F4E" w:rsidRPr="001600A8" w:rsidRDefault="00663F4E" w:rsidP="00663F4E">
      <w:pPr>
        <w:pStyle w:val="FootnoteText"/>
        <w:rPr>
          <w:lang w:val="fr-CH"/>
        </w:rPr>
      </w:pPr>
      <w:r w:rsidRPr="001600A8">
        <w:rPr>
          <w:rStyle w:val="FootnoteReference"/>
        </w:rPr>
        <w:footnoteRef/>
      </w:r>
      <w:r w:rsidRPr="001600A8">
        <w:rPr>
          <w:lang w:val="fr-CH"/>
        </w:rPr>
        <w:t xml:space="preserve"> </w:t>
      </w:r>
      <w:r w:rsidR="00B56427">
        <w:rPr>
          <w:lang w:val="fr-CH"/>
        </w:rPr>
        <w:tab/>
      </w:r>
      <w:r w:rsidRPr="001600A8">
        <w:rPr>
          <w:lang w:val="fr-CH"/>
        </w:rPr>
        <w:t>Le barème des traitements des administrateurs et des fonctionnaires de rang supérieur est entré en vigueur le</w:t>
      </w:r>
      <w:r w:rsidR="005359C1">
        <w:rPr>
          <w:lang w:val="fr-CH"/>
        </w:rPr>
        <w:t xml:space="preserve"> 1</w:t>
      </w:r>
      <w:r w:rsidR="005359C1" w:rsidRPr="005359C1">
        <w:rPr>
          <w:vertAlign w:val="superscript"/>
          <w:lang w:val="fr-CH"/>
        </w:rPr>
        <w:t>er</w:t>
      </w:r>
      <w:r w:rsidR="005359C1">
        <w:rPr>
          <w:lang w:val="fr-CH"/>
        </w:rPr>
        <w:t> </w:t>
      </w:r>
      <w:r w:rsidRPr="001600A8">
        <w:rPr>
          <w:lang w:val="fr-CH"/>
        </w:rPr>
        <w:t>janvier</w:t>
      </w:r>
      <w:r w:rsidR="00FC76B3" w:rsidRPr="001600A8">
        <w:rPr>
          <w:lang w:val="fr-CH"/>
        </w:rPr>
        <w:t> </w:t>
      </w:r>
      <w:r w:rsidRPr="001600A8">
        <w:rPr>
          <w:lang w:val="fr-CH"/>
        </w:rPr>
        <w:t>2019 et le barème de la rémunération considérée aux fins de la pension le</w:t>
      </w:r>
      <w:r w:rsidR="005359C1">
        <w:rPr>
          <w:lang w:val="fr-CH"/>
        </w:rPr>
        <w:t xml:space="preserve"> 1</w:t>
      </w:r>
      <w:r w:rsidR="005359C1" w:rsidRPr="005359C1">
        <w:rPr>
          <w:vertAlign w:val="superscript"/>
          <w:lang w:val="fr-CH"/>
        </w:rPr>
        <w:t>er</w:t>
      </w:r>
      <w:r w:rsidR="005359C1">
        <w:rPr>
          <w:lang w:val="fr-CH"/>
        </w:rPr>
        <w:t> </w:t>
      </w:r>
      <w:r w:rsidRPr="001600A8">
        <w:rPr>
          <w:lang w:val="fr-CH"/>
        </w:rPr>
        <w:t>février</w:t>
      </w:r>
      <w:r w:rsidR="00FC76B3" w:rsidRPr="001600A8">
        <w:rPr>
          <w:lang w:val="fr-CH"/>
        </w:rPr>
        <w:t> </w:t>
      </w:r>
      <w:r w:rsidRPr="001600A8">
        <w:rPr>
          <w:lang w:val="fr-CH"/>
        </w:rPr>
        <w:t xml:space="preserve">2019. </w:t>
      </w:r>
      <w:r w:rsidR="00FC76B3" w:rsidRPr="001600A8">
        <w:rPr>
          <w:lang w:val="fr-CH"/>
        </w:rPr>
        <w:t xml:space="preserve"> </w:t>
      </w:r>
      <w:r w:rsidRPr="001600A8">
        <w:rPr>
          <w:lang w:val="fr-CH"/>
        </w:rPr>
        <w:t xml:space="preserve">Le barème des traitements et le barème de la rémunération considérée aux fins de la pension pour les postes occupés de la catégorie des services généraux </w:t>
      </w:r>
      <w:r w:rsidR="00B56427">
        <w:rPr>
          <w:lang w:val="fr-CH"/>
        </w:rPr>
        <w:t>sont</w:t>
      </w:r>
      <w:r w:rsidRPr="001600A8">
        <w:rPr>
          <w:lang w:val="fr-CH"/>
        </w:rPr>
        <w:t xml:space="preserve"> entré</w:t>
      </w:r>
      <w:r w:rsidR="00B56427">
        <w:rPr>
          <w:lang w:val="fr-CH"/>
        </w:rPr>
        <w:t>s</w:t>
      </w:r>
      <w:r w:rsidRPr="001600A8">
        <w:rPr>
          <w:lang w:val="fr-CH"/>
        </w:rPr>
        <w:t xml:space="preserve"> en vigueur le</w:t>
      </w:r>
      <w:r w:rsidR="005359C1">
        <w:rPr>
          <w:lang w:val="fr-CH"/>
        </w:rPr>
        <w:t xml:space="preserve"> 1</w:t>
      </w:r>
      <w:r w:rsidR="005359C1" w:rsidRPr="005359C1">
        <w:rPr>
          <w:vertAlign w:val="superscript"/>
          <w:lang w:val="fr-CH"/>
        </w:rPr>
        <w:t>er</w:t>
      </w:r>
      <w:r w:rsidR="005359C1">
        <w:rPr>
          <w:lang w:val="fr-CH"/>
        </w:rPr>
        <w:t> </w:t>
      </w:r>
      <w:r w:rsidRPr="001600A8">
        <w:rPr>
          <w:lang w:val="fr-CH"/>
        </w:rPr>
        <w:t>avril</w:t>
      </w:r>
      <w:r w:rsidR="00FC76B3" w:rsidRPr="001600A8">
        <w:rPr>
          <w:lang w:val="fr-CH"/>
        </w:rPr>
        <w:t> </w:t>
      </w:r>
      <w:r w:rsidRPr="001600A8">
        <w:rPr>
          <w:lang w:val="fr-CH"/>
        </w:rPr>
        <w:t>2011 et, pour les postes vacants, le</w:t>
      </w:r>
      <w:r w:rsidR="005359C1">
        <w:rPr>
          <w:lang w:val="fr-CH"/>
        </w:rPr>
        <w:t xml:space="preserve"> 1</w:t>
      </w:r>
      <w:r w:rsidR="005359C1" w:rsidRPr="005359C1">
        <w:rPr>
          <w:vertAlign w:val="superscript"/>
          <w:lang w:val="fr-CH"/>
        </w:rPr>
        <w:t>er</w:t>
      </w:r>
      <w:r w:rsidR="005359C1">
        <w:rPr>
          <w:lang w:val="fr-CH"/>
        </w:rPr>
        <w:t> </w:t>
      </w:r>
      <w:r w:rsidRPr="001600A8">
        <w:rPr>
          <w:lang w:val="fr-CH"/>
        </w:rPr>
        <w:t>septembre</w:t>
      </w:r>
      <w:r w:rsidR="00FC76B3" w:rsidRPr="001600A8">
        <w:rPr>
          <w:lang w:val="fr-CH"/>
        </w:rPr>
        <w:t> </w:t>
      </w:r>
      <w:r w:rsidRPr="001600A8">
        <w:rPr>
          <w:lang w:val="fr-CH"/>
        </w:rPr>
        <w:t>2017.</w:t>
      </w:r>
    </w:p>
  </w:footnote>
  <w:footnote w:id="4">
    <w:p w14:paraId="7C8C1FA4" w14:textId="47105D23" w:rsidR="00663F4E" w:rsidRPr="00663F4E" w:rsidRDefault="00663F4E" w:rsidP="00663F4E">
      <w:pPr>
        <w:pStyle w:val="FootnoteText"/>
        <w:rPr>
          <w:lang w:val="fr-CH"/>
        </w:rPr>
      </w:pPr>
      <w:r w:rsidRPr="001600A8">
        <w:rPr>
          <w:rStyle w:val="FootnoteReference"/>
        </w:rPr>
        <w:footnoteRef/>
      </w:r>
      <w:r w:rsidR="00B56427">
        <w:rPr>
          <w:lang w:val="fr-CH"/>
        </w:rPr>
        <w:t xml:space="preserve"> </w:t>
      </w:r>
      <w:r w:rsidR="00B56427">
        <w:rPr>
          <w:lang w:val="fr-CH"/>
        </w:rPr>
        <w:tab/>
      </w:r>
      <w:r w:rsidRPr="001600A8">
        <w:rPr>
          <w:lang w:val="fr-CH"/>
        </w:rPr>
        <w:t>La CFPI a publié de nouveaux coefficients d</w:t>
      </w:r>
      <w:r w:rsidR="005359C1">
        <w:rPr>
          <w:lang w:val="fr-CH"/>
        </w:rPr>
        <w:t>’</w:t>
      </w:r>
      <w:r w:rsidRPr="001600A8">
        <w:rPr>
          <w:lang w:val="fr-CH"/>
        </w:rPr>
        <w:t>ajustement de poste en août</w:t>
      </w:r>
      <w:r w:rsidR="00FC76B3" w:rsidRPr="001600A8">
        <w:rPr>
          <w:lang w:val="fr-CH"/>
        </w:rPr>
        <w:t> </w:t>
      </w:r>
      <w:r w:rsidRPr="001600A8">
        <w:rPr>
          <w:lang w:val="fr-CH"/>
        </w:rPr>
        <w:t xml:space="preserve">2019 qui, pour des raisons liées au calendrier, ne pouvaient pas être appliqués aux dépenses de personnel </w:t>
      </w:r>
      <w:r w:rsidR="005359C1" w:rsidRPr="001600A8">
        <w:rPr>
          <w:lang w:val="fr-CH"/>
        </w:rPr>
        <w:t>pour</w:t>
      </w:r>
      <w:r w:rsidR="005359C1">
        <w:rPr>
          <w:lang w:val="fr-CH"/>
        </w:rPr>
        <w:t> </w:t>
      </w:r>
      <w:r w:rsidR="005359C1" w:rsidRPr="001600A8">
        <w:rPr>
          <w:lang w:val="fr-CH"/>
        </w:rPr>
        <w:t>2020</w:t>
      </w:r>
      <w:r w:rsidR="005359C1">
        <w:rPr>
          <w:lang w:val="fr-CH"/>
        </w:rPr>
        <w:t>-</w:t>
      </w:r>
      <w:r w:rsidRPr="001600A8">
        <w:rPr>
          <w:lang w:val="fr-CH"/>
        </w:rPr>
        <w:t xml:space="preserve">2021. </w:t>
      </w:r>
      <w:r w:rsidR="00FC76B3" w:rsidRPr="001600A8">
        <w:rPr>
          <w:lang w:val="fr-CH"/>
        </w:rPr>
        <w:t xml:space="preserve"> </w:t>
      </w:r>
      <w:r w:rsidRPr="001600A8">
        <w:rPr>
          <w:lang w:val="fr-CH"/>
        </w:rPr>
        <w:t>La différence entre le coefficient d</w:t>
      </w:r>
      <w:r w:rsidR="005359C1">
        <w:rPr>
          <w:lang w:val="fr-CH"/>
        </w:rPr>
        <w:t>’</w:t>
      </w:r>
      <w:r w:rsidRPr="001600A8">
        <w:rPr>
          <w:lang w:val="fr-CH"/>
        </w:rPr>
        <w:t>ajustement de poste et le taux de change de janvier</w:t>
      </w:r>
      <w:r w:rsidR="00FC76B3" w:rsidRPr="001600A8">
        <w:rPr>
          <w:lang w:val="fr-CH"/>
        </w:rPr>
        <w:t> </w:t>
      </w:r>
      <w:r w:rsidRPr="001600A8">
        <w:rPr>
          <w:lang w:val="fr-CH"/>
        </w:rPr>
        <w:t>2018 et ceux d</w:t>
      </w:r>
      <w:r w:rsidR="005359C1">
        <w:rPr>
          <w:lang w:val="fr-CH"/>
        </w:rPr>
        <w:t>’</w:t>
      </w:r>
      <w:r w:rsidRPr="001600A8">
        <w:rPr>
          <w:lang w:val="fr-CH"/>
        </w:rPr>
        <w:t>août</w:t>
      </w:r>
      <w:r w:rsidR="00FC76B3" w:rsidRPr="001600A8">
        <w:rPr>
          <w:lang w:val="fr-CH"/>
        </w:rPr>
        <w:t> </w:t>
      </w:r>
      <w:r w:rsidRPr="001600A8">
        <w:rPr>
          <w:lang w:val="fr-CH"/>
        </w:rPr>
        <w:t>2019 n</w:t>
      </w:r>
      <w:r w:rsidR="005359C1">
        <w:rPr>
          <w:lang w:val="fr-CH"/>
        </w:rPr>
        <w:t>’</w:t>
      </w:r>
      <w:r w:rsidRPr="001600A8">
        <w:rPr>
          <w:lang w:val="fr-CH"/>
        </w:rPr>
        <w:t>a pas d</w:t>
      </w:r>
      <w:r w:rsidR="005359C1">
        <w:rPr>
          <w:lang w:val="fr-CH"/>
        </w:rPr>
        <w:t>’</w:t>
      </w:r>
      <w:r w:rsidRPr="001600A8">
        <w:rPr>
          <w:lang w:val="fr-CH"/>
        </w:rPr>
        <w:t>incidence significative sur l</w:t>
      </w:r>
      <w:r w:rsidR="005359C1">
        <w:rPr>
          <w:lang w:val="fr-CH"/>
        </w:rPr>
        <w:t>’</w:t>
      </w:r>
      <w:r w:rsidRPr="001600A8">
        <w:rPr>
          <w:lang w:val="fr-CH"/>
        </w:rPr>
        <w:t>estimation des dépenses de personnel pour l</w:t>
      </w:r>
      <w:r w:rsidR="005359C1">
        <w:rPr>
          <w:lang w:val="fr-CH"/>
        </w:rPr>
        <w:t>’</w:t>
      </w:r>
      <w:r w:rsidRPr="001600A8">
        <w:rPr>
          <w:lang w:val="fr-CH"/>
        </w:rPr>
        <w:t>exercice biennal</w:t>
      </w:r>
      <w:r w:rsidR="00FC76B3" w:rsidRPr="001600A8">
        <w:rPr>
          <w:lang w:val="fr-CH"/>
        </w:rPr>
        <w:t> </w:t>
      </w:r>
      <w:r w:rsidRPr="001600A8">
        <w:rPr>
          <w:lang w:val="fr-CH"/>
        </w:rPr>
        <w:t>2020</w:t>
      </w:r>
      <w:r w:rsidR="005359C1">
        <w:rPr>
          <w:lang w:val="fr-CH"/>
        </w:rPr>
        <w:t>-</w:t>
      </w:r>
      <w:r w:rsidRPr="001600A8">
        <w:rPr>
          <w:lang w:val="fr-CH"/>
        </w:rPr>
        <w:t>2021.</w:t>
      </w:r>
    </w:p>
  </w:footnote>
  <w:footnote w:id="5">
    <w:p w14:paraId="62D85DC3" w14:textId="5C1C001B" w:rsidR="00FC76B3" w:rsidRPr="001600A8" w:rsidRDefault="00FC76B3" w:rsidP="00FC76B3">
      <w:pPr>
        <w:pStyle w:val="FootnoteText"/>
        <w:rPr>
          <w:lang w:val="fr-CH"/>
        </w:rPr>
      </w:pPr>
      <w:r w:rsidRPr="001600A8">
        <w:rPr>
          <w:rStyle w:val="FootnoteReference"/>
        </w:rPr>
        <w:footnoteRef/>
      </w:r>
      <w:r w:rsidRPr="001600A8">
        <w:rPr>
          <w:lang w:val="fr-CH"/>
        </w:rPr>
        <w:t xml:space="preserve"> </w:t>
      </w:r>
      <w:r w:rsidR="00B56427">
        <w:rPr>
          <w:lang w:val="fr-CH"/>
        </w:rPr>
        <w:tab/>
      </w:r>
      <w:r w:rsidRPr="001600A8">
        <w:rPr>
          <w:lang w:val="fr-CH"/>
        </w:rPr>
        <w:t>Voir les paragraphes 5 à 8 du document</w:t>
      </w:r>
      <w:r w:rsidR="007F3CE5">
        <w:rPr>
          <w:lang w:val="fr-CH"/>
        </w:rPr>
        <w:t> </w:t>
      </w:r>
      <w:r w:rsidRPr="001600A8">
        <w:rPr>
          <w:lang w:val="fr-CH"/>
        </w:rPr>
        <w:t>A/59/8 pour plus de précisions.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D492" w14:textId="0FE2836E" w:rsidR="003D2030" w:rsidRDefault="00762FF2" w:rsidP="00477D6B">
    <w:pPr>
      <w:jc w:val="right"/>
    </w:pPr>
    <w:bookmarkStart w:id="5" w:name="Code2"/>
    <w:bookmarkEnd w:id="5"/>
    <w:r>
      <w:t>A</w:t>
    </w:r>
    <w:r w:rsidR="0016459F">
      <w:t>/59/INF/</w:t>
    </w:r>
    <w:r>
      <w:t>3</w:t>
    </w:r>
  </w:p>
  <w:p w14:paraId="580BE564" w14:textId="1C2BDBB1" w:rsidR="00EC4E49" w:rsidRDefault="00EC4E49" w:rsidP="00477D6B">
    <w:pPr>
      <w:jc w:val="right"/>
    </w:pPr>
    <w:proofErr w:type="gramStart"/>
    <w:r>
      <w:t>page</w:t>
    </w:r>
    <w:proofErr w:type="gramEnd"/>
    <w:r w:rsidR="00FC76B3">
      <w:t> </w:t>
    </w:r>
    <w:r>
      <w:fldChar w:fldCharType="begin"/>
    </w:r>
    <w:r>
      <w:instrText xml:space="preserve"> PAGE  \* MERGEFORMAT </w:instrText>
    </w:r>
    <w:r>
      <w:fldChar w:fldCharType="separate"/>
    </w:r>
    <w:r w:rsidR="00964F8C">
      <w:rPr>
        <w:noProof/>
      </w:rPr>
      <w:t>2</w:t>
    </w:r>
    <w:r>
      <w:fldChar w:fldCharType="end"/>
    </w:r>
  </w:p>
  <w:p w14:paraId="5B6C0D03" w14:textId="77777777" w:rsidR="00EC4E49" w:rsidRDefault="00EC4E49" w:rsidP="00477D6B">
    <w:pPr>
      <w:jc w:val="right"/>
    </w:pPr>
  </w:p>
  <w:p w14:paraId="5B3C0434"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E910A62C"/>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FE7C6A"/>
    <w:multiLevelType w:val="hybridMultilevel"/>
    <w:tmpl w:val="BFE4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F7A4C"/>
    <w:multiLevelType w:val="multilevel"/>
    <w:tmpl w:val="B1EC3128"/>
    <w:numStyleLink w:val="NumbListMain"/>
  </w:abstractNum>
  <w:abstractNum w:abstractNumId="10" w15:restartNumberingAfterBreak="0">
    <w:nsid w:val="7C7438A7"/>
    <w:multiLevelType w:val="multilevel"/>
    <w:tmpl w:val="C0D8AC20"/>
    <w:numStyleLink w:val="NUmbListBullet"/>
  </w:abstractNum>
  <w:abstractNum w:abstractNumId="11"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11"/>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62FF2"/>
    <w:rsid w:val="00043CAA"/>
    <w:rsid w:val="0006721C"/>
    <w:rsid w:val="00075432"/>
    <w:rsid w:val="000765C4"/>
    <w:rsid w:val="000968ED"/>
    <w:rsid w:val="000A16F5"/>
    <w:rsid w:val="000C117A"/>
    <w:rsid w:val="000E5C7D"/>
    <w:rsid w:val="000E6FDE"/>
    <w:rsid w:val="000F5E56"/>
    <w:rsid w:val="000F6B7A"/>
    <w:rsid w:val="0010331B"/>
    <w:rsid w:val="0011688D"/>
    <w:rsid w:val="001273C5"/>
    <w:rsid w:val="001362EE"/>
    <w:rsid w:val="00156693"/>
    <w:rsid w:val="001600A8"/>
    <w:rsid w:val="0016459F"/>
    <w:rsid w:val="001647D5"/>
    <w:rsid w:val="00176521"/>
    <w:rsid w:val="001832A6"/>
    <w:rsid w:val="001C10AB"/>
    <w:rsid w:val="001C79E0"/>
    <w:rsid w:val="001E4E00"/>
    <w:rsid w:val="0021217E"/>
    <w:rsid w:val="00240497"/>
    <w:rsid w:val="002634C4"/>
    <w:rsid w:val="002928D3"/>
    <w:rsid w:val="002932D7"/>
    <w:rsid w:val="002F1FE6"/>
    <w:rsid w:val="002F4E68"/>
    <w:rsid w:val="00312F7F"/>
    <w:rsid w:val="003178BA"/>
    <w:rsid w:val="00350AE2"/>
    <w:rsid w:val="00361450"/>
    <w:rsid w:val="003673CF"/>
    <w:rsid w:val="003845C1"/>
    <w:rsid w:val="00396E9D"/>
    <w:rsid w:val="003A6F89"/>
    <w:rsid w:val="003B38C1"/>
    <w:rsid w:val="003B7C6F"/>
    <w:rsid w:val="003D2030"/>
    <w:rsid w:val="003D57B0"/>
    <w:rsid w:val="004121E0"/>
    <w:rsid w:val="00423E3E"/>
    <w:rsid w:val="00427AF4"/>
    <w:rsid w:val="00435B41"/>
    <w:rsid w:val="004647DA"/>
    <w:rsid w:val="004651B0"/>
    <w:rsid w:val="00474062"/>
    <w:rsid w:val="00477D6B"/>
    <w:rsid w:val="004B2629"/>
    <w:rsid w:val="005019FF"/>
    <w:rsid w:val="00502EC7"/>
    <w:rsid w:val="00504E34"/>
    <w:rsid w:val="0052447B"/>
    <w:rsid w:val="00524595"/>
    <w:rsid w:val="0053057A"/>
    <w:rsid w:val="005359C1"/>
    <w:rsid w:val="005374BF"/>
    <w:rsid w:val="00560A29"/>
    <w:rsid w:val="005B0E47"/>
    <w:rsid w:val="005C6649"/>
    <w:rsid w:val="005D6C80"/>
    <w:rsid w:val="00600203"/>
    <w:rsid w:val="00605827"/>
    <w:rsid w:val="00646050"/>
    <w:rsid w:val="00663F4E"/>
    <w:rsid w:val="006713CA"/>
    <w:rsid w:val="00676C5C"/>
    <w:rsid w:val="006D03C6"/>
    <w:rsid w:val="006E4F5F"/>
    <w:rsid w:val="006E7721"/>
    <w:rsid w:val="006F245D"/>
    <w:rsid w:val="00762FF2"/>
    <w:rsid w:val="0078193C"/>
    <w:rsid w:val="007D1613"/>
    <w:rsid w:val="007D1A22"/>
    <w:rsid w:val="007E4C0E"/>
    <w:rsid w:val="007F3CE5"/>
    <w:rsid w:val="007F6C78"/>
    <w:rsid w:val="00805D31"/>
    <w:rsid w:val="0081263E"/>
    <w:rsid w:val="00820C2F"/>
    <w:rsid w:val="008543F3"/>
    <w:rsid w:val="00860537"/>
    <w:rsid w:val="00877718"/>
    <w:rsid w:val="00897AFA"/>
    <w:rsid w:val="008A134B"/>
    <w:rsid w:val="008B2CC1"/>
    <w:rsid w:val="008B60B2"/>
    <w:rsid w:val="008F58E3"/>
    <w:rsid w:val="0090731E"/>
    <w:rsid w:val="00916EE2"/>
    <w:rsid w:val="00964F8C"/>
    <w:rsid w:val="00966A22"/>
    <w:rsid w:val="00966FA9"/>
    <w:rsid w:val="0096722F"/>
    <w:rsid w:val="00980843"/>
    <w:rsid w:val="00984567"/>
    <w:rsid w:val="009B6777"/>
    <w:rsid w:val="009C127D"/>
    <w:rsid w:val="009D0889"/>
    <w:rsid w:val="009E2791"/>
    <w:rsid w:val="009E3F6F"/>
    <w:rsid w:val="009F499F"/>
    <w:rsid w:val="009F7DB0"/>
    <w:rsid w:val="00A37342"/>
    <w:rsid w:val="00A42DAF"/>
    <w:rsid w:val="00A45BD8"/>
    <w:rsid w:val="00A869B7"/>
    <w:rsid w:val="00AA2DD4"/>
    <w:rsid w:val="00AC0FA3"/>
    <w:rsid w:val="00AC205C"/>
    <w:rsid w:val="00AC3577"/>
    <w:rsid w:val="00AC48F4"/>
    <w:rsid w:val="00AF0A6B"/>
    <w:rsid w:val="00B05A69"/>
    <w:rsid w:val="00B34C7F"/>
    <w:rsid w:val="00B56427"/>
    <w:rsid w:val="00B86B83"/>
    <w:rsid w:val="00B9734B"/>
    <w:rsid w:val="00BA30E2"/>
    <w:rsid w:val="00C11BFE"/>
    <w:rsid w:val="00C5068F"/>
    <w:rsid w:val="00C86D74"/>
    <w:rsid w:val="00C952BD"/>
    <w:rsid w:val="00CD04F1"/>
    <w:rsid w:val="00CD7F59"/>
    <w:rsid w:val="00D44A0B"/>
    <w:rsid w:val="00D45252"/>
    <w:rsid w:val="00D66E37"/>
    <w:rsid w:val="00D71B4D"/>
    <w:rsid w:val="00D93D55"/>
    <w:rsid w:val="00DC0E7C"/>
    <w:rsid w:val="00DF023A"/>
    <w:rsid w:val="00DF383E"/>
    <w:rsid w:val="00E15015"/>
    <w:rsid w:val="00E335FE"/>
    <w:rsid w:val="00E43266"/>
    <w:rsid w:val="00E5566B"/>
    <w:rsid w:val="00E85557"/>
    <w:rsid w:val="00E86008"/>
    <w:rsid w:val="00E9439C"/>
    <w:rsid w:val="00EA0BAA"/>
    <w:rsid w:val="00EA7D6E"/>
    <w:rsid w:val="00EB2210"/>
    <w:rsid w:val="00EC4E49"/>
    <w:rsid w:val="00ED77FB"/>
    <w:rsid w:val="00EE45FA"/>
    <w:rsid w:val="00EF7F04"/>
    <w:rsid w:val="00F06BAF"/>
    <w:rsid w:val="00F21A7A"/>
    <w:rsid w:val="00F66152"/>
    <w:rsid w:val="00F8321C"/>
    <w:rsid w:val="00F901BD"/>
    <w:rsid w:val="00F91CBB"/>
    <w:rsid w:val="00FA2F1A"/>
    <w:rsid w:val="00FC76B3"/>
    <w:rsid w:val="00FD184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F592D9A"/>
  <w15:docId w15:val="{3F3E7E92-532B-4BE6-8AF9-6AA203EE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null">
    <w:name w:val="null"/>
    <w:basedOn w:val="Normal"/>
    <w:rsid w:val="00FA2F1A"/>
    <w:pPr>
      <w:spacing w:before="100" w:beforeAutospacing="1" w:after="100" w:afterAutospacing="1"/>
    </w:pPr>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FA2F1A"/>
    <w:pPr>
      <w:ind w:left="720"/>
      <w:contextualSpacing/>
    </w:pPr>
  </w:style>
  <w:style w:type="character" w:styleId="FootnoteReference">
    <w:name w:val="footnote reference"/>
    <w:aliases w:val="Footnote,callout"/>
    <w:basedOn w:val="DefaultParagraphFont"/>
    <w:uiPriority w:val="99"/>
    <w:unhideWhenUsed/>
    <w:rsid w:val="0052447B"/>
    <w:rPr>
      <w:vertAlign w:val="superscript"/>
    </w:rPr>
  </w:style>
  <w:style w:type="paragraph" w:customStyle="1" w:styleId="NormalNumb">
    <w:name w:val="NormalNumb"/>
    <w:basedOn w:val="Normal"/>
    <w:uiPriority w:val="6"/>
    <w:qFormat/>
    <w:rsid w:val="0052447B"/>
    <w:pPr>
      <w:numPr>
        <w:ilvl w:val="4"/>
        <w:numId w:val="10"/>
      </w:numPr>
      <w:spacing w:after="180" w:line="220" w:lineRule="atLeast"/>
    </w:pPr>
    <w:rPr>
      <w:rFonts w:eastAsiaTheme="minorHAnsi" w:cstheme="minorBidi"/>
      <w:sz w:val="18"/>
      <w:szCs w:val="22"/>
      <w:lang w:val="en-GB" w:eastAsia="en-US"/>
    </w:rPr>
  </w:style>
  <w:style w:type="numbering" w:customStyle="1" w:styleId="NumbListMain">
    <w:name w:val="NumbListMain"/>
    <w:uiPriority w:val="99"/>
    <w:rsid w:val="0052447B"/>
    <w:pPr>
      <w:numPr>
        <w:numId w:val="9"/>
      </w:numPr>
    </w:pPr>
  </w:style>
  <w:style w:type="paragraph" w:customStyle="1" w:styleId="SectionTitleNumb">
    <w:name w:val="SectionTitleNumb"/>
    <w:basedOn w:val="Normal"/>
    <w:uiPriority w:val="1"/>
    <w:qFormat/>
    <w:rsid w:val="0052447B"/>
    <w:pPr>
      <w:keepNext/>
      <w:keepLines/>
      <w:pageBreakBefore/>
      <w:numPr>
        <w:numId w:val="10"/>
      </w:numPr>
      <w:spacing w:after="480" w:line="220" w:lineRule="atLeast"/>
      <w:outlineLvl w:val="0"/>
    </w:pPr>
    <w:rPr>
      <w:rFonts w:eastAsiaTheme="minorHAnsi" w:cstheme="minorBidi"/>
      <w:caps/>
      <w:color w:val="1F497D" w:themeColor="text2"/>
      <w:sz w:val="44"/>
      <w:szCs w:val="22"/>
      <w:lang w:val="en-GB" w:eastAsia="en-US"/>
    </w:rPr>
  </w:style>
  <w:style w:type="paragraph" w:customStyle="1" w:styleId="StrategyTitle">
    <w:name w:val="StrategyTitle"/>
    <w:basedOn w:val="Normal"/>
    <w:uiPriority w:val="2"/>
    <w:qFormat/>
    <w:rsid w:val="0052447B"/>
    <w:pPr>
      <w:keepNext/>
      <w:keepLines/>
      <w:pageBreakBefore/>
      <w:numPr>
        <w:ilvl w:val="1"/>
        <w:numId w:val="10"/>
      </w:numPr>
      <w:spacing w:after="180" w:line="220" w:lineRule="atLeast"/>
      <w:outlineLvl w:val="0"/>
    </w:pPr>
    <w:rPr>
      <w:rFonts w:eastAsiaTheme="minorHAnsi" w:cstheme="minorBidi"/>
      <w:color w:val="1F497D" w:themeColor="text2"/>
      <w:sz w:val="32"/>
      <w:szCs w:val="22"/>
      <w:lang w:val="en-GB" w:eastAsia="en-US"/>
    </w:rPr>
  </w:style>
  <w:style w:type="character" w:customStyle="1" w:styleId="FootnoteTextChar">
    <w:name w:val="Footnote Text Char"/>
    <w:basedOn w:val="DefaultParagraphFont"/>
    <w:link w:val="FootnoteText"/>
    <w:uiPriority w:val="99"/>
    <w:rsid w:val="0052447B"/>
    <w:rPr>
      <w:rFonts w:ascii="Arial" w:eastAsia="SimSun" w:hAnsi="Arial" w:cs="Arial"/>
      <w:sz w:val="18"/>
      <w:lang w:val="en-US" w:eastAsia="zh-CN"/>
    </w:rPr>
  </w:style>
  <w:style w:type="paragraph" w:customStyle="1" w:styleId="Bullet1">
    <w:name w:val="Bullet 1"/>
    <w:basedOn w:val="Normal"/>
    <w:uiPriority w:val="6"/>
    <w:qFormat/>
    <w:rsid w:val="0052447B"/>
    <w:pPr>
      <w:numPr>
        <w:numId w:val="12"/>
      </w:numPr>
      <w:spacing w:after="180" w:line="220" w:lineRule="atLeast"/>
    </w:pPr>
    <w:rPr>
      <w:rFonts w:eastAsiaTheme="minorHAnsi" w:cstheme="minorBidi"/>
      <w:sz w:val="18"/>
      <w:szCs w:val="22"/>
      <w:lang w:val="en-GB" w:eastAsia="en-US"/>
    </w:rPr>
  </w:style>
  <w:style w:type="numbering" w:customStyle="1" w:styleId="NUmbListBullet">
    <w:name w:val="NUmbListBullet"/>
    <w:uiPriority w:val="99"/>
    <w:rsid w:val="0052447B"/>
    <w:pPr>
      <w:numPr>
        <w:numId w:val="11"/>
      </w:numPr>
    </w:pPr>
  </w:style>
  <w:style w:type="paragraph" w:customStyle="1" w:styleId="Bullet2">
    <w:name w:val="Bullet 2"/>
    <w:basedOn w:val="Normal"/>
    <w:uiPriority w:val="6"/>
    <w:qFormat/>
    <w:rsid w:val="0052447B"/>
    <w:pPr>
      <w:numPr>
        <w:ilvl w:val="1"/>
        <w:numId w:val="12"/>
      </w:numPr>
      <w:spacing w:after="180" w:line="220" w:lineRule="atLeast"/>
    </w:pPr>
    <w:rPr>
      <w:rFonts w:eastAsiaTheme="minorHAnsi" w:cstheme="minorBidi"/>
      <w:sz w:val="18"/>
      <w:szCs w:val="22"/>
      <w:lang w:val="en-GB" w:eastAsia="en-US"/>
    </w:rPr>
  </w:style>
  <w:style w:type="paragraph" w:customStyle="1" w:styleId="NumbList1">
    <w:name w:val="NumbList 1"/>
    <w:basedOn w:val="Normal"/>
    <w:uiPriority w:val="6"/>
    <w:qFormat/>
    <w:rsid w:val="0052447B"/>
    <w:pPr>
      <w:numPr>
        <w:ilvl w:val="3"/>
        <w:numId w:val="12"/>
      </w:numPr>
      <w:spacing w:after="180" w:line="220" w:lineRule="atLeast"/>
    </w:pPr>
    <w:rPr>
      <w:rFonts w:eastAsiaTheme="minorHAnsi" w:cstheme="minorBidi"/>
      <w:sz w:val="18"/>
      <w:szCs w:val="22"/>
      <w:lang w:val="en-GB" w:eastAsia="en-US"/>
    </w:rPr>
  </w:style>
  <w:style w:type="paragraph" w:customStyle="1" w:styleId="AlphaList">
    <w:name w:val="AlphaList"/>
    <w:basedOn w:val="Normal"/>
    <w:uiPriority w:val="6"/>
    <w:qFormat/>
    <w:rsid w:val="0052447B"/>
    <w:pPr>
      <w:numPr>
        <w:ilvl w:val="4"/>
        <w:numId w:val="12"/>
      </w:numPr>
      <w:spacing w:after="180" w:line="220" w:lineRule="atLeast"/>
    </w:pPr>
    <w:rPr>
      <w:rFonts w:eastAsiaTheme="minorHAnsi" w:cstheme="minorBidi"/>
      <w:sz w:val="18"/>
      <w:szCs w:val="22"/>
      <w:lang w:val="en-GB" w:eastAsia="en-US"/>
    </w:rPr>
  </w:style>
  <w:style w:type="paragraph" w:customStyle="1" w:styleId="TableAndChartTitle">
    <w:name w:val="TableAndChartTitle"/>
    <w:basedOn w:val="Normal"/>
    <w:next w:val="Normal"/>
    <w:uiPriority w:val="14"/>
    <w:qFormat/>
    <w:rsid w:val="001C10AB"/>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null1">
    <w:name w:val="null1"/>
    <w:basedOn w:val="Normal"/>
    <w:rsid w:val="00F8321C"/>
    <w:pPr>
      <w:spacing w:before="100" w:beforeAutospacing="1" w:after="100" w:afterAutospacing="1"/>
    </w:pPr>
    <w:rPr>
      <w:rFonts w:ascii="Times New Roman" w:eastAsiaTheme="minorHAnsi" w:hAnsi="Times New Roman" w:cs="Times New Roman"/>
      <w:sz w:val="24"/>
      <w:szCs w:val="24"/>
      <w:lang w:eastAsia="en-US"/>
    </w:rPr>
  </w:style>
  <w:style w:type="character" w:styleId="CommentReference">
    <w:name w:val="annotation reference"/>
    <w:basedOn w:val="DefaultParagraphFont"/>
    <w:semiHidden/>
    <w:unhideWhenUsed/>
    <w:rsid w:val="001273C5"/>
    <w:rPr>
      <w:sz w:val="16"/>
      <w:szCs w:val="16"/>
    </w:rPr>
  </w:style>
  <w:style w:type="paragraph" w:styleId="CommentSubject">
    <w:name w:val="annotation subject"/>
    <w:basedOn w:val="CommentText"/>
    <w:next w:val="CommentText"/>
    <w:link w:val="CommentSubjectChar"/>
    <w:semiHidden/>
    <w:unhideWhenUsed/>
    <w:rsid w:val="001273C5"/>
    <w:rPr>
      <w:b/>
      <w:bCs/>
      <w:sz w:val="20"/>
    </w:rPr>
  </w:style>
  <w:style w:type="character" w:customStyle="1" w:styleId="CommentTextChar">
    <w:name w:val="Comment Text Char"/>
    <w:basedOn w:val="DefaultParagraphFont"/>
    <w:link w:val="CommentText"/>
    <w:semiHidden/>
    <w:rsid w:val="001273C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73C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2CFEC-D315-4DD1-B0B8-5BD42F90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3</TotalTime>
  <Pages>4</Pages>
  <Words>1137</Words>
  <Characters>6188</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CHANG Shauna</dc:creator>
  <cp:keywords>PUBLIC</cp:keywords>
  <cp:lastModifiedBy>HÄFLIGER Patience</cp:lastModifiedBy>
  <cp:revision>5</cp:revision>
  <cp:lastPrinted>2019-09-11T12:55:00Z</cp:lastPrinted>
  <dcterms:created xsi:type="dcterms:W3CDTF">2019-09-16T15:01:00Z</dcterms:created>
  <dcterms:modified xsi:type="dcterms:W3CDTF">2019-09-16T15:18:00Z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94a0a0a0-6dbc-4b5f-85f7-47a1ac0bbb45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