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B3B" w:rsidRPr="002B7DF9" w:rsidRDefault="00D17B3B" w:rsidP="00D17B3B">
      <w:pPr>
        <w:widowControl w:val="0"/>
        <w:jc w:val="right"/>
        <w:rPr>
          <w:b/>
          <w:sz w:val="2"/>
          <w:szCs w:val="40"/>
          <w:lang w:val="fr-FR"/>
        </w:rPr>
      </w:pPr>
      <w:bookmarkStart w:id="0" w:name="TitleOfDoc"/>
      <w:bookmarkStart w:id="1" w:name="_GoBack"/>
      <w:bookmarkEnd w:id="0"/>
      <w:bookmarkEnd w:id="1"/>
      <w:r w:rsidRPr="002B7DF9">
        <w:rPr>
          <w:b/>
          <w:sz w:val="40"/>
          <w:szCs w:val="40"/>
          <w:lang w:val="fr-FR"/>
        </w:rPr>
        <w:t>F</w:t>
      </w:r>
    </w:p>
    <w:p w:rsidR="00D17B3B" w:rsidRPr="002B7DF9" w:rsidRDefault="00D17B3B" w:rsidP="00D17B3B">
      <w:pPr>
        <w:spacing w:line="360" w:lineRule="auto"/>
        <w:ind w:left="4592"/>
        <w:rPr>
          <w:rFonts w:ascii="Arial Black" w:hAnsi="Arial Black"/>
          <w:caps/>
          <w:sz w:val="15"/>
          <w:lang w:val="fr-FR"/>
        </w:rPr>
      </w:pPr>
      <w:r w:rsidRPr="002B7DF9">
        <w:rPr>
          <w:noProof/>
          <w:lang w:eastAsia="en-US"/>
        </w:rPr>
        <w:drawing>
          <wp:inline distT="0" distB="0" distL="0" distR="0" wp14:anchorId="67CDA521" wp14:editId="5744C0F2">
            <wp:extent cx="1857375" cy="1323975"/>
            <wp:effectExtent l="0" t="0" r="9525" b="9525"/>
            <wp:docPr id="1" name="Picture 1"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D17B3B" w:rsidRPr="002B7DF9" w:rsidRDefault="00D17B3B" w:rsidP="00D17B3B">
      <w:pPr>
        <w:pBdr>
          <w:top w:val="single" w:sz="4" w:space="10" w:color="auto"/>
        </w:pBdr>
        <w:spacing w:before="120"/>
        <w:jc w:val="right"/>
        <w:rPr>
          <w:rFonts w:ascii="Arial Black" w:hAnsi="Arial Black"/>
          <w:b/>
          <w:caps/>
          <w:sz w:val="15"/>
          <w:lang w:val="fr-FR"/>
        </w:rPr>
      </w:pPr>
      <w:r w:rsidRPr="002B7DF9">
        <w:rPr>
          <w:rFonts w:ascii="Arial Black" w:hAnsi="Arial Black"/>
          <w:b/>
          <w:caps/>
          <w:sz w:val="15"/>
          <w:lang w:val="fr-FR"/>
        </w:rPr>
        <w:t>A/58/</w:t>
      </w:r>
      <w:bookmarkStart w:id="2" w:name="Code"/>
      <w:bookmarkEnd w:id="2"/>
      <w:r w:rsidRPr="002B7DF9">
        <w:rPr>
          <w:rFonts w:ascii="Arial Black" w:hAnsi="Arial Black"/>
          <w:b/>
          <w:caps/>
          <w:sz w:val="15"/>
          <w:lang w:val="fr-FR"/>
        </w:rPr>
        <w:t>INF/4</w:t>
      </w:r>
    </w:p>
    <w:p w:rsidR="00D17B3B" w:rsidRPr="002B7DF9" w:rsidRDefault="00D17B3B" w:rsidP="00D17B3B">
      <w:pPr>
        <w:jc w:val="right"/>
        <w:rPr>
          <w:rFonts w:ascii="Arial Black" w:hAnsi="Arial Black"/>
          <w:b/>
          <w:caps/>
          <w:sz w:val="15"/>
          <w:lang w:val="fr-FR"/>
        </w:rPr>
      </w:pPr>
      <w:r w:rsidRPr="002B7DF9">
        <w:rPr>
          <w:rFonts w:ascii="Arial Black" w:hAnsi="Arial Black"/>
          <w:b/>
          <w:caps/>
          <w:sz w:val="15"/>
          <w:lang w:val="fr-FR"/>
        </w:rPr>
        <w:t>ORIGINAL</w:t>
      </w:r>
      <w:r w:rsidR="00A055C6" w:rsidRPr="002B7DF9">
        <w:rPr>
          <w:rFonts w:ascii="Arial Black" w:hAnsi="Arial Black"/>
          <w:b/>
          <w:caps/>
          <w:sz w:val="15"/>
          <w:lang w:val="fr-FR"/>
        </w:rPr>
        <w:t> :</w:t>
      </w:r>
      <w:r w:rsidRPr="002B7DF9">
        <w:rPr>
          <w:rFonts w:ascii="Arial Black" w:hAnsi="Arial Black"/>
          <w:b/>
          <w:caps/>
          <w:sz w:val="15"/>
          <w:lang w:val="fr-FR"/>
        </w:rPr>
        <w:t xml:space="preserve"> </w:t>
      </w:r>
      <w:bookmarkStart w:id="3" w:name="Original"/>
      <w:bookmarkEnd w:id="3"/>
      <w:r w:rsidRPr="002B7DF9">
        <w:rPr>
          <w:rFonts w:ascii="Arial Black" w:hAnsi="Arial Black"/>
          <w:b/>
          <w:caps/>
          <w:sz w:val="15"/>
          <w:lang w:val="fr-FR"/>
        </w:rPr>
        <w:t>anglais</w:t>
      </w:r>
    </w:p>
    <w:p w:rsidR="00D17B3B" w:rsidRPr="002B7DF9" w:rsidRDefault="00D17B3B" w:rsidP="00D17B3B">
      <w:pPr>
        <w:spacing w:line="1680" w:lineRule="auto"/>
        <w:jc w:val="right"/>
        <w:rPr>
          <w:rFonts w:ascii="Arial Black" w:hAnsi="Arial Black"/>
          <w:b/>
          <w:caps/>
          <w:sz w:val="15"/>
          <w:lang w:val="fr-FR"/>
        </w:rPr>
      </w:pPr>
      <w:r w:rsidRPr="002B7DF9">
        <w:rPr>
          <w:rFonts w:ascii="Arial Black" w:hAnsi="Arial Black"/>
          <w:b/>
          <w:caps/>
          <w:sz w:val="15"/>
          <w:lang w:val="fr-FR"/>
        </w:rPr>
        <w:t>DATE</w:t>
      </w:r>
      <w:r w:rsidR="00A055C6" w:rsidRPr="002B7DF9">
        <w:rPr>
          <w:rFonts w:ascii="Arial Black" w:hAnsi="Arial Black"/>
          <w:b/>
          <w:caps/>
          <w:sz w:val="15"/>
          <w:lang w:val="fr-FR"/>
        </w:rPr>
        <w:t> :</w:t>
      </w:r>
      <w:r w:rsidRPr="002B7DF9">
        <w:rPr>
          <w:rFonts w:ascii="Arial Black" w:hAnsi="Arial Black"/>
          <w:b/>
          <w:caps/>
          <w:sz w:val="15"/>
          <w:lang w:val="fr-FR"/>
        </w:rPr>
        <w:t xml:space="preserve"> </w:t>
      </w:r>
      <w:bookmarkStart w:id="4" w:name="Date"/>
      <w:bookmarkEnd w:id="4"/>
      <w:r w:rsidRPr="002B7DF9">
        <w:rPr>
          <w:rFonts w:ascii="Arial Black" w:hAnsi="Arial Black"/>
          <w:b/>
          <w:caps/>
          <w:sz w:val="15"/>
          <w:lang w:val="fr-FR"/>
        </w:rPr>
        <w:t>18 septembre 2018</w:t>
      </w:r>
    </w:p>
    <w:p w:rsidR="00D17B3B" w:rsidRPr="002B7DF9" w:rsidRDefault="009709AC" w:rsidP="009709AC">
      <w:pPr>
        <w:pStyle w:val="Heading1"/>
      </w:pPr>
      <w:r w:rsidRPr="002B7DF9">
        <w:rPr>
          <w:caps w:val="0"/>
        </w:rPr>
        <w:t>Assemblées des états membres de l</w:t>
      </w:r>
      <w:r w:rsidR="00A055C6" w:rsidRPr="002B7DF9">
        <w:rPr>
          <w:caps w:val="0"/>
        </w:rPr>
        <w:t>’</w:t>
      </w:r>
      <w:r w:rsidRPr="002B7DF9">
        <w:rPr>
          <w:caps w:val="0"/>
        </w:rPr>
        <w:t>OMPI</w:t>
      </w:r>
    </w:p>
    <w:p w:rsidR="00D17B3B" w:rsidRPr="002B7DF9" w:rsidRDefault="00D17B3B" w:rsidP="00D17B3B">
      <w:pPr>
        <w:spacing w:after="720"/>
        <w:rPr>
          <w:b/>
          <w:sz w:val="24"/>
          <w:lang w:val="fr-FR"/>
        </w:rPr>
      </w:pPr>
      <w:r w:rsidRPr="002B7DF9">
        <w:rPr>
          <w:b/>
          <w:sz w:val="24"/>
          <w:lang w:val="fr-FR"/>
        </w:rPr>
        <w:t>Cinquante</w:t>
      </w:r>
      <w:r w:rsidR="003A7647">
        <w:rPr>
          <w:b/>
          <w:sz w:val="24"/>
          <w:lang w:val="fr-FR"/>
        </w:rPr>
        <w:noBreakHyphen/>
      </w:r>
      <w:r w:rsidRPr="002B7DF9">
        <w:rPr>
          <w:b/>
          <w:sz w:val="24"/>
          <w:lang w:val="fr-FR"/>
        </w:rPr>
        <w:t>huitième série de réunions</w:t>
      </w:r>
      <w:r w:rsidRPr="002B7DF9">
        <w:rPr>
          <w:b/>
          <w:sz w:val="24"/>
          <w:lang w:val="fr-FR"/>
        </w:rPr>
        <w:br/>
        <w:t>Genève, 24 septembre – 2 octobre 2018</w:t>
      </w:r>
    </w:p>
    <w:p w:rsidR="008B2CC1" w:rsidRPr="002B7DF9" w:rsidRDefault="00A760DF" w:rsidP="00A760DF">
      <w:pPr>
        <w:spacing w:after="360"/>
        <w:rPr>
          <w:caps/>
          <w:sz w:val="24"/>
          <w:lang w:val="fr-FR"/>
        </w:rPr>
      </w:pPr>
      <w:r w:rsidRPr="002B7DF9">
        <w:rPr>
          <w:caps/>
          <w:sz w:val="24"/>
          <w:lang w:val="fr-FR"/>
        </w:rPr>
        <w:t>SITUATION EN CE QUI CONCERNE L</w:t>
      </w:r>
      <w:r w:rsidR="00A055C6" w:rsidRPr="002B7DF9">
        <w:rPr>
          <w:caps/>
          <w:sz w:val="24"/>
          <w:lang w:val="fr-FR"/>
        </w:rPr>
        <w:t>’</w:t>
      </w:r>
      <w:r w:rsidRPr="002B7DF9">
        <w:rPr>
          <w:caps/>
          <w:sz w:val="24"/>
          <w:lang w:val="fr-FR"/>
        </w:rPr>
        <w:t>ADHÉSION AUX TRAITÉS ADMINISTRÉS PAR L</w:t>
      </w:r>
      <w:r w:rsidR="00A055C6" w:rsidRPr="002B7DF9">
        <w:rPr>
          <w:caps/>
          <w:sz w:val="24"/>
          <w:lang w:val="fr-FR"/>
        </w:rPr>
        <w:t>’</w:t>
      </w:r>
      <w:r w:rsidRPr="002B7DF9">
        <w:rPr>
          <w:caps/>
          <w:sz w:val="24"/>
          <w:lang w:val="fr-FR"/>
        </w:rPr>
        <w:t>OMPI ET QUESTIONS RELATIVES À LA RÉFORME STATUTAIRE</w:t>
      </w:r>
    </w:p>
    <w:p w:rsidR="008B2CC1" w:rsidRPr="002B7DF9" w:rsidRDefault="00684360" w:rsidP="009C127D">
      <w:pPr>
        <w:spacing w:after="960"/>
        <w:rPr>
          <w:i/>
          <w:lang w:val="fr-FR"/>
        </w:rPr>
      </w:pPr>
      <w:bookmarkStart w:id="5" w:name="Prepared"/>
      <w:bookmarkEnd w:id="5"/>
      <w:r w:rsidRPr="002B7DF9">
        <w:rPr>
          <w:i/>
          <w:lang w:val="fr-FR"/>
        </w:rPr>
        <w:t>Document établi par le Secrétariat</w:t>
      </w:r>
    </w:p>
    <w:p w:rsidR="00A055C6" w:rsidRPr="002B7DF9" w:rsidRDefault="00684360" w:rsidP="00D17B3B">
      <w:pPr>
        <w:pStyle w:val="ONUMFS"/>
        <w:numPr>
          <w:ilvl w:val="0"/>
          <w:numId w:val="0"/>
        </w:numPr>
        <w:rPr>
          <w:lang w:val="fr-FR"/>
        </w:rPr>
      </w:pPr>
      <w:r w:rsidRPr="002B7DF9">
        <w:rPr>
          <w:lang w:val="fr-FR"/>
        </w:rPr>
        <w:t>Le présent document indique l</w:t>
      </w:r>
      <w:r w:rsidR="00A055C6" w:rsidRPr="002B7DF9">
        <w:rPr>
          <w:lang w:val="fr-FR"/>
        </w:rPr>
        <w:t>’</w:t>
      </w:r>
      <w:r w:rsidRPr="002B7DF9">
        <w:rPr>
          <w:lang w:val="fr-FR"/>
        </w:rPr>
        <w:t>évolution des adhésions et ratifications relatives aux traités administrés par l</w:t>
      </w:r>
      <w:r w:rsidR="00A055C6" w:rsidRPr="002B7DF9">
        <w:rPr>
          <w:lang w:val="fr-FR"/>
        </w:rPr>
        <w:t>’</w:t>
      </w:r>
      <w:r w:rsidRPr="002B7DF9">
        <w:rPr>
          <w:lang w:val="fr-FR"/>
        </w:rPr>
        <w:t>Organisation Mondiale de la Propriété Intellectuelle (OMPI) du 1</w:t>
      </w:r>
      <w:r w:rsidRPr="002B7DF9">
        <w:rPr>
          <w:vertAlign w:val="superscript"/>
          <w:lang w:val="fr-FR"/>
        </w:rPr>
        <w:t>er</w:t>
      </w:r>
      <w:r w:rsidRPr="002B7DF9">
        <w:rPr>
          <w:lang w:val="fr-FR"/>
        </w:rPr>
        <w:t> janvier 1970 au 1</w:t>
      </w:r>
      <w:r w:rsidRPr="002B7DF9">
        <w:rPr>
          <w:vertAlign w:val="superscript"/>
          <w:lang w:val="fr-FR"/>
        </w:rPr>
        <w:t>er</w:t>
      </w:r>
      <w:r w:rsidRPr="002B7DF9">
        <w:rPr>
          <w:lang w:val="fr-FR"/>
        </w:rPr>
        <w:t> septembre 2018 et fait le point sur les questions relatives à la réforme statutaire</w:t>
      </w:r>
      <w:r w:rsidR="00554CAF" w:rsidRPr="002B7DF9">
        <w:rPr>
          <w:lang w:val="fr-FR"/>
        </w:rPr>
        <w:t>.</w:t>
      </w:r>
    </w:p>
    <w:p w:rsidR="00554CAF" w:rsidRPr="002B7DF9" w:rsidRDefault="006C23F0" w:rsidP="00D17B3B">
      <w:pPr>
        <w:pStyle w:val="ONUMFS"/>
        <w:numPr>
          <w:ilvl w:val="0"/>
          <w:numId w:val="0"/>
        </w:numPr>
        <w:rPr>
          <w:lang w:val="fr-FR"/>
        </w:rPr>
      </w:pPr>
      <w:r w:rsidRPr="002B7DF9">
        <w:rPr>
          <w:lang w:val="fr-FR"/>
        </w:rPr>
        <w:t>L</w:t>
      </w:r>
      <w:r w:rsidR="00A055C6" w:rsidRPr="002B7DF9">
        <w:rPr>
          <w:lang w:val="fr-FR"/>
        </w:rPr>
        <w:t>’</w:t>
      </w:r>
      <w:r w:rsidRPr="002B7DF9">
        <w:rPr>
          <w:lang w:val="fr-FR"/>
        </w:rPr>
        <w:t>attention est appelée en particulier sur les traités de l</w:t>
      </w:r>
      <w:r w:rsidR="00A055C6" w:rsidRPr="002B7DF9">
        <w:rPr>
          <w:lang w:val="fr-FR"/>
        </w:rPr>
        <w:t>’</w:t>
      </w:r>
      <w:r w:rsidRPr="002B7DF9">
        <w:rPr>
          <w:lang w:val="fr-FR"/>
        </w:rPr>
        <w:t xml:space="preserve">OMPI qui ont été actualisés à la suite </w:t>
      </w:r>
      <w:r w:rsidR="002D2660" w:rsidRPr="002B7DF9">
        <w:rPr>
          <w:lang w:val="fr-FR"/>
        </w:rPr>
        <w:t xml:space="preserve">soit, </w:t>
      </w:r>
      <w:r w:rsidRPr="002B7DF9">
        <w:rPr>
          <w:lang w:val="fr-FR"/>
        </w:rPr>
        <w:t>de l</w:t>
      </w:r>
      <w:r w:rsidR="00A055C6" w:rsidRPr="002B7DF9">
        <w:rPr>
          <w:lang w:val="fr-FR"/>
        </w:rPr>
        <w:t>’</w:t>
      </w:r>
      <w:r w:rsidRPr="002B7DF9">
        <w:rPr>
          <w:lang w:val="fr-FR"/>
        </w:rPr>
        <w:t>adoption d</w:t>
      </w:r>
      <w:r w:rsidR="00A055C6" w:rsidRPr="002B7DF9">
        <w:rPr>
          <w:lang w:val="fr-FR"/>
        </w:rPr>
        <w:t>’</w:t>
      </w:r>
      <w:r w:rsidRPr="002B7DF9">
        <w:rPr>
          <w:lang w:val="fr-FR"/>
        </w:rPr>
        <w:t xml:space="preserve">un nouvel acte ou </w:t>
      </w:r>
      <w:r w:rsidR="00554CAF" w:rsidRPr="002B7DF9">
        <w:rPr>
          <w:lang w:val="fr-FR"/>
        </w:rPr>
        <w:t>instrument</w:t>
      </w:r>
      <w:r w:rsidR="00554CAF" w:rsidRPr="002B7DF9">
        <w:rPr>
          <w:rStyle w:val="FootnoteReference"/>
          <w:lang w:val="fr-FR"/>
        </w:rPr>
        <w:footnoteReference w:id="2"/>
      </w:r>
      <w:r w:rsidR="00554CAF" w:rsidRPr="002B7DF9">
        <w:rPr>
          <w:lang w:val="fr-FR"/>
        </w:rPr>
        <w:t xml:space="preserve"> (</w:t>
      </w:r>
      <w:r w:rsidR="00CE05E1" w:rsidRPr="002B7DF9">
        <w:rPr>
          <w:lang w:val="fr-FR"/>
        </w:rPr>
        <w:t>une adhésion étant nécessaire dans ce cas</w:t>
      </w:r>
      <w:r w:rsidR="00554CAF" w:rsidRPr="002B7DF9">
        <w:rPr>
          <w:lang w:val="fr-FR"/>
        </w:rPr>
        <w:t>)</w:t>
      </w:r>
      <w:r w:rsidR="002D2660" w:rsidRPr="002B7DF9">
        <w:rPr>
          <w:lang w:val="fr-FR"/>
        </w:rPr>
        <w:t>,</w:t>
      </w:r>
      <w:r w:rsidR="00554CAF" w:rsidRPr="002B7DF9">
        <w:rPr>
          <w:lang w:val="fr-FR"/>
        </w:rPr>
        <w:t xml:space="preserve"> </w:t>
      </w:r>
      <w:r w:rsidR="00CE05E1" w:rsidRPr="002B7DF9">
        <w:rPr>
          <w:lang w:val="fr-FR"/>
        </w:rPr>
        <w:t>ou d</w:t>
      </w:r>
      <w:r w:rsidR="00A055C6" w:rsidRPr="002B7DF9">
        <w:rPr>
          <w:lang w:val="fr-FR"/>
        </w:rPr>
        <w:t>’</w:t>
      </w:r>
      <w:r w:rsidR="00CE05E1" w:rsidRPr="002B7DF9">
        <w:rPr>
          <w:lang w:val="fr-FR"/>
        </w:rPr>
        <w:t>une modification</w:t>
      </w:r>
      <w:r w:rsidR="00554CAF" w:rsidRPr="002B7DF9">
        <w:rPr>
          <w:rStyle w:val="FootnoteReference"/>
          <w:lang w:val="fr-FR"/>
        </w:rPr>
        <w:footnoteReference w:id="3"/>
      </w:r>
      <w:r w:rsidR="00554CAF" w:rsidRPr="002B7DF9">
        <w:rPr>
          <w:lang w:val="fr-FR"/>
        </w:rPr>
        <w:t xml:space="preserve"> (</w:t>
      </w:r>
      <w:r w:rsidR="00CE05E1" w:rsidRPr="002B7DF9">
        <w:rPr>
          <w:lang w:val="fr-FR"/>
        </w:rPr>
        <w:t>dans ce cas, une acceptation est nécessaire</w:t>
      </w:r>
      <w:r w:rsidR="00554CAF" w:rsidRPr="002B7DF9">
        <w:rPr>
          <w:lang w:val="fr-FR"/>
        </w:rPr>
        <w:t xml:space="preserve">), </w:t>
      </w:r>
      <w:r w:rsidR="00CE05E1" w:rsidRPr="002B7DF9">
        <w:rPr>
          <w:lang w:val="fr-FR"/>
        </w:rPr>
        <w:t>qui font l</w:t>
      </w:r>
      <w:r w:rsidR="00A055C6" w:rsidRPr="002B7DF9">
        <w:rPr>
          <w:lang w:val="fr-FR"/>
        </w:rPr>
        <w:t>’</w:t>
      </w:r>
      <w:r w:rsidR="00CE05E1" w:rsidRPr="002B7DF9">
        <w:rPr>
          <w:lang w:val="fr-FR"/>
        </w:rPr>
        <w:t>objet du présent document (</w:t>
      </w:r>
      <w:r w:rsidR="00CE05E1" w:rsidRPr="002B7DF9">
        <w:rPr>
          <w:i/>
          <w:lang w:val="fr-FR"/>
        </w:rPr>
        <w:t>voir les</w:t>
      </w:r>
      <w:r w:rsidR="00CE05E1" w:rsidRPr="002B7DF9">
        <w:rPr>
          <w:lang w:val="fr-FR"/>
        </w:rPr>
        <w:t xml:space="preserve"> </w:t>
      </w:r>
      <w:r w:rsidR="00554CAF" w:rsidRPr="002B7DF9">
        <w:rPr>
          <w:i/>
          <w:lang w:val="fr-FR"/>
        </w:rPr>
        <w:t>paragraph</w:t>
      </w:r>
      <w:r w:rsidR="00CE05E1" w:rsidRPr="002B7DF9">
        <w:rPr>
          <w:i/>
          <w:lang w:val="fr-FR"/>
        </w:rPr>
        <w:t>e</w:t>
      </w:r>
      <w:r w:rsidR="00554CAF" w:rsidRPr="002B7DF9">
        <w:rPr>
          <w:i/>
          <w:lang w:val="fr-FR"/>
        </w:rPr>
        <w:t>s</w:t>
      </w:r>
      <w:r w:rsidR="002B7DF9" w:rsidRPr="002B7DF9">
        <w:rPr>
          <w:i/>
          <w:lang w:val="fr-FR"/>
        </w:rPr>
        <w:t> </w:t>
      </w:r>
      <w:r w:rsidR="00554CAF" w:rsidRPr="002B7DF9">
        <w:rPr>
          <w:i/>
          <w:lang w:val="fr-FR"/>
        </w:rPr>
        <w:t xml:space="preserve">2, 3, </w:t>
      </w:r>
      <w:r w:rsidR="008F1780" w:rsidRPr="002B7DF9">
        <w:rPr>
          <w:i/>
          <w:lang w:val="fr-FR"/>
        </w:rPr>
        <w:t xml:space="preserve">7, </w:t>
      </w:r>
      <w:r w:rsidR="00B35AD0" w:rsidRPr="002B7DF9">
        <w:rPr>
          <w:i/>
          <w:lang w:val="fr-FR"/>
        </w:rPr>
        <w:t>8</w:t>
      </w:r>
      <w:r w:rsidR="00554CAF" w:rsidRPr="002B7DF9">
        <w:rPr>
          <w:i/>
          <w:lang w:val="fr-FR"/>
        </w:rPr>
        <w:t xml:space="preserve"> </w:t>
      </w:r>
      <w:r w:rsidR="00CE05E1" w:rsidRPr="002B7DF9">
        <w:rPr>
          <w:i/>
          <w:lang w:val="fr-FR"/>
        </w:rPr>
        <w:t>et</w:t>
      </w:r>
      <w:r w:rsidR="00554CAF" w:rsidRPr="002B7DF9">
        <w:rPr>
          <w:i/>
          <w:lang w:val="fr-FR"/>
        </w:rPr>
        <w:t xml:space="preserve"> 25 </w:t>
      </w:r>
      <w:r w:rsidR="00CE05E1" w:rsidRPr="002B7DF9">
        <w:rPr>
          <w:i/>
          <w:lang w:val="fr-FR"/>
        </w:rPr>
        <w:t>à</w:t>
      </w:r>
      <w:r w:rsidR="00554CAF" w:rsidRPr="002B7DF9">
        <w:rPr>
          <w:i/>
          <w:lang w:val="fr-FR"/>
        </w:rPr>
        <w:t xml:space="preserve"> </w:t>
      </w:r>
      <w:r w:rsidR="00B35AD0" w:rsidRPr="002B7DF9">
        <w:rPr>
          <w:i/>
          <w:lang w:val="fr-FR"/>
        </w:rPr>
        <w:t>27</w:t>
      </w:r>
      <w:r w:rsidR="00554CAF" w:rsidRPr="002B7DF9">
        <w:rPr>
          <w:i/>
          <w:lang w:val="fr-FR"/>
        </w:rPr>
        <w:t>)</w:t>
      </w:r>
      <w:r w:rsidR="00554CAF" w:rsidRPr="002B7DF9">
        <w:rPr>
          <w:lang w:val="fr-FR"/>
        </w:rPr>
        <w:t xml:space="preserve">.  </w:t>
      </w:r>
      <w:r w:rsidR="00CE05E1" w:rsidRPr="002B7DF9">
        <w:rPr>
          <w:lang w:val="fr-FR"/>
        </w:rPr>
        <w:t>Les parties contractantes concernées sont respectueusement invitées à envisager d</w:t>
      </w:r>
      <w:r w:rsidR="00A055C6" w:rsidRPr="002B7DF9">
        <w:rPr>
          <w:lang w:val="fr-FR"/>
        </w:rPr>
        <w:t>’</w:t>
      </w:r>
      <w:r w:rsidR="00CE05E1" w:rsidRPr="002B7DF9">
        <w:rPr>
          <w:lang w:val="fr-FR"/>
        </w:rPr>
        <w:t>actualiser, le cas échéant, leur adhésion</w:t>
      </w:r>
      <w:r w:rsidR="00554CAF" w:rsidRPr="002B7DF9">
        <w:rPr>
          <w:lang w:val="fr-FR"/>
        </w:rPr>
        <w:t>.</w:t>
      </w:r>
    </w:p>
    <w:p w:rsidR="00554CAF" w:rsidRPr="002B7DF9" w:rsidRDefault="00554CAF" w:rsidP="003C763F">
      <w:pPr>
        <w:pStyle w:val="Heading2"/>
        <w:rPr>
          <w:lang w:val="fr-FR"/>
        </w:rPr>
      </w:pPr>
      <w:r w:rsidRPr="002B7DF9">
        <w:rPr>
          <w:lang w:val="fr-FR"/>
        </w:rPr>
        <w:br w:type="page"/>
      </w:r>
      <w:r w:rsidR="00D17B3B" w:rsidRPr="002B7DF9">
        <w:rPr>
          <w:lang w:val="fr-FR"/>
        </w:rPr>
        <w:lastRenderedPageBreak/>
        <w:t>I.</w:t>
      </w:r>
      <w:r w:rsidR="00D17B3B" w:rsidRPr="002B7DF9">
        <w:rPr>
          <w:lang w:val="fr-FR"/>
        </w:rPr>
        <w:tab/>
        <w:t>Parties aux traités administrés par l</w:t>
      </w:r>
      <w:r w:rsidR="00A055C6" w:rsidRPr="002B7DF9">
        <w:rPr>
          <w:lang w:val="fr-FR"/>
        </w:rPr>
        <w:t>’</w:t>
      </w:r>
      <w:r w:rsidR="00D17B3B" w:rsidRPr="002B7DF9">
        <w:rPr>
          <w:lang w:val="fr-FR"/>
        </w:rPr>
        <w:t>OMPI</w:t>
      </w:r>
    </w:p>
    <w:p w:rsidR="00554CAF" w:rsidRPr="002B7DF9" w:rsidRDefault="00232826" w:rsidP="0067433A">
      <w:pPr>
        <w:pStyle w:val="Heading3"/>
      </w:pPr>
      <w:r w:rsidRPr="002B7DF9">
        <w:t>Convention instituant l</w:t>
      </w:r>
      <w:r w:rsidR="00A055C6" w:rsidRPr="002B7DF9">
        <w:t>’</w:t>
      </w:r>
      <w:r w:rsidRPr="002B7DF9">
        <w:t xml:space="preserve">Organisation Mondiale de la Propriété Intellectuelle </w:t>
      </w:r>
      <w:r w:rsidR="00554CAF" w:rsidRPr="002B7DF9">
        <w:t>(1967)</w:t>
      </w:r>
    </w:p>
    <w:p w:rsidR="009709AC" w:rsidRPr="002B7DF9" w:rsidRDefault="009709AC" w:rsidP="009709AC">
      <w:pPr>
        <w:rPr>
          <w:lang w:val="fr-FR"/>
        </w:rPr>
      </w:pPr>
    </w:p>
    <w:p w:rsidR="00163798" w:rsidRPr="002B7DF9" w:rsidRDefault="009C1DA6" w:rsidP="009709AC">
      <w:pPr>
        <w:pStyle w:val="ONUMFS"/>
        <w:numPr>
          <w:ilvl w:val="0"/>
          <w:numId w:val="0"/>
        </w:numPr>
        <w:rPr>
          <w:lang w:val="fr-FR"/>
        </w:rPr>
      </w:pPr>
      <w:r w:rsidRPr="009C1DA6">
        <w:rPr>
          <w:noProof/>
          <w:lang w:eastAsia="en-US"/>
        </w:rPr>
        <w:drawing>
          <wp:inline distT="0" distB="0" distL="0" distR="0" wp14:anchorId="7FAB6C88" wp14:editId="6E6F9B6F">
            <wp:extent cx="4580255" cy="2743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80255" cy="2743200"/>
                    </a:xfrm>
                    <a:prstGeom prst="rect">
                      <a:avLst/>
                    </a:prstGeom>
                    <a:noFill/>
                    <a:ln>
                      <a:noFill/>
                    </a:ln>
                  </pic:spPr>
                </pic:pic>
              </a:graphicData>
            </a:graphic>
          </wp:inline>
        </w:drawing>
      </w:r>
    </w:p>
    <w:p w:rsidR="003E3B23" w:rsidRPr="002B7DF9" w:rsidRDefault="00232826" w:rsidP="0067433A">
      <w:pPr>
        <w:pStyle w:val="Heading3"/>
      </w:pPr>
      <w:r w:rsidRPr="002B7DF9">
        <w:t xml:space="preserve">Convention de Paris pour la protection de la propriété industrielle </w:t>
      </w:r>
      <w:r w:rsidR="003E3B23" w:rsidRPr="002B7DF9">
        <w:t>(1883)</w:t>
      </w:r>
    </w:p>
    <w:p w:rsidR="009709AC" w:rsidRPr="002B7DF9" w:rsidRDefault="009709AC" w:rsidP="009709AC">
      <w:pPr>
        <w:rPr>
          <w:lang w:val="fr-FR"/>
        </w:rPr>
      </w:pPr>
    </w:p>
    <w:p w:rsidR="00163798" w:rsidRPr="002B7DF9" w:rsidRDefault="009C1DA6" w:rsidP="009709AC">
      <w:pPr>
        <w:pStyle w:val="ONUMFS"/>
        <w:numPr>
          <w:ilvl w:val="0"/>
          <w:numId w:val="0"/>
        </w:numPr>
        <w:rPr>
          <w:lang w:val="fr-FR"/>
        </w:rPr>
      </w:pPr>
      <w:r w:rsidRPr="009C1DA6">
        <w:rPr>
          <w:noProof/>
          <w:lang w:eastAsia="en-US"/>
        </w:rPr>
        <w:drawing>
          <wp:inline distT="0" distB="0" distL="0" distR="0" wp14:anchorId="4AAADF18" wp14:editId="183D799B">
            <wp:extent cx="4580255" cy="2743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80255" cy="2743200"/>
                    </a:xfrm>
                    <a:prstGeom prst="rect">
                      <a:avLst/>
                    </a:prstGeom>
                    <a:noFill/>
                    <a:ln>
                      <a:noFill/>
                    </a:ln>
                  </pic:spPr>
                </pic:pic>
              </a:graphicData>
            </a:graphic>
          </wp:inline>
        </w:drawing>
      </w:r>
    </w:p>
    <w:p w:rsidR="008F76A3" w:rsidRPr="002B7DF9" w:rsidRDefault="00232826" w:rsidP="009709AC">
      <w:pPr>
        <w:pStyle w:val="ONUMFS"/>
        <w:numPr>
          <w:ilvl w:val="0"/>
          <w:numId w:val="0"/>
        </w:numPr>
        <w:rPr>
          <w:lang w:val="fr-FR"/>
        </w:rPr>
      </w:pPr>
      <w:r w:rsidRPr="002B7DF9">
        <w:rPr>
          <w:lang w:val="fr-FR"/>
        </w:rPr>
        <w:t>La Convention de Paris pour la protection de la propriété industrielle (Convention de Paris) a été révisée à plusieurs reprises depuis qu</w:t>
      </w:r>
      <w:r w:rsidR="00A055C6" w:rsidRPr="002B7DF9">
        <w:rPr>
          <w:lang w:val="fr-FR"/>
        </w:rPr>
        <w:t>’</w:t>
      </w:r>
      <w:r w:rsidRPr="002B7DF9">
        <w:rPr>
          <w:lang w:val="fr-FR"/>
        </w:rPr>
        <w:t xml:space="preserve">elle a été conclue en 1883.  Elle a été révisée à Bruxelles en 1900, à Washington en 1911, à </w:t>
      </w:r>
      <w:r w:rsidR="00A055C6" w:rsidRPr="002B7DF9">
        <w:rPr>
          <w:lang w:val="fr-FR"/>
        </w:rPr>
        <w:t>La Haye</w:t>
      </w:r>
      <w:r w:rsidRPr="002B7DF9">
        <w:rPr>
          <w:lang w:val="fr-FR"/>
        </w:rPr>
        <w:t xml:space="preserve"> en 1925, à Londres en 1934, à Lisbonne en 1958 et à Stockholm en 1967, et a été modifiée en 1979</w:t>
      </w:r>
      <w:r w:rsidR="008F76A3" w:rsidRPr="002B7DF9">
        <w:rPr>
          <w:lang w:val="fr-FR"/>
        </w:rPr>
        <w:t>.</w:t>
      </w:r>
    </w:p>
    <w:p w:rsidR="00A055C6" w:rsidRPr="002B7DF9" w:rsidRDefault="00232826" w:rsidP="009709AC">
      <w:pPr>
        <w:pStyle w:val="ONUMFS"/>
        <w:numPr>
          <w:ilvl w:val="0"/>
          <w:numId w:val="0"/>
        </w:numPr>
        <w:rPr>
          <w:lang w:val="fr-FR"/>
        </w:rPr>
      </w:pPr>
      <w:r w:rsidRPr="002B7DF9">
        <w:rPr>
          <w:lang w:val="fr-FR"/>
        </w:rPr>
        <w:t>Pour des raisons historiques, la révision de Stockholm a donné aux États membres la possibilité d</w:t>
      </w:r>
      <w:r w:rsidR="00A055C6" w:rsidRPr="002B7DF9">
        <w:rPr>
          <w:lang w:val="fr-FR"/>
        </w:rPr>
        <w:t>’</w:t>
      </w:r>
      <w:r w:rsidRPr="002B7DF9">
        <w:rPr>
          <w:lang w:val="fr-FR"/>
        </w:rPr>
        <w:t>accepter uniquement une partie de la révision (les articles premier à 12, qui constituent les dispositions de fond, ou les articles</w:t>
      </w:r>
      <w:r w:rsidR="002B7DF9" w:rsidRPr="002B7DF9">
        <w:rPr>
          <w:lang w:val="fr-FR"/>
        </w:rPr>
        <w:t> </w:t>
      </w:r>
      <w:r w:rsidRPr="002B7DF9">
        <w:rPr>
          <w:lang w:val="fr-FR"/>
        </w:rPr>
        <w:t>13 à 30, qui constituent les dispositions administratives et clauses finales) ou d</w:t>
      </w:r>
      <w:r w:rsidR="00A055C6" w:rsidRPr="002B7DF9">
        <w:rPr>
          <w:lang w:val="fr-FR"/>
        </w:rPr>
        <w:t>’</w:t>
      </w:r>
      <w:r w:rsidRPr="002B7DF9">
        <w:rPr>
          <w:lang w:val="fr-FR"/>
        </w:rPr>
        <w:t>en accepter une partie préalablement à l</w:t>
      </w:r>
      <w:r w:rsidR="00A055C6" w:rsidRPr="002B7DF9">
        <w:rPr>
          <w:lang w:val="fr-FR"/>
        </w:rPr>
        <w:t>’</w:t>
      </w:r>
      <w:r w:rsidRPr="002B7DF9">
        <w:rPr>
          <w:lang w:val="fr-FR"/>
        </w:rPr>
        <w:t>autre</w:t>
      </w:r>
      <w:r w:rsidR="008F76A3" w:rsidRPr="002B7DF9">
        <w:rPr>
          <w:lang w:val="fr-FR"/>
        </w:rPr>
        <w:t>.</w:t>
      </w:r>
    </w:p>
    <w:p w:rsidR="00A055C6" w:rsidRPr="002B7DF9" w:rsidRDefault="00232826" w:rsidP="009709AC">
      <w:pPr>
        <w:pStyle w:val="ONUMFS"/>
        <w:numPr>
          <w:ilvl w:val="0"/>
          <w:numId w:val="0"/>
        </w:numPr>
        <w:rPr>
          <w:lang w:val="fr-FR"/>
        </w:rPr>
      </w:pPr>
      <w:r w:rsidRPr="002B7DF9">
        <w:rPr>
          <w:lang w:val="fr-FR"/>
        </w:rPr>
        <w:t>Certains États membres qui ont accepté l</w:t>
      </w:r>
      <w:r w:rsidR="00A055C6" w:rsidRPr="002B7DF9">
        <w:rPr>
          <w:lang w:val="fr-FR"/>
        </w:rPr>
        <w:t>’</w:t>
      </w:r>
      <w:r w:rsidRPr="002B7DF9">
        <w:rPr>
          <w:lang w:val="fr-FR"/>
        </w:rPr>
        <w:t>Acte de Stockholm à l</w:t>
      </w:r>
      <w:r w:rsidR="00A055C6" w:rsidRPr="002B7DF9">
        <w:rPr>
          <w:lang w:val="fr-FR"/>
        </w:rPr>
        <w:t>’</w:t>
      </w:r>
      <w:r w:rsidRPr="002B7DF9">
        <w:rPr>
          <w:lang w:val="fr-FR"/>
        </w:rPr>
        <w:t>exclusion des dispositions de fond restent liés, à ce jour, par les dispositions de fond d</w:t>
      </w:r>
      <w:r w:rsidR="00A055C6" w:rsidRPr="002B7DF9">
        <w:rPr>
          <w:lang w:val="fr-FR"/>
        </w:rPr>
        <w:t>’</w:t>
      </w:r>
      <w:r w:rsidRPr="002B7DF9">
        <w:rPr>
          <w:lang w:val="fr-FR"/>
        </w:rPr>
        <w:t xml:space="preserve">un acte antérieur qui ne tiennent pas compte des conceptions les plus récentes relatives aux sujets traités par la Convention. </w:t>
      </w:r>
      <w:r w:rsidR="00BB79CC" w:rsidRPr="002B7DF9">
        <w:rPr>
          <w:lang w:val="fr-FR"/>
        </w:rPr>
        <w:t xml:space="preserve"> </w:t>
      </w:r>
      <w:r w:rsidRPr="002B7DF9">
        <w:rPr>
          <w:lang w:val="fr-FR"/>
        </w:rPr>
        <w:t>Les États membres concernés sont l</w:t>
      </w:r>
      <w:r w:rsidR="00A055C6" w:rsidRPr="002B7DF9">
        <w:rPr>
          <w:lang w:val="fr-FR"/>
        </w:rPr>
        <w:t>’</w:t>
      </w:r>
      <w:r w:rsidRPr="002B7DF9">
        <w:rPr>
          <w:lang w:val="fr-FR"/>
        </w:rPr>
        <w:t>Argentine, les Bahamas, le Liban, Malte, la Nouvelle</w:t>
      </w:r>
      <w:r w:rsidR="003A7647">
        <w:rPr>
          <w:lang w:val="fr-FR"/>
        </w:rPr>
        <w:noBreakHyphen/>
      </w:r>
      <w:r w:rsidRPr="002B7DF9">
        <w:rPr>
          <w:lang w:val="fr-FR"/>
        </w:rPr>
        <w:t>Zélande, les Philippines, la République</w:t>
      </w:r>
      <w:r w:rsidR="003A7647">
        <w:rPr>
          <w:lang w:val="fr-FR"/>
        </w:rPr>
        <w:noBreakHyphen/>
      </w:r>
      <w:r w:rsidRPr="002B7DF9">
        <w:rPr>
          <w:lang w:val="fr-FR"/>
        </w:rPr>
        <w:t>Unie de Tanzanie, Sri</w:t>
      </w:r>
      <w:r w:rsidR="0039084E" w:rsidRPr="002B7DF9">
        <w:rPr>
          <w:lang w:val="fr-FR"/>
        </w:rPr>
        <w:t> </w:t>
      </w:r>
      <w:r w:rsidRPr="002B7DF9">
        <w:rPr>
          <w:lang w:val="fr-FR"/>
        </w:rPr>
        <w:t>Lanka et la Zambie</w:t>
      </w:r>
      <w:r w:rsidR="008F76A3" w:rsidRPr="002B7DF9">
        <w:rPr>
          <w:lang w:val="fr-FR"/>
        </w:rPr>
        <w:t>.</w:t>
      </w:r>
    </w:p>
    <w:p w:rsidR="00A055C6" w:rsidRPr="002B7DF9" w:rsidRDefault="00BB79CC" w:rsidP="009709AC">
      <w:pPr>
        <w:pStyle w:val="ONUMFS"/>
        <w:numPr>
          <w:ilvl w:val="0"/>
          <w:numId w:val="0"/>
        </w:numPr>
        <w:rPr>
          <w:lang w:val="fr-FR"/>
        </w:rPr>
      </w:pPr>
      <w:r w:rsidRPr="002B7DF9">
        <w:rPr>
          <w:lang w:val="fr-FR"/>
        </w:rPr>
        <w:t>D</w:t>
      </w:r>
      <w:r w:rsidR="00A055C6" w:rsidRPr="002B7DF9">
        <w:rPr>
          <w:lang w:val="fr-FR"/>
        </w:rPr>
        <w:t>’</w:t>
      </w:r>
      <w:r w:rsidRPr="002B7DF9">
        <w:rPr>
          <w:lang w:val="fr-FR"/>
        </w:rPr>
        <w:t>autres États membres n</w:t>
      </w:r>
      <w:r w:rsidR="00A055C6" w:rsidRPr="002B7DF9">
        <w:rPr>
          <w:lang w:val="fr-FR"/>
        </w:rPr>
        <w:t>’</w:t>
      </w:r>
      <w:r w:rsidRPr="002B7DF9">
        <w:rPr>
          <w:lang w:val="fr-FR"/>
        </w:rPr>
        <w:t>ont jamais adhéré à l</w:t>
      </w:r>
      <w:r w:rsidR="00A055C6" w:rsidRPr="002B7DF9">
        <w:rPr>
          <w:lang w:val="fr-FR"/>
        </w:rPr>
        <w:t>’</w:t>
      </w:r>
      <w:r w:rsidRPr="002B7DF9">
        <w:rPr>
          <w:lang w:val="fr-FR"/>
        </w:rPr>
        <w:t>Acte de Stockholm mais restent liés par un acte antérieur.  Ils ne sont pas membres de l</w:t>
      </w:r>
      <w:r w:rsidR="00A055C6" w:rsidRPr="002B7DF9">
        <w:rPr>
          <w:lang w:val="fr-FR"/>
        </w:rPr>
        <w:t>’</w:t>
      </w:r>
      <w:r w:rsidRPr="002B7DF9">
        <w:rPr>
          <w:lang w:val="fr-FR"/>
        </w:rPr>
        <w:t>Assemblée de l</w:t>
      </w:r>
      <w:r w:rsidR="00A055C6" w:rsidRPr="002B7DF9">
        <w:rPr>
          <w:lang w:val="fr-FR"/>
        </w:rPr>
        <w:t>’</w:t>
      </w:r>
      <w:r w:rsidRPr="002B7DF9">
        <w:rPr>
          <w:lang w:val="fr-FR"/>
        </w:rPr>
        <w:t>Union de Paris et ne peuvent donc pas participer aux travaux de l</w:t>
      </w:r>
      <w:r w:rsidR="00A055C6" w:rsidRPr="002B7DF9">
        <w:rPr>
          <w:lang w:val="fr-FR"/>
        </w:rPr>
        <w:t>’</w:t>
      </w:r>
      <w:r w:rsidRPr="002B7DF9">
        <w:rPr>
          <w:lang w:val="fr-FR"/>
        </w:rPr>
        <w:t>organe de prise de décisions de l</w:t>
      </w:r>
      <w:r w:rsidR="00A055C6" w:rsidRPr="002B7DF9">
        <w:rPr>
          <w:lang w:val="fr-FR"/>
        </w:rPr>
        <w:t>’</w:t>
      </w:r>
      <w:r w:rsidRPr="002B7DF9">
        <w:rPr>
          <w:lang w:val="fr-FR"/>
        </w:rPr>
        <w:t>Union</w:t>
      </w:r>
      <w:r w:rsidR="008F76A3" w:rsidRPr="002B7DF9">
        <w:rPr>
          <w:lang w:val="fr-FR"/>
        </w:rPr>
        <w:t>.</w:t>
      </w:r>
      <w:r w:rsidR="00242424" w:rsidRPr="002B7DF9">
        <w:rPr>
          <w:lang w:val="fr-FR"/>
        </w:rPr>
        <w:t xml:space="preserve">  </w:t>
      </w:r>
      <w:r w:rsidRPr="002B7DF9">
        <w:rPr>
          <w:lang w:val="fr-FR"/>
        </w:rPr>
        <w:t xml:space="preserve">Le </w:t>
      </w:r>
      <w:r w:rsidR="00242424" w:rsidRPr="002B7DF9">
        <w:rPr>
          <w:lang w:val="fr-FR"/>
        </w:rPr>
        <w:t>Secr</w:t>
      </w:r>
      <w:r w:rsidRPr="002B7DF9">
        <w:rPr>
          <w:lang w:val="fr-FR"/>
        </w:rPr>
        <w:t>é</w:t>
      </w:r>
      <w:r w:rsidR="00AA628B" w:rsidRPr="002B7DF9">
        <w:rPr>
          <w:lang w:val="fr-FR"/>
        </w:rPr>
        <w:t>tariat</w:t>
      </w:r>
      <w:r w:rsidRPr="002B7DF9">
        <w:rPr>
          <w:lang w:val="fr-FR"/>
        </w:rPr>
        <w:t xml:space="preserve"> à plusieur</w:t>
      </w:r>
      <w:r w:rsidR="00242424" w:rsidRPr="002B7DF9">
        <w:rPr>
          <w:lang w:val="fr-FR"/>
        </w:rPr>
        <w:t xml:space="preserve">s </w:t>
      </w:r>
      <w:r w:rsidR="00AA628B" w:rsidRPr="002B7DF9">
        <w:rPr>
          <w:lang w:val="fr-FR"/>
        </w:rPr>
        <w:t xml:space="preserve">reprises, </w:t>
      </w:r>
      <w:r w:rsidR="00A055C6" w:rsidRPr="002B7DF9">
        <w:rPr>
          <w:lang w:val="fr-FR"/>
        </w:rPr>
        <w:t>y compris</w:t>
      </w:r>
      <w:r w:rsidR="00AA628B" w:rsidRPr="002B7DF9">
        <w:rPr>
          <w:lang w:val="fr-FR"/>
        </w:rPr>
        <w:t xml:space="preserve"> dans une note verbale adressée aux États membres concernés</w:t>
      </w:r>
      <w:r w:rsidR="00395980" w:rsidRPr="002B7DF9">
        <w:rPr>
          <w:lang w:val="fr-FR"/>
        </w:rPr>
        <w:t>,</w:t>
      </w:r>
      <w:r w:rsidR="00242424" w:rsidRPr="002B7DF9">
        <w:rPr>
          <w:lang w:val="fr-FR"/>
        </w:rPr>
        <w:t xml:space="preserve"> </w:t>
      </w:r>
      <w:r w:rsidR="00AA628B" w:rsidRPr="002B7DF9">
        <w:rPr>
          <w:lang w:val="fr-FR"/>
        </w:rPr>
        <w:t xml:space="preserve">a </w:t>
      </w:r>
      <w:r w:rsidR="00242424" w:rsidRPr="002B7DF9">
        <w:rPr>
          <w:lang w:val="fr-FR"/>
        </w:rPr>
        <w:t>confirm</w:t>
      </w:r>
      <w:r w:rsidR="00AA628B" w:rsidRPr="002B7DF9">
        <w:rPr>
          <w:lang w:val="fr-FR"/>
        </w:rPr>
        <w:t>é qu</w:t>
      </w:r>
      <w:r w:rsidR="00A055C6" w:rsidRPr="002B7DF9">
        <w:rPr>
          <w:lang w:val="fr-FR"/>
        </w:rPr>
        <w:t>’</w:t>
      </w:r>
      <w:r w:rsidR="00AA628B" w:rsidRPr="002B7DF9">
        <w:rPr>
          <w:lang w:val="fr-FR"/>
        </w:rPr>
        <w:t>il était disposé à fournir des informations et une assistance à cet égard</w:t>
      </w:r>
      <w:r w:rsidR="00395980" w:rsidRPr="002B7DF9">
        <w:rPr>
          <w:lang w:val="fr-FR"/>
        </w:rPr>
        <w:t>.</w:t>
      </w:r>
    </w:p>
    <w:p w:rsidR="00A055C6" w:rsidRPr="002B7DF9" w:rsidRDefault="00AA628B" w:rsidP="009709AC">
      <w:pPr>
        <w:pStyle w:val="ONUMFS"/>
        <w:numPr>
          <w:ilvl w:val="0"/>
          <w:numId w:val="0"/>
        </w:numPr>
        <w:rPr>
          <w:lang w:val="fr-FR"/>
        </w:rPr>
      </w:pPr>
      <w:r w:rsidRPr="002B7DF9">
        <w:rPr>
          <w:lang w:val="fr-FR"/>
        </w:rPr>
        <w:t>Les États membres concernés sont respectueusement invités à envisager une adhésion au dernier acte de la Convention ou à accepter toutes les dispositions de cet acte, selon le cas</w:t>
      </w:r>
      <w:r w:rsidR="008F76A3" w:rsidRPr="002B7DF9">
        <w:rPr>
          <w:lang w:val="fr-FR"/>
        </w:rPr>
        <w:t>.</w:t>
      </w:r>
    </w:p>
    <w:p w:rsidR="008F76A3" w:rsidRPr="002B7DF9" w:rsidRDefault="00AA628B" w:rsidP="0067433A">
      <w:pPr>
        <w:pStyle w:val="Heading3"/>
      </w:pPr>
      <w:r w:rsidRPr="002B7DF9">
        <w:t xml:space="preserve">Convention de Berne pour la protection des </w:t>
      </w:r>
      <w:r w:rsidR="003A3295" w:rsidRPr="002B7DF9">
        <w:t>œ</w:t>
      </w:r>
      <w:r w:rsidRPr="002B7DF9">
        <w:t xml:space="preserve">uvres littéraires et artistiques </w:t>
      </w:r>
      <w:r w:rsidR="008F76A3" w:rsidRPr="002B7DF9">
        <w:t>(1886)</w:t>
      </w:r>
    </w:p>
    <w:p w:rsidR="009709AC" w:rsidRPr="002B7DF9" w:rsidRDefault="009709AC" w:rsidP="009709AC">
      <w:pPr>
        <w:rPr>
          <w:lang w:val="fr-FR"/>
        </w:rPr>
      </w:pPr>
    </w:p>
    <w:p w:rsidR="00F25D01" w:rsidRPr="002B7DF9" w:rsidRDefault="009C1DA6" w:rsidP="009709AC">
      <w:pPr>
        <w:pStyle w:val="ONUMFS"/>
        <w:numPr>
          <w:ilvl w:val="0"/>
          <w:numId w:val="0"/>
        </w:numPr>
        <w:rPr>
          <w:lang w:val="fr-FR"/>
        </w:rPr>
      </w:pPr>
      <w:r w:rsidRPr="009C1DA6">
        <w:rPr>
          <w:noProof/>
          <w:lang w:eastAsia="en-US"/>
        </w:rPr>
        <w:drawing>
          <wp:inline distT="0" distB="0" distL="0" distR="0" wp14:anchorId="6B6B24B0" wp14:editId="086B6695">
            <wp:extent cx="4580255" cy="2743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80255" cy="2743200"/>
                    </a:xfrm>
                    <a:prstGeom prst="rect">
                      <a:avLst/>
                    </a:prstGeom>
                    <a:noFill/>
                    <a:ln>
                      <a:noFill/>
                    </a:ln>
                  </pic:spPr>
                </pic:pic>
              </a:graphicData>
            </a:graphic>
          </wp:inline>
        </w:drawing>
      </w:r>
    </w:p>
    <w:p w:rsidR="00A055C6" w:rsidRPr="002B7DF9" w:rsidRDefault="00AA628B" w:rsidP="009709AC">
      <w:pPr>
        <w:pStyle w:val="ONUMFS"/>
        <w:numPr>
          <w:ilvl w:val="0"/>
          <w:numId w:val="0"/>
        </w:numPr>
        <w:rPr>
          <w:lang w:val="fr-FR"/>
        </w:rPr>
      </w:pPr>
      <w:r w:rsidRPr="002B7DF9">
        <w:rPr>
          <w:lang w:val="fr-FR"/>
        </w:rPr>
        <w:t>La Convention de Berne pour la protection des œuvres littéraires et artistiques (Convention de Berne) a été révisée à plusieurs reprises depuis qu</w:t>
      </w:r>
      <w:r w:rsidR="00A055C6" w:rsidRPr="002B7DF9">
        <w:rPr>
          <w:lang w:val="fr-FR"/>
        </w:rPr>
        <w:t>’</w:t>
      </w:r>
      <w:r w:rsidRPr="002B7DF9">
        <w:rPr>
          <w:lang w:val="fr-FR"/>
        </w:rPr>
        <w:t>elle a été conclue en 1886.  Elle a été complétée à Paris en 1896, révisée à Berlin en 1908, complétée à Berne en 1914, révisée à Rome en 1928, à Bruxelles en 1948, à Stockholm en 1967 et à Paris en 1971, et modifiée en 1979</w:t>
      </w:r>
      <w:r w:rsidR="00C00498" w:rsidRPr="002B7DF9">
        <w:rPr>
          <w:lang w:val="fr-FR"/>
        </w:rPr>
        <w:t>.</w:t>
      </w:r>
    </w:p>
    <w:p w:rsidR="00A055C6" w:rsidRPr="002B7DF9" w:rsidRDefault="00AA628B" w:rsidP="009709AC">
      <w:pPr>
        <w:pStyle w:val="ONUMFS"/>
        <w:numPr>
          <w:ilvl w:val="0"/>
          <w:numId w:val="0"/>
        </w:numPr>
        <w:rPr>
          <w:lang w:val="fr-FR"/>
        </w:rPr>
      </w:pPr>
      <w:r w:rsidRPr="002B7DF9">
        <w:rPr>
          <w:lang w:val="fr-FR"/>
        </w:rPr>
        <w:t>Pour des raisons historiques, les révisions de Stockholm et de Paris ont aussi donné aux États membres la possibilité d</w:t>
      </w:r>
      <w:r w:rsidR="00A055C6" w:rsidRPr="002B7DF9">
        <w:rPr>
          <w:lang w:val="fr-FR"/>
        </w:rPr>
        <w:t>’</w:t>
      </w:r>
      <w:r w:rsidRPr="002B7DF9">
        <w:rPr>
          <w:lang w:val="fr-FR"/>
        </w:rPr>
        <w:t xml:space="preserve">accepter uniquement une partie de la révision, </w:t>
      </w:r>
      <w:r w:rsidR="00A055C6" w:rsidRPr="002B7DF9">
        <w:rPr>
          <w:lang w:val="fr-FR"/>
        </w:rPr>
        <w:t>à savoir</w:t>
      </w:r>
      <w:r w:rsidRPr="002B7DF9">
        <w:rPr>
          <w:lang w:val="fr-FR"/>
        </w:rPr>
        <w:t xml:space="preserve"> uniquement les dispositions administratives et clauses finales (articles</w:t>
      </w:r>
      <w:r w:rsidR="002B7DF9" w:rsidRPr="002B7DF9">
        <w:rPr>
          <w:lang w:val="fr-FR"/>
        </w:rPr>
        <w:t> </w:t>
      </w:r>
      <w:r w:rsidRPr="002B7DF9">
        <w:rPr>
          <w:lang w:val="fr-FR"/>
        </w:rPr>
        <w:t>22 à 38).  Il existe encore, à ce jour, des États liés par les dispositions administratives de l</w:t>
      </w:r>
      <w:r w:rsidR="00A055C6" w:rsidRPr="002B7DF9">
        <w:rPr>
          <w:lang w:val="fr-FR"/>
        </w:rPr>
        <w:t>’</w:t>
      </w:r>
      <w:r w:rsidRPr="002B7DF9">
        <w:rPr>
          <w:lang w:val="fr-FR"/>
        </w:rPr>
        <w:t>Acte de Paris uniquement (et, dans certains cas, de l</w:t>
      </w:r>
      <w:r w:rsidR="00A055C6" w:rsidRPr="002B7DF9">
        <w:rPr>
          <w:lang w:val="fr-FR"/>
        </w:rPr>
        <w:t>’</w:t>
      </w:r>
      <w:r w:rsidRPr="002B7DF9">
        <w:rPr>
          <w:lang w:val="fr-FR"/>
        </w:rPr>
        <w:t>Acte de Stockholm), et non par les dispositions de fond de cet acte.  Les États concernés sont les Bahamas, le Tchad, les Fidji, Malte, le Pakistan, l</w:t>
      </w:r>
      <w:r w:rsidR="00A055C6" w:rsidRPr="002B7DF9">
        <w:rPr>
          <w:lang w:val="fr-FR"/>
        </w:rPr>
        <w:t>’</w:t>
      </w:r>
      <w:r w:rsidRPr="002B7DF9">
        <w:rPr>
          <w:lang w:val="fr-FR"/>
        </w:rPr>
        <w:t>Afrique du Sud et le Zimbabwe</w:t>
      </w:r>
      <w:r w:rsidR="00C00498" w:rsidRPr="002B7DF9">
        <w:rPr>
          <w:lang w:val="fr-FR"/>
        </w:rPr>
        <w:t>.</w:t>
      </w:r>
    </w:p>
    <w:p w:rsidR="00A055C6" w:rsidRPr="002B7DF9" w:rsidRDefault="00AA628B" w:rsidP="009709AC">
      <w:pPr>
        <w:pStyle w:val="ONUMFS"/>
        <w:numPr>
          <w:ilvl w:val="0"/>
          <w:numId w:val="0"/>
        </w:numPr>
        <w:rPr>
          <w:lang w:val="fr-FR"/>
        </w:rPr>
      </w:pPr>
      <w:r w:rsidRPr="002B7DF9">
        <w:rPr>
          <w:lang w:val="fr-FR"/>
        </w:rPr>
        <w:t>En revanche, d</w:t>
      </w:r>
      <w:r w:rsidR="00A055C6" w:rsidRPr="002B7DF9">
        <w:rPr>
          <w:lang w:val="fr-FR"/>
        </w:rPr>
        <w:t>’</w:t>
      </w:r>
      <w:r w:rsidRPr="002B7DF9">
        <w:rPr>
          <w:lang w:val="fr-FR"/>
        </w:rPr>
        <w:t>autres États membres, qui n</w:t>
      </w:r>
      <w:r w:rsidR="00A055C6" w:rsidRPr="002B7DF9">
        <w:rPr>
          <w:lang w:val="fr-FR"/>
        </w:rPr>
        <w:t>’</w:t>
      </w:r>
      <w:r w:rsidRPr="002B7DF9">
        <w:rPr>
          <w:lang w:val="fr-FR"/>
        </w:rPr>
        <w:t>ont adhéré ni à l</w:t>
      </w:r>
      <w:r w:rsidR="00A055C6" w:rsidRPr="002B7DF9">
        <w:rPr>
          <w:lang w:val="fr-FR"/>
        </w:rPr>
        <w:t>’</w:t>
      </w:r>
      <w:r w:rsidRPr="002B7DF9">
        <w:rPr>
          <w:lang w:val="fr-FR"/>
        </w:rPr>
        <w:t>Acte de Stockholm ni à l</w:t>
      </w:r>
      <w:r w:rsidR="00A055C6" w:rsidRPr="002B7DF9">
        <w:rPr>
          <w:lang w:val="fr-FR"/>
        </w:rPr>
        <w:t>’</w:t>
      </w:r>
      <w:r w:rsidRPr="002B7DF9">
        <w:rPr>
          <w:lang w:val="fr-FR"/>
        </w:rPr>
        <w:t>Acte de Paris, ne sont pas membres de l</w:t>
      </w:r>
      <w:r w:rsidR="00A055C6" w:rsidRPr="002B7DF9">
        <w:rPr>
          <w:lang w:val="fr-FR"/>
        </w:rPr>
        <w:t>’</w:t>
      </w:r>
      <w:r w:rsidRPr="002B7DF9">
        <w:rPr>
          <w:lang w:val="fr-FR"/>
        </w:rPr>
        <w:t>Assemblée de l</w:t>
      </w:r>
      <w:r w:rsidR="00A055C6" w:rsidRPr="002B7DF9">
        <w:rPr>
          <w:lang w:val="fr-FR"/>
        </w:rPr>
        <w:t>’</w:t>
      </w:r>
      <w:r w:rsidRPr="002B7DF9">
        <w:rPr>
          <w:lang w:val="fr-FR"/>
        </w:rPr>
        <w:t>Union de Berne et ne peuvent donc pas participer aux travaux de l</w:t>
      </w:r>
      <w:r w:rsidR="00A055C6" w:rsidRPr="002B7DF9">
        <w:rPr>
          <w:lang w:val="fr-FR"/>
        </w:rPr>
        <w:t>’</w:t>
      </w:r>
      <w:r w:rsidRPr="002B7DF9">
        <w:rPr>
          <w:lang w:val="fr-FR"/>
        </w:rPr>
        <w:t>organe de prise de décisions de l</w:t>
      </w:r>
      <w:r w:rsidR="00A055C6" w:rsidRPr="002B7DF9">
        <w:rPr>
          <w:lang w:val="fr-FR"/>
        </w:rPr>
        <w:t>’</w:t>
      </w:r>
      <w:r w:rsidRPr="002B7DF9">
        <w:rPr>
          <w:lang w:val="fr-FR"/>
        </w:rPr>
        <w:t>Union.  Le Liban, Madagascar et la Nouvelle</w:t>
      </w:r>
      <w:r w:rsidR="003A7647">
        <w:rPr>
          <w:lang w:val="fr-FR"/>
        </w:rPr>
        <w:noBreakHyphen/>
      </w:r>
      <w:r w:rsidRPr="002B7DF9">
        <w:rPr>
          <w:lang w:val="fr-FR"/>
        </w:rPr>
        <w:t>Zélande entrent dans cette catégorie</w:t>
      </w:r>
      <w:r w:rsidR="00C00498" w:rsidRPr="002B7DF9">
        <w:rPr>
          <w:lang w:val="fr-FR"/>
        </w:rPr>
        <w:t>.</w:t>
      </w:r>
      <w:r w:rsidR="002111C2" w:rsidRPr="002B7DF9">
        <w:rPr>
          <w:lang w:val="fr-FR"/>
        </w:rPr>
        <w:t xml:space="preserve">  </w:t>
      </w:r>
      <w:r w:rsidRPr="002B7DF9">
        <w:rPr>
          <w:lang w:val="fr-FR"/>
        </w:rPr>
        <w:t>La même offre d</w:t>
      </w:r>
      <w:r w:rsidR="00A055C6" w:rsidRPr="002B7DF9">
        <w:rPr>
          <w:lang w:val="fr-FR"/>
        </w:rPr>
        <w:t>’</w:t>
      </w:r>
      <w:r w:rsidR="002111C2" w:rsidRPr="002B7DF9">
        <w:rPr>
          <w:lang w:val="fr-FR"/>
        </w:rPr>
        <w:t>info</w:t>
      </w:r>
      <w:r w:rsidR="00DE77B4" w:rsidRPr="002B7DF9">
        <w:rPr>
          <w:lang w:val="fr-FR"/>
        </w:rPr>
        <w:t xml:space="preserve">rmation </w:t>
      </w:r>
      <w:r w:rsidRPr="002B7DF9">
        <w:rPr>
          <w:lang w:val="fr-FR"/>
        </w:rPr>
        <w:t>et d</w:t>
      </w:r>
      <w:r w:rsidR="00A055C6" w:rsidRPr="002B7DF9">
        <w:rPr>
          <w:lang w:val="fr-FR"/>
        </w:rPr>
        <w:t>’</w:t>
      </w:r>
      <w:r w:rsidR="00DE77B4" w:rsidRPr="002B7DF9">
        <w:rPr>
          <w:lang w:val="fr-FR"/>
        </w:rPr>
        <w:t>assistance</w:t>
      </w:r>
      <w:r w:rsidRPr="002B7DF9">
        <w:rPr>
          <w:lang w:val="fr-FR"/>
        </w:rPr>
        <w:t xml:space="preserve"> que celle mentionnée plus haut a été présentée aux États membres concern</w:t>
      </w:r>
      <w:r w:rsidR="00797349" w:rsidRPr="002B7DF9">
        <w:rPr>
          <w:lang w:val="fr-FR"/>
        </w:rPr>
        <w:t>és</w:t>
      </w:r>
      <w:r w:rsidR="00DE77B4" w:rsidRPr="002B7DF9">
        <w:rPr>
          <w:lang w:val="fr-FR"/>
        </w:rPr>
        <w:t>.</w:t>
      </w:r>
    </w:p>
    <w:p w:rsidR="00A055C6" w:rsidRPr="002B7DF9" w:rsidRDefault="00797349" w:rsidP="009709AC">
      <w:pPr>
        <w:pStyle w:val="ONUMFS"/>
        <w:numPr>
          <w:ilvl w:val="0"/>
          <w:numId w:val="0"/>
        </w:numPr>
        <w:rPr>
          <w:lang w:val="fr-FR"/>
        </w:rPr>
      </w:pPr>
      <w:r w:rsidRPr="002B7DF9">
        <w:rPr>
          <w:lang w:val="fr-FR"/>
        </w:rPr>
        <w:t>Les pays concernés sont respectueusement invités à adhérer au dernier acte de la Convention de Berne ou à accepter toutes les dispositions de cet acte, selon le cas</w:t>
      </w:r>
      <w:r w:rsidR="00C00498" w:rsidRPr="002B7DF9">
        <w:rPr>
          <w:lang w:val="fr-FR"/>
        </w:rPr>
        <w:t>.</w:t>
      </w:r>
    </w:p>
    <w:p w:rsidR="00C00498" w:rsidRPr="002B7DF9" w:rsidRDefault="00797349" w:rsidP="0067433A">
      <w:pPr>
        <w:pStyle w:val="Heading3"/>
      </w:pPr>
      <w:r w:rsidRPr="002B7DF9">
        <w:t xml:space="preserve">Arrangement de Madrid concernant la répression des indications de provenance fausses ou fallacieuses sur les produits </w:t>
      </w:r>
      <w:r w:rsidR="00C00498" w:rsidRPr="002B7DF9">
        <w:t>(1891)</w:t>
      </w:r>
    </w:p>
    <w:p w:rsidR="009709AC" w:rsidRPr="002B7DF9" w:rsidRDefault="009709AC" w:rsidP="009709AC">
      <w:pPr>
        <w:rPr>
          <w:lang w:val="fr-FR"/>
        </w:rPr>
      </w:pPr>
    </w:p>
    <w:p w:rsidR="00163798" w:rsidRPr="002B7DF9" w:rsidRDefault="005920B9" w:rsidP="009709AC">
      <w:pPr>
        <w:pStyle w:val="ONUMFS"/>
        <w:numPr>
          <w:ilvl w:val="0"/>
          <w:numId w:val="0"/>
        </w:numPr>
        <w:rPr>
          <w:lang w:val="fr-FR"/>
        </w:rPr>
      </w:pPr>
      <w:r w:rsidRPr="005920B9">
        <w:rPr>
          <w:noProof/>
          <w:lang w:eastAsia="en-US"/>
        </w:rPr>
        <w:drawing>
          <wp:inline distT="0" distB="0" distL="0" distR="0" wp14:anchorId="39F6ECB4" wp14:editId="50E3784D">
            <wp:extent cx="4580255" cy="2743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80255" cy="2743200"/>
                    </a:xfrm>
                    <a:prstGeom prst="rect">
                      <a:avLst/>
                    </a:prstGeom>
                    <a:noFill/>
                    <a:ln>
                      <a:noFill/>
                    </a:ln>
                  </pic:spPr>
                </pic:pic>
              </a:graphicData>
            </a:graphic>
          </wp:inline>
        </w:drawing>
      </w:r>
    </w:p>
    <w:p w:rsidR="004B5170" w:rsidRPr="002B7DF9" w:rsidRDefault="00797349" w:rsidP="0067433A">
      <w:pPr>
        <w:pStyle w:val="Heading3"/>
      </w:pPr>
      <w:r w:rsidRPr="002B7DF9">
        <w:t>Arrangement de Madrid concernant l</w:t>
      </w:r>
      <w:r w:rsidR="00A055C6" w:rsidRPr="002B7DF9">
        <w:t>’</w:t>
      </w:r>
      <w:r w:rsidRPr="002B7DF9">
        <w:t>enregistrement international des marques (1891) et Protocole relatif à l</w:t>
      </w:r>
      <w:r w:rsidR="00A055C6" w:rsidRPr="002B7DF9">
        <w:t>’</w:t>
      </w:r>
      <w:r w:rsidRPr="002B7DF9">
        <w:t>Arrangement de Madrid concernant l</w:t>
      </w:r>
      <w:r w:rsidR="00A055C6" w:rsidRPr="002B7DF9">
        <w:t>’</w:t>
      </w:r>
      <w:r w:rsidRPr="002B7DF9">
        <w:t xml:space="preserve">enregistrement international des marques </w:t>
      </w:r>
      <w:r w:rsidR="004B5170" w:rsidRPr="002B7DF9">
        <w:t>(1989)</w:t>
      </w:r>
    </w:p>
    <w:p w:rsidR="009709AC" w:rsidRPr="002B7DF9" w:rsidRDefault="009709AC" w:rsidP="009709AC">
      <w:pPr>
        <w:rPr>
          <w:lang w:val="fr-FR"/>
        </w:rPr>
      </w:pPr>
    </w:p>
    <w:p w:rsidR="004B5170" w:rsidRPr="002B7DF9" w:rsidRDefault="00797349" w:rsidP="009709AC">
      <w:pPr>
        <w:pStyle w:val="ONUMFS"/>
        <w:numPr>
          <w:ilvl w:val="0"/>
          <w:numId w:val="0"/>
        </w:numPr>
        <w:rPr>
          <w:lang w:val="fr-FR"/>
        </w:rPr>
      </w:pPr>
      <w:r w:rsidRPr="002B7DF9">
        <w:rPr>
          <w:lang w:val="fr-FR"/>
        </w:rPr>
        <w:t>Le système de Madrid est constitué de deux</w:t>
      </w:r>
      <w:r w:rsidR="0039084E" w:rsidRPr="002B7DF9">
        <w:rPr>
          <w:lang w:val="fr-FR"/>
        </w:rPr>
        <w:t> </w:t>
      </w:r>
      <w:r w:rsidRPr="002B7DF9">
        <w:rPr>
          <w:lang w:val="fr-FR"/>
        </w:rPr>
        <w:t xml:space="preserve">traités, </w:t>
      </w:r>
      <w:r w:rsidR="00A055C6" w:rsidRPr="002B7DF9">
        <w:rPr>
          <w:lang w:val="fr-FR"/>
        </w:rPr>
        <w:t>à savoir</w:t>
      </w:r>
      <w:r w:rsidRPr="002B7DF9">
        <w:rPr>
          <w:lang w:val="fr-FR"/>
        </w:rPr>
        <w:t xml:space="preserve"> l</w:t>
      </w:r>
      <w:r w:rsidR="00A055C6" w:rsidRPr="002B7DF9">
        <w:rPr>
          <w:lang w:val="fr-FR"/>
        </w:rPr>
        <w:t>’</w:t>
      </w:r>
      <w:r w:rsidRPr="002B7DF9">
        <w:rPr>
          <w:lang w:val="fr-FR"/>
        </w:rPr>
        <w:t>Arrangement de Madrid concernant l</w:t>
      </w:r>
      <w:r w:rsidR="00A055C6" w:rsidRPr="002B7DF9">
        <w:rPr>
          <w:lang w:val="fr-FR"/>
        </w:rPr>
        <w:t>’</w:t>
      </w:r>
      <w:r w:rsidRPr="002B7DF9">
        <w:rPr>
          <w:lang w:val="fr-FR"/>
        </w:rPr>
        <w:t>enregistrement international des marques (Arrangement de Madrid) et le Protocole relatif à l</w:t>
      </w:r>
      <w:r w:rsidR="00A055C6" w:rsidRPr="002B7DF9">
        <w:rPr>
          <w:lang w:val="fr-FR"/>
        </w:rPr>
        <w:t>’</w:t>
      </w:r>
      <w:r w:rsidRPr="002B7DF9">
        <w:rPr>
          <w:lang w:val="fr-FR"/>
        </w:rPr>
        <w:t>Arrangement de Madrid concernant l</w:t>
      </w:r>
      <w:r w:rsidR="00A055C6" w:rsidRPr="002B7DF9">
        <w:rPr>
          <w:lang w:val="fr-FR"/>
        </w:rPr>
        <w:t>’</w:t>
      </w:r>
      <w:r w:rsidRPr="002B7DF9">
        <w:rPr>
          <w:lang w:val="fr-FR"/>
        </w:rPr>
        <w:t xml:space="preserve">enregistrement international des marques (Protocole).  Toutefois, le système de Madrid est, de facto, un système reposant sur un seul traité, le seul traité applicable étant le Protocole. </w:t>
      </w:r>
      <w:r w:rsidR="00F10419" w:rsidRPr="002B7DF9">
        <w:rPr>
          <w:lang w:val="fr-FR"/>
        </w:rPr>
        <w:t xml:space="preserve"> </w:t>
      </w:r>
      <w:r w:rsidRPr="002B7DF9">
        <w:rPr>
          <w:lang w:val="fr-FR"/>
        </w:rPr>
        <w:t xml:space="preserve">Dans un </w:t>
      </w:r>
      <w:r w:rsidR="00860AC3" w:rsidRPr="002B7DF9">
        <w:rPr>
          <w:lang w:val="fr-FR"/>
        </w:rPr>
        <w:t xml:space="preserve">tel </w:t>
      </w:r>
      <w:r w:rsidRPr="002B7DF9">
        <w:rPr>
          <w:lang w:val="fr-FR"/>
        </w:rPr>
        <w:t>système, l</w:t>
      </w:r>
      <w:r w:rsidR="00A055C6" w:rsidRPr="002B7DF9">
        <w:rPr>
          <w:lang w:val="fr-FR"/>
        </w:rPr>
        <w:t>’</w:t>
      </w:r>
      <w:r w:rsidRPr="002B7DF9">
        <w:rPr>
          <w:lang w:val="fr-FR"/>
        </w:rPr>
        <w:t>adhésion à l</w:t>
      </w:r>
      <w:r w:rsidR="00A055C6" w:rsidRPr="002B7DF9">
        <w:rPr>
          <w:lang w:val="fr-FR"/>
        </w:rPr>
        <w:t>’</w:t>
      </w:r>
      <w:r w:rsidRPr="002B7DF9">
        <w:rPr>
          <w:lang w:val="fr-FR"/>
        </w:rPr>
        <w:t xml:space="preserve">Arrangement uniquement ne se justifie plus sur le plan opérationnel. </w:t>
      </w:r>
      <w:r w:rsidR="00F10419" w:rsidRPr="002B7DF9">
        <w:rPr>
          <w:lang w:val="fr-FR"/>
        </w:rPr>
        <w:t xml:space="preserve"> </w:t>
      </w:r>
      <w:r w:rsidRPr="002B7DF9">
        <w:rPr>
          <w:lang w:val="fr-FR"/>
        </w:rPr>
        <w:t>Les États non membres de l</w:t>
      </w:r>
      <w:r w:rsidR="00A055C6" w:rsidRPr="002B7DF9">
        <w:rPr>
          <w:lang w:val="fr-FR"/>
        </w:rPr>
        <w:t>’</w:t>
      </w:r>
      <w:r w:rsidRPr="002B7DF9">
        <w:rPr>
          <w:lang w:val="fr-FR"/>
        </w:rPr>
        <w:t>Union de Madrid sont dès lors respectueusement invités à adhérer uniquement au Protocole</w:t>
      </w:r>
      <w:r w:rsidR="004B5170" w:rsidRPr="002B7DF9">
        <w:rPr>
          <w:lang w:val="fr-FR"/>
        </w:rPr>
        <w:t>.</w:t>
      </w:r>
    </w:p>
    <w:p w:rsidR="007432CA" w:rsidRDefault="007432CA">
      <w:pPr>
        <w:rPr>
          <w:lang w:val="fr-FR"/>
        </w:rPr>
      </w:pPr>
      <w:r>
        <w:rPr>
          <w:lang w:val="fr-FR"/>
        </w:rPr>
        <w:br w:type="page"/>
      </w:r>
    </w:p>
    <w:p w:rsidR="004B5170" w:rsidRPr="002B7DF9" w:rsidRDefault="005920B9" w:rsidP="009709AC">
      <w:pPr>
        <w:pStyle w:val="ONUMFS"/>
        <w:numPr>
          <w:ilvl w:val="0"/>
          <w:numId w:val="0"/>
        </w:numPr>
        <w:rPr>
          <w:lang w:val="fr-FR"/>
        </w:rPr>
      </w:pPr>
      <w:r w:rsidRPr="005920B9">
        <w:rPr>
          <w:noProof/>
          <w:lang w:eastAsia="en-US"/>
        </w:rPr>
        <w:drawing>
          <wp:inline distT="0" distB="0" distL="0" distR="0" wp14:anchorId="418B03AE" wp14:editId="0D18FEA9">
            <wp:extent cx="4580255" cy="2743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80255" cy="2743200"/>
                    </a:xfrm>
                    <a:prstGeom prst="rect">
                      <a:avLst/>
                    </a:prstGeom>
                    <a:noFill/>
                    <a:ln>
                      <a:noFill/>
                    </a:ln>
                  </pic:spPr>
                </pic:pic>
              </a:graphicData>
            </a:graphic>
          </wp:inline>
        </w:drawing>
      </w:r>
    </w:p>
    <w:p w:rsidR="00B21D1F" w:rsidRPr="002B7DF9" w:rsidRDefault="007432CA" w:rsidP="009709AC">
      <w:pPr>
        <w:pStyle w:val="ONUMFS"/>
        <w:numPr>
          <w:ilvl w:val="0"/>
          <w:numId w:val="0"/>
        </w:numPr>
        <w:rPr>
          <w:lang w:val="fr-FR"/>
        </w:rPr>
      </w:pPr>
      <w:r w:rsidRPr="007432CA">
        <w:rPr>
          <w:noProof/>
          <w:lang w:eastAsia="en-US"/>
        </w:rPr>
        <w:drawing>
          <wp:inline distT="0" distB="0" distL="0" distR="0">
            <wp:extent cx="4585335" cy="2743200"/>
            <wp:effectExtent l="0" t="0" r="571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85335" cy="2743200"/>
                    </a:xfrm>
                    <a:prstGeom prst="rect">
                      <a:avLst/>
                    </a:prstGeom>
                    <a:noFill/>
                    <a:ln>
                      <a:noFill/>
                    </a:ln>
                  </pic:spPr>
                </pic:pic>
              </a:graphicData>
            </a:graphic>
          </wp:inline>
        </w:drawing>
      </w:r>
    </w:p>
    <w:p w:rsidR="00B21D1F" w:rsidRPr="002B7DF9" w:rsidRDefault="00F10419" w:rsidP="0067433A">
      <w:pPr>
        <w:pStyle w:val="Heading3"/>
      </w:pPr>
      <w:r w:rsidRPr="002B7DF9">
        <w:t xml:space="preserve">Arrangement de </w:t>
      </w:r>
      <w:r w:rsidR="00A055C6" w:rsidRPr="002B7DF9">
        <w:t>La Haye</w:t>
      </w:r>
      <w:r w:rsidRPr="002B7DF9">
        <w:t xml:space="preserve"> concernant l</w:t>
      </w:r>
      <w:r w:rsidR="00A055C6" w:rsidRPr="002B7DF9">
        <w:t>’</w:t>
      </w:r>
      <w:r w:rsidRPr="002B7DF9">
        <w:t>enregistrement international des dessins et modèles industriels</w:t>
      </w:r>
    </w:p>
    <w:p w:rsidR="009709AC" w:rsidRPr="002B7DF9" w:rsidRDefault="009709AC" w:rsidP="009709AC">
      <w:pPr>
        <w:rPr>
          <w:lang w:val="fr-FR"/>
        </w:rPr>
      </w:pPr>
    </w:p>
    <w:p w:rsidR="00A055C6" w:rsidRPr="002B7DF9" w:rsidRDefault="00F10419" w:rsidP="009709AC">
      <w:pPr>
        <w:pStyle w:val="ONUMFS"/>
        <w:numPr>
          <w:ilvl w:val="0"/>
          <w:numId w:val="0"/>
        </w:numPr>
        <w:rPr>
          <w:lang w:val="fr-FR"/>
        </w:rPr>
      </w:pPr>
      <w:r w:rsidRPr="002B7DF9">
        <w:rPr>
          <w:lang w:val="fr-FR"/>
        </w:rPr>
        <w:t>L</w:t>
      </w:r>
      <w:r w:rsidR="00A055C6" w:rsidRPr="002B7DF9">
        <w:rPr>
          <w:lang w:val="fr-FR"/>
        </w:rPr>
        <w:t>’</w:t>
      </w:r>
      <w:r w:rsidRPr="002B7DF9">
        <w:rPr>
          <w:lang w:val="fr-FR"/>
        </w:rPr>
        <w:t xml:space="preserve">Arrangement de </w:t>
      </w:r>
      <w:r w:rsidR="00A055C6" w:rsidRPr="002B7DF9">
        <w:rPr>
          <w:lang w:val="fr-FR"/>
        </w:rPr>
        <w:t>La Haye</w:t>
      </w:r>
      <w:r w:rsidRPr="002B7DF9">
        <w:rPr>
          <w:lang w:val="fr-FR"/>
        </w:rPr>
        <w:t xml:space="preserve"> concernant l</w:t>
      </w:r>
      <w:r w:rsidR="00A055C6" w:rsidRPr="002B7DF9">
        <w:rPr>
          <w:lang w:val="fr-FR"/>
        </w:rPr>
        <w:t>’</w:t>
      </w:r>
      <w:r w:rsidRPr="002B7DF9">
        <w:rPr>
          <w:lang w:val="fr-FR"/>
        </w:rPr>
        <w:t xml:space="preserve">enregistrement international des dessins et modèles industriels est constitué de deux Actes, </w:t>
      </w:r>
      <w:r w:rsidR="00A055C6" w:rsidRPr="002B7DF9">
        <w:rPr>
          <w:lang w:val="fr-FR"/>
        </w:rPr>
        <w:t>à savoir</w:t>
      </w:r>
      <w:r w:rsidRPr="002B7DF9">
        <w:rPr>
          <w:lang w:val="fr-FR"/>
        </w:rPr>
        <w:t xml:space="preserve"> l</w:t>
      </w:r>
      <w:r w:rsidR="00A055C6" w:rsidRPr="002B7DF9">
        <w:rPr>
          <w:lang w:val="fr-FR"/>
        </w:rPr>
        <w:t>’</w:t>
      </w:r>
      <w:r w:rsidRPr="002B7DF9">
        <w:rPr>
          <w:lang w:val="fr-FR"/>
        </w:rPr>
        <w:t xml:space="preserve">Acte de </w:t>
      </w:r>
      <w:r w:rsidR="00A055C6" w:rsidRPr="002B7DF9">
        <w:rPr>
          <w:lang w:val="fr-FR"/>
        </w:rPr>
        <w:t>La Haye</w:t>
      </w:r>
      <w:r w:rsidRPr="002B7DF9">
        <w:rPr>
          <w:lang w:val="fr-FR"/>
        </w:rPr>
        <w:t xml:space="preserve"> (1960) et l</w:t>
      </w:r>
      <w:r w:rsidR="00A055C6" w:rsidRPr="002B7DF9">
        <w:rPr>
          <w:lang w:val="fr-FR"/>
        </w:rPr>
        <w:t>’</w:t>
      </w:r>
      <w:r w:rsidRPr="002B7DF9">
        <w:rPr>
          <w:lang w:val="fr-FR"/>
        </w:rPr>
        <w:t>Acte de Genève</w:t>
      </w:r>
      <w:r w:rsidR="00B2797F" w:rsidRPr="002B7DF9">
        <w:rPr>
          <w:lang w:val="fr-FR"/>
        </w:rPr>
        <w:t xml:space="preserve"> </w:t>
      </w:r>
      <w:r w:rsidR="00B21D1F" w:rsidRPr="002B7DF9">
        <w:rPr>
          <w:lang w:val="fr-FR"/>
        </w:rPr>
        <w:t>(1999).</w:t>
      </w:r>
      <w:r w:rsidR="00DE2B24" w:rsidRPr="002B7DF9">
        <w:rPr>
          <w:lang w:val="fr-FR"/>
        </w:rPr>
        <w:t xml:space="preserve">  I</w:t>
      </w:r>
      <w:r w:rsidRPr="002B7DF9">
        <w:rPr>
          <w:lang w:val="fr-FR"/>
        </w:rPr>
        <w:t>l convien</w:t>
      </w:r>
      <w:r w:rsidR="00DE2B24" w:rsidRPr="002B7DF9">
        <w:rPr>
          <w:lang w:val="fr-FR"/>
        </w:rPr>
        <w:t xml:space="preserve">t </w:t>
      </w:r>
      <w:r w:rsidRPr="002B7DF9">
        <w:rPr>
          <w:lang w:val="fr-FR"/>
        </w:rPr>
        <w:t xml:space="preserve">de rappeler </w:t>
      </w:r>
      <w:r w:rsidR="00180ABB" w:rsidRPr="002B7DF9">
        <w:rPr>
          <w:lang w:val="fr-FR"/>
        </w:rPr>
        <w:t>que l</w:t>
      </w:r>
      <w:r w:rsidR="00A055C6" w:rsidRPr="002B7DF9">
        <w:rPr>
          <w:lang w:val="fr-FR"/>
        </w:rPr>
        <w:t>’</w:t>
      </w:r>
      <w:r w:rsidR="00180ABB" w:rsidRPr="002B7DF9">
        <w:rPr>
          <w:lang w:val="fr-FR"/>
        </w:rPr>
        <w:t>extinction de l</w:t>
      </w:r>
      <w:r w:rsidR="00A055C6" w:rsidRPr="002B7DF9">
        <w:rPr>
          <w:lang w:val="fr-FR"/>
        </w:rPr>
        <w:t>’</w:t>
      </w:r>
      <w:r w:rsidR="00180ABB" w:rsidRPr="002B7DF9">
        <w:rPr>
          <w:lang w:val="fr-FR"/>
        </w:rPr>
        <w:t>Acte de Londres de 1934, qui a pris effet le 18 octobre 2</w:t>
      </w:r>
      <w:r w:rsidR="00DE2B24" w:rsidRPr="002B7DF9">
        <w:rPr>
          <w:lang w:val="fr-FR"/>
        </w:rPr>
        <w:t xml:space="preserve">016, </w:t>
      </w:r>
      <w:r w:rsidR="009677F0" w:rsidRPr="002B7DF9">
        <w:rPr>
          <w:lang w:val="fr-FR"/>
        </w:rPr>
        <w:t>a constitué une première étape essentielle vers la</w:t>
      </w:r>
      <w:r w:rsidR="00DE2B24" w:rsidRPr="002B7DF9">
        <w:rPr>
          <w:lang w:val="fr-FR"/>
        </w:rPr>
        <w:t xml:space="preserve"> simplification </w:t>
      </w:r>
      <w:r w:rsidR="009677F0" w:rsidRPr="002B7DF9">
        <w:rPr>
          <w:lang w:val="fr-FR"/>
        </w:rPr>
        <w:t xml:space="preserve">du système de </w:t>
      </w:r>
      <w:r w:rsidR="00A055C6" w:rsidRPr="002B7DF9">
        <w:rPr>
          <w:lang w:val="fr-FR"/>
        </w:rPr>
        <w:t>La Haye</w:t>
      </w:r>
      <w:r w:rsidR="00DE2B24" w:rsidRPr="002B7DF9">
        <w:rPr>
          <w:lang w:val="fr-FR"/>
        </w:rPr>
        <w:t>.</w:t>
      </w:r>
    </w:p>
    <w:p w:rsidR="00A055C6" w:rsidRPr="002B7DF9" w:rsidRDefault="009E49FA" w:rsidP="009709AC">
      <w:pPr>
        <w:pStyle w:val="ONUMFS"/>
        <w:numPr>
          <w:ilvl w:val="0"/>
          <w:numId w:val="0"/>
        </w:numPr>
        <w:rPr>
          <w:lang w:val="fr-FR"/>
        </w:rPr>
      </w:pPr>
      <w:r w:rsidRPr="002B7DF9">
        <w:rPr>
          <w:lang w:val="fr-FR"/>
        </w:rPr>
        <w:t>À l</w:t>
      </w:r>
      <w:r w:rsidR="00A055C6" w:rsidRPr="002B7DF9">
        <w:rPr>
          <w:lang w:val="fr-FR"/>
        </w:rPr>
        <w:t>’</w:t>
      </w:r>
      <w:r w:rsidRPr="002B7DF9">
        <w:rPr>
          <w:lang w:val="fr-FR"/>
        </w:rPr>
        <w:t>heure actuelle, 69 États ou organisations intergouvernementales sont membres de l</w:t>
      </w:r>
      <w:r w:rsidR="00A055C6" w:rsidRPr="002B7DF9">
        <w:rPr>
          <w:lang w:val="fr-FR"/>
        </w:rPr>
        <w:t>’</w:t>
      </w:r>
      <w:r w:rsidRPr="002B7DF9">
        <w:rPr>
          <w:lang w:val="fr-FR"/>
        </w:rPr>
        <w:t xml:space="preserve">Union de </w:t>
      </w:r>
      <w:r w:rsidR="00A055C6" w:rsidRPr="002B7DF9">
        <w:rPr>
          <w:lang w:val="fr-FR"/>
        </w:rPr>
        <w:t>La Haye</w:t>
      </w:r>
      <w:r w:rsidRPr="002B7DF9">
        <w:rPr>
          <w:lang w:val="fr-FR"/>
        </w:rPr>
        <w:t>, dont 55 sont liés par l</w:t>
      </w:r>
      <w:r w:rsidR="00A055C6" w:rsidRPr="002B7DF9">
        <w:rPr>
          <w:lang w:val="fr-FR"/>
        </w:rPr>
        <w:t>’</w:t>
      </w:r>
      <w:r w:rsidRPr="002B7DF9">
        <w:rPr>
          <w:lang w:val="fr-FR"/>
        </w:rPr>
        <w:t>Acte de 1999 et 34 par l</w:t>
      </w:r>
      <w:r w:rsidR="00A055C6" w:rsidRPr="002B7DF9">
        <w:rPr>
          <w:lang w:val="fr-FR"/>
        </w:rPr>
        <w:t>’</w:t>
      </w:r>
      <w:r w:rsidRPr="002B7DF9">
        <w:rPr>
          <w:lang w:val="fr-FR"/>
        </w:rPr>
        <w:t>Acte de 1960.  Les deux</w:t>
      </w:r>
      <w:r w:rsidR="0039084E" w:rsidRPr="002B7DF9">
        <w:rPr>
          <w:lang w:val="fr-FR"/>
        </w:rPr>
        <w:t> </w:t>
      </w:r>
      <w:r w:rsidRPr="002B7DF9">
        <w:rPr>
          <w:lang w:val="fr-FR"/>
        </w:rPr>
        <w:t>diagrammes ci</w:t>
      </w:r>
      <w:r w:rsidR="003A7647">
        <w:rPr>
          <w:lang w:val="fr-FR"/>
        </w:rPr>
        <w:noBreakHyphen/>
      </w:r>
      <w:r w:rsidRPr="002B7DF9">
        <w:rPr>
          <w:lang w:val="fr-FR"/>
        </w:rPr>
        <w:t>dessous contiennent des informations sur l</w:t>
      </w:r>
      <w:r w:rsidR="00A055C6" w:rsidRPr="002B7DF9">
        <w:rPr>
          <w:lang w:val="fr-FR"/>
        </w:rPr>
        <w:t>’</w:t>
      </w:r>
      <w:r w:rsidRPr="002B7DF9">
        <w:rPr>
          <w:lang w:val="fr-FR"/>
        </w:rPr>
        <w:t>évolution des ratifications ou adhésions relatives à l</w:t>
      </w:r>
      <w:r w:rsidR="00A055C6" w:rsidRPr="002B7DF9">
        <w:rPr>
          <w:lang w:val="fr-FR"/>
        </w:rPr>
        <w:t>’</w:t>
      </w:r>
      <w:r w:rsidRPr="002B7DF9">
        <w:rPr>
          <w:lang w:val="fr-FR"/>
        </w:rPr>
        <w:t xml:space="preserve">Union de </w:t>
      </w:r>
      <w:r w:rsidR="00A055C6" w:rsidRPr="002B7DF9">
        <w:rPr>
          <w:lang w:val="fr-FR"/>
        </w:rPr>
        <w:t>La Haye</w:t>
      </w:r>
      <w:r w:rsidR="00B21D1F" w:rsidRPr="002B7DF9">
        <w:rPr>
          <w:lang w:val="fr-FR"/>
        </w:rPr>
        <w:t>.</w:t>
      </w:r>
    </w:p>
    <w:p w:rsidR="004D675B" w:rsidRPr="002B7DF9" w:rsidRDefault="00EC6418" w:rsidP="009709AC">
      <w:pPr>
        <w:pStyle w:val="ONUMFS"/>
        <w:numPr>
          <w:ilvl w:val="0"/>
          <w:numId w:val="0"/>
        </w:numPr>
        <w:rPr>
          <w:lang w:val="fr-FR"/>
        </w:rPr>
      </w:pPr>
      <w:r w:rsidRPr="00EC6418">
        <w:rPr>
          <w:noProof/>
          <w:lang w:eastAsia="en-US"/>
        </w:rPr>
        <w:drawing>
          <wp:inline distT="0" distB="0" distL="0" distR="0" wp14:anchorId="40E71324" wp14:editId="7BD61A73">
            <wp:extent cx="4580255" cy="27432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80255" cy="2743200"/>
                    </a:xfrm>
                    <a:prstGeom prst="rect">
                      <a:avLst/>
                    </a:prstGeom>
                    <a:noFill/>
                    <a:ln>
                      <a:noFill/>
                    </a:ln>
                  </pic:spPr>
                </pic:pic>
              </a:graphicData>
            </a:graphic>
          </wp:inline>
        </w:drawing>
      </w:r>
    </w:p>
    <w:p w:rsidR="00163798" w:rsidRPr="002B7DF9" w:rsidRDefault="00EC6418" w:rsidP="009709AC">
      <w:pPr>
        <w:pStyle w:val="ONUMFS"/>
        <w:numPr>
          <w:ilvl w:val="0"/>
          <w:numId w:val="0"/>
        </w:numPr>
        <w:rPr>
          <w:lang w:val="fr-FR"/>
        </w:rPr>
      </w:pPr>
      <w:r w:rsidRPr="00EC6418">
        <w:rPr>
          <w:noProof/>
          <w:lang w:eastAsia="en-US"/>
        </w:rPr>
        <w:drawing>
          <wp:inline distT="0" distB="0" distL="0" distR="0" wp14:anchorId="5FC1ADD4" wp14:editId="24368831">
            <wp:extent cx="4580255" cy="27432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80255" cy="2743200"/>
                    </a:xfrm>
                    <a:prstGeom prst="rect">
                      <a:avLst/>
                    </a:prstGeom>
                    <a:noFill/>
                    <a:ln>
                      <a:noFill/>
                    </a:ln>
                  </pic:spPr>
                </pic:pic>
              </a:graphicData>
            </a:graphic>
          </wp:inline>
        </w:drawing>
      </w:r>
    </w:p>
    <w:p w:rsidR="00022D47" w:rsidRPr="002B7DF9" w:rsidRDefault="00ED45DE" w:rsidP="0067433A">
      <w:pPr>
        <w:pStyle w:val="Heading3"/>
      </w:pPr>
      <w:r w:rsidRPr="002B7DF9">
        <w:t>Arrangement de Nice concernant la classification internationale des produits et des services aux fins de l</w:t>
      </w:r>
      <w:r w:rsidR="00A055C6" w:rsidRPr="002B7DF9">
        <w:t>’</w:t>
      </w:r>
      <w:r w:rsidRPr="002B7DF9">
        <w:t xml:space="preserve">enregistrement des marques </w:t>
      </w:r>
      <w:r w:rsidR="00022D47" w:rsidRPr="002B7DF9">
        <w:t>(1957)</w:t>
      </w:r>
    </w:p>
    <w:p w:rsidR="009709AC" w:rsidRPr="002B7DF9" w:rsidRDefault="009709AC" w:rsidP="007432CA">
      <w:pPr>
        <w:keepNext/>
        <w:rPr>
          <w:lang w:val="fr-FR"/>
        </w:rPr>
      </w:pPr>
    </w:p>
    <w:p w:rsidR="00022D47" w:rsidRPr="002B7DF9" w:rsidRDefault="00DE02A8" w:rsidP="009709AC">
      <w:pPr>
        <w:pStyle w:val="ONUMFS"/>
        <w:numPr>
          <w:ilvl w:val="0"/>
          <w:numId w:val="0"/>
        </w:numPr>
        <w:rPr>
          <w:lang w:val="fr-FR"/>
        </w:rPr>
      </w:pPr>
      <w:r w:rsidRPr="00DE02A8">
        <w:rPr>
          <w:noProof/>
          <w:lang w:eastAsia="en-US"/>
        </w:rPr>
        <w:drawing>
          <wp:inline distT="0" distB="0" distL="0" distR="0" wp14:anchorId="5B138209" wp14:editId="167082FE">
            <wp:extent cx="4580255" cy="27432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80255" cy="2743200"/>
                    </a:xfrm>
                    <a:prstGeom prst="rect">
                      <a:avLst/>
                    </a:prstGeom>
                    <a:noFill/>
                    <a:ln>
                      <a:noFill/>
                    </a:ln>
                  </pic:spPr>
                </pic:pic>
              </a:graphicData>
            </a:graphic>
          </wp:inline>
        </w:drawing>
      </w:r>
    </w:p>
    <w:p w:rsidR="00A055C6" w:rsidRPr="002B7DF9" w:rsidRDefault="00AF5FA8" w:rsidP="009709AC">
      <w:pPr>
        <w:pStyle w:val="ONUMFS"/>
        <w:numPr>
          <w:ilvl w:val="0"/>
          <w:numId w:val="0"/>
        </w:numPr>
        <w:rPr>
          <w:lang w:val="fr-FR"/>
        </w:rPr>
      </w:pPr>
      <w:r w:rsidRPr="002B7DF9">
        <w:rPr>
          <w:lang w:val="fr-FR"/>
        </w:rPr>
        <w:t>L</w:t>
      </w:r>
      <w:r w:rsidR="00A055C6" w:rsidRPr="002B7DF9">
        <w:rPr>
          <w:lang w:val="fr-FR"/>
        </w:rPr>
        <w:t>’</w:t>
      </w:r>
      <w:r w:rsidRPr="002B7DF9">
        <w:rPr>
          <w:lang w:val="fr-FR"/>
        </w:rPr>
        <w:t>Arrangement de Nice a été révisé deux</w:t>
      </w:r>
      <w:r w:rsidR="0039084E" w:rsidRPr="002B7DF9">
        <w:rPr>
          <w:lang w:val="fr-FR"/>
        </w:rPr>
        <w:t> </w:t>
      </w:r>
      <w:r w:rsidRPr="002B7DF9">
        <w:rPr>
          <w:lang w:val="fr-FR"/>
        </w:rPr>
        <w:t xml:space="preserve">fois depuis son adoption en 1957, à Stockholm en 1967 et à Genève en 1977.  Certains États membres, </w:t>
      </w:r>
      <w:r w:rsidR="00A055C6" w:rsidRPr="002B7DF9">
        <w:rPr>
          <w:lang w:val="fr-FR"/>
        </w:rPr>
        <w:t>à savoir</w:t>
      </w:r>
      <w:r w:rsidRPr="002B7DF9">
        <w:rPr>
          <w:lang w:val="fr-FR"/>
        </w:rPr>
        <w:t xml:space="preserve"> l</w:t>
      </w:r>
      <w:r w:rsidR="00A055C6" w:rsidRPr="002B7DF9">
        <w:rPr>
          <w:lang w:val="fr-FR"/>
        </w:rPr>
        <w:t>’</w:t>
      </w:r>
      <w:r w:rsidRPr="002B7DF9">
        <w:rPr>
          <w:lang w:val="fr-FR"/>
        </w:rPr>
        <w:t>Algérie, Israël et le Maroc, restent liés par l</w:t>
      </w:r>
      <w:r w:rsidR="00A055C6" w:rsidRPr="002B7DF9">
        <w:rPr>
          <w:lang w:val="fr-FR"/>
        </w:rPr>
        <w:t>’</w:t>
      </w:r>
      <w:r w:rsidRPr="002B7DF9">
        <w:rPr>
          <w:lang w:val="fr-FR"/>
        </w:rPr>
        <w:t>Acte de Stockholm, et deux</w:t>
      </w:r>
      <w:r w:rsidR="0039084E" w:rsidRPr="002B7DF9">
        <w:rPr>
          <w:lang w:val="fr-FR"/>
        </w:rPr>
        <w:t> </w:t>
      </w:r>
      <w:r w:rsidRPr="002B7DF9">
        <w:rPr>
          <w:lang w:val="fr-FR"/>
        </w:rPr>
        <w:t>autres États, le Liban et la Tunisie (qui, par conséquent, ne sont pas membres de l</w:t>
      </w:r>
      <w:r w:rsidR="00A055C6" w:rsidRPr="002B7DF9">
        <w:rPr>
          <w:lang w:val="fr-FR"/>
        </w:rPr>
        <w:t>’</w:t>
      </w:r>
      <w:r w:rsidRPr="002B7DF9">
        <w:rPr>
          <w:lang w:val="fr-FR"/>
        </w:rPr>
        <w:t>assemblée), restent liés par l</w:t>
      </w:r>
      <w:r w:rsidR="00A055C6" w:rsidRPr="002B7DF9">
        <w:rPr>
          <w:lang w:val="fr-FR"/>
        </w:rPr>
        <w:t>’</w:t>
      </w:r>
      <w:r w:rsidRPr="002B7DF9">
        <w:rPr>
          <w:lang w:val="fr-FR"/>
        </w:rPr>
        <w:t>arrangement initial.  Ces États sont respectueusement invités à envisager une adhésion à l</w:t>
      </w:r>
      <w:r w:rsidR="00A055C6" w:rsidRPr="002B7DF9">
        <w:rPr>
          <w:lang w:val="fr-FR"/>
        </w:rPr>
        <w:t>’</w:t>
      </w:r>
      <w:r w:rsidRPr="002B7DF9">
        <w:rPr>
          <w:lang w:val="fr-FR"/>
        </w:rPr>
        <w:t>Acte de Genève de l</w:t>
      </w:r>
      <w:r w:rsidR="00A055C6" w:rsidRPr="002B7DF9">
        <w:rPr>
          <w:lang w:val="fr-FR"/>
        </w:rPr>
        <w:t>’</w:t>
      </w:r>
      <w:r w:rsidRPr="002B7DF9">
        <w:rPr>
          <w:lang w:val="fr-FR"/>
        </w:rPr>
        <w:t xml:space="preserve">Arrangement de Nice ou une ratification dudit </w:t>
      </w:r>
      <w:r w:rsidR="00E15F88" w:rsidRPr="002B7DF9">
        <w:rPr>
          <w:lang w:val="fr-FR"/>
        </w:rPr>
        <w:t>A</w:t>
      </w:r>
      <w:r w:rsidRPr="002B7DF9">
        <w:rPr>
          <w:lang w:val="fr-FR"/>
        </w:rPr>
        <w:t>cte</w:t>
      </w:r>
      <w:r w:rsidR="00D148BC" w:rsidRPr="002B7DF9">
        <w:rPr>
          <w:lang w:val="fr-FR"/>
        </w:rPr>
        <w:t xml:space="preserve">, </w:t>
      </w:r>
      <w:r w:rsidRPr="002B7DF9">
        <w:rPr>
          <w:lang w:val="fr-FR"/>
        </w:rPr>
        <w:t xml:space="preserve">et le </w:t>
      </w:r>
      <w:r w:rsidR="00D148BC" w:rsidRPr="002B7DF9">
        <w:rPr>
          <w:lang w:val="fr-FR"/>
        </w:rPr>
        <w:t>Secr</w:t>
      </w:r>
      <w:r w:rsidRPr="002B7DF9">
        <w:rPr>
          <w:lang w:val="fr-FR"/>
        </w:rPr>
        <w:t>é</w:t>
      </w:r>
      <w:r w:rsidR="00D148BC" w:rsidRPr="002B7DF9">
        <w:rPr>
          <w:lang w:val="fr-FR"/>
        </w:rPr>
        <w:t xml:space="preserve">tariat </w:t>
      </w:r>
      <w:r w:rsidRPr="002B7DF9">
        <w:rPr>
          <w:lang w:val="fr-FR"/>
        </w:rPr>
        <w:t>est disposé à fournir toute assistance nécessaire à cet égard</w:t>
      </w:r>
      <w:r w:rsidR="00D148BC" w:rsidRPr="002B7DF9">
        <w:rPr>
          <w:lang w:val="fr-FR"/>
        </w:rPr>
        <w:t>.</w:t>
      </w:r>
    </w:p>
    <w:p w:rsidR="00022D47" w:rsidRPr="002B7DF9" w:rsidRDefault="00AF5FA8" w:rsidP="0067433A">
      <w:pPr>
        <w:pStyle w:val="Heading3"/>
      </w:pPr>
      <w:r w:rsidRPr="002B7DF9">
        <w:t>Arrangement de Lisbonne concernant la protection des appellations d</w:t>
      </w:r>
      <w:r w:rsidR="00A055C6" w:rsidRPr="002B7DF9">
        <w:t>’</w:t>
      </w:r>
      <w:r w:rsidRPr="002B7DF9">
        <w:t xml:space="preserve">origine et leur enregistrement international </w:t>
      </w:r>
      <w:r w:rsidR="009709AC" w:rsidRPr="002B7DF9">
        <w:t>(1958)</w:t>
      </w:r>
    </w:p>
    <w:p w:rsidR="009709AC" w:rsidRPr="002B7DF9" w:rsidRDefault="009709AC" w:rsidP="009709AC">
      <w:pPr>
        <w:rPr>
          <w:lang w:val="fr-FR"/>
        </w:rPr>
      </w:pPr>
    </w:p>
    <w:p w:rsidR="00A055C6" w:rsidRPr="002B7DF9" w:rsidRDefault="00AF5FA8" w:rsidP="009709AC">
      <w:pPr>
        <w:pStyle w:val="ONUMFS"/>
        <w:numPr>
          <w:ilvl w:val="0"/>
          <w:numId w:val="0"/>
        </w:numPr>
        <w:rPr>
          <w:lang w:val="fr-FR"/>
        </w:rPr>
      </w:pPr>
      <w:r w:rsidRPr="002B7DF9">
        <w:rPr>
          <w:lang w:val="fr-FR"/>
        </w:rPr>
        <w:t>L</w:t>
      </w:r>
      <w:r w:rsidR="00A055C6" w:rsidRPr="002B7DF9">
        <w:rPr>
          <w:lang w:val="fr-FR"/>
        </w:rPr>
        <w:t>’</w:t>
      </w:r>
      <w:r w:rsidRPr="002B7DF9">
        <w:rPr>
          <w:lang w:val="fr-FR"/>
        </w:rPr>
        <w:t>Arrangement de Lisbonne, qui a été adopté en 1958, a été révisé à Stockholm en 1967, puis modifié en 1979.  Ainsi qu</w:t>
      </w:r>
      <w:r w:rsidR="00A055C6" w:rsidRPr="002B7DF9">
        <w:rPr>
          <w:lang w:val="fr-FR"/>
        </w:rPr>
        <w:t>’</w:t>
      </w:r>
      <w:r w:rsidRPr="002B7DF9">
        <w:rPr>
          <w:lang w:val="fr-FR"/>
        </w:rPr>
        <w:t>il est indiqué plus haut pour les autres traités, Haïti, qui n</w:t>
      </w:r>
      <w:r w:rsidR="00A055C6" w:rsidRPr="002B7DF9">
        <w:rPr>
          <w:lang w:val="fr-FR"/>
        </w:rPr>
        <w:t>’</w:t>
      </w:r>
      <w:r w:rsidRPr="002B7DF9">
        <w:rPr>
          <w:lang w:val="fr-FR"/>
        </w:rPr>
        <w:t>est pas lié par l</w:t>
      </w:r>
      <w:r w:rsidR="00A055C6" w:rsidRPr="002B7DF9">
        <w:rPr>
          <w:lang w:val="fr-FR"/>
        </w:rPr>
        <w:t>’</w:t>
      </w:r>
      <w:r w:rsidRPr="002B7DF9">
        <w:rPr>
          <w:lang w:val="fr-FR"/>
        </w:rPr>
        <w:t>Acte de Stockholm de l</w:t>
      </w:r>
      <w:r w:rsidR="00A055C6" w:rsidRPr="002B7DF9">
        <w:rPr>
          <w:lang w:val="fr-FR"/>
        </w:rPr>
        <w:t>’</w:t>
      </w:r>
      <w:r w:rsidRPr="002B7DF9">
        <w:rPr>
          <w:lang w:val="fr-FR"/>
        </w:rPr>
        <w:t>Arrangement de Lisbonne et, par conséquent, n</w:t>
      </w:r>
      <w:r w:rsidR="00A055C6" w:rsidRPr="002B7DF9">
        <w:rPr>
          <w:lang w:val="fr-FR"/>
        </w:rPr>
        <w:t>’</w:t>
      </w:r>
      <w:r w:rsidRPr="002B7DF9">
        <w:rPr>
          <w:lang w:val="fr-FR"/>
        </w:rPr>
        <w:t>est pas membre de l</w:t>
      </w:r>
      <w:r w:rsidR="00A055C6" w:rsidRPr="002B7DF9">
        <w:rPr>
          <w:lang w:val="fr-FR"/>
        </w:rPr>
        <w:t>’</w:t>
      </w:r>
      <w:r w:rsidRPr="002B7DF9">
        <w:rPr>
          <w:lang w:val="fr-FR"/>
        </w:rPr>
        <w:t>Assemblée de l</w:t>
      </w:r>
      <w:r w:rsidR="00A055C6" w:rsidRPr="002B7DF9">
        <w:rPr>
          <w:lang w:val="fr-FR"/>
        </w:rPr>
        <w:t>’</w:t>
      </w:r>
      <w:r w:rsidRPr="002B7DF9">
        <w:rPr>
          <w:lang w:val="fr-FR"/>
        </w:rPr>
        <w:t>Union de Lisbonne, est respectueusement invité à adhérer au dernier acte en vigueur</w:t>
      </w:r>
      <w:r w:rsidR="00A044A3" w:rsidRPr="002B7DF9">
        <w:rPr>
          <w:lang w:val="fr-FR"/>
        </w:rPr>
        <w:t>.</w:t>
      </w:r>
    </w:p>
    <w:p w:rsidR="00A044A3" w:rsidRPr="002B7DF9" w:rsidRDefault="00AF5FA8" w:rsidP="009709AC">
      <w:pPr>
        <w:pStyle w:val="ONUMFS"/>
        <w:numPr>
          <w:ilvl w:val="0"/>
          <w:numId w:val="0"/>
        </w:numPr>
        <w:rPr>
          <w:lang w:val="fr-FR"/>
        </w:rPr>
      </w:pPr>
      <w:r w:rsidRPr="002B7DF9">
        <w:rPr>
          <w:lang w:val="fr-FR"/>
        </w:rPr>
        <w:t>La Conférence diplomatique pour l</w:t>
      </w:r>
      <w:r w:rsidR="00A055C6" w:rsidRPr="002B7DF9">
        <w:rPr>
          <w:lang w:val="fr-FR"/>
        </w:rPr>
        <w:t>’</w:t>
      </w:r>
      <w:r w:rsidRPr="002B7DF9">
        <w:rPr>
          <w:lang w:val="fr-FR"/>
        </w:rPr>
        <w:t>adoption d</w:t>
      </w:r>
      <w:r w:rsidR="00A055C6" w:rsidRPr="002B7DF9">
        <w:rPr>
          <w:lang w:val="fr-FR"/>
        </w:rPr>
        <w:t>’</w:t>
      </w:r>
      <w:r w:rsidRPr="002B7DF9">
        <w:rPr>
          <w:lang w:val="fr-FR"/>
        </w:rPr>
        <w:t>un nouvel Acte de l</w:t>
      </w:r>
      <w:r w:rsidR="00A055C6" w:rsidRPr="002B7DF9">
        <w:rPr>
          <w:lang w:val="fr-FR"/>
        </w:rPr>
        <w:t>’</w:t>
      </w:r>
      <w:r w:rsidRPr="002B7DF9">
        <w:rPr>
          <w:lang w:val="fr-FR"/>
        </w:rPr>
        <w:t>Arrangement de Lisbonne concernant la protection des appellations d</w:t>
      </w:r>
      <w:r w:rsidR="00A055C6" w:rsidRPr="002B7DF9">
        <w:rPr>
          <w:lang w:val="fr-FR"/>
        </w:rPr>
        <w:t>’</w:t>
      </w:r>
      <w:r w:rsidRPr="002B7DF9">
        <w:rPr>
          <w:lang w:val="fr-FR"/>
        </w:rPr>
        <w:t>origine et leur enregistrement international a adopté, le 20</w:t>
      </w:r>
      <w:r w:rsidR="00E15F88" w:rsidRPr="002B7DF9">
        <w:rPr>
          <w:lang w:val="fr-FR"/>
        </w:rPr>
        <w:t> </w:t>
      </w:r>
      <w:r w:rsidRPr="002B7DF9">
        <w:rPr>
          <w:lang w:val="fr-FR"/>
        </w:rPr>
        <w:t>mai</w:t>
      </w:r>
      <w:r w:rsidR="00E15F88" w:rsidRPr="002B7DF9">
        <w:rPr>
          <w:lang w:val="fr-FR"/>
        </w:rPr>
        <w:t> </w:t>
      </w:r>
      <w:r w:rsidRPr="002B7DF9">
        <w:rPr>
          <w:lang w:val="fr-FR"/>
        </w:rPr>
        <w:t>2015, l</w:t>
      </w:r>
      <w:r w:rsidR="00A055C6" w:rsidRPr="002B7DF9">
        <w:rPr>
          <w:lang w:val="fr-FR"/>
        </w:rPr>
        <w:t>’</w:t>
      </w:r>
      <w:r w:rsidRPr="002B7DF9">
        <w:rPr>
          <w:lang w:val="fr-FR"/>
        </w:rPr>
        <w:t>Acte de Genève de l</w:t>
      </w:r>
      <w:r w:rsidR="00A055C6" w:rsidRPr="002B7DF9">
        <w:rPr>
          <w:lang w:val="fr-FR"/>
        </w:rPr>
        <w:t>’</w:t>
      </w:r>
      <w:r w:rsidRPr="002B7DF9">
        <w:rPr>
          <w:lang w:val="fr-FR"/>
        </w:rPr>
        <w:t>Arrangement de Lisbonne sur les appellations d</w:t>
      </w:r>
      <w:r w:rsidR="00A055C6" w:rsidRPr="002B7DF9">
        <w:rPr>
          <w:lang w:val="fr-FR"/>
        </w:rPr>
        <w:t>’</w:t>
      </w:r>
      <w:r w:rsidRPr="002B7DF9">
        <w:rPr>
          <w:lang w:val="fr-FR"/>
        </w:rPr>
        <w:t xml:space="preserve">origine et les indications géographiques. </w:t>
      </w:r>
      <w:r w:rsidR="00E15F88" w:rsidRPr="002B7DF9">
        <w:rPr>
          <w:lang w:val="fr-FR"/>
        </w:rPr>
        <w:t xml:space="preserve"> </w:t>
      </w:r>
      <w:r w:rsidRPr="002B7DF9">
        <w:rPr>
          <w:lang w:val="fr-FR"/>
        </w:rPr>
        <w:t xml:space="preserve">À ce jour, </w:t>
      </w:r>
      <w:r w:rsidR="00E15F88" w:rsidRPr="002B7DF9">
        <w:rPr>
          <w:lang w:val="fr-FR"/>
        </w:rPr>
        <w:t>un</w:t>
      </w:r>
      <w:r w:rsidRPr="002B7DF9">
        <w:rPr>
          <w:lang w:val="fr-FR"/>
        </w:rPr>
        <w:t xml:space="preserve"> État</w:t>
      </w:r>
      <w:r w:rsidR="00E15F88" w:rsidRPr="002B7DF9">
        <w:rPr>
          <w:lang w:val="fr-FR"/>
        </w:rPr>
        <w:t>, le Cambodge, a adhéré à l</w:t>
      </w:r>
      <w:r w:rsidR="00A055C6" w:rsidRPr="002B7DF9">
        <w:rPr>
          <w:lang w:val="fr-FR"/>
        </w:rPr>
        <w:t>’</w:t>
      </w:r>
      <w:r w:rsidR="00E15F88" w:rsidRPr="002B7DF9">
        <w:rPr>
          <w:lang w:val="fr-FR"/>
        </w:rPr>
        <w:t>Acte de Genève, qui n</w:t>
      </w:r>
      <w:r w:rsidR="00A055C6" w:rsidRPr="002B7DF9">
        <w:rPr>
          <w:lang w:val="fr-FR"/>
        </w:rPr>
        <w:t>’</w:t>
      </w:r>
      <w:r w:rsidR="00E15F88" w:rsidRPr="002B7DF9">
        <w:rPr>
          <w:lang w:val="fr-FR"/>
        </w:rPr>
        <w:t>est pas encore entré en vigueur</w:t>
      </w:r>
      <w:r w:rsidRPr="002B7DF9">
        <w:rPr>
          <w:lang w:val="fr-FR"/>
        </w:rPr>
        <w:t>.</w:t>
      </w:r>
      <w:r w:rsidR="00E15F88" w:rsidRPr="002B7DF9">
        <w:rPr>
          <w:lang w:val="fr-FR"/>
        </w:rPr>
        <w:t xml:space="preserve"> </w:t>
      </w:r>
      <w:r w:rsidRPr="002B7DF9">
        <w:rPr>
          <w:lang w:val="fr-FR"/>
        </w:rPr>
        <w:t xml:space="preserve"> L</w:t>
      </w:r>
      <w:r w:rsidR="00A055C6" w:rsidRPr="002B7DF9">
        <w:rPr>
          <w:lang w:val="fr-FR"/>
        </w:rPr>
        <w:t>’</w:t>
      </w:r>
      <w:r w:rsidRPr="002B7DF9">
        <w:rPr>
          <w:lang w:val="fr-FR"/>
        </w:rPr>
        <w:t>Acte entrera en vigueur trois</w:t>
      </w:r>
      <w:r w:rsidR="0039084E" w:rsidRPr="002B7DF9">
        <w:rPr>
          <w:lang w:val="fr-FR"/>
        </w:rPr>
        <w:t> </w:t>
      </w:r>
      <w:r w:rsidRPr="002B7DF9">
        <w:rPr>
          <w:lang w:val="fr-FR"/>
        </w:rPr>
        <w:t>mois après que cinq</w:t>
      </w:r>
      <w:r w:rsidR="0039084E" w:rsidRPr="002B7DF9">
        <w:rPr>
          <w:lang w:val="fr-FR"/>
        </w:rPr>
        <w:t> </w:t>
      </w:r>
      <w:r w:rsidRPr="002B7DF9">
        <w:rPr>
          <w:lang w:val="fr-FR"/>
        </w:rPr>
        <w:t>parties remplissant les conditions requises auront déposé leur instrument de ratification ou d</w:t>
      </w:r>
      <w:r w:rsidR="00A055C6" w:rsidRPr="002B7DF9">
        <w:rPr>
          <w:lang w:val="fr-FR"/>
        </w:rPr>
        <w:t>’</w:t>
      </w:r>
      <w:r w:rsidRPr="002B7DF9">
        <w:rPr>
          <w:lang w:val="fr-FR"/>
        </w:rPr>
        <w:t>adhésion</w:t>
      </w:r>
      <w:r w:rsidR="00A044A3" w:rsidRPr="002B7DF9">
        <w:rPr>
          <w:lang w:val="fr-FR"/>
        </w:rPr>
        <w:t>.</w:t>
      </w:r>
    </w:p>
    <w:p w:rsidR="00123717" w:rsidRPr="002B7DF9" w:rsidRDefault="00EC6418" w:rsidP="009709AC">
      <w:pPr>
        <w:pStyle w:val="ONUMFS"/>
        <w:numPr>
          <w:ilvl w:val="0"/>
          <w:numId w:val="0"/>
        </w:numPr>
        <w:rPr>
          <w:lang w:val="fr-FR"/>
        </w:rPr>
      </w:pPr>
      <w:r w:rsidRPr="00EC6418">
        <w:rPr>
          <w:noProof/>
          <w:lang w:eastAsia="en-US"/>
        </w:rPr>
        <w:drawing>
          <wp:inline distT="0" distB="0" distL="0" distR="0" wp14:anchorId="755DF714" wp14:editId="30DCABEF">
            <wp:extent cx="4580255" cy="27432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580255" cy="2743200"/>
                    </a:xfrm>
                    <a:prstGeom prst="rect">
                      <a:avLst/>
                    </a:prstGeom>
                    <a:noFill/>
                    <a:ln>
                      <a:noFill/>
                    </a:ln>
                  </pic:spPr>
                </pic:pic>
              </a:graphicData>
            </a:graphic>
          </wp:inline>
        </w:drawing>
      </w:r>
    </w:p>
    <w:p w:rsidR="00AC1BDE" w:rsidRPr="002B7DF9" w:rsidRDefault="00EC6418" w:rsidP="009709AC">
      <w:pPr>
        <w:pStyle w:val="ONUMFS"/>
        <w:numPr>
          <w:ilvl w:val="0"/>
          <w:numId w:val="0"/>
        </w:numPr>
        <w:rPr>
          <w:lang w:val="fr-FR"/>
        </w:rPr>
      </w:pPr>
      <w:r w:rsidRPr="00EC6418">
        <w:rPr>
          <w:noProof/>
          <w:lang w:eastAsia="en-US"/>
        </w:rPr>
        <w:drawing>
          <wp:inline distT="0" distB="0" distL="0" distR="0" wp14:anchorId="1CBCB86F" wp14:editId="0EFC2E2E">
            <wp:extent cx="4580255" cy="27432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80255" cy="2743200"/>
                    </a:xfrm>
                    <a:prstGeom prst="rect">
                      <a:avLst/>
                    </a:prstGeom>
                    <a:noFill/>
                    <a:ln>
                      <a:noFill/>
                    </a:ln>
                  </pic:spPr>
                </pic:pic>
              </a:graphicData>
            </a:graphic>
          </wp:inline>
        </w:drawing>
      </w:r>
    </w:p>
    <w:p w:rsidR="00123717" w:rsidRPr="002B7DF9" w:rsidRDefault="00E15F88" w:rsidP="0067433A">
      <w:pPr>
        <w:pStyle w:val="Heading3"/>
      </w:pPr>
      <w:r w:rsidRPr="002B7DF9">
        <w:t xml:space="preserve">Convention internationale sur la protection des artistes interprètes ou exécutants, des producteurs de phonogrammes et des organismes de radiodiffusion </w:t>
      </w:r>
      <w:r w:rsidR="00123717" w:rsidRPr="002B7DF9">
        <w:t>(1961)</w:t>
      </w:r>
    </w:p>
    <w:p w:rsidR="009709AC" w:rsidRPr="002B7DF9" w:rsidRDefault="009709AC" w:rsidP="009709AC">
      <w:pPr>
        <w:keepNext/>
        <w:rPr>
          <w:lang w:val="fr-FR"/>
        </w:rPr>
      </w:pPr>
    </w:p>
    <w:p w:rsidR="00732778" w:rsidRPr="002B7DF9" w:rsidRDefault="00732778" w:rsidP="005D3233">
      <w:pPr>
        <w:spacing w:after="480"/>
        <w:rPr>
          <w:lang w:val="fr-FR"/>
        </w:rPr>
      </w:pPr>
      <w:r w:rsidRPr="00732778">
        <w:rPr>
          <w:noProof/>
          <w:lang w:eastAsia="en-US"/>
        </w:rPr>
        <w:drawing>
          <wp:inline distT="0" distB="0" distL="0" distR="0" wp14:anchorId="7B84427F" wp14:editId="1BF7ED49">
            <wp:extent cx="4580255" cy="27432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580255" cy="2743200"/>
                    </a:xfrm>
                    <a:prstGeom prst="rect">
                      <a:avLst/>
                    </a:prstGeom>
                    <a:noFill/>
                    <a:ln>
                      <a:noFill/>
                    </a:ln>
                  </pic:spPr>
                </pic:pic>
              </a:graphicData>
            </a:graphic>
          </wp:inline>
        </w:drawing>
      </w:r>
    </w:p>
    <w:p w:rsidR="002F21F6" w:rsidRPr="002B7DF9" w:rsidRDefault="00E15F88" w:rsidP="0067433A">
      <w:pPr>
        <w:pStyle w:val="Heading3"/>
      </w:pPr>
      <w:r w:rsidRPr="002B7DF9">
        <w:t xml:space="preserve">Arrangement de Locarno instituant une classification internationale pour les dessins et modèles industriels </w:t>
      </w:r>
      <w:r w:rsidR="002F21F6" w:rsidRPr="002B7DF9">
        <w:t>(1968)</w:t>
      </w:r>
    </w:p>
    <w:p w:rsidR="009709AC" w:rsidRPr="002B7DF9" w:rsidRDefault="009709AC" w:rsidP="009709AC">
      <w:pPr>
        <w:rPr>
          <w:lang w:val="fr-FR"/>
        </w:rPr>
      </w:pPr>
    </w:p>
    <w:p w:rsidR="005705F6" w:rsidRPr="002B7DF9" w:rsidRDefault="007432CA" w:rsidP="009709AC">
      <w:pPr>
        <w:pStyle w:val="ONUMFS"/>
        <w:numPr>
          <w:ilvl w:val="0"/>
          <w:numId w:val="0"/>
        </w:numPr>
        <w:rPr>
          <w:lang w:val="fr-FR"/>
        </w:rPr>
      </w:pPr>
      <w:r w:rsidRPr="007432CA">
        <w:rPr>
          <w:noProof/>
          <w:lang w:eastAsia="en-US"/>
        </w:rPr>
        <w:drawing>
          <wp:inline distT="0" distB="0" distL="0" distR="0">
            <wp:extent cx="4585335" cy="2743200"/>
            <wp:effectExtent l="0" t="0" r="571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85335" cy="2743200"/>
                    </a:xfrm>
                    <a:prstGeom prst="rect">
                      <a:avLst/>
                    </a:prstGeom>
                    <a:noFill/>
                    <a:ln>
                      <a:noFill/>
                    </a:ln>
                  </pic:spPr>
                </pic:pic>
              </a:graphicData>
            </a:graphic>
          </wp:inline>
        </w:drawing>
      </w:r>
    </w:p>
    <w:p w:rsidR="002F21F6" w:rsidRPr="002B7DF9" w:rsidRDefault="00E15F88" w:rsidP="0067433A">
      <w:pPr>
        <w:pStyle w:val="Heading3"/>
      </w:pPr>
      <w:r w:rsidRPr="002B7DF9">
        <w:t xml:space="preserve">Traité de coopération en matière de brevets </w:t>
      </w:r>
      <w:r w:rsidR="002F21F6" w:rsidRPr="002B7DF9">
        <w:t>(PCT) (1970)</w:t>
      </w:r>
    </w:p>
    <w:p w:rsidR="009709AC" w:rsidRPr="002B7DF9" w:rsidRDefault="009709AC" w:rsidP="009709AC">
      <w:pPr>
        <w:keepNext/>
        <w:rPr>
          <w:lang w:val="fr-FR"/>
        </w:rPr>
      </w:pPr>
    </w:p>
    <w:p w:rsidR="002F21F6" w:rsidRPr="002B7DF9" w:rsidRDefault="007432CA" w:rsidP="009709AC">
      <w:pPr>
        <w:pStyle w:val="ONUMFS"/>
        <w:numPr>
          <w:ilvl w:val="0"/>
          <w:numId w:val="0"/>
        </w:numPr>
        <w:rPr>
          <w:lang w:val="fr-FR"/>
        </w:rPr>
      </w:pPr>
      <w:r w:rsidRPr="007432CA">
        <w:rPr>
          <w:noProof/>
          <w:lang w:eastAsia="en-US"/>
        </w:rPr>
        <w:drawing>
          <wp:inline distT="0" distB="0" distL="0" distR="0">
            <wp:extent cx="4585335" cy="2743200"/>
            <wp:effectExtent l="0" t="0" r="571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585335" cy="2743200"/>
                    </a:xfrm>
                    <a:prstGeom prst="rect">
                      <a:avLst/>
                    </a:prstGeom>
                    <a:noFill/>
                    <a:ln>
                      <a:noFill/>
                    </a:ln>
                  </pic:spPr>
                </pic:pic>
              </a:graphicData>
            </a:graphic>
          </wp:inline>
        </w:drawing>
      </w:r>
    </w:p>
    <w:p w:rsidR="002F21F6" w:rsidRPr="002B7DF9" w:rsidRDefault="00E15F88" w:rsidP="0067433A">
      <w:pPr>
        <w:pStyle w:val="Heading3"/>
      </w:pPr>
      <w:r w:rsidRPr="002B7DF9">
        <w:t xml:space="preserve">Arrangement de Strasbourg concernant la classification internationale des brevets </w:t>
      </w:r>
      <w:r w:rsidR="002F21F6" w:rsidRPr="002B7DF9">
        <w:t>(1971)</w:t>
      </w:r>
    </w:p>
    <w:p w:rsidR="009709AC" w:rsidRPr="002B7DF9" w:rsidRDefault="009709AC" w:rsidP="009709AC">
      <w:pPr>
        <w:rPr>
          <w:lang w:val="fr-FR"/>
        </w:rPr>
      </w:pPr>
    </w:p>
    <w:p w:rsidR="00D02768" w:rsidRPr="002B7DF9" w:rsidRDefault="00443D04" w:rsidP="009709AC">
      <w:pPr>
        <w:pStyle w:val="ONUMFS"/>
        <w:numPr>
          <w:ilvl w:val="0"/>
          <w:numId w:val="0"/>
        </w:numPr>
        <w:rPr>
          <w:lang w:val="fr-FR"/>
        </w:rPr>
      </w:pPr>
      <w:r w:rsidRPr="00443D04">
        <w:rPr>
          <w:noProof/>
          <w:lang w:eastAsia="en-US"/>
        </w:rPr>
        <w:drawing>
          <wp:inline distT="0" distB="0" distL="0" distR="0" wp14:anchorId="199092D7" wp14:editId="5A5E0757">
            <wp:extent cx="4580255" cy="27432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580255" cy="2743200"/>
                    </a:xfrm>
                    <a:prstGeom prst="rect">
                      <a:avLst/>
                    </a:prstGeom>
                    <a:noFill/>
                    <a:ln>
                      <a:noFill/>
                    </a:ln>
                  </pic:spPr>
                </pic:pic>
              </a:graphicData>
            </a:graphic>
          </wp:inline>
        </w:drawing>
      </w:r>
    </w:p>
    <w:p w:rsidR="00480E8C" w:rsidRPr="002B7DF9" w:rsidRDefault="00E15F88" w:rsidP="0067433A">
      <w:pPr>
        <w:pStyle w:val="Heading3"/>
      </w:pPr>
      <w:r w:rsidRPr="002B7DF9">
        <w:t xml:space="preserve">Convention pour la protection des producteurs de phonogrammes contre la reproduction non autorisée de leurs phonogrammes </w:t>
      </w:r>
      <w:r w:rsidR="00480E8C" w:rsidRPr="002B7DF9">
        <w:t>(1971)</w:t>
      </w:r>
    </w:p>
    <w:p w:rsidR="009709AC" w:rsidRPr="002B7DF9" w:rsidRDefault="009709AC" w:rsidP="009709AC">
      <w:pPr>
        <w:keepNext/>
        <w:rPr>
          <w:lang w:val="fr-FR"/>
        </w:rPr>
      </w:pPr>
    </w:p>
    <w:p w:rsidR="00DF2DA7" w:rsidRPr="002B7DF9" w:rsidRDefault="00443D04" w:rsidP="009709AC">
      <w:pPr>
        <w:pStyle w:val="ONUMFS"/>
        <w:numPr>
          <w:ilvl w:val="0"/>
          <w:numId w:val="0"/>
        </w:numPr>
        <w:rPr>
          <w:lang w:val="fr-FR"/>
        </w:rPr>
      </w:pPr>
      <w:r w:rsidRPr="00443D04">
        <w:rPr>
          <w:noProof/>
          <w:lang w:eastAsia="en-US"/>
        </w:rPr>
        <w:drawing>
          <wp:inline distT="0" distB="0" distL="0" distR="0" wp14:anchorId="644C6826" wp14:editId="624467F3">
            <wp:extent cx="4580255" cy="27432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580255" cy="2743200"/>
                    </a:xfrm>
                    <a:prstGeom prst="rect">
                      <a:avLst/>
                    </a:prstGeom>
                    <a:noFill/>
                    <a:ln>
                      <a:noFill/>
                    </a:ln>
                  </pic:spPr>
                </pic:pic>
              </a:graphicData>
            </a:graphic>
          </wp:inline>
        </w:drawing>
      </w:r>
    </w:p>
    <w:p w:rsidR="00480E8C" w:rsidRPr="002B7DF9" w:rsidRDefault="00E15F88" w:rsidP="0067433A">
      <w:pPr>
        <w:pStyle w:val="Heading3"/>
      </w:pPr>
      <w:r w:rsidRPr="002B7DF9">
        <w:t xml:space="preserve">Arrangement de Vienne instituant une classification internationale des éléments figuratifs des marques </w:t>
      </w:r>
      <w:r w:rsidR="00480E8C" w:rsidRPr="002B7DF9">
        <w:t>(1973)</w:t>
      </w:r>
    </w:p>
    <w:p w:rsidR="009709AC" w:rsidRPr="002B7DF9" w:rsidRDefault="009709AC" w:rsidP="009709AC">
      <w:pPr>
        <w:rPr>
          <w:lang w:val="fr-FR"/>
        </w:rPr>
      </w:pPr>
    </w:p>
    <w:p w:rsidR="00480E8C" w:rsidRPr="002B7DF9" w:rsidRDefault="00443D04" w:rsidP="009709AC">
      <w:pPr>
        <w:pStyle w:val="ONUMFS"/>
        <w:numPr>
          <w:ilvl w:val="0"/>
          <w:numId w:val="0"/>
        </w:numPr>
        <w:rPr>
          <w:lang w:val="fr-FR"/>
        </w:rPr>
      </w:pPr>
      <w:r w:rsidRPr="00443D04">
        <w:rPr>
          <w:noProof/>
          <w:lang w:eastAsia="en-US"/>
        </w:rPr>
        <w:drawing>
          <wp:inline distT="0" distB="0" distL="0" distR="0" wp14:anchorId="7554AF90" wp14:editId="4CE022CB">
            <wp:extent cx="4580255" cy="27432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580255" cy="2743200"/>
                    </a:xfrm>
                    <a:prstGeom prst="rect">
                      <a:avLst/>
                    </a:prstGeom>
                    <a:noFill/>
                    <a:ln>
                      <a:noFill/>
                    </a:ln>
                  </pic:spPr>
                </pic:pic>
              </a:graphicData>
            </a:graphic>
          </wp:inline>
        </w:drawing>
      </w:r>
    </w:p>
    <w:p w:rsidR="00480E8C" w:rsidRPr="002B7DF9" w:rsidRDefault="00E15F88" w:rsidP="0067433A">
      <w:pPr>
        <w:pStyle w:val="Heading3"/>
      </w:pPr>
      <w:r w:rsidRPr="002B7DF9">
        <w:t xml:space="preserve">Convention concernant la distribution de signaux porteurs de programmes transmis par satellite </w:t>
      </w:r>
      <w:r w:rsidR="00480E8C" w:rsidRPr="002B7DF9">
        <w:t>(1974)</w:t>
      </w:r>
    </w:p>
    <w:p w:rsidR="009709AC" w:rsidRPr="002B7DF9" w:rsidRDefault="009709AC" w:rsidP="009709AC">
      <w:pPr>
        <w:keepNext/>
        <w:rPr>
          <w:lang w:val="fr-FR"/>
        </w:rPr>
      </w:pPr>
    </w:p>
    <w:p w:rsidR="00856DC7" w:rsidRPr="002B7DF9" w:rsidRDefault="00443D04" w:rsidP="009709AC">
      <w:pPr>
        <w:pStyle w:val="ONUMFS"/>
        <w:numPr>
          <w:ilvl w:val="0"/>
          <w:numId w:val="0"/>
        </w:numPr>
        <w:rPr>
          <w:lang w:val="fr-FR"/>
        </w:rPr>
      </w:pPr>
      <w:r w:rsidRPr="00443D04">
        <w:rPr>
          <w:noProof/>
          <w:lang w:eastAsia="en-US"/>
        </w:rPr>
        <w:drawing>
          <wp:inline distT="0" distB="0" distL="0" distR="0" wp14:anchorId="4DA3ACC6" wp14:editId="1B27F868">
            <wp:extent cx="4580255" cy="27432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580255" cy="2743200"/>
                    </a:xfrm>
                    <a:prstGeom prst="rect">
                      <a:avLst/>
                    </a:prstGeom>
                    <a:noFill/>
                    <a:ln>
                      <a:noFill/>
                    </a:ln>
                  </pic:spPr>
                </pic:pic>
              </a:graphicData>
            </a:graphic>
          </wp:inline>
        </w:drawing>
      </w:r>
    </w:p>
    <w:p w:rsidR="00745DD7" w:rsidRPr="002B7DF9" w:rsidRDefault="00E15F88" w:rsidP="0067433A">
      <w:pPr>
        <w:pStyle w:val="Heading3"/>
      </w:pPr>
      <w:r w:rsidRPr="002B7DF9">
        <w:t>Traité de Budapest sur la reconnaissance internationale du dépôt des micro</w:t>
      </w:r>
      <w:r w:rsidR="003A7647">
        <w:noBreakHyphen/>
      </w:r>
      <w:r w:rsidRPr="002B7DF9">
        <w:t xml:space="preserve">organismes aux fins de la procédure en matière de brevets </w:t>
      </w:r>
      <w:r w:rsidR="00745DD7" w:rsidRPr="002B7DF9">
        <w:t>(1977)</w:t>
      </w:r>
    </w:p>
    <w:p w:rsidR="009709AC" w:rsidRPr="002B7DF9" w:rsidRDefault="009709AC" w:rsidP="009709AC">
      <w:pPr>
        <w:rPr>
          <w:lang w:val="fr-FR"/>
        </w:rPr>
      </w:pPr>
    </w:p>
    <w:p w:rsidR="00D344CC" w:rsidRPr="002B7DF9" w:rsidRDefault="00443D04" w:rsidP="009709AC">
      <w:pPr>
        <w:pStyle w:val="ONUMFS"/>
        <w:numPr>
          <w:ilvl w:val="0"/>
          <w:numId w:val="0"/>
        </w:numPr>
        <w:rPr>
          <w:lang w:val="fr-FR"/>
        </w:rPr>
      </w:pPr>
      <w:r w:rsidRPr="00443D04">
        <w:rPr>
          <w:noProof/>
          <w:lang w:eastAsia="en-US"/>
        </w:rPr>
        <w:drawing>
          <wp:inline distT="0" distB="0" distL="0" distR="0" wp14:anchorId="5DF0CC46" wp14:editId="79D96F25">
            <wp:extent cx="4580255" cy="27432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580255" cy="2743200"/>
                    </a:xfrm>
                    <a:prstGeom prst="rect">
                      <a:avLst/>
                    </a:prstGeom>
                    <a:noFill/>
                    <a:ln>
                      <a:noFill/>
                    </a:ln>
                  </pic:spPr>
                </pic:pic>
              </a:graphicData>
            </a:graphic>
          </wp:inline>
        </w:drawing>
      </w:r>
    </w:p>
    <w:p w:rsidR="00327274" w:rsidRPr="002B7DF9" w:rsidRDefault="00E15F88" w:rsidP="0067433A">
      <w:pPr>
        <w:pStyle w:val="Heading3"/>
      </w:pPr>
      <w:r w:rsidRPr="002B7DF9">
        <w:t xml:space="preserve">Traité de Nairobi concernant la protection du symbole olympique </w:t>
      </w:r>
      <w:r w:rsidR="00327274" w:rsidRPr="002B7DF9">
        <w:t>(1981)</w:t>
      </w:r>
    </w:p>
    <w:p w:rsidR="009709AC" w:rsidRPr="002B7DF9" w:rsidRDefault="009709AC" w:rsidP="009709AC">
      <w:pPr>
        <w:keepNext/>
        <w:rPr>
          <w:lang w:val="fr-FR"/>
        </w:rPr>
      </w:pPr>
    </w:p>
    <w:p w:rsidR="00C530CB" w:rsidRPr="002B7DF9" w:rsidRDefault="002750EB" w:rsidP="009709AC">
      <w:pPr>
        <w:pStyle w:val="ONUMFS"/>
        <w:numPr>
          <w:ilvl w:val="0"/>
          <w:numId w:val="0"/>
        </w:numPr>
        <w:rPr>
          <w:lang w:val="fr-FR"/>
        </w:rPr>
      </w:pPr>
      <w:r w:rsidRPr="002750EB">
        <w:rPr>
          <w:noProof/>
          <w:lang w:eastAsia="en-US"/>
        </w:rPr>
        <w:drawing>
          <wp:inline distT="0" distB="0" distL="0" distR="0" wp14:anchorId="2589D6DA" wp14:editId="34043F24">
            <wp:extent cx="4580255" cy="274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580255" cy="2743200"/>
                    </a:xfrm>
                    <a:prstGeom prst="rect">
                      <a:avLst/>
                    </a:prstGeom>
                    <a:noFill/>
                    <a:ln>
                      <a:noFill/>
                    </a:ln>
                  </pic:spPr>
                </pic:pic>
              </a:graphicData>
            </a:graphic>
          </wp:inline>
        </w:drawing>
      </w:r>
    </w:p>
    <w:p w:rsidR="002F7400" w:rsidRPr="002B7DF9" w:rsidRDefault="00E15F88" w:rsidP="0067433A">
      <w:pPr>
        <w:pStyle w:val="Heading3"/>
      </w:pPr>
      <w:r w:rsidRPr="002B7DF9">
        <w:t xml:space="preserve">Traité sur le droit des marques </w:t>
      </w:r>
      <w:r w:rsidR="002F7400" w:rsidRPr="002B7DF9">
        <w:t>(TLT) (1994)</w:t>
      </w:r>
    </w:p>
    <w:p w:rsidR="009709AC" w:rsidRPr="002B7DF9" w:rsidRDefault="009709AC" w:rsidP="009709AC">
      <w:pPr>
        <w:rPr>
          <w:lang w:val="fr-FR"/>
        </w:rPr>
      </w:pPr>
    </w:p>
    <w:p w:rsidR="00C530CB" w:rsidRPr="002B7DF9" w:rsidRDefault="002750EB" w:rsidP="009709AC">
      <w:pPr>
        <w:pStyle w:val="ONUMFS"/>
        <w:numPr>
          <w:ilvl w:val="0"/>
          <w:numId w:val="0"/>
        </w:numPr>
        <w:rPr>
          <w:lang w:val="fr-FR"/>
        </w:rPr>
      </w:pPr>
      <w:r w:rsidRPr="002750EB">
        <w:rPr>
          <w:noProof/>
          <w:lang w:eastAsia="en-US"/>
        </w:rPr>
        <w:drawing>
          <wp:inline distT="0" distB="0" distL="0" distR="0" wp14:anchorId="21F708AB" wp14:editId="1D1451A1">
            <wp:extent cx="4580255" cy="2743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580255" cy="2743200"/>
                    </a:xfrm>
                    <a:prstGeom prst="rect">
                      <a:avLst/>
                    </a:prstGeom>
                    <a:noFill/>
                    <a:ln>
                      <a:noFill/>
                    </a:ln>
                  </pic:spPr>
                </pic:pic>
              </a:graphicData>
            </a:graphic>
          </wp:inline>
        </w:drawing>
      </w:r>
    </w:p>
    <w:p w:rsidR="002F7400" w:rsidRPr="002B7DF9" w:rsidRDefault="00E15F88" w:rsidP="0067433A">
      <w:pPr>
        <w:pStyle w:val="Heading3"/>
      </w:pPr>
      <w:r w:rsidRPr="002B7DF9">
        <w:t>Traité de l</w:t>
      </w:r>
      <w:r w:rsidR="00A055C6" w:rsidRPr="002B7DF9">
        <w:t>’</w:t>
      </w:r>
      <w:r w:rsidRPr="002B7DF9">
        <w:t>OMPI sur le droit d</w:t>
      </w:r>
      <w:r w:rsidR="00A055C6" w:rsidRPr="002B7DF9">
        <w:t>’</w:t>
      </w:r>
      <w:r w:rsidRPr="002B7DF9">
        <w:t xml:space="preserve">auteur </w:t>
      </w:r>
      <w:r w:rsidR="002F7400" w:rsidRPr="002B7DF9">
        <w:t>(WCT) (1996)</w:t>
      </w:r>
    </w:p>
    <w:p w:rsidR="009709AC" w:rsidRPr="002B7DF9" w:rsidRDefault="009709AC" w:rsidP="009709AC">
      <w:pPr>
        <w:keepNext/>
        <w:rPr>
          <w:lang w:val="fr-FR"/>
        </w:rPr>
      </w:pPr>
    </w:p>
    <w:p w:rsidR="00C530CB" w:rsidRPr="002B7DF9" w:rsidRDefault="002750EB" w:rsidP="009709AC">
      <w:pPr>
        <w:pStyle w:val="ONUMFS"/>
        <w:numPr>
          <w:ilvl w:val="0"/>
          <w:numId w:val="0"/>
        </w:numPr>
        <w:rPr>
          <w:lang w:val="fr-FR"/>
        </w:rPr>
      </w:pPr>
      <w:r w:rsidRPr="002750EB">
        <w:rPr>
          <w:noProof/>
          <w:lang w:eastAsia="en-US"/>
        </w:rPr>
        <w:drawing>
          <wp:inline distT="0" distB="0" distL="0" distR="0" wp14:anchorId="2F8C483C" wp14:editId="33BBE8DC">
            <wp:extent cx="4580255" cy="27432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580255" cy="2743200"/>
                    </a:xfrm>
                    <a:prstGeom prst="rect">
                      <a:avLst/>
                    </a:prstGeom>
                    <a:noFill/>
                    <a:ln>
                      <a:noFill/>
                    </a:ln>
                  </pic:spPr>
                </pic:pic>
              </a:graphicData>
            </a:graphic>
          </wp:inline>
        </w:drawing>
      </w:r>
    </w:p>
    <w:p w:rsidR="002F7400" w:rsidRPr="002B7DF9" w:rsidRDefault="00E15F88" w:rsidP="0067433A">
      <w:pPr>
        <w:pStyle w:val="Heading3"/>
      </w:pPr>
      <w:r w:rsidRPr="002B7DF9">
        <w:t>Traité de l</w:t>
      </w:r>
      <w:r w:rsidR="00A055C6" w:rsidRPr="002B7DF9">
        <w:t>’</w:t>
      </w:r>
      <w:r w:rsidRPr="002B7DF9">
        <w:t xml:space="preserve">OMPI sur les interprétations et exécutions et les phonogrammes </w:t>
      </w:r>
      <w:r w:rsidR="002F7400" w:rsidRPr="002B7DF9">
        <w:t>(WPPT) (1996)</w:t>
      </w:r>
    </w:p>
    <w:p w:rsidR="003C763F" w:rsidRPr="002B7DF9" w:rsidRDefault="003C763F" w:rsidP="003C763F">
      <w:pPr>
        <w:keepNext/>
        <w:rPr>
          <w:lang w:val="fr-FR"/>
        </w:rPr>
      </w:pPr>
    </w:p>
    <w:p w:rsidR="00C530CB" w:rsidRPr="002B7DF9" w:rsidRDefault="002750EB" w:rsidP="003C763F">
      <w:pPr>
        <w:pStyle w:val="ONUMFS"/>
        <w:numPr>
          <w:ilvl w:val="0"/>
          <w:numId w:val="0"/>
        </w:numPr>
        <w:rPr>
          <w:lang w:val="fr-FR"/>
        </w:rPr>
      </w:pPr>
      <w:r w:rsidRPr="002750EB">
        <w:rPr>
          <w:noProof/>
          <w:lang w:eastAsia="en-US"/>
        </w:rPr>
        <w:drawing>
          <wp:inline distT="0" distB="0" distL="0" distR="0" wp14:anchorId="4AE10934" wp14:editId="362ADC18">
            <wp:extent cx="4580255" cy="2743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580255" cy="2743200"/>
                    </a:xfrm>
                    <a:prstGeom prst="rect">
                      <a:avLst/>
                    </a:prstGeom>
                    <a:noFill/>
                    <a:ln>
                      <a:noFill/>
                    </a:ln>
                  </pic:spPr>
                </pic:pic>
              </a:graphicData>
            </a:graphic>
          </wp:inline>
        </w:drawing>
      </w:r>
    </w:p>
    <w:p w:rsidR="00024702" w:rsidRPr="002B7DF9" w:rsidRDefault="006C5EFB" w:rsidP="0067433A">
      <w:pPr>
        <w:pStyle w:val="Heading3"/>
      </w:pPr>
      <w:r w:rsidRPr="002B7DF9">
        <w:t xml:space="preserve">Traité sur le droit des brevets </w:t>
      </w:r>
      <w:r w:rsidR="00024702" w:rsidRPr="002B7DF9">
        <w:t>(PLT) (2000)</w:t>
      </w:r>
    </w:p>
    <w:p w:rsidR="003C763F" w:rsidRPr="002B7DF9" w:rsidRDefault="003C763F" w:rsidP="003C763F">
      <w:pPr>
        <w:keepNext/>
        <w:rPr>
          <w:lang w:val="fr-FR"/>
        </w:rPr>
      </w:pPr>
    </w:p>
    <w:p w:rsidR="004B5C37" w:rsidRPr="002B7DF9" w:rsidRDefault="002750EB" w:rsidP="003C763F">
      <w:pPr>
        <w:pStyle w:val="ONUMFS"/>
        <w:numPr>
          <w:ilvl w:val="0"/>
          <w:numId w:val="0"/>
        </w:numPr>
        <w:rPr>
          <w:lang w:val="fr-FR"/>
        </w:rPr>
      </w:pPr>
      <w:r w:rsidRPr="002750EB">
        <w:rPr>
          <w:noProof/>
          <w:lang w:eastAsia="en-US"/>
        </w:rPr>
        <w:drawing>
          <wp:inline distT="0" distB="0" distL="0" distR="0" wp14:anchorId="254A5425" wp14:editId="2F8AD799">
            <wp:extent cx="4580255" cy="2743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580255" cy="2743200"/>
                    </a:xfrm>
                    <a:prstGeom prst="rect">
                      <a:avLst/>
                    </a:prstGeom>
                    <a:noFill/>
                    <a:ln>
                      <a:noFill/>
                    </a:ln>
                  </pic:spPr>
                </pic:pic>
              </a:graphicData>
            </a:graphic>
          </wp:inline>
        </w:drawing>
      </w:r>
    </w:p>
    <w:p w:rsidR="00024702" w:rsidRPr="002B7DF9" w:rsidRDefault="006C5EFB" w:rsidP="0067433A">
      <w:pPr>
        <w:pStyle w:val="Heading3"/>
      </w:pPr>
      <w:r w:rsidRPr="002B7DF9">
        <w:t xml:space="preserve">Traité de Singapour sur le droit des marques </w:t>
      </w:r>
      <w:r w:rsidR="00024702" w:rsidRPr="002B7DF9">
        <w:t>(2006)</w:t>
      </w:r>
    </w:p>
    <w:p w:rsidR="003C763F" w:rsidRPr="002B7DF9" w:rsidRDefault="003C763F" w:rsidP="003C763F">
      <w:pPr>
        <w:rPr>
          <w:lang w:val="fr-FR"/>
        </w:rPr>
      </w:pPr>
    </w:p>
    <w:p w:rsidR="004B5C37" w:rsidRPr="002B7DF9" w:rsidRDefault="002750EB" w:rsidP="003C763F">
      <w:pPr>
        <w:pStyle w:val="ONUMFS"/>
        <w:numPr>
          <w:ilvl w:val="0"/>
          <w:numId w:val="0"/>
        </w:numPr>
        <w:rPr>
          <w:lang w:val="fr-FR"/>
        </w:rPr>
      </w:pPr>
      <w:r w:rsidRPr="002750EB">
        <w:rPr>
          <w:noProof/>
          <w:lang w:eastAsia="en-US"/>
        </w:rPr>
        <w:drawing>
          <wp:inline distT="0" distB="0" distL="0" distR="0" wp14:anchorId="7C7DDF58" wp14:editId="03EE4036">
            <wp:extent cx="4580255" cy="27432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580255" cy="2743200"/>
                    </a:xfrm>
                    <a:prstGeom prst="rect">
                      <a:avLst/>
                    </a:prstGeom>
                    <a:noFill/>
                    <a:ln>
                      <a:noFill/>
                    </a:ln>
                  </pic:spPr>
                </pic:pic>
              </a:graphicData>
            </a:graphic>
          </wp:inline>
        </w:drawing>
      </w:r>
    </w:p>
    <w:p w:rsidR="008F3DCC" w:rsidRPr="002B7DF9" w:rsidRDefault="006C5EFB" w:rsidP="0067433A">
      <w:pPr>
        <w:pStyle w:val="Heading3"/>
      </w:pPr>
      <w:r w:rsidRPr="002B7DF9">
        <w:t>Traité de Marrakech visant à faciliter l</w:t>
      </w:r>
      <w:r w:rsidR="00A055C6" w:rsidRPr="002B7DF9">
        <w:t>’</w:t>
      </w:r>
      <w:r w:rsidRPr="002B7DF9">
        <w:t>accès des aveugles, des déficients visuels et des personnes ayant d</w:t>
      </w:r>
      <w:r w:rsidR="00A055C6" w:rsidRPr="002B7DF9">
        <w:t>’</w:t>
      </w:r>
      <w:r w:rsidRPr="002B7DF9">
        <w:t xml:space="preserve">autres difficultés de lecture des textes imprimés aux œuvres publiées </w:t>
      </w:r>
      <w:r w:rsidR="008F3DCC" w:rsidRPr="002B7DF9">
        <w:t>(2013)</w:t>
      </w:r>
    </w:p>
    <w:p w:rsidR="003C763F" w:rsidRPr="002B7DF9" w:rsidRDefault="003C763F" w:rsidP="003C763F">
      <w:pPr>
        <w:keepNext/>
        <w:rPr>
          <w:lang w:val="fr-FR"/>
        </w:rPr>
      </w:pPr>
    </w:p>
    <w:p w:rsidR="00254468" w:rsidRPr="002B7DF9" w:rsidRDefault="002750EB" w:rsidP="003C763F">
      <w:pPr>
        <w:pStyle w:val="ONUMFS"/>
        <w:numPr>
          <w:ilvl w:val="0"/>
          <w:numId w:val="0"/>
        </w:numPr>
        <w:rPr>
          <w:lang w:val="fr-FR"/>
        </w:rPr>
      </w:pPr>
      <w:r w:rsidRPr="002750EB">
        <w:rPr>
          <w:noProof/>
          <w:lang w:eastAsia="en-US"/>
        </w:rPr>
        <w:drawing>
          <wp:inline distT="0" distB="0" distL="0" distR="0" wp14:anchorId="66221A3A" wp14:editId="45550F44">
            <wp:extent cx="4580255" cy="27432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580255" cy="2743200"/>
                    </a:xfrm>
                    <a:prstGeom prst="rect">
                      <a:avLst/>
                    </a:prstGeom>
                    <a:noFill/>
                    <a:ln>
                      <a:noFill/>
                    </a:ln>
                  </pic:spPr>
                </pic:pic>
              </a:graphicData>
            </a:graphic>
          </wp:inline>
        </w:drawing>
      </w:r>
    </w:p>
    <w:p w:rsidR="008F3DCC" w:rsidRPr="002B7DF9" w:rsidRDefault="006C5EFB" w:rsidP="0067433A">
      <w:pPr>
        <w:pStyle w:val="Heading3"/>
      </w:pPr>
      <w:r w:rsidRPr="002B7DF9">
        <w:t xml:space="preserve">Traité de Beijing sur les interprétations et exécutions audiovisuelles </w:t>
      </w:r>
      <w:r w:rsidR="008F3DCC" w:rsidRPr="002B7DF9">
        <w:t>(2012)</w:t>
      </w:r>
      <w:r w:rsidR="003C763F" w:rsidRPr="002B7DF9">
        <w:br/>
      </w:r>
      <w:r w:rsidR="008F3DCC" w:rsidRPr="002B7DF9">
        <w:t>(</w:t>
      </w:r>
      <w:r w:rsidRPr="002B7DF9">
        <w:t>Pas encore en vigueur.  Le traité entrera en vigueur après que 30</w:t>
      </w:r>
      <w:r w:rsidR="002B7DF9" w:rsidRPr="002B7DF9">
        <w:t> </w:t>
      </w:r>
      <w:r w:rsidRPr="002B7DF9">
        <w:t>parties remplissant les conditions requises auront déposé leur instrument de ratification ou d</w:t>
      </w:r>
      <w:r w:rsidR="00A055C6" w:rsidRPr="002B7DF9">
        <w:t>’</w:t>
      </w:r>
      <w:r w:rsidRPr="002B7DF9">
        <w:t>adhésion</w:t>
      </w:r>
      <w:r w:rsidR="003C763F" w:rsidRPr="002B7DF9">
        <w:t>.</w:t>
      </w:r>
      <w:r w:rsidR="008F3DCC" w:rsidRPr="002B7DF9">
        <w:t>)</w:t>
      </w:r>
    </w:p>
    <w:p w:rsidR="003C763F" w:rsidRPr="002B7DF9" w:rsidRDefault="003C763F" w:rsidP="003C763F">
      <w:pPr>
        <w:rPr>
          <w:lang w:val="fr-FR"/>
        </w:rPr>
      </w:pPr>
    </w:p>
    <w:p w:rsidR="00152C9A" w:rsidRPr="002B7DF9" w:rsidRDefault="002750EB" w:rsidP="003C763F">
      <w:pPr>
        <w:pStyle w:val="ONUMFS"/>
        <w:numPr>
          <w:ilvl w:val="0"/>
          <w:numId w:val="0"/>
        </w:numPr>
        <w:rPr>
          <w:lang w:val="fr-FR"/>
        </w:rPr>
      </w:pPr>
      <w:r w:rsidRPr="002750EB">
        <w:rPr>
          <w:noProof/>
          <w:lang w:eastAsia="en-US"/>
        </w:rPr>
        <w:drawing>
          <wp:inline distT="0" distB="0" distL="0" distR="0" wp14:anchorId="6B3788A1" wp14:editId="4C817C07">
            <wp:extent cx="4580255" cy="27432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580255" cy="2743200"/>
                    </a:xfrm>
                    <a:prstGeom prst="rect">
                      <a:avLst/>
                    </a:prstGeom>
                    <a:noFill/>
                    <a:ln>
                      <a:noFill/>
                    </a:ln>
                  </pic:spPr>
                </pic:pic>
              </a:graphicData>
            </a:graphic>
          </wp:inline>
        </w:drawing>
      </w:r>
    </w:p>
    <w:p w:rsidR="003E78E7" w:rsidRPr="002B7DF9" w:rsidRDefault="005B620D" w:rsidP="003C763F">
      <w:pPr>
        <w:pStyle w:val="Heading2"/>
        <w:rPr>
          <w:lang w:val="fr-FR"/>
        </w:rPr>
      </w:pPr>
      <w:r w:rsidRPr="002B7DF9">
        <w:rPr>
          <w:lang w:val="fr-FR"/>
        </w:rPr>
        <w:t>II.</w:t>
      </w:r>
      <w:r w:rsidRPr="002B7DF9">
        <w:rPr>
          <w:lang w:val="fr-FR"/>
        </w:rPr>
        <w:tab/>
      </w:r>
      <w:r w:rsidR="003C763F" w:rsidRPr="002B7DF9">
        <w:rPr>
          <w:lang w:val="fr-FR"/>
        </w:rPr>
        <w:t>Réforme statutaire</w:t>
      </w:r>
    </w:p>
    <w:p w:rsidR="003C763F" w:rsidRPr="002B7DF9" w:rsidRDefault="003C763F" w:rsidP="003C763F">
      <w:pPr>
        <w:rPr>
          <w:lang w:val="fr-FR"/>
        </w:rPr>
      </w:pPr>
    </w:p>
    <w:p w:rsidR="0067433A" w:rsidRPr="002B7DF9" w:rsidRDefault="0067433A" w:rsidP="0067433A">
      <w:pPr>
        <w:pStyle w:val="Heading3"/>
      </w:pPr>
      <w:r w:rsidRPr="002B7DF9">
        <w:t>Pour donner suite à la demande formulée par le Comité du programme et budget (PBC) lors des délibérations sur les questions relatives à la gouvernance, le Secrétariat a présenté un exposé sur le processus de réforme statutaire à la vingt</w:t>
      </w:r>
      <w:r>
        <w:noBreakHyphen/>
      </w:r>
      <w:r w:rsidRPr="002B7DF9">
        <w:t>sixième session du PBC tenue du 10 au 14 juillet 2017 (voir le document WO/PBC/26/8).</w:t>
      </w:r>
    </w:p>
    <w:p w:rsidR="00A055C6" w:rsidRPr="002B7DF9" w:rsidRDefault="00A055C6" w:rsidP="003C763F">
      <w:pPr>
        <w:pStyle w:val="ONUMFS"/>
        <w:numPr>
          <w:ilvl w:val="0"/>
          <w:numId w:val="0"/>
        </w:numPr>
        <w:rPr>
          <w:lang w:val="fr-FR"/>
        </w:rPr>
      </w:pPr>
    </w:p>
    <w:p w:rsidR="00D3635C" w:rsidRPr="002B7DF9" w:rsidRDefault="00935F58" w:rsidP="003C763F">
      <w:pPr>
        <w:pStyle w:val="ONUMFS"/>
        <w:numPr>
          <w:ilvl w:val="0"/>
          <w:numId w:val="0"/>
        </w:numPr>
        <w:rPr>
          <w:lang w:val="fr-FR"/>
        </w:rPr>
      </w:pPr>
      <w:r w:rsidRPr="002B7DF9">
        <w:rPr>
          <w:lang w:val="fr-FR"/>
        </w:rPr>
        <w:t xml:space="preserve">À la suite de cet exposé, le Secrétariat, à la demande du </w:t>
      </w:r>
      <w:r w:rsidR="00591B88" w:rsidRPr="002B7DF9">
        <w:rPr>
          <w:lang w:val="fr-FR"/>
        </w:rPr>
        <w:t>comité</w:t>
      </w:r>
      <w:r w:rsidRPr="002B7DF9">
        <w:rPr>
          <w:lang w:val="fr-FR"/>
        </w:rPr>
        <w:t xml:space="preserve">, a </w:t>
      </w:r>
      <w:r w:rsidR="00591B88" w:rsidRPr="002B7DF9">
        <w:rPr>
          <w:lang w:val="fr-FR"/>
        </w:rPr>
        <w:t>rendu compte à la vingt</w:t>
      </w:r>
      <w:r w:rsidR="003A7647">
        <w:rPr>
          <w:lang w:val="fr-FR"/>
        </w:rPr>
        <w:noBreakHyphen/>
      </w:r>
      <w:r w:rsidR="00591B88" w:rsidRPr="002B7DF9">
        <w:rPr>
          <w:lang w:val="fr-FR"/>
        </w:rPr>
        <w:t>huit</w:t>
      </w:r>
      <w:r w:rsidR="00A055C6" w:rsidRPr="002B7DF9">
        <w:rPr>
          <w:lang w:val="fr-FR"/>
        </w:rPr>
        <w:t>ième session</w:t>
      </w:r>
      <w:r w:rsidR="00591B88" w:rsidRPr="002B7DF9">
        <w:rPr>
          <w:lang w:val="fr-FR"/>
        </w:rPr>
        <w:t xml:space="preserve"> du PBC de l</w:t>
      </w:r>
      <w:r w:rsidR="00A055C6" w:rsidRPr="002B7DF9">
        <w:rPr>
          <w:lang w:val="fr-FR"/>
        </w:rPr>
        <w:t>’</w:t>
      </w:r>
      <w:r w:rsidR="00591B88" w:rsidRPr="002B7DF9">
        <w:rPr>
          <w:lang w:val="fr-FR"/>
        </w:rPr>
        <w:t>état d</w:t>
      </w:r>
      <w:r w:rsidR="00A055C6" w:rsidRPr="002B7DF9">
        <w:rPr>
          <w:lang w:val="fr-FR"/>
        </w:rPr>
        <w:t>’</w:t>
      </w:r>
      <w:r w:rsidR="00591B88" w:rsidRPr="002B7DF9">
        <w:rPr>
          <w:lang w:val="fr-FR"/>
        </w:rPr>
        <w:t xml:space="preserve">avancement de la mise en œuvre des modifications de </w:t>
      </w:r>
      <w:r w:rsidR="00D3635C" w:rsidRPr="002B7DF9">
        <w:rPr>
          <w:lang w:val="fr-FR"/>
        </w:rPr>
        <w:t xml:space="preserve">1999 </w:t>
      </w:r>
      <w:r w:rsidR="00591B88" w:rsidRPr="002B7DF9">
        <w:rPr>
          <w:lang w:val="fr-FR"/>
        </w:rPr>
        <w:t>et de</w:t>
      </w:r>
      <w:r w:rsidR="00D3635C" w:rsidRPr="002B7DF9">
        <w:rPr>
          <w:lang w:val="fr-FR"/>
        </w:rPr>
        <w:t xml:space="preserve"> 2003 </w:t>
      </w:r>
      <w:r w:rsidR="00591B88" w:rsidRPr="002B7DF9">
        <w:rPr>
          <w:lang w:val="fr-FR"/>
        </w:rPr>
        <w:t xml:space="preserve">(voir le </w:t>
      </w:r>
      <w:r w:rsidR="00D3635C" w:rsidRPr="002B7DF9">
        <w:rPr>
          <w:lang w:val="fr-FR"/>
        </w:rPr>
        <w:t>document WO/PBC/28/12)</w:t>
      </w:r>
      <w:r w:rsidR="00591B88" w:rsidRPr="002B7DF9">
        <w:rPr>
          <w:lang w:val="fr-FR"/>
        </w:rPr>
        <w:t xml:space="preserve"> et en fera autant à sa trent</w:t>
      </w:r>
      <w:r w:rsidR="00A055C6" w:rsidRPr="002B7DF9">
        <w:rPr>
          <w:lang w:val="fr-FR"/>
        </w:rPr>
        <w:t>ième session</w:t>
      </w:r>
      <w:r w:rsidR="001C1AEF" w:rsidRPr="002B7DF9">
        <w:rPr>
          <w:lang w:val="fr-FR"/>
        </w:rPr>
        <w:t>,</w:t>
      </w:r>
      <w:r w:rsidR="0040165C" w:rsidRPr="002B7DF9">
        <w:rPr>
          <w:lang w:val="fr-FR"/>
        </w:rPr>
        <w:t xml:space="preserve"> </w:t>
      </w:r>
      <w:r w:rsidR="00591B88" w:rsidRPr="002B7DF9">
        <w:rPr>
          <w:lang w:val="fr-FR"/>
        </w:rPr>
        <w:t>en septembre </w:t>
      </w:r>
      <w:r w:rsidR="0040165C" w:rsidRPr="002B7DF9">
        <w:rPr>
          <w:lang w:val="fr-FR"/>
        </w:rPr>
        <w:t>2019.</w:t>
      </w:r>
    </w:p>
    <w:p w:rsidR="0067433A" w:rsidRPr="0067433A" w:rsidRDefault="0067433A" w:rsidP="0067433A">
      <w:pPr>
        <w:pStyle w:val="Heading3"/>
      </w:pPr>
      <w:r w:rsidRPr="0067433A">
        <w:t>Il convient de rappeler que la modification apportée en 1999 à la Convention instituant l’OMPI limiterait le nombre de mandats qu’un Directeur général pourrait accomplir à deux périodes déterminées de six années chacune.  Les modifications apportées en 2003 à la Convention instituant l’OMPI et à d’autres traités administrés par l’OMPI visaient à : i) dissoudre la Conférence de l’OMPI;  ii) officialiser le système de contribution unique et les changements apportés aux classes de contribution qui étaient appliqués dans la pratique depuis 1994;  et iii) établir des sessions ordinaires annuelles (plutôt que bisannuelles) de l’Assemblée générale de l’OMPI et des autres assemblées des unions administrées par l’OMPI.  À ce jour, aucune de ces modifications n’est entrée en vigueur du fait que le Directeur général n’a pas encore reçu le nombre de notifications d’acceptation des modifications requis de la part des États membres de l’OMPI.  Dès lors, il existe un écart entre le fonctionnement de l’OMPI et sa structure statutaire.</w:t>
      </w:r>
    </w:p>
    <w:p w:rsidR="0067433A" w:rsidRPr="002B7DF9" w:rsidRDefault="0067433A" w:rsidP="0067433A">
      <w:pPr>
        <w:pStyle w:val="Heading3"/>
      </w:pPr>
      <w:r w:rsidRPr="002B7DF9">
        <w:t>Les États membres sont respectueusement invités à remettre leurs instruments d’acceptation des modifications des traités de l’OMPI.  Ils combleraient ainsi l’écart susmentionné et mèneraient à son terme un processus de rationalisation de la structure de gouvernance de l’Organisation.</w:t>
      </w:r>
    </w:p>
    <w:p w:rsidR="003C763F" w:rsidRPr="002B7DF9" w:rsidRDefault="003C763F">
      <w:pPr>
        <w:pStyle w:val="Endofdocument-Annex"/>
        <w:rPr>
          <w:lang w:val="fr-FR"/>
        </w:rPr>
      </w:pPr>
      <w:r w:rsidRPr="002B7DF9">
        <w:rPr>
          <w:lang w:val="fr-FR"/>
        </w:rPr>
        <w:t>[Fin du document]</w:t>
      </w:r>
    </w:p>
    <w:sectPr w:rsidR="003C763F" w:rsidRPr="002B7DF9" w:rsidSect="005318E7">
      <w:headerReference w:type="default" r:id="rId3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730A" w:rsidRDefault="0044730A">
      <w:r>
        <w:separator/>
      </w:r>
    </w:p>
  </w:endnote>
  <w:endnote w:type="continuationSeparator" w:id="0">
    <w:p w:rsidR="0044730A" w:rsidRDefault="0044730A" w:rsidP="003B38C1">
      <w:r>
        <w:separator/>
      </w:r>
    </w:p>
    <w:p w:rsidR="0044730A" w:rsidRPr="003B38C1" w:rsidRDefault="0044730A" w:rsidP="003B38C1">
      <w:pPr>
        <w:spacing w:after="60"/>
        <w:rPr>
          <w:sz w:val="17"/>
        </w:rPr>
      </w:pPr>
      <w:r>
        <w:rPr>
          <w:sz w:val="17"/>
        </w:rPr>
        <w:t>[Endnote continued from previous page]</w:t>
      </w:r>
    </w:p>
  </w:endnote>
  <w:endnote w:type="continuationNotice" w:id="1">
    <w:p w:rsidR="0044730A" w:rsidRPr="003B38C1" w:rsidRDefault="0044730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730A" w:rsidRDefault="0044730A">
      <w:r>
        <w:separator/>
      </w:r>
    </w:p>
  </w:footnote>
  <w:footnote w:type="continuationSeparator" w:id="0">
    <w:p w:rsidR="0044730A" w:rsidRDefault="0044730A" w:rsidP="008B60B2">
      <w:r>
        <w:separator/>
      </w:r>
    </w:p>
    <w:p w:rsidR="0044730A" w:rsidRPr="00ED77FB" w:rsidRDefault="0044730A" w:rsidP="008B60B2">
      <w:pPr>
        <w:spacing w:after="60"/>
        <w:rPr>
          <w:sz w:val="17"/>
          <w:szCs w:val="17"/>
        </w:rPr>
      </w:pPr>
      <w:r w:rsidRPr="00ED77FB">
        <w:rPr>
          <w:sz w:val="17"/>
          <w:szCs w:val="17"/>
        </w:rPr>
        <w:t>[Footnote continued from previous page]</w:t>
      </w:r>
    </w:p>
  </w:footnote>
  <w:footnote w:type="continuationNotice" w:id="1">
    <w:p w:rsidR="0044730A" w:rsidRPr="00ED77FB" w:rsidRDefault="0044730A" w:rsidP="008B60B2">
      <w:pPr>
        <w:spacing w:before="60"/>
        <w:jc w:val="right"/>
        <w:rPr>
          <w:sz w:val="17"/>
          <w:szCs w:val="17"/>
        </w:rPr>
      </w:pPr>
      <w:r w:rsidRPr="00ED77FB">
        <w:rPr>
          <w:sz w:val="17"/>
          <w:szCs w:val="17"/>
        </w:rPr>
        <w:t>[Footnote continued on next page]</w:t>
      </w:r>
    </w:p>
  </w:footnote>
  <w:footnote w:id="2">
    <w:p w:rsidR="00554CAF" w:rsidRPr="00A17D97" w:rsidRDefault="00554CAF" w:rsidP="00D17B3B">
      <w:pPr>
        <w:pStyle w:val="FootnoteText"/>
        <w:rPr>
          <w:lang w:val="fr-FR"/>
        </w:rPr>
      </w:pPr>
      <w:r>
        <w:rPr>
          <w:rStyle w:val="FootnoteReference"/>
        </w:rPr>
        <w:footnoteRef/>
      </w:r>
      <w:r>
        <w:t xml:space="preserve"> </w:t>
      </w:r>
      <w:r w:rsidR="00D17B3B">
        <w:tab/>
      </w:r>
      <w:r w:rsidR="00A17D97" w:rsidRPr="00A17D97">
        <w:rPr>
          <w:lang w:val="fr-FR"/>
        </w:rPr>
        <w:t>Aux fins d</w:t>
      </w:r>
      <w:r w:rsidR="00A17D97">
        <w:rPr>
          <w:lang w:val="fr-FR"/>
        </w:rPr>
        <w:t>e la</w:t>
      </w:r>
      <w:r w:rsidR="00A17D97" w:rsidRPr="00A17D97">
        <w:rPr>
          <w:lang w:val="fr-FR"/>
        </w:rPr>
        <w:t xml:space="preserve"> pr</w:t>
      </w:r>
      <w:r w:rsidR="00A17D97">
        <w:rPr>
          <w:lang w:val="fr-FR"/>
        </w:rPr>
        <w:t>é</w:t>
      </w:r>
      <w:r w:rsidR="00A17D97" w:rsidRPr="00A17D97">
        <w:rPr>
          <w:lang w:val="fr-FR"/>
        </w:rPr>
        <w:t>sent</w:t>
      </w:r>
      <w:r w:rsidR="00A17D97">
        <w:rPr>
          <w:lang w:val="fr-FR"/>
        </w:rPr>
        <w:t xml:space="preserve">e mise à jour, </w:t>
      </w:r>
      <w:r w:rsidR="00CE05E1">
        <w:rPr>
          <w:lang w:val="fr-FR"/>
        </w:rPr>
        <w:t xml:space="preserve">les traités concernés sont </w:t>
      </w:r>
      <w:r w:rsidR="00CE05E1" w:rsidRPr="00CE05E1">
        <w:rPr>
          <w:lang w:val="fr-FR"/>
        </w:rPr>
        <w:t xml:space="preserve">la Convention de Paris pour la protection de la propriété industrielle, la Convention de Berne pour la protection des </w:t>
      </w:r>
      <w:r w:rsidR="00CE05E1">
        <w:rPr>
          <w:lang w:val="fr-FR"/>
        </w:rPr>
        <w:t>œ</w:t>
      </w:r>
      <w:r w:rsidR="00CE05E1" w:rsidRPr="00CE05E1">
        <w:rPr>
          <w:lang w:val="fr-FR"/>
        </w:rPr>
        <w:t>uvres littéraires et artistiques, l</w:t>
      </w:r>
      <w:r w:rsidR="00FB424C">
        <w:rPr>
          <w:lang w:val="fr-FR"/>
        </w:rPr>
        <w:t>’</w:t>
      </w:r>
      <w:r w:rsidR="00CE05E1" w:rsidRPr="00CE05E1">
        <w:rPr>
          <w:lang w:val="fr-FR"/>
        </w:rPr>
        <w:t>Arrangement de Nice concernant la classification internationale des produits et des services aux fins de l</w:t>
      </w:r>
      <w:r w:rsidR="00FB424C">
        <w:rPr>
          <w:lang w:val="fr-FR"/>
        </w:rPr>
        <w:t>’</w:t>
      </w:r>
      <w:r w:rsidR="00CE05E1" w:rsidRPr="00CE05E1">
        <w:rPr>
          <w:lang w:val="fr-FR"/>
        </w:rPr>
        <w:t>enregistrement des marques et l</w:t>
      </w:r>
      <w:r w:rsidR="00FB424C">
        <w:rPr>
          <w:lang w:val="fr-FR"/>
        </w:rPr>
        <w:t>’</w:t>
      </w:r>
      <w:r w:rsidR="00CE05E1" w:rsidRPr="00CE05E1">
        <w:rPr>
          <w:lang w:val="fr-FR"/>
        </w:rPr>
        <w:t>Arrangement de Lisbonne concernant la protection des appellations d</w:t>
      </w:r>
      <w:r w:rsidR="00FB424C">
        <w:rPr>
          <w:lang w:val="fr-FR"/>
        </w:rPr>
        <w:t>’</w:t>
      </w:r>
      <w:r w:rsidR="00CE05E1" w:rsidRPr="00CE05E1">
        <w:rPr>
          <w:lang w:val="fr-FR"/>
        </w:rPr>
        <w:t>origine et leur enregistrement international, pour ce qui concerne l</w:t>
      </w:r>
      <w:r w:rsidR="00FB424C">
        <w:rPr>
          <w:lang w:val="fr-FR"/>
        </w:rPr>
        <w:t>’</w:t>
      </w:r>
      <w:r w:rsidR="00CE05E1" w:rsidRPr="00CE05E1">
        <w:rPr>
          <w:lang w:val="fr-FR"/>
        </w:rPr>
        <w:t>Acte de Stockholm de 1967 dudit Arrangement</w:t>
      </w:r>
      <w:r w:rsidRPr="00A17D97">
        <w:rPr>
          <w:lang w:val="fr-FR"/>
        </w:rPr>
        <w:t>.</w:t>
      </w:r>
    </w:p>
  </w:footnote>
  <w:footnote w:id="3">
    <w:p w:rsidR="00554CAF" w:rsidRPr="00A17D97" w:rsidRDefault="00554CAF" w:rsidP="00D17B3B">
      <w:pPr>
        <w:pStyle w:val="FootnoteText"/>
        <w:rPr>
          <w:lang w:val="fr-FR"/>
        </w:rPr>
      </w:pPr>
      <w:r w:rsidRPr="00A17D97">
        <w:rPr>
          <w:rStyle w:val="FootnoteReference"/>
          <w:lang w:val="fr-FR"/>
        </w:rPr>
        <w:footnoteRef/>
      </w:r>
      <w:r w:rsidRPr="00A17D97">
        <w:rPr>
          <w:lang w:val="fr-FR"/>
        </w:rPr>
        <w:t xml:space="preserve"> </w:t>
      </w:r>
      <w:r w:rsidR="00D17B3B">
        <w:rPr>
          <w:lang w:val="fr-FR"/>
        </w:rPr>
        <w:tab/>
      </w:r>
      <w:r w:rsidR="00CE05E1">
        <w:rPr>
          <w:lang w:val="fr-FR"/>
        </w:rPr>
        <w:t>Voir la deuxième partie consacrée à la réforme statutaire</w:t>
      </w:r>
      <w:r w:rsidR="00B35AD0" w:rsidRPr="00A17D97">
        <w:rPr>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030" w:rsidRDefault="005318E7" w:rsidP="00477D6B">
    <w:pPr>
      <w:jc w:val="right"/>
    </w:pPr>
    <w:bookmarkStart w:id="6" w:name="Code2"/>
    <w:bookmarkEnd w:id="6"/>
    <w:r>
      <w:t>A/58/INF/4</w:t>
    </w:r>
  </w:p>
  <w:p w:rsidR="00EC4E49" w:rsidRDefault="00EC4E49" w:rsidP="00705619">
    <w:pPr>
      <w:spacing w:after="360"/>
      <w:jc w:val="right"/>
    </w:pPr>
    <w:r>
      <w:t xml:space="preserve">page </w:t>
    </w:r>
    <w:r>
      <w:fldChar w:fldCharType="begin"/>
    </w:r>
    <w:r>
      <w:instrText xml:space="preserve"> PAGE  \* MERGEFORMAT </w:instrText>
    </w:r>
    <w:r>
      <w:fldChar w:fldCharType="separate"/>
    </w:r>
    <w:r w:rsidR="0067433A">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27E1E1C"/>
    <w:multiLevelType w:val="hybridMultilevel"/>
    <w:tmpl w:val="A8705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04AC8"/>
    <w:multiLevelType w:val="hybridMultilevel"/>
    <w:tmpl w:val="190EA238"/>
    <w:lvl w:ilvl="0" w:tplc="B55C03A2">
      <w:start w:val="1"/>
      <w:numFmt w:val="decimal"/>
      <w:pStyle w:val="Heading5"/>
      <w:lvlText w:val="%1."/>
      <w:lvlJc w:val="left"/>
      <w:pPr>
        <w:ind w:left="36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ECF1D22"/>
    <w:multiLevelType w:val="hybridMultilevel"/>
    <w:tmpl w:val="BC941FDA"/>
    <w:lvl w:ilvl="0" w:tplc="AD1CA600">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7"/>
  </w:num>
  <w:num w:numId="5">
    <w:abstractNumId w:val="1"/>
  </w:num>
  <w:num w:numId="6">
    <w:abstractNumId w:val="5"/>
  </w:num>
  <w:num w:numId="7">
    <w:abstractNumId w:val="2"/>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8E7"/>
    <w:rsid w:val="00012E4A"/>
    <w:rsid w:val="0001439E"/>
    <w:rsid w:val="00015793"/>
    <w:rsid w:val="00022D47"/>
    <w:rsid w:val="00024702"/>
    <w:rsid w:val="00031FB0"/>
    <w:rsid w:val="00043CAA"/>
    <w:rsid w:val="00075432"/>
    <w:rsid w:val="000765C4"/>
    <w:rsid w:val="0009035C"/>
    <w:rsid w:val="000968ED"/>
    <w:rsid w:val="000B4C5E"/>
    <w:rsid w:val="000C117A"/>
    <w:rsid w:val="000D6065"/>
    <w:rsid w:val="000E6FDE"/>
    <w:rsid w:val="000F2678"/>
    <w:rsid w:val="000F3A8F"/>
    <w:rsid w:val="000F5E56"/>
    <w:rsid w:val="00123717"/>
    <w:rsid w:val="001362EE"/>
    <w:rsid w:val="00152C9A"/>
    <w:rsid w:val="00156693"/>
    <w:rsid w:val="00163798"/>
    <w:rsid w:val="001647D5"/>
    <w:rsid w:val="00180ABB"/>
    <w:rsid w:val="001832A6"/>
    <w:rsid w:val="001A5608"/>
    <w:rsid w:val="001B2C95"/>
    <w:rsid w:val="001B4511"/>
    <w:rsid w:val="001C1AEF"/>
    <w:rsid w:val="001E4E8E"/>
    <w:rsid w:val="001F5DF2"/>
    <w:rsid w:val="002111C2"/>
    <w:rsid w:val="0021217E"/>
    <w:rsid w:val="002142B8"/>
    <w:rsid w:val="00222E48"/>
    <w:rsid w:val="00227FB0"/>
    <w:rsid w:val="00232826"/>
    <w:rsid w:val="00235525"/>
    <w:rsid w:val="00242424"/>
    <w:rsid w:val="002519EE"/>
    <w:rsid w:val="00254468"/>
    <w:rsid w:val="002634C4"/>
    <w:rsid w:val="002750EB"/>
    <w:rsid w:val="002928D3"/>
    <w:rsid w:val="002961C0"/>
    <w:rsid w:val="002B7DF9"/>
    <w:rsid w:val="002D2660"/>
    <w:rsid w:val="002D6674"/>
    <w:rsid w:val="002E3F21"/>
    <w:rsid w:val="002F1FE6"/>
    <w:rsid w:val="002F21F6"/>
    <w:rsid w:val="002F4E68"/>
    <w:rsid w:val="002F6333"/>
    <w:rsid w:val="002F69E2"/>
    <w:rsid w:val="002F7400"/>
    <w:rsid w:val="003061D8"/>
    <w:rsid w:val="00312F7F"/>
    <w:rsid w:val="00316CA8"/>
    <w:rsid w:val="003178BA"/>
    <w:rsid w:val="00327274"/>
    <w:rsid w:val="00350AE2"/>
    <w:rsid w:val="00361450"/>
    <w:rsid w:val="00364735"/>
    <w:rsid w:val="00366B7C"/>
    <w:rsid w:val="003673CF"/>
    <w:rsid w:val="00370B56"/>
    <w:rsid w:val="003845C1"/>
    <w:rsid w:val="0039084E"/>
    <w:rsid w:val="00395980"/>
    <w:rsid w:val="003A11BC"/>
    <w:rsid w:val="003A3295"/>
    <w:rsid w:val="003A6F89"/>
    <w:rsid w:val="003A7647"/>
    <w:rsid w:val="003B38C1"/>
    <w:rsid w:val="003B4557"/>
    <w:rsid w:val="003C763F"/>
    <w:rsid w:val="003D2030"/>
    <w:rsid w:val="003D57B0"/>
    <w:rsid w:val="003E3B23"/>
    <w:rsid w:val="003E78E7"/>
    <w:rsid w:val="0040165C"/>
    <w:rsid w:val="0041298E"/>
    <w:rsid w:val="00423E3E"/>
    <w:rsid w:val="00427AF4"/>
    <w:rsid w:val="00437D8A"/>
    <w:rsid w:val="00443D04"/>
    <w:rsid w:val="0044730A"/>
    <w:rsid w:val="004647DA"/>
    <w:rsid w:val="00474062"/>
    <w:rsid w:val="00477D6B"/>
    <w:rsid w:val="00480E8C"/>
    <w:rsid w:val="004A5865"/>
    <w:rsid w:val="004B5170"/>
    <w:rsid w:val="004B5C37"/>
    <w:rsid w:val="004B64EE"/>
    <w:rsid w:val="004C547D"/>
    <w:rsid w:val="004D675B"/>
    <w:rsid w:val="004E7A3B"/>
    <w:rsid w:val="004F3112"/>
    <w:rsid w:val="005019FF"/>
    <w:rsid w:val="005302CD"/>
    <w:rsid w:val="0053057A"/>
    <w:rsid w:val="005318E7"/>
    <w:rsid w:val="00537A21"/>
    <w:rsid w:val="00546EB5"/>
    <w:rsid w:val="00554CAF"/>
    <w:rsid w:val="00560A29"/>
    <w:rsid w:val="005705F6"/>
    <w:rsid w:val="00591B88"/>
    <w:rsid w:val="005920B9"/>
    <w:rsid w:val="005B2F31"/>
    <w:rsid w:val="005B620D"/>
    <w:rsid w:val="005C6649"/>
    <w:rsid w:val="005D3233"/>
    <w:rsid w:val="005D7AF7"/>
    <w:rsid w:val="005F6C74"/>
    <w:rsid w:val="00605827"/>
    <w:rsid w:val="00606C0B"/>
    <w:rsid w:val="00624172"/>
    <w:rsid w:val="00626802"/>
    <w:rsid w:val="006338C6"/>
    <w:rsid w:val="00646050"/>
    <w:rsid w:val="006713CA"/>
    <w:rsid w:val="0067433A"/>
    <w:rsid w:val="00676C5C"/>
    <w:rsid w:val="00677629"/>
    <w:rsid w:val="0068284B"/>
    <w:rsid w:val="006840B1"/>
    <w:rsid w:val="00684360"/>
    <w:rsid w:val="006B0595"/>
    <w:rsid w:val="006B44CD"/>
    <w:rsid w:val="006C23F0"/>
    <w:rsid w:val="006C5EFB"/>
    <w:rsid w:val="006E0C6C"/>
    <w:rsid w:val="006E4F5F"/>
    <w:rsid w:val="006F272D"/>
    <w:rsid w:val="00705619"/>
    <w:rsid w:val="00720418"/>
    <w:rsid w:val="00732778"/>
    <w:rsid w:val="007432CA"/>
    <w:rsid w:val="00745DD7"/>
    <w:rsid w:val="00761FAA"/>
    <w:rsid w:val="0079138E"/>
    <w:rsid w:val="0079556D"/>
    <w:rsid w:val="00797349"/>
    <w:rsid w:val="007C48A6"/>
    <w:rsid w:val="007D1613"/>
    <w:rsid w:val="007E4C0E"/>
    <w:rsid w:val="00806DD9"/>
    <w:rsid w:val="00856DC7"/>
    <w:rsid w:val="00860537"/>
    <w:rsid w:val="00860AC3"/>
    <w:rsid w:val="00877718"/>
    <w:rsid w:val="008A134B"/>
    <w:rsid w:val="008B2CC1"/>
    <w:rsid w:val="008B60B2"/>
    <w:rsid w:val="008F1780"/>
    <w:rsid w:val="008F3DCC"/>
    <w:rsid w:val="008F76A3"/>
    <w:rsid w:val="0090731E"/>
    <w:rsid w:val="009115F8"/>
    <w:rsid w:val="00916EE2"/>
    <w:rsid w:val="009245C1"/>
    <w:rsid w:val="00935F58"/>
    <w:rsid w:val="009374EA"/>
    <w:rsid w:val="009408EA"/>
    <w:rsid w:val="00955B5C"/>
    <w:rsid w:val="00961F36"/>
    <w:rsid w:val="00965BAA"/>
    <w:rsid w:val="00966A22"/>
    <w:rsid w:val="0096722F"/>
    <w:rsid w:val="009677F0"/>
    <w:rsid w:val="00967B88"/>
    <w:rsid w:val="009709AC"/>
    <w:rsid w:val="0097388A"/>
    <w:rsid w:val="00977700"/>
    <w:rsid w:val="00980843"/>
    <w:rsid w:val="00986FD2"/>
    <w:rsid w:val="009A0C6F"/>
    <w:rsid w:val="009B1D14"/>
    <w:rsid w:val="009C127D"/>
    <w:rsid w:val="009C1DA6"/>
    <w:rsid w:val="009E2791"/>
    <w:rsid w:val="009E3F6F"/>
    <w:rsid w:val="009E49FA"/>
    <w:rsid w:val="009F499F"/>
    <w:rsid w:val="009F5502"/>
    <w:rsid w:val="00A03255"/>
    <w:rsid w:val="00A044A3"/>
    <w:rsid w:val="00A055C6"/>
    <w:rsid w:val="00A17D97"/>
    <w:rsid w:val="00A37342"/>
    <w:rsid w:val="00A42DAF"/>
    <w:rsid w:val="00A45BD8"/>
    <w:rsid w:val="00A51C37"/>
    <w:rsid w:val="00A760DF"/>
    <w:rsid w:val="00A80B7C"/>
    <w:rsid w:val="00A869B7"/>
    <w:rsid w:val="00AA2DD4"/>
    <w:rsid w:val="00AA628B"/>
    <w:rsid w:val="00AA6380"/>
    <w:rsid w:val="00AB70E7"/>
    <w:rsid w:val="00AC1BDE"/>
    <w:rsid w:val="00AC205C"/>
    <w:rsid w:val="00AF0A6B"/>
    <w:rsid w:val="00AF5FA8"/>
    <w:rsid w:val="00B005C4"/>
    <w:rsid w:val="00B05A69"/>
    <w:rsid w:val="00B17292"/>
    <w:rsid w:val="00B21D1F"/>
    <w:rsid w:val="00B2797F"/>
    <w:rsid w:val="00B35AD0"/>
    <w:rsid w:val="00B444C2"/>
    <w:rsid w:val="00B63AD0"/>
    <w:rsid w:val="00B67628"/>
    <w:rsid w:val="00B76794"/>
    <w:rsid w:val="00B94746"/>
    <w:rsid w:val="00B9734B"/>
    <w:rsid w:val="00BA30E2"/>
    <w:rsid w:val="00BB79CC"/>
    <w:rsid w:val="00BC3591"/>
    <w:rsid w:val="00BD5B43"/>
    <w:rsid w:val="00BE068C"/>
    <w:rsid w:val="00C00498"/>
    <w:rsid w:val="00C11BFE"/>
    <w:rsid w:val="00C40548"/>
    <w:rsid w:val="00C452F2"/>
    <w:rsid w:val="00C5068F"/>
    <w:rsid w:val="00C530CB"/>
    <w:rsid w:val="00C825B4"/>
    <w:rsid w:val="00C86D74"/>
    <w:rsid w:val="00CC679D"/>
    <w:rsid w:val="00CD04F1"/>
    <w:rsid w:val="00CD7F59"/>
    <w:rsid w:val="00CE05E1"/>
    <w:rsid w:val="00D009A5"/>
    <w:rsid w:val="00D02693"/>
    <w:rsid w:val="00D02768"/>
    <w:rsid w:val="00D148BC"/>
    <w:rsid w:val="00D17B3B"/>
    <w:rsid w:val="00D2259D"/>
    <w:rsid w:val="00D344CC"/>
    <w:rsid w:val="00D3635C"/>
    <w:rsid w:val="00D40D40"/>
    <w:rsid w:val="00D44A0B"/>
    <w:rsid w:val="00D45252"/>
    <w:rsid w:val="00D54088"/>
    <w:rsid w:val="00D66E37"/>
    <w:rsid w:val="00D71B4D"/>
    <w:rsid w:val="00D93D55"/>
    <w:rsid w:val="00DA1E79"/>
    <w:rsid w:val="00DC0E7C"/>
    <w:rsid w:val="00DC1CD4"/>
    <w:rsid w:val="00DD2F87"/>
    <w:rsid w:val="00DD5B37"/>
    <w:rsid w:val="00DD5FD8"/>
    <w:rsid w:val="00DE02A8"/>
    <w:rsid w:val="00DE2B24"/>
    <w:rsid w:val="00DE77B4"/>
    <w:rsid w:val="00DF023A"/>
    <w:rsid w:val="00DF2DA7"/>
    <w:rsid w:val="00DF383E"/>
    <w:rsid w:val="00E15015"/>
    <w:rsid w:val="00E15F88"/>
    <w:rsid w:val="00E26A7C"/>
    <w:rsid w:val="00E335FE"/>
    <w:rsid w:val="00E351A3"/>
    <w:rsid w:val="00E72EEE"/>
    <w:rsid w:val="00E85557"/>
    <w:rsid w:val="00EA7D6E"/>
    <w:rsid w:val="00EB2210"/>
    <w:rsid w:val="00EC4E49"/>
    <w:rsid w:val="00EC6418"/>
    <w:rsid w:val="00ED45DE"/>
    <w:rsid w:val="00ED77FB"/>
    <w:rsid w:val="00EE45FA"/>
    <w:rsid w:val="00F10419"/>
    <w:rsid w:val="00F2285B"/>
    <w:rsid w:val="00F242C3"/>
    <w:rsid w:val="00F25D01"/>
    <w:rsid w:val="00F66152"/>
    <w:rsid w:val="00F71092"/>
    <w:rsid w:val="00F8330E"/>
    <w:rsid w:val="00F97948"/>
    <w:rsid w:val="00FB424C"/>
    <w:rsid w:val="00FC6627"/>
    <w:rsid w:val="00FD237E"/>
    <w:rsid w:val="00FD741F"/>
    <w:rsid w:val="00FF4F69"/>
    <w:rsid w:val="00FF509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352F3F89-8FE2-480B-B41E-EDB3C79C0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D17B3B"/>
    <w:pPr>
      <w:keepNext/>
      <w:spacing w:after="480"/>
      <w:outlineLvl w:val="0"/>
    </w:pPr>
    <w:rPr>
      <w:b/>
      <w:bCs/>
      <w:caps/>
      <w:kern w:val="32"/>
      <w:sz w:val="28"/>
      <w:szCs w:val="32"/>
      <w:lang w:val="fr-FR"/>
    </w:rPr>
  </w:style>
  <w:style w:type="paragraph" w:styleId="Heading2">
    <w:name w:val="heading 2"/>
    <w:basedOn w:val="Normal"/>
    <w:next w:val="Normal"/>
    <w:autoRedefine/>
    <w:qFormat/>
    <w:rsid w:val="000765C4"/>
    <w:pPr>
      <w:keepNext/>
      <w:spacing w:before="240" w:after="60"/>
      <w:outlineLvl w:val="1"/>
    </w:pPr>
    <w:rPr>
      <w:b/>
      <w:bCs/>
      <w:iCs/>
      <w:caps/>
      <w:szCs w:val="28"/>
    </w:rPr>
  </w:style>
  <w:style w:type="paragraph" w:styleId="Heading3">
    <w:name w:val="heading 3"/>
    <w:basedOn w:val="Heading5"/>
    <w:next w:val="Normal"/>
    <w:autoRedefine/>
    <w:qFormat/>
    <w:rsid w:val="0067433A"/>
    <w:pPr>
      <w:spacing w:after="240"/>
      <w:ind w:left="0" w:firstLine="0"/>
      <w:outlineLvl w:val="2"/>
    </w:pPr>
    <w:rPr>
      <w:i w:val="0"/>
      <w:lang w:val="fr-FR"/>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9709AC"/>
    <w:pPr>
      <w:keepNext/>
      <w:keepLines/>
      <w:numPr>
        <w:numId w:val="9"/>
      </w:numPr>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709AC"/>
    <w:rPr>
      <w:rFonts w:ascii="Arial" w:eastAsiaTheme="majorEastAsia" w:hAnsi="Arial" w:cstheme="majorBidi"/>
      <w:i/>
      <w:sz w:val="22"/>
      <w:lang w:val="en-US" w:eastAsia="zh-CN"/>
    </w:rPr>
  </w:style>
  <w:style w:type="character" w:styleId="FootnoteReference">
    <w:name w:val="footnote reference"/>
    <w:basedOn w:val="DefaultParagraphFont"/>
    <w:rsid w:val="00554CAF"/>
    <w:rPr>
      <w:vertAlign w:val="superscript"/>
    </w:rPr>
  </w:style>
  <w:style w:type="paragraph" w:styleId="BodyTextIndent">
    <w:name w:val="Body Text Indent"/>
    <w:basedOn w:val="Normal"/>
    <w:link w:val="BodyTextIndentChar"/>
    <w:rsid w:val="008F76A3"/>
    <w:pPr>
      <w:ind w:left="567"/>
    </w:pPr>
    <w:rPr>
      <w:rFonts w:ascii="Times New Roman" w:eastAsia="Times New Roman" w:hAnsi="Times New Roman" w:cs="Times New Roman"/>
      <w:sz w:val="24"/>
      <w:lang w:eastAsia="en-US"/>
    </w:rPr>
  </w:style>
  <w:style w:type="character" w:customStyle="1" w:styleId="BodyTextIndentChar">
    <w:name w:val="Body Text Indent Char"/>
    <w:basedOn w:val="DefaultParagraphFont"/>
    <w:link w:val="BodyTextIndent"/>
    <w:rsid w:val="008F76A3"/>
    <w:rPr>
      <w:sz w:val="24"/>
      <w:lang w:val="en-US" w:eastAsia="en-US"/>
    </w:rPr>
  </w:style>
  <w:style w:type="paragraph" w:customStyle="1" w:styleId="EndofDocument">
    <w:name w:val="End of Document"/>
    <w:basedOn w:val="Normal"/>
    <w:rsid w:val="005B620D"/>
    <w:pPr>
      <w:ind w:left="4536"/>
      <w:jc w:val="center"/>
    </w:pPr>
    <w:rPr>
      <w:rFonts w:ascii="Times New Roman" w:eastAsia="Times New Roman" w:hAnsi="Times New Roman" w:cs="Times New Roman"/>
      <w:sz w:val="24"/>
      <w:lang w:eastAsia="en-US"/>
    </w:rPr>
  </w:style>
  <w:style w:type="paragraph" w:customStyle="1" w:styleId="Endofdocument0">
    <w:name w:val="End of document"/>
    <w:basedOn w:val="Normal"/>
    <w:rsid w:val="005B620D"/>
    <w:pPr>
      <w:spacing w:after="120" w:line="260" w:lineRule="atLeast"/>
      <w:ind w:left="5534"/>
      <w:contextualSpacing/>
    </w:pPr>
    <w:rPr>
      <w:rFonts w:eastAsia="Times New Roman" w:cs="Times New Roman"/>
      <w:sz w:val="20"/>
      <w:lang w:eastAsia="en-US"/>
    </w:rPr>
  </w:style>
  <w:style w:type="paragraph" w:customStyle="1" w:styleId="Default">
    <w:name w:val="Default"/>
    <w:basedOn w:val="Normal"/>
    <w:rsid w:val="006840B1"/>
    <w:pPr>
      <w:autoSpaceDE w:val="0"/>
      <w:autoSpaceDN w:val="0"/>
    </w:pPr>
    <w:rPr>
      <w:rFonts w:eastAsiaTheme="minorHAnsi"/>
      <w:color w:val="000000"/>
      <w:sz w:val="24"/>
      <w:szCs w:val="24"/>
      <w:lang w:eastAsia="en-US"/>
    </w:rPr>
  </w:style>
  <w:style w:type="paragraph" w:styleId="ListParagraph">
    <w:name w:val="List Paragraph"/>
    <w:basedOn w:val="Normal"/>
    <w:uiPriority w:val="34"/>
    <w:qFormat/>
    <w:rsid w:val="009245C1"/>
    <w:pPr>
      <w:ind w:left="720"/>
      <w:contextualSpacing/>
    </w:pPr>
  </w:style>
  <w:style w:type="character" w:styleId="Hyperlink">
    <w:name w:val="Hyperlink"/>
    <w:basedOn w:val="DefaultParagraphFont"/>
    <w:semiHidden/>
    <w:unhideWhenUsed/>
    <w:rsid w:val="002B7D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252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21" Type="http://schemas.openxmlformats.org/officeDocument/2006/relationships/image" Target="media/image14.emf"/><Relationship Id="rId34" Type="http://schemas.openxmlformats.org/officeDocument/2006/relationships/image" Target="media/image27.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emf"/><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24.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emf"/><Relationship Id="rId8" Type="http://schemas.openxmlformats.org/officeDocument/2006/relationships/image" Target="media/image1.jpe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F278B-343C-4FAC-9C70-DF9F1C0F9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58 (E)</Template>
  <TotalTime>1</TotalTime>
  <Pages>17</Pages>
  <Words>1857</Words>
  <Characters>10181</Characters>
  <Application>Microsoft Office Word</Application>
  <DocSecurity>0</DocSecurity>
  <Lines>175</Lines>
  <Paragraphs>45</Paragraphs>
  <ScaleCrop>false</ScaleCrop>
  <HeadingPairs>
    <vt:vector size="2" baseType="variant">
      <vt:variant>
        <vt:lpstr>Title</vt:lpstr>
      </vt:variant>
      <vt:variant>
        <vt:i4>1</vt:i4>
      </vt:variant>
    </vt:vector>
  </HeadingPairs>
  <TitlesOfParts>
    <vt:vector size="1" baseType="lpstr">
      <vt:lpstr>A/58/</vt:lpstr>
    </vt:vector>
  </TitlesOfParts>
  <Company>WIPO</Company>
  <LinksUpToDate>false</LinksUpToDate>
  <CharactersWithSpaces>11993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A/58/</dc:title>
  <dc:subject>Fifty-Eighth Series of Meetings</dc:subject>
  <dc:creator>COUSIN Raquel</dc:creator>
  <cp:lastModifiedBy>HÄFLIGER Patience</cp:lastModifiedBy>
  <cp:revision>2</cp:revision>
  <cp:lastPrinted>2018-09-18T13:45:00Z</cp:lastPrinted>
  <dcterms:created xsi:type="dcterms:W3CDTF">2018-09-20T17:30:00Z</dcterms:created>
  <dcterms:modified xsi:type="dcterms:W3CDTF">2018-09-20T17:30:00Z</dcterms:modified>
  <cp:category>Assemblies of the Member States of WIPO</cp:category>
</cp:coreProperties>
</file>