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41A6E" w:rsidRPr="00325509" w:rsidTr="00567D35">
        <w:tc>
          <w:tcPr>
            <w:tcW w:w="4513" w:type="dxa"/>
            <w:tcBorders>
              <w:bottom w:val="single" w:sz="4" w:space="0" w:color="auto"/>
            </w:tcBorders>
            <w:tcMar>
              <w:bottom w:w="170" w:type="dxa"/>
            </w:tcMar>
          </w:tcPr>
          <w:p w:rsidR="00141A6E" w:rsidRPr="00325509" w:rsidRDefault="00141A6E" w:rsidP="00567D35">
            <w:pPr>
              <w:rPr>
                <w:lang w:val="fr-FR"/>
              </w:rPr>
            </w:pPr>
          </w:p>
        </w:tc>
        <w:tc>
          <w:tcPr>
            <w:tcW w:w="4337" w:type="dxa"/>
            <w:tcBorders>
              <w:bottom w:val="single" w:sz="4" w:space="0" w:color="auto"/>
            </w:tcBorders>
            <w:tcMar>
              <w:left w:w="0" w:type="dxa"/>
              <w:right w:w="0" w:type="dxa"/>
            </w:tcMar>
          </w:tcPr>
          <w:p w:rsidR="00141A6E" w:rsidRPr="00325509" w:rsidRDefault="00141A6E" w:rsidP="00567D35">
            <w:pPr>
              <w:rPr>
                <w:lang w:val="fr-FR"/>
              </w:rPr>
            </w:pPr>
            <w:r w:rsidRPr="00325509">
              <w:rPr>
                <w:noProof/>
                <w:lang w:val="fr-FR" w:eastAsia="fr-FR"/>
              </w:rPr>
              <w:drawing>
                <wp:inline distT="0" distB="0" distL="0" distR="0" wp14:anchorId="6D0503EC" wp14:editId="74746B45">
                  <wp:extent cx="1856740"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141A6E" w:rsidRPr="00325509" w:rsidRDefault="00141A6E" w:rsidP="00567D35">
            <w:pPr>
              <w:jc w:val="right"/>
              <w:rPr>
                <w:lang w:val="fr-FR"/>
              </w:rPr>
            </w:pPr>
            <w:r w:rsidRPr="00325509">
              <w:rPr>
                <w:b/>
                <w:sz w:val="40"/>
                <w:szCs w:val="40"/>
                <w:lang w:val="fr-FR"/>
              </w:rPr>
              <w:t>F</w:t>
            </w:r>
          </w:p>
        </w:tc>
      </w:tr>
      <w:tr w:rsidR="00141A6E" w:rsidRPr="00325509" w:rsidTr="00567D35">
        <w:trPr>
          <w:trHeight w:hRule="exact" w:val="340"/>
        </w:trPr>
        <w:tc>
          <w:tcPr>
            <w:tcW w:w="9356" w:type="dxa"/>
            <w:gridSpan w:val="3"/>
            <w:tcBorders>
              <w:top w:val="single" w:sz="4" w:space="0" w:color="auto"/>
            </w:tcBorders>
            <w:tcMar>
              <w:top w:w="170" w:type="dxa"/>
              <w:left w:w="0" w:type="dxa"/>
              <w:right w:w="0" w:type="dxa"/>
            </w:tcMar>
            <w:vAlign w:val="bottom"/>
          </w:tcPr>
          <w:p w:rsidR="00141A6E" w:rsidRPr="00325509" w:rsidRDefault="00141A6E" w:rsidP="00567D35">
            <w:pPr>
              <w:jc w:val="right"/>
              <w:rPr>
                <w:rFonts w:ascii="Arial Black" w:hAnsi="Arial Black"/>
                <w:caps/>
                <w:sz w:val="15"/>
                <w:lang w:val="fr-FR"/>
              </w:rPr>
            </w:pPr>
            <w:r w:rsidRPr="00325509">
              <w:rPr>
                <w:rFonts w:ascii="Arial Black" w:hAnsi="Arial Black"/>
                <w:caps/>
                <w:sz w:val="15"/>
                <w:lang w:val="fr-FR"/>
              </w:rPr>
              <w:t>A/56/</w:t>
            </w:r>
            <w:bookmarkStart w:id="0" w:name="Code"/>
            <w:bookmarkEnd w:id="0"/>
            <w:r w:rsidRPr="00325509">
              <w:rPr>
                <w:rFonts w:ascii="Arial Black" w:hAnsi="Arial Black"/>
                <w:caps/>
                <w:sz w:val="15"/>
                <w:lang w:val="fr-FR"/>
              </w:rPr>
              <w:t>2</w:t>
            </w:r>
            <w:r>
              <w:rPr>
                <w:rFonts w:ascii="Arial Black" w:hAnsi="Arial Black"/>
                <w:caps/>
                <w:sz w:val="15"/>
                <w:lang w:val="fr-FR"/>
              </w:rPr>
              <w:t> </w:t>
            </w:r>
            <w:proofErr w:type="spellStart"/>
            <w:r>
              <w:rPr>
                <w:rFonts w:ascii="Arial Black" w:hAnsi="Arial Black"/>
                <w:caps/>
                <w:sz w:val="15"/>
                <w:lang w:val="fr-FR"/>
              </w:rPr>
              <w:t>Rev</w:t>
            </w:r>
            <w:proofErr w:type="spellEnd"/>
            <w:r w:rsidRPr="00325509">
              <w:rPr>
                <w:rFonts w:ascii="Arial Black" w:hAnsi="Arial Black"/>
                <w:caps/>
                <w:sz w:val="15"/>
                <w:lang w:val="fr-FR"/>
              </w:rPr>
              <w:t>.</w:t>
            </w:r>
            <w:r w:rsidR="005A6EAD">
              <w:rPr>
                <w:rStyle w:val="FootnoteReference"/>
                <w:rFonts w:ascii="Arial Black" w:hAnsi="Arial Black"/>
                <w:caps/>
                <w:sz w:val="15"/>
                <w:lang w:val="fr-FR"/>
              </w:rPr>
              <w:footnoteReference w:id="1"/>
            </w:r>
            <w:proofErr w:type="gramStart"/>
            <w:r w:rsidRPr="00325509">
              <w:rPr>
                <w:rFonts w:ascii="Arial Black" w:hAnsi="Arial Black"/>
                <w:caps/>
                <w:sz w:val="15"/>
                <w:lang w:val="fr-FR"/>
              </w:rPr>
              <w:t xml:space="preserve"> </w:t>
            </w:r>
            <w:proofErr w:type="gramEnd"/>
          </w:p>
        </w:tc>
      </w:tr>
      <w:tr w:rsidR="00141A6E" w:rsidRPr="00325509" w:rsidTr="00567D35">
        <w:trPr>
          <w:trHeight w:hRule="exact" w:val="170"/>
        </w:trPr>
        <w:tc>
          <w:tcPr>
            <w:tcW w:w="9356" w:type="dxa"/>
            <w:gridSpan w:val="3"/>
            <w:noWrap/>
            <w:tcMar>
              <w:left w:w="0" w:type="dxa"/>
              <w:right w:w="0" w:type="dxa"/>
            </w:tcMar>
            <w:vAlign w:val="bottom"/>
          </w:tcPr>
          <w:p w:rsidR="00141A6E" w:rsidRPr="00325509" w:rsidRDefault="00141A6E" w:rsidP="00567D35">
            <w:pPr>
              <w:jc w:val="right"/>
              <w:rPr>
                <w:rFonts w:ascii="Arial Black" w:hAnsi="Arial Black"/>
                <w:caps/>
                <w:sz w:val="15"/>
                <w:lang w:val="fr-FR"/>
              </w:rPr>
            </w:pPr>
            <w:r w:rsidRPr="00325509">
              <w:rPr>
                <w:rFonts w:ascii="Arial Black" w:hAnsi="Arial Black"/>
                <w:caps/>
                <w:sz w:val="15"/>
                <w:lang w:val="fr-FR"/>
              </w:rPr>
              <w:t>ORIGINAL </w:t>
            </w:r>
            <w:proofErr w:type="gramStart"/>
            <w:r w:rsidRPr="00325509">
              <w:rPr>
                <w:rFonts w:ascii="Arial Black" w:hAnsi="Arial Black"/>
                <w:caps/>
                <w:sz w:val="15"/>
                <w:lang w:val="fr-FR"/>
              </w:rPr>
              <w:t xml:space="preserve">: </w:t>
            </w:r>
            <w:bookmarkStart w:id="2" w:name="Original"/>
            <w:bookmarkEnd w:id="2"/>
            <w:r w:rsidRPr="00325509">
              <w:rPr>
                <w:rFonts w:ascii="Arial Black" w:hAnsi="Arial Black"/>
                <w:caps/>
                <w:sz w:val="15"/>
                <w:lang w:val="fr-FR"/>
              </w:rPr>
              <w:t>anglais</w:t>
            </w:r>
            <w:proofErr w:type="gramEnd"/>
          </w:p>
        </w:tc>
      </w:tr>
      <w:tr w:rsidR="00141A6E" w:rsidRPr="00325509" w:rsidTr="00567D35">
        <w:trPr>
          <w:trHeight w:hRule="exact" w:val="198"/>
        </w:trPr>
        <w:tc>
          <w:tcPr>
            <w:tcW w:w="9356" w:type="dxa"/>
            <w:gridSpan w:val="3"/>
            <w:tcMar>
              <w:left w:w="0" w:type="dxa"/>
              <w:right w:w="0" w:type="dxa"/>
            </w:tcMar>
            <w:vAlign w:val="bottom"/>
          </w:tcPr>
          <w:p w:rsidR="00141A6E" w:rsidRPr="00325509" w:rsidRDefault="00141A6E" w:rsidP="005A6EAD">
            <w:pPr>
              <w:jc w:val="right"/>
              <w:rPr>
                <w:rFonts w:ascii="Arial Black" w:hAnsi="Arial Black"/>
                <w:caps/>
                <w:sz w:val="15"/>
                <w:lang w:val="fr-FR"/>
              </w:rPr>
            </w:pPr>
            <w:r w:rsidRPr="00325509">
              <w:rPr>
                <w:rFonts w:ascii="Arial Black" w:hAnsi="Arial Black"/>
                <w:caps/>
                <w:sz w:val="15"/>
                <w:lang w:val="fr-FR"/>
              </w:rPr>
              <w:t>DATE </w:t>
            </w:r>
            <w:proofErr w:type="gramStart"/>
            <w:r w:rsidRPr="00325509">
              <w:rPr>
                <w:rFonts w:ascii="Arial Black" w:hAnsi="Arial Black"/>
                <w:caps/>
                <w:sz w:val="15"/>
                <w:lang w:val="fr-FR"/>
              </w:rPr>
              <w:t xml:space="preserve">: </w:t>
            </w:r>
            <w:bookmarkStart w:id="3" w:name="Date"/>
            <w:bookmarkEnd w:id="3"/>
            <w:r w:rsidRPr="00325509">
              <w:rPr>
                <w:rFonts w:ascii="Arial Black" w:hAnsi="Arial Black"/>
                <w:caps/>
                <w:sz w:val="15"/>
                <w:lang w:val="fr-FR"/>
              </w:rPr>
              <w:t>2</w:t>
            </w:r>
            <w:r w:rsidR="005A6EAD">
              <w:rPr>
                <w:rFonts w:ascii="Arial Black" w:hAnsi="Arial Black"/>
                <w:caps/>
                <w:sz w:val="15"/>
                <w:lang w:val="fr-FR"/>
              </w:rPr>
              <w:t>9</w:t>
            </w:r>
            <w:proofErr w:type="gramEnd"/>
            <w:r w:rsidRPr="00325509">
              <w:rPr>
                <w:rFonts w:ascii="Arial Black" w:hAnsi="Arial Black"/>
                <w:caps/>
                <w:sz w:val="15"/>
                <w:lang w:val="fr-FR"/>
              </w:rPr>
              <w:t> </w:t>
            </w:r>
            <w:r w:rsidR="005A6EAD">
              <w:rPr>
                <w:rFonts w:ascii="Arial Black" w:hAnsi="Arial Black"/>
                <w:caps/>
                <w:sz w:val="15"/>
                <w:lang w:val="fr-FR"/>
              </w:rPr>
              <w:t>septembre</w:t>
            </w:r>
            <w:r w:rsidRPr="00325509">
              <w:rPr>
                <w:rFonts w:ascii="Arial Black" w:hAnsi="Arial Black"/>
                <w:caps/>
                <w:sz w:val="15"/>
                <w:lang w:val="fr-FR"/>
              </w:rPr>
              <w:t> 2016</w:t>
            </w:r>
          </w:p>
        </w:tc>
      </w:tr>
    </w:tbl>
    <w:p w:rsidR="00141A6E" w:rsidRPr="00325509" w:rsidRDefault="00141A6E" w:rsidP="00141A6E">
      <w:pPr>
        <w:rPr>
          <w:lang w:val="fr-FR"/>
        </w:rPr>
      </w:pPr>
    </w:p>
    <w:p w:rsidR="00141A6E" w:rsidRPr="00325509" w:rsidRDefault="00141A6E" w:rsidP="00141A6E">
      <w:pPr>
        <w:rPr>
          <w:lang w:val="fr-FR"/>
        </w:rPr>
      </w:pPr>
    </w:p>
    <w:p w:rsidR="00141A6E" w:rsidRPr="00325509" w:rsidRDefault="00141A6E" w:rsidP="00141A6E">
      <w:pPr>
        <w:rPr>
          <w:lang w:val="fr-FR"/>
        </w:rPr>
      </w:pPr>
    </w:p>
    <w:p w:rsidR="00141A6E" w:rsidRPr="00325509" w:rsidRDefault="00141A6E" w:rsidP="00141A6E">
      <w:pPr>
        <w:rPr>
          <w:lang w:val="fr-FR"/>
        </w:rPr>
      </w:pPr>
    </w:p>
    <w:p w:rsidR="00141A6E" w:rsidRPr="00325509" w:rsidRDefault="00141A6E" w:rsidP="00141A6E">
      <w:pPr>
        <w:rPr>
          <w:lang w:val="fr-FR"/>
        </w:rPr>
      </w:pPr>
    </w:p>
    <w:p w:rsidR="00141A6E" w:rsidRPr="00325509" w:rsidRDefault="00141A6E" w:rsidP="00141A6E">
      <w:pPr>
        <w:rPr>
          <w:b/>
          <w:sz w:val="28"/>
          <w:szCs w:val="28"/>
          <w:lang w:val="fr-FR"/>
        </w:rPr>
      </w:pPr>
      <w:r w:rsidRPr="00325509">
        <w:rPr>
          <w:rFonts w:eastAsia="Arial"/>
          <w:b/>
          <w:bCs/>
          <w:sz w:val="28"/>
          <w:szCs w:val="28"/>
          <w:lang w:val="fr-FR"/>
        </w:rPr>
        <w:t>Assemblées des États membres de l’OMPI</w:t>
      </w:r>
    </w:p>
    <w:p w:rsidR="00141A6E" w:rsidRPr="00325509" w:rsidRDefault="00141A6E" w:rsidP="00141A6E">
      <w:pPr>
        <w:rPr>
          <w:lang w:val="fr-FR"/>
        </w:rPr>
      </w:pPr>
    </w:p>
    <w:p w:rsidR="00141A6E" w:rsidRPr="00325509" w:rsidRDefault="00141A6E" w:rsidP="00141A6E">
      <w:pPr>
        <w:rPr>
          <w:lang w:val="fr-FR"/>
        </w:rPr>
      </w:pPr>
    </w:p>
    <w:p w:rsidR="00141A6E" w:rsidRPr="00325509" w:rsidRDefault="00141A6E" w:rsidP="00141A6E">
      <w:pPr>
        <w:rPr>
          <w:b/>
          <w:sz w:val="24"/>
          <w:szCs w:val="24"/>
          <w:lang w:val="fr-FR"/>
        </w:rPr>
      </w:pPr>
      <w:r w:rsidRPr="00325509">
        <w:rPr>
          <w:rFonts w:eastAsia="Arial"/>
          <w:b/>
          <w:bCs/>
          <w:sz w:val="24"/>
          <w:szCs w:val="24"/>
          <w:lang w:val="fr-FR"/>
        </w:rPr>
        <w:t>Cinquante</w:t>
      </w:r>
      <w:r w:rsidRPr="00325509">
        <w:rPr>
          <w:rFonts w:eastAsia="Arial"/>
          <w:b/>
          <w:bCs/>
          <w:sz w:val="24"/>
          <w:szCs w:val="24"/>
          <w:lang w:val="fr-FR"/>
        </w:rPr>
        <w:noBreakHyphen/>
        <w:t>sixième</w:t>
      </w:r>
      <w:r w:rsidRPr="00325509">
        <w:rPr>
          <w:rFonts w:eastAsia="Arial"/>
          <w:b/>
          <w:bCs/>
          <w:spacing w:val="62"/>
          <w:sz w:val="24"/>
          <w:szCs w:val="24"/>
          <w:lang w:val="fr-FR"/>
        </w:rPr>
        <w:t xml:space="preserve"> </w:t>
      </w:r>
      <w:r w:rsidRPr="00325509">
        <w:rPr>
          <w:rFonts w:eastAsia="Arial"/>
          <w:b/>
          <w:bCs/>
          <w:sz w:val="24"/>
          <w:szCs w:val="24"/>
          <w:lang w:val="fr-FR"/>
        </w:rPr>
        <w:t>série</w:t>
      </w:r>
      <w:r w:rsidRPr="00325509">
        <w:rPr>
          <w:rFonts w:eastAsia="Arial"/>
          <w:b/>
          <w:bCs/>
          <w:spacing w:val="18"/>
          <w:sz w:val="24"/>
          <w:szCs w:val="24"/>
          <w:lang w:val="fr-FR"/>
        </w:rPr>
        <w:t xml:space="preserve"> </w:t>
      </w:r>
      <w:r w:rsidRPr="00325509">
        <w:rPr>
          <w:rFonts w:eastAsia="Arial"/>
          <w:b/>
          <w:bCs/>
          <w:sz w:val="24"/>
          <w:szCs w:val="24"/>
          <w:lang w:val="fr-FR"/>
        </w:rPr>
        <w:t>de</w:t>
      </w:r>
      <w:r w:rsidRPr="00325509">
        <w:rPr>
          <w:rFonts w:eastAsia="Arial"/>
          <w:b/>
          <w:bCs/>
          <w:spacing w:val="19"/>
          <w:sz w:val="24"/>
          <w:szCs w:val="24"/>
          <w:lang w:val="fr-FR"/>
        </w:rPr>
        <w:t xml:space="preserve"> </w:t>
      </w:r>
      <w:r w:rsidRPr="00325509">
        <w:rPr>
          <w:rFonts w:eastAsia="Arial"/>
          <w:b/>
          <w:bCs/>
          <w:w w:val="103"/>
          <w:sz w:val="24"/>
          <w:szCs w:val="24"/>
          <w:lang w:val="fr-FR"/>
        </w:rPr>
        <w:t>réunions</w:t>
      </w:r>
    </w:p>
    <w:p w:rsidR="00141A6E" w:rsidRPr="00325509" w:rsidRDefault="00141A6E" w:rsidP="00141A6E">
      <w:pPr>
        <w:rPr>
          <w:b/>
          <w:sz w:val="24"/>
          <w:szCs w:val="24"/>
          <w:lang w:val="fr-FR"/>
        </w:rPr>
      </w:pPr>
      <w:r w:rsidRPr="00325509">
        <w:rPr>
          <w:rFonts w:eastAsia="Arial"/>
          <w:b/>
          <w:bCs/>
          <w:sz w:val="24"/>
          <w:szCs w:val="24"/>
          <w:lang w:val="fr-FR"/>
        </w:rPr>
        <w:t>Genève,</w:t>
      </w:r>
      <w:r w:rsidRPr="00325509">
        <w:rPr>
          <w:rFonts w:eastAsia="Arial"/>
          <w:b/>
          <w:bCs/>
          <w:spacing w:val="11"/>
          <w:sz w:val="24"/>
          <w:szCs w:val="24"/>
          <w:lang w:val="fr-FR"/>
        </w:rPr>
        <w:t xml:space="preserve"> 3</w:t>
      </w:r>
      <w:r w:rsidRPr="00325509">
        <w:rPr>
          <w:rFonts w:eastAsia="Arial"/>
          <w:b/>
          <w:bCs/>
          <w:sz w:val="24"/>
          <w:szCs w:val="24"/>
          <w:lang w:val="fr-FR"/>
        </w:rPr>
        <w:t xml:space="preserve"> – 11 octobre </w:t>
      </w:r>
      <w:r w:rsidRPr="00325509">
        <w:rPr>
          <w:rFonts w:eastAsia="Arial"/>
          <w:b/>
          <w:bCs/>
          <w:w w:val="104"/>
          <w:sz w:val="24"/>
          <w:szCs w:val="24"/>
          <w:lang w:val="fr-FR"/>
        </w:rPr>
        <w:t>2016</w:t>
      </w:r>
    </w:p>
    <w:p w:rsidR="00141A6E" w:rsidRPr="00325509" w:rsidRDefault="00141A6E" w:rsidP="00141A6E">
      <w:pPr>
        <w:rPr>
          <w:lang w:val="fr-FR"/>
        </w:rPr>
      </w:pPr>
    </w:p>
    <w:p w:rsidR="00141A6E" w:rsidRPr="00325509" w:rsidRDefault="00141A6E" w:rsidP="00141A6E">
      <w:pPr>
        <w:rPr>
          <w:lang w:val="fr-FR"/>
        </w:rPr>
      </w:pPr>
    </w:p>
    <w:p w:rsidR="00141A6E" w:rsidRPr="00325509" w:rsidRDefault="00141A6E" w:rsidP="00141A6E">
      <w:pPr>
        <w:rPr>
          <w:lang w:val="fr-FR"/>
        </w:rPr>
      </w:pPr>
    </w:p>
    <w:p w:rsidR="00141A6E" w:rsidRPr="00325509" w:rsidRDefault="00141A6E" w:rsidP="00141A6E">
      <w:pPr>
        <w:rPr>
          <w:caps/>
          <w:sz w:val="24"/>
          <w:lang w:val="fr-FR"/>
        </w:rPr>
      </w:pPr>
      <w:bookmarkStart w:id="4" w:name="TitleOfDoc"/>
      <w:bookmarkEnd w:id="4"/>
      <w:r w:rsidRPr="00325509">
        <w:rPr>
          <w:caps/>
          <w:sz w:val="24"/>
          <w:lang w:val="fr-FR"/>
        </w:rPr>
        <w:t>Admission d’observateurs</w:t>
      </w:r>
    </w:p>
    <w:p w:rsidR="00141A6E" w:rsidRPr="00325509" w:rsidRDefault="00141A6E" w:rsidP="00141A6E">
      <w:pPr>
        <w:rPr>
          <w:lang w:val="fr-FR"/>
        </w:rPr>
      </w:pPr>
    </w:p>
    <w:p w:rsidR="00141A6E" w:rsidRPr="00325509" w:rsidRDefault="00141A6E" w:rsidP="00141A6E">
      <w:pPr>
        <w:rPr>
          <w:i/>
          <w:lang w:val="fr-FR"/>
        </w:rPr>
      </w:pPr>
      <w:bookmarkStart w:id="5" w:name="Prepared"/>
      <w:bookmarkEnd w:id="5"/>
      <w:r w:rsidRPr="00325509">
        <w:rPr>
          <w:i/>
          <w:lang w:val="fr-FR"/>
        </w:rPr>
        <w:t>Document établi par le Secrétariat</w:t>
      </w:r>
    </w:p>
    <w:p w:rsidR="00141A6E" w:rsidRPr="00325509" w:rsidRDefault="00141A6E" w:rsidP="00141A6E">
      <w:pPr>
        <w:rPr>
          <w:lang w:val="fr-FR"/>
        </w:rPr>
      </w:pPr>
    </w:p>
    <w:p w:rsidR="00141A6E" w:rsidRPr="00325509" w:rsidRDefault="00141A6E" w:rsidP="00141A6E">
      <w:pPr>
        <w:rPr>
          <w:lang w:val="fr-FR"/>
        </w:rPr>
      </w:pPr>
    </w:p>
    <w:p w:rsidR="00141A6E" w:rsidRPr="00325509" w:rsidRDefault="00141A6E" w:rsidP="00141A6E">
      <w:pPr>
        <w:rPr>
          <w:lang w:val="fr-FR"/>
        </w:rPr>
      </w:pPr>
    </w:p>
    <w:p w:rsidR="00141A6E" w:rsidRPr="00325509" w:rsidRDefault="00141A6E" w:rsidP="00141A6E">
      <w:pPr>
        <w:rPr>
          <w:lang w:val="fr-FR"/>
        </w:rPr>
      </w:pPr>
    </w:p>
    <w:p w:rsidR="00141A6E" w:rsidRPr="00325509" w:rsidRDefault="00141A6E" w:rsidP="00141A6E">
      <w:pPr>
        <w:pStyle w:val="ONUMFS"/>
        <w:numPr>
          <w:ilvl w:val="0"/>
          <w:numId w:val="7"/>
        </w:numPr>
        <w:rPr>
          <w:lang w:val="fr-FR"/>
        </w:rPr>
      </w:pPr>
      <w:r w:rsidRPr="00325509">
        <w:rPr>
          <w:lang w:val="fr-FR"/>
        </w:rPr>
        <w:t>On trouvera dans le document A/56/</w:t>
      </w:r>
      <w:proofErr w:type="spellStart"/>
      <w:r w:rsidRPr="00325509">
        <w:rPr>
          <w:lang w:val="fr-FR"/>
        </w:rPr>
        <w:t>INF</w:t>
      </w:r>
      <w:proofErr w:type="spellEnd"/>
      <w:r w:rsidRPr="00325509">
        <w:rPr>
          <w:lang w:val="fr-FR"/>
        </w:rPr>
        <w:t>/1 la liste des observateurs admis à participer à la cinquante</w:t>
      </w:r>
      <w:r w:rsidRPr="00325509">
        <w:rPr>
          <w:lang w:val="fr-FR"/>
        </w:rPr>
        <w:noBreakHyphen/>
        <w:t>sixième série de réunions des assemblées des États membres et des unions administrées par l’OMPI (les Assemblées).</w:t>
      </w:r>
    </w:p>
    <w:p w:rsidR="00141A6E" w:rsidRPr="00325509" w:rsidRDefault="00141A6E" w:rsidP="00141A6E">
      <w:pPr>
        <w:pStyle w:val="ONUMFS"/>
        <w:numPr>
          <w:ilvl w:val="0"/>
          <w:numId w:val="7"/>
        </w:numPr>
        <w:rPr>
          <w:lang w:val="fr-FR"/>
        </w:rPr>
      </w:pPr>
      <w:r w:rsidRPr="00325509">
        <w:rPr>
          <w:lang w:val="fr-FR"/>
        </w:rPr>
        <w:t>Une fois qu’un observateur a été admis à participer aux réunions des assemblées, il est aussi invité à participer, en cette qualité, aux réunions des comités, des groupes de travail ou autres organes subsidiaires des assemblées dont le thème semble présenter un intérêt direct pour cet observateur.</w:t>
      </w:r>
    </w:p>
    <w:p w:rsidR="00141A6E" w:rsidRPr="00325509" w:rsidRDefault="00141A6E" w:rsidP="00141A6E">
      <w:pPr>
        <w:pStyle w:val="ONUMFS"/>
        <w:numPr>
          <w:ilvl w:val="0"/>
          <w:numId w:val="7"/>
        </w:numPr>
        <w:rPr>
          <w:lang w:val="fr-FR"/>
        </w:rPr>
      </w:pPr>
      <w:r w:rsidRPr="00325509">
        <w:rPr>
          <w:lang w:val="fr-FR"/>
        </w:rPr>
        <w:t>Les dernières décisions relatives à l’admission d’observateurs aux réunions de certaines assemblées ont été prises lors de la cinquante</w:t>
      </w:r>
      <w:r w:rsidRPr="00325509">
        <w:rPr>
          <w:lang w:val="fr-FR"/>
        </w:rPr>
        <w:noBreakHyphen/>
        <w:t>cinquième série de réunions des assemblées des États membres de l’OMPI, tenue du 5 au 14 octobre 2015 (voir les paragraphes 157 à 162 du document A/55/13).</w:t>
      </w:r>
    </w:p>
    <w:p w:rsidR="00141A6E" w:rsidRPr="00325509" w:rsidRDefault="00141A6E" w:rsidP="00141A6E">
      <w:pPr>
        <w:pStyle w:val="ONUMFS"/>
        <w:numPr>
          <w:ilvl w:val="0"/>
          <w:numId w:val="7"/>
        </w:numPr>
        <w:rPr>
          <w:lang w:val="fr-FR"/>
        </w:rPr>
      </w:pPr>
      <w:r w:rsidRPr="00325509">
        <w:rPr>
          <w:lang w:val="fr-FR"/>
        </w:rPr>
        <w:t>Depuis la cinquante</w:t>
      </w:r>
      <w:r w:rsidRPr="00325509">
        <w:rPr>
          <w:lang w:val="fr-FR"/>
        </w:rPr>
        <w:noBreakHyphen/>
        <w:t>cinquième série de réunions des assemblées, le Directeur général a reçu des entités indiquées ci</w:t>
      </w:r>
      <w:r w:rsidRPr="00325509">
        <w:rPr>
          <w:lang w:val="fr-FR"/>
        </w:rPr>
        <w:noBreakHyphen/>
        <w:t>après des demandes d’admission en qualité d’observateurs aux réunions des assemblées, accompagnées des renseignements nécessaires :</w:t>
      </w:r>
    </w:p>
    <w:p w:rsidR="00141A6E" w:rsidRPr="00325509" w:rsidRDefault="00141A6E" w:rsidP="00141A6E">
      <w:pPr>
        <w:ind w:firstLine="567"/>
        <w:rPr>
          <w:lang w:val="fr-FR"/>
        </w:rPr>
      </w:pPr>
      <w:r w:rsidRPr="00325509">
        <w:rPr>
          <w:lang w:val="fr-FR"/>
        </w:rPr>
        <w:t>a)</w:t>
      </w:r>
      <w:r w:rsidRPr="00325509">
        <w:rPr>
          <w:lang w:val="fr-FR"/>
        </w:rPr>
        <w:tab/>
      </w:r>
      <w:r w:rsidRPr="00325509">
        <w:rPr>
          <w:caps/>
          <w:lang w:val="fr-FR"/>
        </w:rPr>
        <w:t>Organisations non gouvernementales internationales</w:t>
      </w:r>
    </w:p>
    <w:p w:rsidR="00141A6E" w:rsidRPr="00325509" w:rsidRDefault="00141A6E" w:rsidP="00141A6E">
      <w:pPr>
        <w:contextualSpacing/>
        <w:rPr>
          <w:lang w:val="fr-FR"/>
        </w:rPr>
      </w:pPr>
    </w:p>
    <w:p w:rsidR="00141A6E" w:rsidRPr="00325509" w:rsidRDefault="00141A6E" w:rsidP="00141A6E">
      <w:pPr>
        <w:ind w:left="1134"/>
        <w:rPr>
          <w:szCs w:val="22"/>
          <w:lang w:val="fr-FR"/>
        </w:rPr>
      </w:pPr>
      <w:r w:rsidRPr="00325509">
        <w:rPr>
          <w:szCs w:val="22"/>
          <w:lang w:val="fr-FR"/>
        </w:rPr>
        <w:t>i)</w:t>
      </w:r>
      <w:r w:rsidRPr="00325509">
        <w:rPr>
          <w:szCs w:val="22"/>
          <w:lang w:val="fr-FR"/>
        </w:rPr>
        <w:tab/>
      </w:r>
      <w:proofErr w:type="spellStart"/>
      <w:r w:rsidRPr="00325509">
        <w:rPr>
          <w:szCs w:val="22"/>
          <w:lang w:val="fr-FR"/>
        </w:rPr>
        <w:t>African</w:t>
      </w:r>
      <w:proofErr w:type="spellEnd"/>
      <w:r w:rsidRPr="00325509">
        <w:rPr>
          <w:szCs w:val="22"/>
          <w:lang w:val="fr-FR"/>
        </w:rPr>
        <w:t xml:space="preserve"> Library and Information Associations and Institutions (</w:t>
      </w:r>
      <w:proofErr w:type="spellStart"/>
      <w:r w:rsidRPr="00325509">
        <w:rPr>
          <w:szCs w:val="22"/>
          <w:lang w:val="fr-FR"/>
        </w:rPr>
        <w:t>AfLIA</w:t>
      </w:r>
      <w:proofErr w:type="spellEnd"/>
      <w:r w:rsidRPr="00325509">
        <w:rPr>
          <w:szCs w:val="22"/>
          <w:lang w:val="fr-FR"/>
        </w:rPr>
        <w:t>);</w:t>
      </w:r>
    </w:p>
    <w:p w:rsidR="00141A6E" w:rsidRPr="00325509" w:rsidRDefault="00141A6E" w:rsidP="00141A6E">
      <w:pPr>
        <w:ind w:left="1134"/>
        <w:rPr>
          <w:szCs w:val="22"/>
          <w:lang w:val="fr-FR"/>
        </w:rPr>
      </w:pPr>
      <w:r w:rsidRPr="00325509">
        <w:rPr>
          <w:szCs w:val="22"/>
          <w:lang w:val="fr-FR"/>
        </w:rPr>
        <w:t>ii)</w:t>
      </w:r>
      <w:r w:rsidRPr="00325509">
        <w:rPr>
          <w:szCs w:val="22"/>
          <w:lang w:val="fr-FR"/>
        </w:rPr>
        <w:tab/>
        <w:t>Centre international d’investissement (CII Suisse);</w:t>
      </w:r>
    </w:p>
    <w:p w:rsidR="00141A6E" w:rsidRDefault="00141A6E" w:rsidP="00141A6E">
      <w:pPr>
        <w:ind w:left="1134"/>
        <w:rPr>
          <w:szCs w:val="22"/>
          <w:lang w:val="fr-FR"/>
        </w:rPr>
      </w:pPr>
      <w:r w:rsidRPr="00325509">
        <w:rPr>
          <w:szCs w:val="22"/>
          <w:lang w:val="fr-FR"/>
        </w:rPr>
        <w:t>iii)</w:t>
      </w:r>
      <w:r w:rsidRPr="00325509">
        <w:rPr>
          <w:szCs w:val="22"/>
          <w:lang w:val="fr-FR"/>
        </w:rPr>
        <w:tab/>
      </w:r>
      <w:proofErr w:type="spellStart"/>
      <w:r w:rsidRPr="00325509">
        <w:rPr>
          <w:szCs w:val="22"/>
          <w:lang w:val="fr-FR"/>
        </w:rPr>
        <w:t>Medicines</w:t>
      </w:r>
      <w:proofErr w:type="spellEnd"/>
      <w:r w:rsidRPr="00325509">
        <w:rPr>
          <w:szCs w:val="22"/>
          <w:lang w:val="fr-FR"/>
        </w:rPr>
        <w:t xml:space="preserve"> for </w:t>
      </w:r>
      <w:proofErr w:type="spellStart"/>
      <w:r w:rsidRPr="00325509">
        <w:rPr>
          <w:szCs w:val="22"/>
          <w:lang w:val="fr-FR"/>
        </w:rPr>
        <w:t>Africa</w:t>
      </w:r>
      <w:proofErr w:type="spellEnd"/>
      <w:r w:rsidRPr="00325509">
        <w:rPr>
          <w:szCs w:val="22"/>
          <w:lang w:val="fr-FR"/>
        </w:rPr>
        <w:t>.</w:t>
      </w:r>
      <w:r>
        <w:rPr>
          <w:szCs w:val="22"/>
          <w:lang w:val="fr-FR"/>
        </w:rPr>
        <w:br w:type="page"/>
      </w:r>
    </w:p>
    <w:p w:rsidR="00141A6E" w:rsidRPr="00325509" w:rsidRDefault="00141A6E" w:rsidP="00141A6E">
      <w:pPr>
        <w:ind w:firstLine="567"/>
        <w:rPr>
          <w:lang w:val="fr-FR"/>
        </w:rPr>
      </w:pPr>
      <w:r w:rsidRPr="00325509">
        <w:rPr>
          <w:lang w:val="fr-FR"/>
        </w:rPr>
        <w:lastRenderedPageBreak/>
        <w:t>b)</w:t>
      </w:r>
      <w:r w:rsidRPr="00325509">
        <w:rPr>
          <w:lang w:val="fr-FR"/>
        </w:rPr>
        <w:tab/>
      </w:r>
      <w:r w:rsidRPr="00325509">
        <w:rPr>
          <w:caps/>
          <w:lang w:val="fr-FR"/>
        </w:rPr>
        <w:t>Organisations non gouvernementales nationales</w:t>
      </w:r>
      <w:r w:rsidRPr="00325509">
        <w:rPr>
          <w:rStyle w:val="FootnoteReference"/>
          <w:lang w:val="fr-FR"/>
        </w:rPr>
        <w:footnoteReference w:id="2"/>
      </w:r>
    </w:p>
    <w:p w:rsidR="00141A6E" w:rsidRPr="00325509" w:rsidRDefault="00141A6E" w:rsidP="00141A6E">
      <w:pPr>
        <w:contextualSpacing/>
        <w:rPr>
          <w:lang w:val="fr-FR"/>
        </w:rPr>
      </w:pPr>
    </w:p>
    <w:p w:rsidR="00141A6E" w:rsidRPr="00325509" w:rsidRDefault="00141A6E" w:rsidP="00141A6E">
      <w:pPr>
        <w:ind w:left="1134"/>
        <w:rPr>
          <w:szCs w:val="22"/>
          <w:lang w:val="fr-FR"/>
        </w:rPr>
      </w:pPr>
      <w:r w:rsidRPr="00325509">
        <w:rPr>
          <w:szCs w:val="22"/>
          <w:lang w:val="fr-FR"/>
        </w:rPr>
        <w:t>i)</w:t>
      </w:r>
      <w:r w:rsidRPr="00325509">
        <w:rPr>
          <w:szCs w:val="22"/>
          <w:lang w:val="fr-FR"/>
        </w:rPr>
        <w:tab/>
        <w:t>Association japonaise pour la propriété intellectuelle (</w:t>
      </w:r>
      <w:proofErr w:type="spellStart"/>
      <w:r w:rsidRPr="00325509">
        <w:rPr>
          <w:szCs w:val="22"/>
          <w:lang w:val="fr-FR"/>
        </w:rPr>
        <w:t>JIPA</w:t>
      </w:r>
      <w:proofErr w:type="spellEnd"/>
      <w:r w:rsidRPr="00325509">
        <w:rPr>
          <w:szCs w:val="22"/>
          <w:lang w:val="fr-FR"/>
        </w:rPr>
        <w:t>);</w:t>
      </w:r>
    </w:p>
    <w:p w:rsidR="00141A6E" w:rsidRPr="00325509" w:rsidRDefault="00141A6E" w:rsidP="00141A6E">
      <w:pPr>
        <w:pStyle w:val="ListParagraph"/>
        <w:ind w:left="1134"/>
        <w:rPr>
          <w:rFonts w:eastAsia="SimSun"/>
          <w:szCs w:val="22"/>
          <w:lang w:val="fr-FR" w:eastAsia="zh-CN"/>
        </w:rPr>
      </w:pPr>
      <w:r w:rsidRPr="00325509">
        <w:rPr>
          <w:rFonts w:eastAsia="SimSun"/>
          <w:szCs w:val="22"/>
          <w:lang w:val="fr-FR" w:eastAsia="zh-CN"/>
        </w:rPr>
        <w:t>ii)</w:t>
      </w:r>
      <w:r w:rsidRPr="00325509">
        <w:rPr>
          <w:rFonts w:eastAsia="SimSun"/>
          <w:szCs w:val="22"/>
          <w:lang w:val="fr-FR" w:eastAsia="zh-CN"/>
        </w:rPr>
        <w:tab/>
      </w:r>
      <w:proofErr w:type="spellStart"/>
      <w:r w:rsidRPr="00325509">
        <w:rPr>
          <w:rFonts w:eastAsia="SimSun"/>
          <w:szCs w:val="22"/>
          <w:lang w:val="fr-FR" w:eastAsia="zh-CN"/>
        </w:rPr>
        <w:t>Fundación</w:t>
      </w:r>
      <w:proofErr w:type="spellEnd"/>
      <w:r w:rsidRPr="00325509">
        <w:rPr>
          <w:rFonts w:eastAsia="SimSun"/>
          <w:szCs w:val="22"/>
          <w:lang w:val="fr-FR" w:eastAsia="zh-CN"/>
        </w:rPr>
        <w:t xml:space="preserve"> </w:t>
      </w:r>
      <w:proofErr w:type="spellStart"/>
      <w:r w:rsidRPr="00325509">
        <w:rPr>
          <w:rFonts w:eastAsia="SimSun"/>
          <w:szCs w:val="22"/>
          <w:lang w:val="fr-FR" w:eastAsia="zh-CN"/>
        </w:rPr>
        <w:t>Karisma</w:t>
      </w:r>
      <w:proofErr w:type="spellEnd"/>
      <w:r w:rsidRPr="00325509">
        <w:rPr>
          <w:rFonts w:eastAsia="SimSun"/>
          <w:szCs w:val="22"/>
          <w:lang w:val="fr-FR" w:eastAsia="zh-CN"/>
        </w:rPr>
        <w:t>.</w:t>
      </w:r>
    </w:p>
    <w:p w:rsidR="00141A6E" w:rsidRPr="00325509" w:rsidRDefault="00141A6E" w:rsidP="00141A6E">
      <w:pPr>
        <w:contextualSpacing/>
        <w:rPr>
          <w:lang w:val="fr-FR"/>
        </w:rPr>
      </w:pPr>
    </w:p>
    <w:p w:rsidR="00141A6E" w:rsidRPr="00325509" w:rsidRDefault="00141A6E" w:rsidP="00141A6E">
      <w:pPr>
        <w:pStyle w:val="ONUMFS"/>
        <w:numPr>
          <w:ilvl w:val="0"/>
          <w:numId w:val="7"/>
        </w:numPr>
        <w:rPr>
          <w:lang w:val="fr-FR"/>
        </w:rPr>
      </w:pPr>
      <w:r w:rsidRPr="00325509">
        <w:rPr>
          <w:lang w:val="fr-FR"/>
        </w:rPr>
        <w:t>On trouvera dans les annexes du présent document une brève présentation de chacune des entités susmentionnées (ses objectifs, sa structure et ses membres).</w:t>
      </w:r>
    </w:p>
    <w:p w:rsidR="00141A6E" w:rsidRPr="00325509" w:rsidRDefault="00141A6E" w:rsidP="00141A6E">
      <w:pPr>
        <w:pStyle w:val="ONUMFS"/>
        <w:numPr>
          <w:ilvl w:val="0"/>
          <w:numId w:val="7"/>
        </w:numPr>
        <w:ind w:left="5533"/>
        <w:rPr>
          <w:i/>
          <w:lang w:val="fr-FR"/>
        </w:rPr>
      </w:pPr>
      <w:r w:rsidRPr="00325509">
        <w:rPr>
          <w:i/>
          <w:lang w:val="fr-FR"/>
        </w:rPr>
        <w:t>Les assemblées des États membres de l’OMPI et des unions administrées par l’OMPI, chacune pour ce qui la concerne, sont invitées à se prononcer sur les demandes d’admission en qualité d’observatrices des entités mentionnées au paragraphe 4 ci</w:t>
      </w:r>
      <w:r w:rsidRPr="00325509">
        <w:rPr>
          <w:i/>
          <w:lang w:val="fr-FR"/>
        </w:rPr>
        <w:noBreakHyphen/>
        <w:t>dessus.</w:t>
      </w:r>
    </w:p>
    <w:p w:rsidR="00141A6E" w:rsidRPr="00325509" w:rsidRDefault="00141A6E" w:rsidP="00141A6E">
      <w:pPr>
        <w:pStyle w:val="Endofdocument-Annex"/>
        <w:rPr>
          <w:lang w:val="fr-FR"/>
        </w:rPr>
      </w:pPr>
    </w:p>
    <w:p w:rsidR="00141A6E" w:rsidRPr="00325509" w:rsidRDefault="00141A6E" w:rsidP="00141A6E">
      <w:pPr>
        <w:pStyle w:val="Endofdocument-Annex"/>
        <w:rPr>
          <w:lang w:val="fr-FR"/>
        </w:rPr>
      </w:pPr>
    </w:p>
    <w:p w:rsidR="00141A6E" w:rsidRPr="00325509" w:rsidRDefault="00141A6E" w:rsidP="00141A6E">
      <w:pPr>
        <w:pStyle w:val="Endofdocument-Annex"/>
        <w:rPr>
          <w:lang w:val="fr-FR"/>
        </w:rPr>
      </w:pPr>
      <w:r w:rsidRPr="00325509">
        <w:rPr>
          <w:lang w:val="fr-FR"/>
        </w:rPr>
        <w:t>[Les annexes suivent]</w:t>
      </w:r>
    </w:p>
    <w:p w:rsidR="00141A6E" w:rsidRPr="00325509" w:rsidRDefault="00141A6E" w:rsidP="00141A6E">
      <w:pPr>
        <w:rPr>
          <w:lang w:val="fr-FR"/>
        </w:rPr>
      </w:pPr>
    </w:p>
    <w:p w:rsidR="00141A6E" w:rsidRPr="00325509" w:rsidRDefault="00141A6E" w:rsidP="00141A6E">
      <w:pPr>
        <w:rPr>
          <w:lang w:val="fr-FR"/>
        </w:rPr>
        <w:sectPr w:rsidR="00141A6E" w:rsidRPr="00325509" w:rsidSect="00325509">
          <w:headerReference w:type="even" r:id="rId10"/>
          <w:headerReference w:type="default" r:id="rId11"/>
          <w:headerReference w:type="first" r:id="rId12"/>
          <w:endnotePr>
            <w:numFmt w:val="decimal"/>
          </w:endnotePr>
          <w:pgSz w:w="11907" w:h="16840" w:code="9"/>
          <w:pgMar w:top="567" w:right="1134" w:bottom="1418" w:left="1418" w:header="510" w:footer="1021" w:gutter="0"/>
          <w:cols w:space="720"/>
          <w:titlePg/>
          <w:docGrid w:linePitch="299"/>
        </w:sectPr>
      </w:pPr>
    </w:p>
    <w:p w:rsidR="00141A6E" w:rsidRPr="00325509" w:rsidRDefault="00141A6E" w:rsidP="00141A6E">
      <w:pPr>
        <w:rPr>
          <w:caps/>
          <w:lang w:val="fr-FR"/>
        </w:rPr>
      </w:pPr>
      <w:r w:rsidRPr="00325509">
        <w:rPr>
          <w:caps/>
          <w:lang w:val="fr-FR"/>
        </w:rPr>
        <w:lastRenderedPageBreak/>
        <w:t>Renseignements concernant les organisations non gouvernementales internationales (d’après les indications fournies par ces organisations)</w:t>
      </w:r>
    </w:p>
    <w:p w:rsidR="00141A6E" w:rsidRPr="00325509" w:rsidRDefault="00141A6E" w:rsidP="00141A6E">
      <w:pPr>
        <w:rPr>
          <w:szCs w:val="22"/>
          <w:u w:val="single"/>
          <w:lang w:val="fr-FR"/>
        </w:rPr>
      </w:pPr>
    </w:p>
    <w:p w:rsidR="00141A6E" w:rsidRPr="00325509" w:rsidRDefault="00141A6E" w:rsidP="00141A6E">
      <w:pPr>
        <w:rPr>
          <w:szCs w:val="22"/>
          <w:u w:val="single"/>
          <w:lang w:val="fr-FR"/>
        </w:rPr>
      </w:pPr>
    </w:p>
    <w:p w:rsidR="00141A6E" w:rsidRPr="00325509" w:rsidRDefault="00141A6E" w:rsidP="00141A6E">
      <w:pPr>
        <w:rPr>
          <w:szCs w:val="22"/>
          <w:u w:val="single"/>
          <w:lang w:val="fr-FR"/>
        </w:rPr>
      </w:pPr>
      <w:proofErr w:type="spellStart"/>
      <w:r w:rsidRPr="00325509">
        <w:rPr>
          <w:szCs w:val="22"/>
          <w:u w:val="single"/>
          <w:lang w:val="fr-FR"/>
        </w:rPr>
        <w:t>African</w:t>
      </w:r>
      <w:proofErr w:type="spellEnd"/>
      <w:r w:rsidRPr="00325509">
        <w:rPr>
          <w:szCs w:val="22"/>
          <w:u w:val="single"/>
          <w:lang w:val="fr-FR"/>
        </w:rPr>
        <w:t xml:space="preserve"> Library and Information Associations and Institutions (</w:t>
      </w:r>
      <w:proofErr w:type="spellStart"/>
      <w:r w:rsidRPr="00325509">
        <w:rPr>
          <w:szCs w:val="22"/>
          <w:u w:val="single"/>
          <w:lang w:val="fr-FR"/>
        </w:rPr>
        <w:t>AfLIA</w:t>
      </w:r>
      <w:proofErr w:type="spellEnd"/>
      <w:r w:rsidRPr="00325509">
        <w:rPr>
          <w:szCs w:val="22"/>
          <w:u w:val="single"/>
          <w:lang w:val="fr-FR"/>
        </w:rPr>
        <w:t>)</w:t>
      </w:r>
    </w:p>
    <w:p w:rsidR="00141A6E" w:rsidRPr="00325509" w:rsidRDefault="00141A6E" w:rsidP="00141A6E">
      <w:pPr>
        <w:rPr>
          <w:szCs w:val="22"/>
          <w:u w:val="single"/>
          <w:lang w:val="fr-FR"/>
        </w:rPr>
      </w:pPr>
    </w:p>
    <w:p w:rsidR="00141A6E" w:rsidRPr="00325509" w:rsidRDefault="00141A6E" w:rsidP="00141A6E">
      <w:pPr>
        <w:rPr>
          <w:szCs w:val="22"/>
          <w:lang w:val="fr-FR"/>
        </w:rPr>
      </w:pPr>
      <w:r w:rsidRPr="00325509">
        <w:rPr>
          <w:szCs w:val="22"/>
          <w:lang w:val="fr-FR"/>
        </w:rPr>
        <w:t>Siège </w:t>
      </w:r>
      <w:proofErr w:type="gramStart"/>
      <w:r w:rsidRPr="00325509">
        <w:rPr>
          <w:lang w:val="fr-FR"/>
        </w:rPr>
        <w:t>:</w:t>
      </w:r>
      <w:r w:rsidRPr="00325509">
        <w:rPr>
          <w:szCs w:val="22"/>
          <w:lang w:val="fr-FR"/>
        </w:rPr>
        <w:t xml:space="preserve"> créée</w:t>
      </w:r>
      <w:proofErr w:type="gramEnd"/>
      <w:r w:rsidRPr="00325509">
        <w:rPr>
          <w:szCs w:val="22"/>
          <w:lang w:val="fr-FR"/>
        </w:rPr>
        <w:t xml:space="preserve"> en 2014, l’</w:t>
      </w:r>
      <w:proofErr w:type="spellStart"/>
      <w:r w:rsidRPr="00325509">
        <w:rPr>
          <w:szCs w:val="22"/>
          <w:lang w:val="fr-FR"/>
        </w:rPr>
        <w:t>African</w:t>
      </w:r>
      <w:proofErr w:type="spellEnd"/>
      <w:r w:rsidRPr="00325509">
        <w:rPr>
          <w:szCs w:val="22"/>
          <w:lang w:val="fr-FR"/>
        </w:rPr>
        <w:t xml:space="preserve"> Library and Information Associations and Institutions (</w:t>
      </w:r>
      <w:proofErr w:type="spellStart"/>
      <w:r w:rsidRPr="00325509">
        <w:rPr>
          <w:szCs w:val="22"/>
          <w:lang w:val="fr-FR"/>
        </w:rPr>
        <w:t>AfLIA</w:t>
      </w:r>
      <w:proofErr w:type="spellEnd"/>
      <w:r w:rsidRPr="00325509">
        <w:rPr>
          <w:szCs w:val="22"/>
          <w:lang w:val="fr-FR"/>
        </w:rPr>
        <w:t>) a son siège à Accra (Ghana).</w:t>
      </w:r>
    </w:p>
    <w:p w:rsidR="00141A6E" w:rsidRPr="00325509" w:rsidRDefault="00141A6E" w:rsidP="00141A6E">
      <w:pPr>
        <w:rPr>
          <w:szCs w:val="22"/>
          <w:lang w:val="fr-FR"/>
        </w:rPr>
      </w:pPr>
    </w:p>
    <w:p w:rsidR="00141A6E" w:rsidRPr="00325509" w:rsidRDefault="00141A6E" w:rsidP="00141A6E">
      <w:pPr>
        <w:rPr>
          <w:szCs w:val="22"/>
          <w:lang w:val="fr-FR"/>
        </w:rPr>
      </w:pPr>
      <w:r w:rsidRPr="00325509">
        <w:rPr>
          <w:szCs w:val="22"/>
          <w:lang w:val="fr-FR"/>
        </w:rPr>
        <w:t>Objectifs </w:t>
      </w:r>
      <w:proofErr w:type="gramStart"/>
      <w:r w:rsidRPr="00325509">
        <w:rPr>
          <w:szCs w:val="22"/>
          <w:lang w:val="fr-FR"/>
        </w:rPr>
        <w:t>: l’</w:t>
      </w:r>
      <w:proofErr w:type="spellStart"/>
      <w:r w:rsidRPr="00325509">
        <w:rPr>
          <w:szCs w:val="22"/>
          <w:lang w:val="fr-FR"/>
        </w:rPr>
        <w:t>AfLIA</w:t>
      </w:r>
      <w:proofErr w:type="spellEnd"/>
      <w:proofErr w:type="gramEnd"/>
      <w:r w:rsidRPr="00325509">
        <w:rPr>
          <w:szCs w:val="22"/>
          <w:lang w:val="fr-FR"/>
        </w:rPr>
        <w:t xml:space="preserve"> a pour principal objectif de représenter les intérêts des bibliothèques et des bibliothécaires sur le continent africain.  Elle vise à soutenir la profession, améliorer la qualité des services de bibliothèque et défendre les intérêts des bibliothèques au plan national et international.</w:t>
      </w:r>
    </w:p>
    <w:p w:rsidR="00141A6E" w:rsidRPr="00325509" w:rsidRDefault="00141A6E" w:rsidP="00141A6E">
      <w:pPr>
        <w:rPr>
          <w:szCs w:val="22"/>
          <w:lang w:val="fr-FR"/>
        </w:rPr>
      </w:pPr>
    </w:p>
    <w:p w:rsidR="00141A6E" w:rsidRPr="00325509" w:rsidRDefault="00141A6E" w:rsidP="00141A6E">
      <w:pPr>
        <w:rPr>
          <w:szCs w:val="22"/>
          <w:lang w:val="fr-FR"/>
        </w:rPr>
      </w:pPr>
      <w:r w:rsidRPr="00325509">
        <w:rPr>
          <w:szCs w:val="22"/>
          <w:lang w:val="fr-FR"/>
        </w:rPr>
        <w:t>Structure </w:t>
      </w:r>
      <w:proofErr w:type="gramStart"/>
      <w:r w:rsidRPr="00325509">
        <w:rPr>
          <w:szCs w:val="22"/>
          <w:lang w:val="fr-FR"/>
        </w:rPr>
        <w:t>: l’assemblée</w:t>
      </w:r>
      <w:proofErr w:type="gramEnd"/>
      <w:r w:rsidRPr="00325509">
        <w:rPr>
          <w:szCs w:val="22"/>
          <w:lang w:val="fr-FR"/>
        </w:rPr>
        <w:t xml:space="preserve"> générale annuelle est le principal organe directeur de l’association.  L’association est régie par un conseil d’administration, comprenant un président, un vice</w:t>
      </w:r>
      <w:r w:rsidRPr="00325509">
        <w:rPr>
          <w:szCs w:val="22"/>
          <w:lang w:val="fr-FR"/>
        </w:rPr>
        <w:noBreakHyphen/>
        <w:t>président, un trésorier, un président sortant et des représentants régionaux.</w:t>
      </w:r>
    </w:p>
    <w:p w:rsidR="00141A6E" w:rsidRPr="00325509" w:rsidRDefault="00141A6E" w:rsidP="00141A6E">
      <w:pPr>
        <w:rPr>
          <w:szCs w:val="22"/>
          <w:lang w:val="fr-FR"/>
        </w:rPr>
      </w:pPr>
    </w:p>
    <w:p w:rsidR="00141A6E" w:rsidRPr="00325509" w:rsidRDefault="00141A6E" w:rsidP="00141A6E">
      <w:pPr>
        <w:rPr>
          <w:iCs/>
          <w:szCs w:val="22"/>
          <w:lang w:val="fr-FR"/>
        </w:rPr>
      </w:pPr>
      <w:r w:rsidRPr="00325509">
        <w:rPr>
          <w:iCs/>
          <w:szCs w:val="22"/>
          <w:lang w:val="fr-FR"/>
        </w:rPr>
        <w:t>Membres </w:t>
      </w:r>
      <w:proofErr w:type="gramStart"/>
      <w:r w:rsidRPr="00325509">
        <w:rPr>
          <w:iCs/>
          <w:szCs w:val="22"/>
          <w:lang w:val="fr-FR"/>
        </w:rPr>
        <w:t>: l’</w:t>
      </w:r>
      <w:proofErr w:type="spellStart"/>
      <w:r w:rsidRPr="00325509">
        <w:rPr>
          <w:iCs/>
          <w:szCs w:val="22"/>
          <w:lang w:val="fr-FR"/>
        </w:rPr>
        <w:t>AfLIA</w:t>
      </w:r>
      <w:proofErr w:type="spellEnd"/>
      <w:proofErr w:type="gramEnd"/>
      <w:r w:rsidRPr="00325509">
        <w:rPr>
          <w:iCs/>
          <w:szCs w:val="22"/>
          <w:lang w:val="fr-FR"/>
        </w:rPr>
        <w:t xml:space="preserve"> compte 74 membres qui comprennent des bibliothèques, des associations nationales ou régionales de bibliothèques et des centres d’information et de documentation, répartis sur tout le continent africain.</w:t>
      </w:r>
    </w:p>
    <w:p w:rsidR="00141A6E" w:rsidRPr="00325509" w:rsidRDefault="00141A6E" w:rsidP="00141A6E">
      <w:pPr>
        <w:rPr>
          <w:szCs w:val="22"/>
          <w:u w:val="single"/>
          <w:lang w:val="fr-FR"/>
        </w:rPr>
      </w:pPr>
    </w:p>
    <w:p w:rsidR="00141A6E" w:rsidRPr="00325509" w:rsidRDefault="00141A6E" w:rsidP="00141A6E">
      <w:pPr>
        <w:rPr>
          <w:szCs w:val="22"/>
          <w:u w:val="single"/>
          <w:lang w:val="fr-FR"/>
        </w:rPr>
      </w:pPr>
    </w:p>
    <w:p w:rsidR="00141A6E" w:rsidRPr="00325509" w:rsidRDefault="00141A6E" w:rsidP="00141A6E">
      <w:pPr>
        <w:rPr>
          <w:szCs w:val="22"/>
          <w:u w:val="single"/>
          <w:lang w:val="fr-FR"/>
        </w:rPr>
      </w:pPr>
      <w:r w:rsidRPr="00325509">
        <w:rPr>
          <w:szCs w:val="22"/>
          <w:u w:val="single"/>
          <w:lang w:val="fr-FR"/>
        </w:rPr>
        <w:t>Centre international d’investissement (CII)</w:t>
      </w:r>
    </w:p>
    <w:p w:rsidR="00141A6E" w:rsidRPr="00325509" w:rsidRDefault="00141A6E" w:rsidP="00141A6E">
      <w:pPr>
        <w:rPr>
          <w:szCs w:val="22"/>
          <w:lang w:val="fr-FR"/>
        </w:rPr>
      </w:pPr>
    </w:p>
    <w:p w:rsidR="00141A6E" w:rsidRPr="00325509" w:rsidRDefault="00141A6E" w:rsidP="00141A6E">
      <w:pPr>
        <w:rPr>
          <w:szCs w:val="22"/>
          <w:lang w:val="fr-FR"/>
        </w:rPr>
      </w:pPr>
      <w:r w:rsidRPr="00325509">
        <w:rPr>
          <w:szCs w:val="22"/>
          <w:lang w:val="fr-FR"/>
        </w:rPr>
        <w:t>Siège </w:t>
      </w:r>
      <w:proofErr w:type="gramStart"/>
      <w:r w:rsidRPr="00325509">
        <w:rPr>
          <w:lang w:val="fr-FR"/>
        </w:rPr>
        <w:t>:</w:t>
      </w:r>
      <w:r w:rsidRPr="00325509">
        <w:rPr>
          <w:szCs w:val="22"/>
          <w:lang w:val="fr-FR"/>
        </w:rPr>
        <w:t xml:space="preserve"> créé</w:t>
      </w:r>
      <w:proofErr w:type="gramEnd"/>
      <w:r w:rsidRPr="00325509">
        <w:rPr>
          <w:szCs w:val="22"/>
          <w:lang w:val="fr-FR"/>
        </w:rPr>
        <w:t xml:space="preserve"> en 2010, le CII a son siège à Genève (Suisse).</w:t>
      </w:r>
    </w:p>
    <w:p w:rsidR="00141A6E" w:rsidRPr="00325509" w:rsidRDefault="00141A6E" w:rsidP="00141A6E">
      <w:pPr>
        <w:rPr>
          <w:szCs w:val="22"/>
          <w:lang w:val="fr-FR"/>
        </w:rPr>
      </w:pPr>
    </w:p>
    <w:p w:rsidR="00141A6E" w:rsidRPr="00325509" w:rsidRDefault="00141A6E" w:rsidP="00141A6E">
      <w:pPr>
        <w:rPr>
          <w:szCs w:val="22"/>
          <w:lang w:val="fr-FR"/>
        </w:rPr>
      </w:pPr>
      <w:r w:rsidRPr="00325509">
        <w:rPr>
          <w:szCs w:val="22"/>
          <w:lang w:val="fr-FR"/>
        </w:rPr>
        <w:t>Objectifs </w:t>
      </w:r>
      <w:proofErr w:type="gramStart"/>
      <w:r w:rsidRPr="00325509">
        <w:rPr>
          <w:szCs w:val="22"/>
          <w:lang w:val="fr-FR"/>
        </w:rPr>
        <w:t>: le</w:t>
      </w:r>
      <w:proofErr w:type="gramEnd"/>
      <w:r w:rsidRPr="00325509">
        <w:rPr>
          <w:szCs w:val="22"/>
          <w:lang w:val="fr-FR"/>
        </w:rPr>
        <w:t> CII a pour objectifs la promotion du développement durable, la défense de la diversité culturelle et le développement de l’art, la coopération internationale dans le domaine de l’éducation et de la santé, la promotion des nouvelles technologies, de la science et de l’innovation et la protection des droits de l’homme.</w:t>
      </w:r>
    </w:p>
    <w:p w:rsidR="00141A6E" w:rsidRPr="00325509" w:rsidRDefault="00141A6E" w:rsidP="00141A6E">
      <w:pPr>
        <w:rPr>
          <w:szCs w:val="22"/>
          <w:lang w:val="fr-FR"/>
        </w:rPr>
      </w:pPr>
    </w:p>
    <w:p w:rsidR="00141A6E" w:rsidRPr="00325509" w:rsidRDefault="00141A6E" w:rsidP="00141A6E">
      <w:pPr>
        <w:rPr>
          <w:szCs w:val="22"/>
          <w:lang w:val="fr-FR"/>
        </w:rPr>
      </w:pPr>
      <w:r w:rsidRPr="00325509">
        <w:rPr>
          <w:szCs w:val="22"/>
          <w:lang w:val="fr-FR"/>
        </w:rPr>
        <w:t>Structure </w:t>
      </w:r>
      <w:proofErr w:type="gramStart"/>
      <w:r w:rsidRPr="00325509">
        <w:rPr>
          <w:szCs w:val="22"/>
          <w:lang w:val="fr-FR"/>
        </w:rPr>
        <w:t>: le</w:t>
      </w:r>
      <w:proofErr w:type="gramEnd"/>
      <w:r w:rsidRPr="00325509">
        <w:rPr>
          <w:szCs w:val="22"/>
          <w:lang w:val="fr-FR"/>
        </w:rPr>
        <w:t xml:space="preserve"> principal organe directeur du CII est l’assemblée générale.  Le comité exécutif comprend un président, un secrétaire général et un trésorier.</w:t>
      </w:r>
    </w:p>
    <w:p w:rsidR="00141A6E" w:rsidRPr="00325509" w:rsidRDefault="00141A6E" w:rsidP="00141A6E">
      <w:pPr>
        <w:rPr>
          <w:szCs w:val="22"/>
          <w:lang w:val="fr-FR"/>
        </w:rPr>
      </w:pPr>
    </w:p>
    <w:p w:rsidR="00141A6E" w:rsidRPr="00325509" w:rsidRDefault="00141A6E" w:rsidP="00141A6E">
      <w:pPr>
        <w:rPr>
          <w:szCs w:val="22"/>
          <w:lang w:val="fr-FR"/>
        </w:rPr>
      </w:pPr>
      <w:r w:rsidRPr="00325509">
        <w:rPr>
          <w:szCs w:val="22"/>
          <w:lang w:val="fr-FR"/>
        </w:rPr>
        <w:t>Membres </w:t>
      </w:r>
      <w:proofErr w:type="gramStart"/>
      <w:r w:rsidRPr="00325509">
        <w:rPr>
          <w:szCs w:val="22"/>
          <w:lang w:val="fr-FR"/>
        </w:rPr>
        <w:t>: le</w:t>
      </w:r>
      <w:proofErr w:type="gramEnd"/>
      <w:r w:rsidRPr="00325509">
        <w:rPr>
          <w:szCs w:val="22"/>
          <w:lang w:val="fr-FR"/>
        </w:rPr>
        <w:t> CII est constitué d’entités de la Suisse et de la Fédération de Russie.</w:t>
      </w:r>
    </w:p>
    <w:p w:rsidR="00141A6E" w:rsidRPr="00325509" w:rsidRDefault="00141A6E" w:rsidP="00141A6E">
      <w:pPr>
        <w:rPr>
          <w:szCs w:val="22"/>
          <w:lang w:val="fr-FR"/>
        </w:rPr>
      </w:pPr>
    </w:p>
    <w:p w:rsidR="00141A6E" w:rsidRPr="00325509" w:rsidRDefault="00141A6E" w:rsidP="00141A6E">
      <w:pPr>
        <w:rPr>
          <w:szCs w:val="22"/>
          <w:lang w:val="fr-FR"/>
        </w:rPr>
      </w:pPr>
    </w:p>
    <w:p w:rsidR="00141A6E" w:rsidRPr="00325509" w:rsidRDefault="00141A6E" w:rsidP="00141A6E">
      <w:pPr>
        <w:rPr>
          <w:szCs w:val="22"/>
          <w:u w:val="single"/>
          <w:lang w:val="fr-FR"/>
        </w:rPr>
      </w:pPr>
      <w:proofErr w:type="spellStart"/>
      <w:r w:rsidRPr="00325509">
        <w:rPr>
          <w:szCs w:val="22"/>
          <w:u w:val="single"/>
          <w:lang w:val="fr-FR"/>
        </w:rPr>
        <w:t>Medicines</w:t>
      </w:r>
      <w:proofErr w:type="spellEnd"/>
      <w:r w:rsidRPr="00325509">
        <w:rPr>
          <w:szCs w:val="22"/>
          <w:u w:val="single"/>
          <w:lang w:val="fr-FR"/>
        </w:rPr>
        <w:t xml:space="preserve"> for </w:t>
      </w:r>
      <w:proofErr w:type="spellStart"/>
      <w:r w:rsidRPr="00325509">
        <w:rPr>
          <w:szCs w:val="22"/>
          <w:u w:val="single"/>
          <w:lang w:val="fr-FR"/>
        </w:rPr>
        <w:t>Africa</w:t>
      </w:r>
      <w:proofErr w:type="spellEnd"/>
    </w:p>
    <w:p w:rsidR="00141A6E" w:rsidRPr="00325509" w:rsidRDefault="00141A6E" w:rsidP="00141A6E">
      <w:pPr>
        <w:rPr>
          <w:smallCaps/>
          <w:szCs w:val="22"/>
          <w:u w:val="single"/>
          <w:lang w:val="fr-FR"/>
        </w:rPr>
      </w:pPr>
    </w:p>
    <w:p w:rsidR="00141A6E" w:rsidRPr="00325509" w:rsidRDefault="00141A6E" w:rsidP="00141A6E">
      <w:pPr>
        <w:rPr>
          <w:szCs w:val="22"/>
          <w:lang w:val="fr-FR"/>
        </w:rPr>
      </w:pPr>
      <w:r w:rsidRPr="00325509">
        <w:rPr>
          <w:szCs w:val="22"/>
          <w:lang w:val="fr-FR"/>
        </w:rPr>
        <w:t>Siège </w:t>
      </w:r>
      <w:proofErr w:type="gramStart"/>
      <w:r w:rsidRPr="00325509">
        <w:rPr>
          <w:lang w:val="fr-FR"/>
        </w:rPr>
        <w:t>:</w:t>
      </w:r>
      <w:r w:rsidRPr="00325509">
        <w:rPr>
          <w:szCs w:val="22"/>
          <w:lang w:val="fr-FR"/>
        </w:rPr>
        <w:t xml:space="preserve"> </w:t>
      </w:r>
      <w:proofErr w:type="spellStart"/>
      <w:r w:rsidRPr="00325509">
        <w:rPr>
          <w:szCs w:val="22"/>
          <w:lang w:val="fr-FR"/>
        </w:rPr>
        <w:t>Medicines</w:t>
      </w:r>
      <w:proofErr w:type="spellEnd"/>
      <w:proofErr w:type="gramEnd"/>
      <w:r w:rsidRPr="00325509">
        <w:rPr>
          <w:szCs w:val="22"/>
          <w:lang w:val="fr-FR"/>
        </w:rPr>
        <w:t xml:space="preserve"> for </w:t>
      </w:r>
      <w:proofErr w:type="spellStart"/>
      <w:r w:rsidRPr="00325509">
        <w:rPr>
          <w:szCs w:val="22"/>
          <w:lang w:val="fr-FR"/>
        </w:rPr>
        <w:t>Africa</w:t>
      </w:r>
      <w:proofErr w:type="spellEnd"/>
      <w:r w:rsidRPr="00325509">
        <w:rPr>
          <w:szCs w:val="22"/>
          <w:lang w:val="fr-FR"/>
        </w:rPr>
        <w:t xml:space="preserve"> a son siège à Genève (Suisse) et est enregistrée au Royaume</w:t>
      </w:r>
      <w:r w:rsidRPr="00325509">
        <w:rPr>
          <w:szCs w:val="22"/>
          <w:lang w:val="fr-FR"/>
        </w:rPr>
        <w:noBreakHyphen/>
        <w:t>Uni.</w:t>
      </w:r>
    </w:p>
    <w:p w:rsidR="00141A6E" w:rsidRPr="00325509" w:rsidRDefault="00141A6E" w:rsidP="00141A6E">
      <w:pPr>
        <w:rPr>
          <w:szCs w:val="22"/>
          <w:lang w:val="fr-FR"/>
        </w:rPr>
      </w:pPr>
    </w:p>
    <w:p w:rsidR="00141A6E" w:rsidRPr="00325509" w:rsidRDefault="00141A6E" w:rsidP="00141A6E">
      <w:pPr>
        <w:rPr>
          <w:szCs w:val="22"/>
          <w:lang w:val="fr-FR"/>
        </w:rPr>
      </w:pPr>
      <w:r w:rsidRPr="00325509">
        <w:rPr>
          <w:szCs w:val="22"/>
          <w:lang w:val="fr-FR"/>
        </w:rPr>
        <w:t>Objectifs </w:t>
      </w:r>
      <w:proofErr w:type="gramStart"/>
      <w:r w:rsidRPr="00325509">
        <w:rPr>
          <w:szCs w:val="22"/>
          <w:lang w:val="fr-FR"/>
        </w:rPr>
        <w:t xml:space="preserve">: </w:t>
      </w:r>
      <w:proofErr w:type="spellStart"/>
      <w:r w:rsidRPr="00325509">
        <w:rPr>
          <w:szCs w:val="22"/>
          <w:lang w:val="fr-FR"/>
        </w:rPr>
        <w:t>Medicines</w:t>
      </w:r>
      <w:proofErr w:type="spellEnd"/>
      <w:proofErr w:type="gramEnd"/>
      <w:r w:rsidRPr="00325509">
        <w:rPr>
          <w:szCs w:val="22"/>
          <w:lang w:val="fr-FR"/>
        </w:rPr>
        <w:t xml:space="preserve"> for </w:t>
      </w:r>
      <w:proofErr w:type="spellStart"/>
      <w:r w:rsidRPr="00325509">
        <w:rPr>
          <w:szCs w:val="22"/>
          <w:lang w:val="fr-FR"/>
        </w:rPr>
        <w:t>Africa</w:t>
      </w:r>
      <w:proofErr w:type="spellEnd"/>
      <w:r w:rsidRPr="00325509">
        <w:rPr>
          <w:szCs w:val="22"/>
          <w:lang w:val="fr-FR"/>
        </w:rPr>
        <w:t xml:space="preserve"> vise à améliorer l’accès aux médicaments en favorisant l’achat à un coût avantageux de médicaments par les pays africains, à des prix comparables à ceux pratiqués sur le marché international pour les autres pays.  L’accent est mis sur les médicaments prioritaires dont l’achat et le développement ne font pas l’objet de mesures de soutien au niveau international.</w:t>
      </w:r>
    </w:p>
    <w:p w:rsidR="00141A6E" w:rsidRPr="00325509" w:rsidRDefault="00141A6E" w:rsidP="00141A6E">
      <w:pPr>
        <w:rPr>
          <w:szCs w:val="22"/>
          <w:lang w:val="fr-FR"/>
        </w:rPr>
      </w:pPr>
    </w:p>
    <w:p w:rsidR="00141A6E" w:rsidRPr="00325509" w:rsidRDefault="00141A6E" w:rsidP="00141A6E">
      <w:pPr>
        <w:rPr>
          <w:szCs w:val="22"/>
          <w:lang w:val="fr-FR"/>
        </w:rPr>
      </w:pPr>
      <w:r w:rsidRPr="00325509">
        <w:rPr>
          <w:szCs w:val="22"/>
          <w:lang w:val="fr-FR"/>
        </w:rPr>
        <w:t>Structure </w:t>
      </w:r>
      <w:proofErr w:type="gramStart"/>
      <w:r w:rsidRPr="00325509">
        <w:rPr>
          <w:szCs w:val="22"/>
          <w:lang w:val="fr-FR"/>
        </w:rPr>
        <w:t>: le</w:t>
      </w:r>
      <w:proofErr w:type="gramEnd"/>
      <w:r w:rsidRPr="00325509">
        <w:rPr>
          <w:szCs w:val="22"/>
          <w:lang w:val="fr-FR"/>
        </w:rPr>
        <w:t xml:space="preserve"> principal organe directeur est le conseil d’administration.</w:t>
      </w:r>
    </w:p>
    <w:p w:rsidR="00141A6E" w:rsidRPr="00325509" w:rsidRDefault="00141A6E" w:rsidP="00141A6E">
      <w:pPr>
        <w:rPr>
          <w:szCs w:val="22"/>
          <w:lang w:val="fr-FR"/>
        </w:rPr>
      </w:pPr>
    </w:p>
    <w:p w:rsidR="00141A6E" w:rsidRPr="00325509" w:rsidRDefault="00141A6E" w:rsidP="00141A6E">
      <w:pPr>
        <w:rPr>
          <w:szCs w:val="22"/>
          <w:lang w:val="fr-FR"/>
        </w:rPr>
      </w:pPr>
      <w:r w:rsidRPr="00325509">
        <w:rPr>
          <w:szCs w:val="22"/>
          <w:lang w:val="fr-FR"/>
        </w:rPr>
        <w:t>Membres </w:t>
      </w:r>
      <w:proofErr w:type="gramStart"/>
      <w:r w:rsidRPr="00325509">
        <w:rPr>
          <w:szCs w:val="22"/>
          <w:lang w:val="fr-FR"/>
        </w:rPr>
        <w:t xml:space="preserve">: </w:t>
      </w:r>
      <w:proofErr w:type="spellStart"/>
      <w:r w:rsidRPr="00325509">
        <w:rPr>
          <w:szCs w:val="22"/>
          <w:lang w:val="fr-FR"/>
        </w:rPr>
        <w:t>Medicines</w:t>
      </w:r>
      <w:proofErr w:type="spellEnd"/>
      <w:proofErr w:type="gramEnd"/>
      <w:r w:rsidRPr="00325509">
        <w:rPr>
          <w:szCs w:val="22"/>
          <w:lang w:val="fr-FR"/>
        </w:rPr>
        <w:t xml:space="preserve"> for </w:t>
      </w:r>
      <w:proofErr w:type="spellStart"/>
      <w:r w:rsidRPr="00325509">
        <w:rPr>
          <w:szCs w:val="22"/>
          <w:lang w:val="fr-FR"/>
        </w:rPr>
        <w:t>Africa</w:t>
      </w:r>
      <w:proofErr w:type="spellEnd"/>
      <w:r w:rsidRPr="00325509">
        <w:rPr>
          <w:szCs w:val="22"/>
          <w:lang w:val="fr-FR"/>
        </w:rPr>
        <w:t xml:space="preserve"> compte 9 membres individuels.</w:t>
      </w:r>
    </w:p>
    <w:p w:rsidR="00141A6E" w:rsidRPr="00325509" w:rsidRDefault="00141A6E" w:rsidP="00141A6E">
      <w:pPr>
        <w:pStyle w:val="Endofdocument-Annex"/>
        <w:rPr>
          <w:lang w:val="fr-FR"/>
        </w:rPr>
      </w:pPr>
    </w:p>
    <w:p w:rsidR="00141A6E" w:rsidRPr="00325509" w:rsidRDefault="00141A6E" w:rsidP="00141A6E">
      <w:pPr>
        <w:pStyle w:val="Endofdocument-Annex"/>
        <w:rPr>
          <w:lang w:val="fr-FR"/>
        </w:rPr>
      </w:pPr>
    </w:p>
    <w:p w:rsidR="00141A6E" w:rsidRPr="00325509" w:rsidRDefault="00141A6E" w:rsidP="00141A6E">
      <w:pPr>
        <w:pStyle w:val="Endofdocument-Annex"/>
        <w:rPr>
          <w:lang w:val="fr-FR"/>
        </w:rPr>
      </w:pPr>
    </w:p>
    <w:p w:rsidR="00141A6E" w:rsidRDefault="00141A6E" w:rsidP="00141A6E">
      <w:pPr>
        <w:pStyle w:val="Endofdocument-Annex"/>
        <w:rPr>
          <w:lang w:val="fr-FR"/>
        </w:rPr>
        <w:sectPr w:rsidR="00141A6E" w:rsidSect="00325509">
          <w:headerReference w:type="even" r:id="rId13"/>
          <w:headerReference w:type="default" r:id="rId14"/>
          <w:headerReference w:type="first" r:id="rId15"/>
          <w:footerReference w:type="first" r:id="rId16"/>
          <w:endnotePr>
            <w:numFmt w:val="decimal"/>
          </w:endnotePr>
          <w:pgSz w:w="11907" w:h="16840" w:code="9"/>
          <w:pgMar w:top="567" w:right="1134" w:bottom="1418" w:left="1418" w:header="510" w:footer="1021" w:gutter="0"/>
          <w:pgNumType w:start="1"/>
          <w:cols w:space="720"/>
          <w:titlePg/>
          <w:docGrid w:linePitch="299"/>
        </w:sectPr>
      </w:pPr>
      <w:r w:rsidRPr="00325509">
        <w:rPr>
          <w:lang w:val="fr-FR"/>
        </w:rPr>
        <w:t>[L’annexe II suit]</w:t>
      </w:r>
    </w:p>
    <w:p w:rsidR="00141A6E" w:rsidRPr="00325509" w:rsidRDefault="00141A6E" w:rsidP="00141A6E">
      <w:pPr>
        <w:rPr>
          <w:caps/>
          <w:lang w:val="fr-FR"/>
        </w:rPr>
      </w:pPr>
      <w:r w:rsidRPr="00325509">
        <w:rPr>
          <w:caps/>
          <w:lang w:val="fr-FR"/>
        </w:rPr>
        <w:lastRenderedPageBreak/>
        <w:t>Renseignements concernant les organisations non gouvernementales nationales (d’après les indications fournies par ces organisations)</w:t>
      </w:r>
    </w:p>
    <w:p w:rsidR="00141A6E" w:rsidRPr="00325509" w:rsidRDefault="00141A6E" w:rsidP="00141A6E">
      <w:pPr>
        <w:rPr>
          <w:szCs w:val="22"/>
          <w:lang w:val="fr-FR"/>
        </w:rPr>
      </w:pPr>
    </w:p>
    <w:p w:rsidR="00141A6E" w:rsidRPr="00325509" w:rsidRDefault="00141A6E" w:rsidP="00141A6E">
      <w:pPr>
        <w:rPr>
          <w:szCs w:val="22"/>
          <w:lang w:val="fr-FR"/>
        </w:rPr>
      </w:pPr>
    </w:p>
    <w:p w:rsidR="00141A6E" w:rsidRPr="00325509" w:rsidRDefault="00141A6E" w:rsidP="00141A6E">
      <w:pPr>
        <w:rPr>
          <w:szCs w:val="22"/>
          <w:u w:val="single"/>
          <w:lang w:val="fr-FR"/>
        </w:rPr>
      </w:pPr>
      <w:r w:rsidRPr="00325509">
        <w:rPr>
          <w:szCs w:val="22"/>
          <w:u w:val="single"/>
          <w:lang w:val="fr-FR"/>
        </w:rPr>
        <w:t>Association japonaise pour la propriété intellectuelle (</w:t>
      </w:r>
      <w:proofErr w:type="spellStart"/>
      <w:r w:rsidRPr="00325509">
        <w:rPr>
          <w:szCs w:val="22"/>
          <w:u w:val="single"/>
          <w:lang w:val="fr-FR"/>
        </w:rPr>
        <w:t>JIPA</w:t>
      </w:r>
      <w:proofErr w:type="spellEnd"/>
      <w:r w:rsidRPr="00325509">
        <w:rPr>
          <w:szCs w:val="22"/>
          <w:u w:val="single"/>
          <w:lang w:val="fr-FR"/>
        </w:rPr>
        <w:t>)</w:t>
      </w:r>
    </w:p>
    <w:p w:rsidR="00141A6E" w:rsidRPr="00325509" w:rsidRDefault="00141A6E" w:rsidP="00141A6E">
      <w:pPr>
        <w:rPr>
          <w:szCs w:val="22"/>
          <w:lang w:val="fr-FR"/>
        </w:rPr>
      </w:pPr>
    </w:p>
    <w:p w:rsidR="00141A6E" w:rsidRPr="00325509" w:rsidRDefault="00141A6E" w:rsidP="00141A6E">
      <w:pPr>
        <w:rPr>
          <w:szCs w:val="22"/>
          <w:lang w:val="fr-FR"/>
        </w:rPr>
      </w:pPr>
      <w:r w:rsidRPr="00325509">
        <w:rPr>
          <w:szCs w:val="22"/>
          <w:lang w:val="fr-FR"/>
        </w:rPr>
        <w:t>Siège </w:t>
      </w:r>
      <w:proofErr w:type="gramStart"/>
      <w:r w:rsidRPr="00325509">
        <w:rPr>
          <w:lang w:val="fr-FR"/>
        </w:rPr>
        <w:t>:</w:t>
      </w:r>
      <w:r w:rsidRPr="00325509">
        <w:rPr>
          <w:szCs w:val="22"/>
          <w:lang w:val="fr-FR"/>
        </w:rPr>
        <w:t xml:space="preserve"> créée</w:t>
      </w:r>
      <w:proofErr w:type="gramEnd"/>
      <w:r w:rsidRPr="00325509">
        <w:rPr>
          <w:szCs w:val="22"/>
          <w:lang w:val="fr-FR"/>
        </w:rPr>
        <w:t xml:space="preserve"> en 1938, la </w:t>
      </w:r>
      <w:proofErr w:type="spellStart"/>
      <w:r w:rsidRPr="00325509">
        <w:rPr>
          <w:szCs w:val="22"/>
          <w:lang w:val="fr-FR"/>
        </w:rPr>
        <w:t>JIPA</w:t>
      </w:r>
      <w:proofErr w:type="spellEnd"/>
      <w:r w:rsidRPr="00325509">
        <w:rPr>
          <w:szCs w:val="22"/>
          <w:lang w:val="fr-FR"/>
        </w:rPr>
        <w:t xml:space="preserve"> a son siège à Tokyo (Japon).</w:t>
      </w:r>
    </w:p>
    <w:p w:rsidR="00141A6E" w:rsidRPr="00325509" w:rsidRDefault="00141A6E" w:rsidP="00141A6E">
      <w:pPr>
        <w:rPr>
          <w:szCs w:val="22"/>
          <w:lang w:val="fr-FR"/>
        </w:rPr>
      </w:pPr>
    </w:p>
    <w:p w:rsidR="00141A6E" w:rsidRPr="00325509" w:rsidRDefault="00141A6E" w:rsidP="00141A6E">
      <w:pPr>
        <w:rPr>
          <w:szCs w:val="22"/>
          <w:lang w:val="fr-FR"/>
        </w:rPr>
      </w:pPr>
      <w:r w:rsidRPr="00325509">
        <w:rPr>
          <w:szCs w:val="22"/>
          <w:lang w:val="fr-FR"/>
        </w:rPr>
        <w:t>Objectifs </w:t>
      </w:r>
      <w:proofErr w:type="gramStart"/>
      <w:r w:rsidRPr="00325509">
        <w:rPr>
          <w:szCs w:val="22"/>
          <w:lang w:val="fr-FR"/>
        </w:rPr>
        <w:t>: la</w:t>
      </w:r>
      <w:proofErr w:type="gramEnd"/>
      <w:r w:rsidRPr="00325509">
        <w:rPr>
          <w:szCs w:val="22"/>
          <w:lang w:val="fr-FR"/>
        </w:rPr>
        <w:t> </w:t>
      </w:r>
      <w:proofErr w:type="spellStart"/>
      <w:r w:rsidRPr="00325509">
        <w:rPr>
          <w:szCs w:val="22"/>
          <w:lang w:val="fr-FR"/>
        </w:rPr>
        <w:t>JIPA</w:t>
      </w:r>
      <w:proofErr w:type="spellEnd"/>
      <w:r w:rsidRPr="00325509">
        <w:rPr>
          <w:szCs w:val="22"/>
          <w:lang w:val="fr-FR"/>
        </w:rPr>
        <w:t xml:space="preserve"> vise à contribuer aux activités de ses membres en s’attachant à utiliser pleinement et à améliorer les systèmes de propriété intellectuelle.  Elle entend aussi contribuer au progrès de la technologie et à l’essor de l’industrie.</w:t>
      </w:r>
    </w:p>
    <w:p w:rsidR="00141A6E" w:rsidRPr="00325509" w:rsidRDefault="00141A6E" w:rsidP="00141A6E">
      <w:pPr>
        <w:rPr>
          <w:szCs w:val="22"/>
          <w:lang w:val="fr-FR"/>
        </w:rPr>
      </w:pPr>
    </w:p>
    <w:p w:rsidR="00141A6E" w:rsidRPr="00325509" w:rsidRDefault="00141A6E" w:rsidP="00141A6E">
      <w:pPr>
        <w:rPr>
          <w:iCs/>
          <w:szCs w:val="22"/>
          <w:lang w:val="fr-FR"/>
        </w:rPr>
      </w:pPr>
      <w:r w:rsidRPr="00325509">
        <w:rPr>
          <w:szCs w:val="22"/>
          <w:lang w:val="fr-FR"/>
        </w:rPr>
        <w:t>Structure </w:t>
      </w:r>
      <w:proofErr w:type="gramStart"/>
      <w:r w:rsidRPr="00325509">
        <w:rPr>
          <w:szCs w:val="22"/>
          <w:lang w:val="fr-FR"/>
        </w:rPr>
        <w:t>: l’organe</w:t>
      </w:r>
      <w:proofErr w:type="gramEnd"/>
      <w:r w:rsidRPr="00325509">
        <w:rPr>
          <w:szCs w:val="22"/>
          <w:lang w:val="fr-FR"/>
        </w:rPr>
        <w:t xml:space="preserve"> directeur de la </w:t>
      </w:r>
      <w:proofErr w:type="spellStart"/>
      <w:r w:rsidRPr="00325509">
        <w:rPr>
          <w:szCs w:val="22"/>
          <w:lang w:val="fr-FR"/>
        </w:rPr>
        <w:t>JIPA</w:t>
      </w:r>
      <w:proofErr w:type="spellEnd"/>
      <w:r w:rsidRPr="00325509">
        <w:rPr>
          <w:szCs w:val="22"/>
          <w:lang w:val="fr-FR"/>
        </w:rPr>
        <w:t xml:space="preserve"> est un conseil, composé d’un président et d’un </w:t>
      </w:r>
      <w:r w:rsidRPr="00325509">
        <w:rPr>
          <w:iCs/>
          <w:szCs w:val="22"/>
          <w:lang w:val="fr-FR"/>
        </w:rPr>
        <w:t>vice</w:t>
      </w:r>
      <w:r w:rsidRPr="00325509">
        <w:rPr>
          <w:iCs/>
          <w:szCs w:val="22"/>
          <w:lang w:val="fr-FR"/>
        </w:rPr>
        <w:noBreakHyphen/>
        <w:t>président.</w:t>
      </w:r>
    </w:p>
    <w:p w:rsidR="00141A6E" w:rsidRPr="00325509" w:rsidRDefault="00141A6E" w:rsidP="00141A6E">
      <w:pPr>
        <w:rPr>
          <w:iCs/>
          <w:szCs w:val="22"/>
          <w:lang w:val="fr-FR"/>
        </w:rPr>
      </w:pPr>
    </w:p>
    <w:p w:rsidR="00141A6E" w:rsidRPr="00325509" w:rsidRDefault="00141A6E" w:rsidP="00141A6E">
      <w:pPr>
        <w:rPr>
          <w:szCs w:val="22"/>
          <w:lang w:val="fr-FR"/>
        </w:rPr>
      </w:pPr>
      <w:r w:rsidRPr="00325509">
        <w:rPr>
          <w:szCs w:val="22"/>
          <w:lang w:val="fr-FR"/>
        </w:rPr>
        <w:t>Membres </w:t>
      </w:r>
      <w:proofErr w:type="gramStart"/>
      <w:r w:rsidRPr="00325509">
        <w:rPr>
          <w:szCs w:val="22"/>
          <w:lang w:val="fr-FR"/>
        </w:rPr>
        <w:t>: la</w:t>
      </w:r>
      <w:proofErr w:type="gramEnd"/>
      <w:r w:rsidRPr="00325509">
        <w:rPr>
          <w:szCs w:val="22"/>
          <w:lang w:val="fr-FR"/>
        </w:rPr>
        <w:t> </w:t>
      </w:r>
      <w:proofErr w:type="spellStart"/>
      <w:r w:rsidRPr="00325509">
        <w:rPr>
          <w:szCs w:val="22"/>
          <w:lang w:val="fr-FR"/>
        </w:rPr>
        <w:t>JIPA</w:t>
      </w:r>
      <w:proofErr w:type="spellEnd"/>
      <w:r w:rsidRPr="00325509">
        <w:rPr>
          <w:szCs w:val="22"/>
          <w:lang w:val="fr-FR"/>
        </w:rPr>
        <w:t xml:space="preserve"> compte approximativement 1200 membres, répartis en deux catégories : les membres ordinaires et les membres associés.  Les membres ordinaires consistent en plus de 900 sociétés qui créent et protègent des actifs de propriété intellectuelle.  Les membres associés, qui sont plus de 300, consistent en des études d’avocats et des cabinets de conseils en brevets.</w:t>
      </w:r>
    </w:p>
    <w:p w:rsidR="00141A6E" w:rsidRPr="00325509" w:rsidRDefault="00141A6E" w:rsidP="00141A6E">
      <w:pPr>
        <w:rPr>
          <w:lang w:val="fr-FR"/>
        </w:rPr>
      </w:pPr>
    </w:p>
    <w:p w:rsidR="00141A6E" w:rsidRPr="00325509" w:rsidRDefault="00141A6E" w:rsidP="00141A6E">
      <w:pPr>
        <w:rPr>
          <w:lang w:val="fr-FR"/>
        </w:rPr>
      </w:pPr>
    </w:p>
    <w:p w:rsidR="00141A6E" w:rsidRPr="00325509" w:rsidRDefault="00141A6E" w:rsidP="00141A6E">
      <w:pPr>
        <w:rPr>
          <w:u w:val="single"/>
          <w:lang w:val="fr-FR"/>
        </w:rPr>
      </w:pPr>
      <w:proofErr w:type="spellStart"/>
      <w:r w:rsidRPr="00325509">
        <w:rPr>
          <w:u w:val="single"/>
          <w:lang w:val="fr-FR"/>
        </w:rPr>
        <w:t>Fundación</w:t>
      </w:r>
      <w:proofErr w:type="spellEnd"/>
      <w:r w:rsidRPr="00325509">
        <w:rPr>
          <w:u w:val="single"/>
          <w:lang w:val="fr-FR"/>
        </w:rPr>
        <w:t xml:space="preserve"> </w:t>
      </w:r>
      <w:proofErr w:type="spellStart"/>
      <w:r w:rsidRPr="00325509">
        <w:rPr>
          <w:u w:val="single"/>
          <w:lang w:val="fr-FR"/>
        </w:rPr>
        <w:t>Karisma</w:t>
      </w:r>
      <w:proofErr w:type="spellEnd"/>
      <w:r w:rsidRPr="00325509">
        <w:rPr>
          <w:u w:val="single"/>
          <w:lang w:val="fr-FR"/>
        </w:rPr>
        <w:t xml:space="preserve"> (</w:t>
      </w:r>
      <w:proofErr w:type="spellStart"/>
      <w:r w:rsidRPr="00325509">
        <w:rPr>
          <w:u w:val="single"/>
          <w:lang w:val="fr-FR"/>
        </w:rPr>
        <w:t>Karisma</w:t>
      </w:r>
      <w:proofErr w:type="spellEnd"/>
      <w:r w:rsidRPr="00325509">
        <w:rPr>
          <w:u w:val="single"/>
          <w:lang w:val="fr-FR"/>
        </w:rPr>
        <w:t>)</w:t>
      </w:r>
    </w:p>
    <w:p w:rsidR="00141A6E" w:rsidRPr="00325509" w:rsidRDefault="00141A6E" w:rsidP="00141A6E">
      <w:pPr>
        <w:rPr>
          <w:u w:val="single"/>
          <w:lang w:val="fr-FR"/>
        </w:rPr>
      </w:pPr>
    </w:p>
    <w:p w:rsidR="00141A6E" w:rsidRPr="00325509" w:rsidRDefault="00141A6E" w:rsidP="00141A6E">
      <w:pPr>
        <w:rPr>
          <w:lang w:val="fr-FR"/>
        </w:rPr>
      </w:pPr>
      <w:r w:rsidRPr="00325509">
        <w:rPr>
          <w:lang w:val="fr-FR"/>
        </w:rPr>
        <w:t>Siège </w:t>
      </w:r>
      <w:proofErr w:type="gramStart"/>
      <w:r w:rsidRPr="00325509">
        <w:rPr>
          <w:lang w:val="fr-FR"/>
        </w:rPr>
        <w:t xml:space="preserve">: </w:t>
      </w:r>
      <w:proofErr w:type="spellStart"/>
      <w:r w:rsidRPr="00325509">
        <w:rPr>
          <w:lang w:val="fr-FR"/>
        </w:rPr>
        <w:t>Karisma</w:t>
      </w:r>
      <w:proofErr w:type="spellEnd"/>
      <w:proofErr w:type="gramEnd"/>
      <w:r w:rsidRPr="00325509">
        <w:rPr>
          <w:lang w:val="fr-FR"/>
        </w:rPr>
        <w:t xml:space="preserve"> a été fondée en 2003 à Bogota (Colombie).</w:t>
      </w:r>
    </w:p>
    <w:p w:rsidR="00141A6E" w:rsidRPr="00325509" w:rsidRDefault="00141A6E" w:rsidP="00141A6E">
      <w:pPr>
        <w:rPr>
          <w:lang w:val="fr-FR"/>
        </w:rPr>
      </w:pPr>
    </w:p>
    <w:p w:rsidR="00141A6E" w:rsidRPr="00325509" w:rsidRDefault="00141A6E" w:rsidP="00141A6E">
      <w:pPr>
        <w:rPr>
          <w:lang w:val="fr-FR"/>
        </w:rPr>
      </w:pPr>
      <w:r w:rsidRPr="00325509">
        <w:rPr>
          <w:lang w:val="fr-FR"/>
        </w:rPr>
        <w:t>Objectifs </w:t>
      </w:r>
      <w:proofErr w:type="gramStart"/>
      <w:r w:rsidRPr="00325509">
        <w:rPr>
          <w:lang w:val="fr-FR"/>
        </w:rPr>
        <w:t xml:space="preserve">: </w:t>
      </w:r>
      <w:proofErr w:type="spellStart"/>
      <w:r w:rsidRPr="00325509">
        <w:rPr>
          <w:lang w:val="fr-FR"/>
        </w:rPr>
        <w:t>Karisma</w:t>
      </w:r>
      <w:proofErr w:type="spellEnd"/>
      <w:proofErr w:type="gramEnd"/>
      <w:r w:rsidRPr="00325509">
        <w:rPr>
          <w:lang w:val="fr-FR"/>
        </w:rPr>
        <w:t xml:space="preserve"> a pour but principal de veiller à ce que ceux qui en ont le plus besoin bénéficient des avantages de la technologie, et de faire en sorte que les avancées technologiques contribuent à la promotion des droits de l’homme, à l’égalité des sexes et à la justice sociale.  </w:t>
      </w:r>
      <w:proofErr w:type="spellStart"/>
      <w:r w:rsidRPr="00325509">
        <w:rPr>
          <w:lang w:val="fr-FR"/>
        </w:rPr>
        <w:t>Karisma</w:t>
      </w:r>
      <w:proofErr w:type="spellEnd"/>
      <w:r w:rsidRPr="00325509">
        <w:rPr>
          <w:lang w:val="fr-FR"/>
        </w:rPr>
        <w:t xml:space="preserve"> aborde l’analyse des opportunités et des risques sous de multiples perspectives “juridiques, technologiques, sociales et économiques” et y répond en collaboration avec les partenaires locaux, régionaux et internationaux.</w:t>
      </w:r>
    </w:p>
    <w:p w:rsidR="00141A6E" w:rsidRPr="00325509" w:rsidRDefault="00141A6E" w:rsidP="00141A6E">
      <w:pPr>
        <w:rPr>
          <w:lang w:val="fr-FR"/>
        </w:rPr>
      </w:pPr>
    </w:p>
    <w:p w:rsidR="00141A6E" w:rsidRPr="00325509" w:rsidRDefault="00141A6E" w:rsidP="00141A6E">
      <w:pPr>
        <w:rPr>
          <w:lang w:val="fr-FR"/>
        </w:rPr>
      </w:pPr>
      <w:r w:rsidRPr="00325509">
        <w:rPr>
          <w:lang w:val="fr-FR"/>
        </w:rPr>
        <w:t>Structure </w:t>
      </w:r>
      <w:proofErr w:type="gramStart"/>
      <w:r w:rsidRPr="00325509">
        <w:rPr>
          <w:lang w:val="fr-FR"/>
        </w:rPr>
        <w:t>: l’assemblée</w:t>
      </w:r>
      <w:proofErr w:type="gramEnd"/>
      <w:r w:rsidRPr="00325509">
        <w:rPr>
          <w:lang w:val="fr-FR"/>
        </w:rPr>
        <w:t xml:space="preserve"> regroupe tous les membres et constitue le principal organe directeur.  La fondation est dirigée par un conseil d’administration, composé de cinq membres, dont le directeur, le président et un vérificateur des comptes.</w:t>
      </w:r>
    </w:p>
    <w:p w:rsidR="00141A6E" w:rsidRPr="00325509" w:rsidRDefault="00141A6E" w:rsidP="00141A6E">
      <w:pPr>
        <w:rPr>
          <w:lang w:val="fr-FR"/>
        </w:rPr>
      </w:pPr>
    </w:p>
    <w:p w:rsidR="00141A6E" w:rsidRPr="00325509" w:rsidRDefault="00141A6E" w:rsidP="00141A6E">
      <w:pPr>
        <w:rPr>
          <w:lang w:val="fr-FR"/>
        </w:rPr>
      </w:pPr>
      <w:r w:rsidRPr="00325509">
        <w:rPr>
          <w:lang w:val="fr-FR"/>
        </w:rPr>
        <w:t>Membres </w:t>
      </w:r>
      <w:proofErr w:type="gramStart"/>
      <w:r w:rsidRPr="00325509">
        <w:rPr>
          <w:lang w:val="fr-FR"/>
        </w:rPr>
        <w:t xml:space="preserve">: </w:t>
      </w:r>
      <w:proofErr w:type="spellStart"/>
      <w:r w:rsidRPr="00325509">
        <w:rPr>
          <w:lang w:val="fr-FR"/>
        </w:rPr>
        <w:t>Karisma</w:t>
      </w:r>
      <w:proofErr w:type="spellEnd"/>
      <w:proofErr w:type="gramEnd"/>
      <w:r w:rsidRPr="00325509">
        <w:rPr>
          <w:lang w:val="fr-FR"/>
        </w:rPr>
        <w:t xml:space="preserve"> compte 13 membres individuels.</w:t>
      </w:r>
    </w:p>
    <w:p w:rsidR="00141A6E" w:rsidRPr="00325509" w:rsidRDefault="00141A6E" w:rsidP="00141A6E">
      <w:pPr>
        <w:pStyle w:val="Endofdocument-Annex"/>
        <w:rPr>
          <w:lang w:val="fr-FR"/>
        </w:rPr>
      </w:pPr>
    </w:p>
    <w:p w:rsidR="00141A6E" w:rsidRPr="00325509" w:rsidRDefault="00141A6E" w:rsidP="00141A6E">
      <w:pPr>
        <w:pStyle w:val="Endofdocument-Annex"/>
        <w:rPr>
          <w:lang w:val="fr-FR"/>
        </w:rPr>
      </w:pPr>
    </w:p>
    <w:p w:rsidR="00141A6E" w:rsidRPr="00325509" w:rsidRDefault="00141A6E" w:rsidP="00141A6E">
      <w:pPr>
        <w:pStyle w:val="Endofdocument-Annex"/>
        <w:rPr>
          <w:lang w:val="fr-FR"/>
        </w:rPr>
      </w:pPr>
    </w:p>
    <w:p w:rsidR="000F5E56" w:rsidRDefault="00141A6E" w:rsidP="00141A6E">
      <w:pPr>
        <w:pStyle w:val="Endofdocument-Annex"/>
      </w:pPr>
      <w:r w:rsidRPr="00325509">
        <w:rPr>
          <w:lang w:val="fr-FR"/>
        </w:rPr>
        <w:t>[Fin de l’annexe II et du document]</w:t>
      </w:r>
    </w:p>
    <w:sectPr w:rsidR="000F5E56" w:rsidSect="00325509">
      <w:headerReference w:type="first" r:id="rId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A6E" w:rsidRDefault="00141A6E" w:rsidP="00141A6E">
      <w:r>
        <w:separator/>
      </w:r>
    </w:p>
  </w:endnote>
  <w:endnote w:type="continuationSeparator" w:id="0">
    <w:p w:rsidR="00141A6E" w:rsidRDefault="00141A6E" w:rsidP="00141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A6E" w:rsidRPr="00141A6E" w:rsidRDefault="00141A6E" w:rsidP="00141A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A6E" w:rsidRDefault="00141A6E" w:rsidP="00141A6E">
      <w:r>
        <w:separator/>
      </w:r>
    </w:p>
  </w:footnote>
  <w:footnote w:type="continuationSeparator" w:id="0">
    <w:p w:rsidR="00141A6E" w:rsidRDefault="00141A6E" w:rsidP="00141A6E">
      <w:r>
        <w:continuationSeparator/>
      </w:r>
    </w:p>
  </w:footnote>
  <w:footnote w:id="1">
    <w:p w:rsidR="005A6EAD" w:rsidRPr="005A6EAD" w:rsidRDefault="005A6EAD">
      <w:pPr>
        <w:pStyle w:val="FootnoteText"/>
        <w:rPr>
          <w:lang w:val="fr-CH"/>
        </w:rPr>
      </w:pPr>
      <w:r>
        <w:rPr>
          <w:rStyle w:val="FootnoteReference"/>
        </w:rPr>
        <w:footnoteRef/>
      </w:r>
      <w:r>
        <w:t xml:space="preserve"> </w:t>
      </w:r>
      <w:r>
        <w:rPr>
          <w:lang w:val="fr-CH"/>
        </w:rPr>
        <w:tab/>
      </w:r>
      <w:r w:rsidRPr="00DA5D74">
        <w:rPr>
          <w:lang w:val="fr-FR"/>
        </w:rPr>
        <w:t>Une r</w:t>
      </w:r>
      <w:r>
        <w:rPr>
          <w:lang w:val="fr-FR"/>
        </w:rPr>
        <w:t>é</w:t>
      </w:r>
      <w:r w:rsidRPr="00DA5D74">
        <w:rPr>
          <w:lang w:val="fr-FR"/>
        </w:rPr>
        <w:t xml:space="preserve">vision du </w:t>
      </w:r>
      <w:r>
        <w:rPr>
          <w:lang w:val="fr-FR"/>
        </w:rPr>
        <w:t xml:space="preserve">présent document est nécessaire en raison du </w:t>
      </w:r>
      <w:r>
        <w:rPr>
          <w:lang w:val="fr-FR"/>
        </w:rPr>
        <w:t>fait qu’</w:t>
      </w:r>
      <w:r>
        <w:rPr>
          <w:lang w:val="fr-FR"/>
        </w:rPr>
        <w:t xml:space="preserve">une organisation non gouvernementale nationale </w:t>
      </w:r>
      <w:r>
        <w:rPr>
          <w:lang w:val="fr-FR"/>
        </w:rPr>
        <w:t>a retiré</w:t>
      </w:r>
      <w:r>
        <w:rPr>
          <w:lang w:val="fr-FR"/>
        </w:rPr>
        <w:t xml:space="preserve"> sa demande d’octroi du statut d’observateur permanent auprès de l’OMPI</w:t>
      </w:r>
      <w:r>
        <w:rPr>
          <w:lang w:val="fr-FR"/>
        </w:rPr>
        <w:t xml:space="preserve"> le 27 septembre 2016</w:t>
      </w:r>
      <w:bookmarkStart w:id="1" w:name="_GoBack"/>
      <w:bookmarkEnd w:id="1"/>
      <w:r>
        <w:rPr>
          <w:lang w:val="fr-FR"/>
        </w:rPr>
        <w:t>.</w:t>
      </w:r>
    </w:p>
  </w:footnote>
  <w:footnote w:id="2">
    <w:p w:rsidR="00141A6E" w:rsidRPr="00DA5D74" w:rsidRDefault="00141A6E" w:rsidP="00141A6E">
      <w:pPr>
        <w:pStyle w:val="FootnoteText"/>
        <w:rPr>
          <w:lang w:val="fr-FR"/>
        </w:rPr>
      </w:pPr>
      <w:r w:rsidRPr="00DA5D74">
        <w:rPr>
          <w:rStyle w:val="FootnoteReference"/>
          <w:lang w:val="fr-FR"/>
        </w:rPr>
        <w:footnoteRef/>
      </w:r>
      <w:r w:rsidRPr="00DA5D74">
        <w:rPr>
          <w:lang w:val="fr-FR"/>
        </w:rPr>
        <w:t xml:space="preserve"> </w:t>
      </w:r>
      <w:r w:rsidRPr="00DA5D74">
        <w:rPr>
          <w:lang w:val="fr-FR"/>
        </w:rPr>
        <w:tab/>
        <w:t>Le paragraphe 316 du document A/37/14 énonce les principes applicables à l’invitation d’organisations non gouvernementales nationales en qualité d’observatrices, tels qu’adoptés par les assemblées à leur trente</w:t>
      </w:r>
      <w:r w:rsidRPr="00DA5D74">
        <w:rPr>
          <w:lang w:val="fr-FR"/>
        </w:rPr>
        <w:noBreakHyphen/>
        <w:t>septième série de réunions tenue du 23 septembre au 1</w:t>
      </w:r>
      <w:r w:rsidRPr="00DA5D74">
        <w:rPr>
          <w:vertAlign w:val="superscript"/>
          <w:lang w:val="fr-FR"/>
        </w:rPr>
        <w:t>er</w:t>
      </w:r>
      <w:r w:rsidRPr="00DA5D74">
        <w:rPr>
          <w:lang w:val="fr-FR"/>
        </w:rPr>
        <w:t> octobre 2002.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A6E" w:rsidRDefault="00141A6E" w:rsidP="009256DA">
    <w:pPr>
      <w:jc w:val="right"/>
    </w:pPr>
    <w:r>
      <w:t>A/56/2 Rev.</w:t>
    </w:r>
  </w:p>
  <w:p w:rsidR="00141A6E" w:rsidRDefault="00141A6E" w:rsidP="009256DA">
    <w:pPr>
      <w:jc w:val="right"/>
    </w:pPr>
    <w:proofErr w:type="gramStart"/>
    <w:r>
      <w:t>page</w:t>
    </w:r>
    <w:proofErr w:type="gramEnd"/>
    <w:r>
      <w:t xml:space="preserve"> </w:t>
    </w:r>
    <w:r>
      <w:fldChar w:fldCharType="begin"/>
    </w:r>
    <w:r>
      <w:instrText>PAGE   \* MERGEFORMAT</w:instrText>
    </w:r>
    <w:r>
      <w:fldChar w:fldCharType="separate"/>
    </w:r>
    <w:r w:rsidR="00D565EB" w:rsidRPr="00D565EB">
      <w:rPr>
        <w:noProof/>
        <w:lang w:val="fr-FR"/>
      </w:rPr>
      <w:t>1</w:t>
    </w:r>
    <w:r>
      <w:fldChar w:fldCharType="end"/>
    </w:r>
  </w:p>
  <w:p w:rsidR="00141A6E" w:rsidRDefault="00141A6E" w:rsidP="009256DA">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A6E" w:rsidRDefault="00141A6E" w:rsidP="00141A6E">
    <w:pPr>
      <w:pStyle w:val="Header"/>
      <w:jc w:val="right"/>
    </w:pPr>
    <w:r>
      <w:t>A/56/2 Rev.</w:t>
    </w:r>
  </w:p>
  <w:p w:rsidR="00141A6E" w:rsidRDefault="00141A6E" w:rsidP="00141A6E">
    <w:pPr>
      <w:pStyle w:val="Header"/>
      <w:jc w:val="right"/>
    </w:pPr>
    <w:proofErr w:type="gramStart"/>
    <w:r>
      <w:t>page</w:t>
    </w:r>
    <w:proofErr w:type="gramEnd"/>
    <w:r>
      <w:t> </w:t>
    </w:r>
    <w:r>
      <w:fldChar w:fldCharType="begin"/>
    </w:r>
    <w:r>
      <w:instrText>PAGE   \* MERGEFORMAT</w:instrText>
    </w:r>
    <w:r>
      <w:fldChar w:fldCharType="separate"/>
    </w:r>
    <w:r w:rsidR="005A6EAD" w:rsidRPr="005A6EAD">
      <w:rPr>
        <w:noProof/>
        <w:lang w:val="fr-FR"/>
      </w:rPr>
      <w:t>2</w:t>
    </w:r>
    <w:r>
      <w:fldChar w:fldCharType="end"/>
    </w:r>
  </w:p>
  <w:p w:rsidR="00141A6E" w:rsidRDefault="00141A6E" w:rsidP="00141A6E">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A6E" w:rsidRDefault="00141A6E" w:rsidP="005A2F2B">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A6E" w:rsidRDefault="00141A6E" w:rsidP="009256DA">
    <w:pPr>
      <w:jc w:val="right"/>
    </w:pPr>
    <w:r>
      <w:t>A/56/2</w:t>
    </w:r>
  </w:p>
  <w:p w:rsidR="00141A6E" w:rsidRDefault="00141A6E" w:rsidP="009256DA">
    <w:pPr>
      <w:jc w:val="right"/>
    </w:pPr>
    <w:proofErr w:type="spellStart"/>
    <w:r>
      <w:t>Annexe</w:t>
    </w:r>
    <w:proofErr w:type="spellEnd"/>
    <w:r>
      <w:t> II, page </w:t>
    </w:r>
    <w:r>
      <w:fldChar w:fldCharType="begin"/>
    </w:r>
    <w:r>
      <w:instrText>PAGE   \* MERGEFORMAT</w:instrText>
    </w:r>
    <w:r>
      <w:fldChar w:fldCharType="separate"/>
    </w:r>
    <w:r w:rsidR="00D565EB" w:rsidRPr="00D565EB">
      <w:rPr>
        <w:noProof/>
        <w:lang w:val="fr-FR"/>
      </w:rPr>
      <w:t>1</w:t>
    </w:r>
    <w:r>
      <w:fldChar w:fldCharType="end"/>
    </w:r>
  </w:p>
  <w:p w:rsidR="00141A6E" w:rsidRDefault="00141A6E" w:rsidP="00B65D6F">
    <w:pPr>
      <w:tabs>
        <w:tab w:val="left" w:pos="6226"/>
      </w:tabs>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A6E" w:rsidRDefault="00141A6E" w:rsidP="003D394D">
    <w:pPr>
      <w:pStyle w:val="Header"/>
      <w:jc w:val="right"/>
    </w:pPr>
    <w:r>
      <w:t>A/56/2</w:t>
    </w:r>
  </w:p>
  <w:p w:rsidR="00141A6E" w:rsidRDefault="00141A6E" w:rsidP="003D394D">
    <w:pPr>
      <w:pStyle w:val="Header"/>
      <w:jc w:val="right"/>
    </w:pPr>
    <w:proofErr w:type="spellStart"/>
    <w:r>
      <w:t>Annexe</w:t>
    </w:r>
    <w:proofErr w:type="spellEnd"/>
    <w:r>
      <w:t> II, page </w:t>
    </w:r>
    <w:r>
      <w:fldChar w:fldCharType="begin"/>
    </w:r>
    <w:r>
      <w:instrText>PAGE   \* MERGEFORMAT</w:instrText>
    </w:r>
    <w:r>
      <w:fldChar w:fldCharType="separate"/>
    </w:r>
    <w:r w:rsidR="00D565EB" w:rsidRPr="00D565EB">
      <w:rPr>
        <w:noProof/>
        <w:lang w:val="fr-FR"/>
      </w:rPr>
      <w:t>1</w:t>
    </w:r>
    <w:r>
      <w:fldChar w:fldCharType="end"/>
    </w:r>
  </w:p>
  <w:p w:rsidR="00141A6E" w:rsidRDefault="00141A6E" w:rsidP="003D394D">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A6E" w:rsidRDefault="00141A6E" w:rsidP="003D394D">
    <w:pPr>
      <w:jc w:val="right"/>
    </w:pPr>
    <w:r>
      <w:t>A/56/2 Rev.</w:t>
    </w:r>
  </w:p>
  <w:p w:rsidR="00141A6E" w:rsidRDefault="00141A6E" w:rsidP="003D394D">
    <w:pPr>
      <w:jc w:val="right"/>
    </w:pPr>
    <w:proofErr w:type="spellStart"/>
    <w:r>
      <w:t>ANNEXE</w:t>
    </w:r>
    <w:proofErr w:type="spellEnd"/>
    <w:r>
      <w:t> I</w:t>
    </w:r>
  </w:p>
  <w:p w:rsidR="00141A6E" w:rsidRDefault="00141A6E" w:rsidP="003D394D">
    <w:pP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A6E" w:rsidRDefault="00141A6E" w:rsidP="003D394D">
    <w:pPr>
      <w:jc w:val="right"/>
    </w:pPr>
    <w:r>
      <w:t>A/56/2 Rev.</w:t>
    </w:r>
  </w:p>
  <w:p w:rsidR="00141A6E" w:rsidRDefault="00141A6E" w:rsidP="003D394D">
    <w:pPr>
      <w:jc w:val="right"/>
    </w:pPr>
    <w:proofErr w:type="spellStart"/>
    <w:r>
      <w:t>ANNEXE</w:t>
    </w:r>
    <w:proofErr w:type="spellEnd"/>
    <w:r>
      <w:t> II</w:t>
    </w:r>
  </w:p>
  <w:p w:rsidR="00141A6E" w:rsidRDefault="00141A6E" w:rsidP="003D394D">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177D5000"/>
    <w:multiLevelType w:val="singleLevel"/>
    <w:tmpl w:val="0409000F"/>
    <w:lvl w:ilvl="0">
      <w:start w:val="1"/>
      <w:numFmt w:val="decimal"/>
      <w:lvlText w:val="%1."/>
      <w:lvlJc w:val="left"/>
      <w:pPr>
        <w:tabs>
          <w:tab w:val="num" w:pos="360"/>
        </w:tabs>
        <w:ind w:left="360" w:hanging="360"/>
      </w:pPr>
    </w:lvl>
  </w:abstractNum>
  <w:abstractNum w:abstractNumId="2">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
  </w:num>
  <w:num w:numId="2">
    <w:abstractNumId w:val="3"/>
  </w:num>
  <w:num w:numId="3">
    <w:abstractNumId w:val="6"/>
  </w:num>
  <w:num w:numId="4">
    <w:abstractNumId w:val="5"/>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A6E"/>
    <w:rsid w:val="000F5E56"/>
    <w:rsid w:val="00141A6E"/>
    <w:rsid w:val="00431118"/>
    <w:rsid w:val="005A6EAD"/>
    <w:rsid w:val="007B240C"/>
    <w:rsid w:val="007D53C7"/>
    <w:rsid w:val="00804DB7"/>
    <w:rsid w:val="00C554EC"/>
    <w:rsid w:val="00D565EB"/>
    <w:rsid w:val="00FC1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1A6E"/>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Endofdocument-Annex">
    <w:name w:val="[End of document - Annex]"/>
    <w:basedOn w:val="Normal"/>
    <w:rsid w:val="00141A6E"/>
    <w:pPr>
      <w:ind w:left="5534"/>
    </w:pPr>
  </w:style>
  <w:style w:type="paragraph" w:styleId="ListParagraph">
    <w:name w:val="List Paragraph"/>
    <w:basedOn w:val="Normal"/>
    <w:uiPriority w:val="34"/>
    <w:qFormat/>
    <w:rsid w:val="00141A6E"/>
    <w:pPr>
      <w:ind w:left="720"/>
      <w:contextualSpacing/>
    </w:pPr>
    <w:rPr>
      <w:rFonts w:eastAsia="Times New Roman"/>
      <w:lang w:eastAsia="en-US"/>
    </w:rPr>
  </w:style>
  <w:style w:type="character" w:styleId="FootnoteReference">
    <w:name w:val="footnote reference"/>
    <w:basedOn w:val="DefaultParagraphFont"/>
    <w:rsid w:val="00141A6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1A6E"/>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Endofdocument-Annex">
    <w:name w:val="[End of document - Annex]"/>
    <w:basedOn w:val="Normal"/>
    <w:rsid w:val="00141A6E"/>
    <w:pPr>
      <w:ind w:left="5534"/>
    </w:pPr>
  </w:style>
  <w:style w:type="paragraph" w:styleId="ListParagraph">
    <w:name w:val="List Paragraph"/>
    <w:basedOn w:val="Normal"/>
    <w:uiPriority w:val="34"/>
    <w:qFormat/>
    <w:rsid w:val="00141A6E"/>
    <w:pPr>
      <w:ind w:left="720"/>
      <w:contextualSpacing/>
    </w:pPr>
    <w:rPr>
      <w:rFonts w:eastAsia="Times New Roman"/>
      <w:lang w:eastAsia="en-US"/>
    </w:rPr>
  </w:style>
  <w:style w:type="character" w:styleId="FootnoteReference">
    <w:name w:val="footnote reference"/>
    <w:basedOn w:val="DefaultParagraphFont"/>
    <w:rsid w:val="00141A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696D3-A08A-4F71-9192-4CBFCF913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949</Words>
  <Characters>5561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6498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OLIVIÉ Karen</dc:creator>
  <cp:lastModifiedBy>OLIVIÉ Karen</cp:lastModifiedBy>
  <cp:revision>3</cp:revision>
  <cp:lastPrinted>2016-09-29T12:02:00Z</cp:lastPrinted>
  <dcterms:created xsi:type="dcterms:W3CDTF">2016-09-29T11:58:00Z</dcterms:created>
  <dcterms:modified xsi:type="dcterms:W3CDTF">2016-09-30T10:40:00Z</dcterms:modified>
</cp:coreProperties>
</file>