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D8279" w14:textId="7F792EAE" w:rsidR="00AF5C64" w:rsidRPr="001B3715" w:rsidRDefault="00784098" w:rsidP="00137CB3">
      <w:pPr>
        <w:jc w:val="center"/>
        <w:rPr>
          <w:b/>
          <w:lang w:val="fr-FR"/>
        </w:rPr>
      </w:pPr>
      <w:r w:rsidRPr="001B3715">
        <w:rPr>
          <w:b/>
          <w:lang w:val="fr-FR"/>
        </w:rPr>
        <w:t>R</w:t>
      </w:r>
      <w:r w:rsidR="00794144" w:rsidRPr="001B3715">
        <w:rPr>
          <w:b/>
          <w:lang w:val="fr-FR"/>
        </w:rPr>
        <w:t>ap</w:t>
      </w:r>
      <w:r w:rsidRPr="001B3715">
        <w:rPr>
          <w:b/>
          <w:lang w:val="fr-FR"/>
        </w:rPr>
        <w:t xml:space="preserve">port </w:t>
      </w:r>
      <w:r w:rsidR="00794144" w:rsidRPr="001B3715">
        <w:rPr>
          <w:b/>
          <w:lang w:val="fr-FR"/>
        </w:rPr>
        <w:t>du</w:t>
      </w:r>
      <w:r w:rsidRPr="001B3715">
        <w:rPr>
          <w:b/>
          <w:lang w:val="fr-FR"/>
        </w:rPr>
        <w:t xml:space="preserve"> </w:t>
      </w:r>
      <w:r w:rsidR="00791331" w:rsidRPr="001B3715">
        <w:rPr>
          <w:b/>
          <w:lang w:val="fr-FR"/>
        </w:rPr>
        <w:t>Direct</w:t>
      </w:r>
      <w:r w:rsidR="00794144" w:rsidRPr="001B3715">
        <w:rPr>
          <w:b/>
          <w:lang w:val="fr-FR"/>
        </w:rPr>
        <w:t>eu</w:t>
      </w:r>
      <w:r w:rsidR="00791331" w:rsidRPr="001B3715">
        <w:rPr>
          <w:b/>
          <w:lang w:val="fr-FR"/>
        </w:rPr>
        <w:t xml:space="preserve">r </w:t>
      </w:r>
      <w:r w:rsidR="00794144" w:rsidRPr="001B3715">
        <w:rPr>
          <w:b/>
          <w:lang w:val="fr-FR"/>
        </w:rPr>
        <w:t>géné</w:t>
      </w:r>
      <w:r w:rsidR="00791331" w:rsidRPr="001B3715">
        <w:rPr>
          <w:b/>
          <w:lang w:val="fr-FR"/>
        </w:rPr>
        <w:t>ral</w:t>
      </w:r>
      <w:r w:rsidR="002A7671" w:rsidRPr="001B3715">
        <w:rPr>
          <w:b/>
          <w:lang w:val="fr-FR"/>
        </w:rPr>
        <w:t xml:space="preserve"> </w:t>
      </w:r>
      <w:r w:rsidR="00794144" w:rsidRPr="001B3715">
        <w:rPr>
          <w:b/>
          <w:lang w:val="fr-FR"/>
        </w:rPr>
        <w:t>aux assemblées </w:t>
      </w:r>
      <w:r w:rsidR="00791331" w:rsidRPr="001B3715">
        <w:rPr>
          <w:b/>
          <w:lang w:val="fr-FR"/>
        </w:rPr>
        <w:t>201</w:t>
      </w:r>
      <w:r w:rsidR="00BB74EF" w:rsidRPr="001B3715">
        <w:rPr>
          <w:b/>
          <w:lang w:val="fr-FR"/>
        </w:rPr>
        <w:t>6</w:t>
      </w:r>
      <w:r w:rsidRPr="001B3715">
        <w:rPr>
          <w:b/>
          <w:lang w:val="fr-FR"/>
        </w:rPr>
        <w:t xml:space="preserve"> </w:t>
      </w:r>
      <w:r w:rsidR="00794144" w:rsidRPr="001B3715">
        <w:rPr>
          <w:b/>
          <w:lang w:val="fr-FR"/>
        </w:rPr>
        <w:t>de l</w:t>
      </w:r>
      <w:r w:rsidR="00502D05" w:rsidRPr="001B3715">
        <w:rPr>
          <w:b/>
          <w:lang w:val="fr-FR"/>
        </w:rPr>
        <w:t>’</w:t>
      </w:r>
      <w:r w:rsidR="00794144" w:rsidRPr="001B3715">
        <w:rPr>
          <w:b/>
          <w:lang w:val="fr-FR"/>
        </w:rPr>
        <w:t>OMPI</w:t>
      </w:r>
    </w:p>
    <w:p w14:paraId="0935F967" w14:textId="2632C2B3" w:rsidR="00C33F01" w:rsidRPr="001B3715" w:rsidRDefault="00C33F01" w:rsidP="00C33F01">
      <w:pPr>
        <w:jc w:val="center"/>
        <w:rPr>
          <w:b/>
          <w:szCs w:val="22"/>
          <w:lang w:val="fr-FR"/>
        </w:rPr>
      </w:pPr>
      <w:r w:rsidRPr="001B3715">
        <w:rPr>
          <w:b/>
          <w:szCs w:val="22"/>
          <w:lang w:val="fr-FR"/>
        </w:rPr>
        <w:t>L</w:t>
      </w:r>
      <w:r w:rsidR="00502D05" w:rsidRPr="001B3715">
        <w:rPr>
          <w:b/>
          <w:szCs w:val="22"/>
          <w:lang w:val="fr-FR"/>
        </w:rPr>
        <w:t>’</w:t>
      </w:r>
      <w:r w:rsidRPr="001B3715">
        <w:rPr>
          <w:b/>
          <w:szCs w:val="22"/>
          <w:lang w:val="fr-FR"/>
        </w:rPr>
        <w:t>année en chiffres</w:t>
      </w:r>
    </w:p>
    <w:p w14:paraId="5C49B898" w14:textId="77777777" w:rsidR="00C33F01" w:rsidRDefault="00C33F01" w:rsidP="00C33F01">
      <w:pPr>
        <w:rPr>
          <w:szCs w:val="22"/>
          <w:lang w:val="fr-FR"/>
        </w:rPr>
      </w:pPr>
    </w:p>
    <w:p w14:paraId="7D53D452" w14:textId="77777777" w:rsidR="0013521E" w:rsidRPr="001B3715" w:rsidRDefault="0013521E" w:rsidP="00C33F01">
      <w:pPr>
        <w:rPr>
          <w:szCs w:val="22"/>
          <w:lang w:val="fr-FR"/>
        </w:rPr>
      </w:pPr>
    </w:p>
    <w:p w14:paraId="798E4091" w14:textId="020FFB17" w:rsidR="00C33F01" w:rsidRPr="0013521E" w:rsidRDefault="00C33F01" w:rsidP="00C33F01">
      <w:pPr>
        <w:rPr>
          <w:spacing w:val="-2"/>
          <w:szCs w:val="22"/>
          <w:lang w:val="fr-FR"/>
        </w:rPr>
      </w:pPr>
      <w:r w:rsidRPr="0013521E">
        <w:rPr>
          <w:spacing w:val="-2"/>
          <w:szCs w:val="22"/>
          <w:lang w:val="fr-FR"/>
        </w:rPr>
        <w:t xml:space="preserve">Avec la </w:t>
      </w:r>
      <w:r w:rsidRPr="0013521E">
        <w:rPr>
          <w:b/>
          <w:spacing w:val="-2"/>
          <w:szCs w:val="22"/>
          <w:lang w:val="fr-FR"/>
        </w:rPr>
        <w:t>20</w:t>
      </w:r>
      <w:r w:rsidRPr="0013521E">
        <w:rPr>
          <w:b/>
          <w:spacing w:val="-2"/>
          <w:szCs w:val="22"/>
          <w:vertAlign w:val="superscript"/>
          <w:lang w:val="fr-FR"/>
        </w:rPr>
        <w:t>e</w:t>
      </w:r>
      <w:r w:rsidR="00E3770C" w:rsidRPr="0013521E">
        <w:rPr>
          <w:spacing w:val="-2"/>
          <w:szCs w:val="22"/>
          <w:lang w:val="fr-FR"/>
        </w:rPr>
        <w:t> </w:t>
      </w:r>
      <w:r w:rsidRPr="0013521E">
        <w:rPr>
          <w:spacing w:val="-2"/>
          <w:szCs w:val="22"/>
          <w:lang w:val="fr-FR"/>
        </w:rPr>
        <w:t>ratification, le Traité de Marrakech entre en vigueur</w:t>
      </w:r>
    </w:p>
    <w:p w14:paraId="6D26F488" w14:textId="77777777" w:rsidR="00C33F01" w:rsidRPr="0013521E" w:rsidRDefault="00C33F01" w:rsidP="00C33F01">
      <w:pPr>
        <w:rPr>
          <w:rStyle w:val="A3"/>
          <w:rFonts w:cs="Arial"/>
          <w:color w:val="auto"/>
          <w:spacing w:val="-2"/>
          <w:sz w:val="22"/>
          <w:szCs w:val="22"/>
          <w:lang w:val="fr-FR"/>
        </w:rPr>
      </w:pPr>
    </w:p>
    <w:p w14:paraId="5111013F" w14:textId="0EA1A1F0" w:rsidR="00C33F01" w:rsidRPr="0013521E" w:rsidRDefault="00C33F01" w:rsidP="00C33F01">
      <w:pPr>
        <w:rPr>
          <w:spacing w:val="-2"/>
          <w:szCs w:val="22"/>
          <w:lang w:val="fr-FR"/>
        </w:rPr>
      </w:pPr>
      <w:r w:rsidRPr="0013521E">
        <w:rPr>
          <w:b/>
          <w:spacing w:val="-2"/>
          <w:szCs w:val="22"/>
          <w:lang w:val="fr-FR"/>
        </w:rPr>
        <w:t>42</w:t>
      </w:r>
      <w:r w:rsidRPr="0013521E">
        <w:rPr>
          <w:spacing w:val="-2"/>
          <w:szCs w:val="22"/>
          <w:lang w:val="fr-FR"/>
        </w:rPr>
        <w:t xml:space="preserve"> adhésions aux traités de l</w:t>
      </w:r>
      <w:r w:rsidR="00502D05" w:rsidRPr="0013521E">
        <w:rPr>
          <w:spacing w:val="-2"/>
          <w:szCs w:val="22"/>
          <w:lang w:val="fr-FR"/>
        </w:rPr>
        <w:t>’</w:t>
      </w:r>
      <w:r w:rsidRPr="0013521E">
        <w:rPr>
          <w:spacing w:val="-2"/>
          <w:szCs w:val="22"/>
          <w:lang w:val="fr-FR"/>
        </w:rPr>
        <w:t>OMPI</w:t>
      </w:r>
    </w:p>
    <w:p w14:paraId="68D1EC8B" w14:textId="77777777" w:rsidR="00C33F01" w:rsidRPr="0013521E" w:rsidRDefault="00C33F01" w:rsidP="00C33F01">
      <w:pPr>
        <w:rPr>
          <w:rStyle w:val="A8"/>
          <w:rFonts w:ascii="Arial" w:hAnsi="Arial" w:cs="Arial"/>
          <w:color w:val="auto"/>
          <w:spacing w:val="-2"/>
          <w:sz w:val="22"/>
          <w:szCs w:val="22"/>
          <w:lang w:val="fr-FR"/>
        </w:rPr>
      </w:pPr>
    </w:p>
    <w:p w14:paraId="4FC48EA8" w14:textId="78933E9C" w:rsidR="00502D05" w:rsidRPr="0013521E" w:rsidRDefault="00C33F01" w:rsidP="00C33F01">
      <w:pPr>
        <w:rPr>
          <w:spacing w:val="-2"/>
          <w:szCs w:val="22"/>
          <w:lang w:val="fr-FR"/>
        </w:rPr>
      </w:pPr>
      <w:r w:rsidRPr="0013521E">
        <w:rPr>
          <w:b/>
          <w:spacing w:val="-2"/>
          <w:szCs w:val="22"/>
          <w:lang w:val="fr-FR"/>
        </w:rPr>
        <w:t>82%</w:t>
      </w:r>
      <w:r w:rsidRPr="0013521E">
        <w:rPr>
          <w:spacing w:val="-2"/>
          <w:szCs w:val="22"/>
          <w:lang w:val="fr-FR"/>
        </w:rPr>
        <w:t xml:space="preserve"> des participants des cours d</w:t>
      </w:r>
      <w:r w:rsidR="00502D05" w:rsidRPr="0013521E">
        <w:rPr>
          <w:spacing w:val="-2"/>
          <w:szCs w:val="22"/>
          <w:lang w:val="fr-FR"/>
        </w:rPr>
        <w:t>’</w:t>
      </w:r>
      <w:r w:rsidRPr="0013521E">
        <w:rPr>
          <w:spacing w:val="-2"/>
          <w:szCs w:val="22"/>
          <w:lang w:val="fr-FR"/>
        </w:rPr>
        <w:t>enseignement à distance de l</w:t>
      </w:r>
      <w:r w:rsidR="00502D05" w:rsidRPr="0013521E">
        <w:rPr>
          <w:spacing w:val="-2"/>
          <w:szCs w:val="22"/>
          <w:lang w:val="fr-FR"/>
        </w:rPr>
        <w:t>’</w:t>
      </w:r>
      <w:r w:rsidRPr="0013521E">
        <w:rPr>
          <w:spacing w:val="-2"/>
          <w:szCs w:val="22"/>
          <w:lang w:val="fr-FR"/>
        </w:rPr>
        <w:t>Académie de l</w:t>
      </w:r>
      <w:r w:rsidR="00502D05" w:rsidRPr="0013521E">
        <w:rPr>
          <w:spacing w:val="-2"/>
          <w:szCs w:val="22"/>
          <w:lang w:val="fr-FR"/>
        </w:rPr>
        <w:t>’</w:t>
      </w:r>
      <w:r w:rsidRPr="0013521E">
        <w:rPr>
          <w:spacing w:val="-2"/>
          <w:szCs w:val="22"/>
          <w:lang w:val="fr-FR"/>
        </w:rPr>
        <w:t>OMPI font état d</w:t>
      </w:r>
      <w:r w:rsidR="00502D05" w:rsidRPr="0013521E">
        <w:rPr>
          <w:spacing w:val="-2"/>
          <w:szCs w:val="22"/>
          <w:lang w:val="fr-FR"/>
        </w:rPr>
        <w:t>’</w:t>
      </w:r>
      <w:r w:rsidRPr="0013521E">
        <w:rPr>
          <w:spacing w:val="-2"/>
          <w:szCs w:val="22"/>
          <w:lang w:val="fr-FR"/>
        </w:rPr>
        <w:t>une amélioration de leurs performances</w:t>
      </w:r>
    </w:p>
    <w:p w14:paraId="541E010F" w14:textId="1D368622" w:rsidR="00C33F01" w:rsidRPr="0013521E" w:rsidRDefault="00C33F01" w:rsidP="00C33F01">
      <w:pPr>
        <w:rPr>
          <w:rStyle w:val="A10"/>
          <w:rFonts w:cs="Arial"/>
          <w:color w:val="auto"/>
          <w:spacing w:val="-2"/>
          <w:sz w:val="22"/>
          <w:szCs w:val="22"/>
          <w:lang w:val="fr-FR"/>
        </w:rPr>
      </w:pPr>
    </w:p>
    <w:p w14:paraId="488EF9FE" w14:textId="0065CCC9" w:rsidR="00C33F01" w:rsidRPr="0013521E" w:rsidRDefault="00C33F01" w:rsidP="00C33F01">
      <w:pPr>
        <w:rPr>
          <w:spacing w:val="-2"/>
          <w:szCs w:val="22"/>
          <w:lang w:val="fr-FR"/>
        </w:rPr>
      </w:pPr>
      <w:r w:rsidRPr="0013521E">
        <w:rPr>
          <w:b/>
          <w:spacing w:val="-2"/>
          <w:szCs w:val="22"/>
          <w:lang w:val="fr-FR"/>
        </w:rPr>
        <w:t>77</w:t>
      </w:r>
      <w:r w:rsidRPr="0013521E">
        <w:rPr>
          <w:spacing w:val="-2"/>
          <w:szCs w:val="22"/>
          <w:lang w:val="fr-FR"/>
        </w:rPr>
        <w:t xml:space="preserve"> offices de propriété intellectuelle utilisent les solutions opérationnelles IPAS de l</w:t>
      </w:r>
      <w:r w:rsidR="00502D05" w:rsidRPr="0013521E">
        <w:rPr>
          <w:spacing w:val="-2"/>
          <w:szCs w:val="22"/>
          <w:lang w:val="fr-FR"/>
        </w:rPr>
        <w:t>’</w:t>
      </w:r>
      <w:r w:rsidRPr="0013521E">
        <w:rPr>
          <w:spacing w:val="-2"/>
          <w:szCs w:val="22"/>
          <w:lang w:val="fr-FR"/>
        </w:rPr>
        <w:t>OMPI</w:t>
      </w:r>
    </w:p>
    <w:p w14:paraId="1DA1718D" w14:textId="77777777" w:rsidR="00C33F01" w:rsidRPr="0013521E" w:rsidRDefault="00C33F01" w:rsidP="00C33F01">
      <w:pPr>
        <w:rPr>
          <w:spacing w:val="-2"/>
          <w:szCs w:val="22"/>
          <w:lang w:val="fr-FR"/>
        </w:rPr>
      </w:pPr>
    </w:p>
    <w:p w14:paraId="5A9EB378" w14:textId="6385B976" w:rsidR="00C33F01" w:rsidRPr="0013521E" w:rsidRDefault="00C33F01" w:rsidP="00C33F01">
      <w:pPr>
        <w:rPr>
          <w:spacing w:val="-2"/>
          <w:szCs w:val="22"/>
          <w:lang w:val="fr-FR"/>
        </w:rPr>
      </w:pPr>
      <w:r w:rsidRPr="0013521E">
        <w:rPr>
          <w:b/>
          <w:spacing w:val="-2"/>
          <w:szCs w:val="22"/>
          <w:lang w:val="fr-FR"/>
        </w:rPr>
        <w:t>450</w:t>
      </w:r>
      <w:r w:rsidRPr="0013521E">
        <w:rPr>
          <w:spacing w:val="-2"/>
          <w:szCs w:val="22"/>
          <w:lang w:val="fr-FR"/>
        </w:rPr>
        <w:t xml:space="preserve"> CATI (Centres d</w:t>
      </w:r>
      <w:r w:rsidR="00502D05" w:rsidRPr="0013521E">
        <w:rPr>
          <w:spacing w:val="-2"/>
          <w:szCs w:val="22"/>
          <w:lang w:val="fr-FR"/>
        </w:rPr>
        <w:t>’</w:t>
      </w:r>
      <w:r w:rsidRPr="0013521E">
        <w:rPr>
          <w:spacing w:val="-2"/>
          <w:szCs w:val="22"/>
          <w:lang w:val="fr-FR"/>
        </w:rPr>
        <w:t>appui à la technologie et à l</w:t>
      </w:r>
      <w:r w:rsidR="00502D05" w:rsidRPr="0013521E">
        <w:rPr>
          <w:spacing w:val="-2"/>
          <w:szCs w:val="22"/>
          <w:lang w:val="fr-FR"/>
        </w:rPr>
        <w:t>’</w:t>
      </w:r>
      <w:r w:rsidRPr="0013521E">
        <w:rPr>
          <w:spacing w:val="-2"/>
          <w:szCs w:val="22"/>
          <w:lang w:val="fr-FR"/>
        </w:rPr>
        <w:t>innovation) pleinement opérationnels</w:t>
      </w:r>
    </w:p>
    <w:p w14:paraId="3FC7B9D0" w14:textId="77777777" w:rsidR="00C33F01" w:rsidRPr="0013521E" w:rsidRDefault="00C33F01" w:rsidP="00C33F01">
      <w:pPr>
        <w:rPr>
          <w:spacing w:val="-2"/>
          <w:szCs w:val="22"/>
          <w:lang w:val="fr-FR"/>
        </w:rPr>
      </w:pPr>
    </w:p>
    <w:p w14:paraId="6C3024BF" w14:textId="62FCAF2C" w:rsidR="00C33F01" w:rsidRPr="0013521E" w:rsidRDefault="00E62B5D" w:rsidP="00C33F01">
      <w:pPr>
        <w:rPr>
          <w:spacing w:val="-2"/>
          <w:szCs w:val="22"/>
          <w:lang w:val="fr-FR"/>
        </w:rPr>
      </w:pPr>
      <w:r w:rsidRPr="0013521E">
        <w:rPr>
          <w:rStyle w:val="A10"/>
          <w:rFonts w:cs="Arial"/>
          <w:b/>
          <w:bCs/>
          <w:color w:val="auto"/>
          <w:spacing w:val="-2"/>
          <w:sz w:val="22"/>
          <w:szCs w:val="22"/>
          <w:lang w:val="fr-FR"/>
        </w:rPr>
        <w:t>62 </w:t>
      </w:r>
      <w:r w:rsidR="00C33F01" w:rsidRPr="0013521E">
        <w:rPr>
          <w:spacing w:val="-2"/>
          <w:szCs w:val="22"/>
          <w:lang w:val="fr-FR"/>
        </w:rPr>
        <w:t>pays dotés d</w:t>
      </w:r>
      <w:r w:rsidR="00502D05" w:rsidRPr="0013521E">
        <w:rPr>
          <w:spacing w:val="-2"/>
          <w:szCs w:val="22"/>
          <w:lang w:val="fr-FR"/>
        </w:rPr>
        <w:t>’</w:t>
      </w:r>
      <w:r w:rsidR="00C33F01" w:rsidRPr="0013521E">
        <w:rPr>
          <w:spacing w:val="-2"/>
          <w:szCs w:val="22"/>
          <w:lang w:val="fr-FR"/>
        </w:rPr>
        <w:t>une stratégie nationale de propriété intellectuelle</w:t>
      </w:r>
    </w:p>
    <w:p w14:paraId="2ED87154" w14:textId="77777777" w:rsidR="00C33F01" w:rsidRPr="0013521E" w:rsidRDefault="00C33F01" w:rsidP="00C33F01">
      <w:pPr>
        <w:rPr>
          <w:rStyle w:val="A10"/>
          <w:rFonts w:cs="Arial"/>
          <w:color w:val="auto"/>
          <w:spacing w:val="-2"/>
          <w:sz w:val="22"/>
          <w:szCs w:val="22"/>
          <w:lang w:val="fr-FR"/>
        </w:rPr>
      </w:pPr>
    </w:p>
    <w:p w14:paraId="4EACB5EE" w14:textId="5B2B3E6E" w:rsidR="00502D05" w:rsidRPr="0013521E" w:rsidRDefault="00C33F01" w:rsidP="00C33F01">
      <w:pPr>
        <w:rPr>
          <w:spacing w:val="-2"/>
          <w:szCs w:val="22"/>
          <w:lang w:val="fr-FR"/>
        </w:rPr>
      </w:pPr>
      <w:r w:rsidRPr="0013521E">
        <w:rPr>
          <w:b/>
          <w:spacing w:val="-2"/>
          <w:szCs w:val="22"/>
          <w:lang w:val="fr-FR"/>
        </w:rPr>
        <w:t xml:space="preserve">300 </w:t>
      </w:r>
      <w:r w:rsidRPr="0013521E">
        <w:rPr>
          <w:spacing w:val="-2"/>
          <w:szCs w:val="22"/>
          <w:lang w:val="fr-FR"/>
        </w:rPr>
        <w:t>institutions supplémentaires utilisant le programme ARDI pour l</w:t>
      </w:r>
      <w:r w:rsidR="00502D05" w:rsidRPr="0013521E">
        <w:rPr>
          <w:spacing w:val="-2"/>
          <w:szCs w:val="22"/>
          <w:lang w:val="fr-FR"/>
        </w:rPr>
        <w:t>’</w:t>
      </w:r>
      <w:r w:rsidRPr="0013521E">
        <w:rPr>
          <w:spacing w:val="-2"/>
          <w:szCs w:val="22"/>
          <w:lang w:val="fr-FR"/>
        </w:rPr>
        <w:t>accès à la recherche aux fins du développement et de l</w:t>
      </w:r>
      <w:r w:rsidR="00502D05" w:rsidRPr="0013521E">
        <w:rPr>
          <w:spacing w:val="-2"/>
          <w:szCs w:val="22"/>
          <w:lang w:val="fr-FR"/>
        </w:rPr>
        <w:t>’</w:t>
      </w:r>
      <w:r w:rsidRPr="0013521E">
        <w:rPr>
          <w:spacing w:val="-2"/>
          <w:szCs w:val="22"/>
          <w:lang w:val="fr-FR"/>
        </w:rPr>
        <w:t>innovation</w:t>
      </w:r>
    </w:p>
    <w:p w14:paraId="5E802CE2" w14:textId="42A1A7BC" w:rsidR="00C33F01" w:rsidRPr="0013521E" w:rsidRDefault="00C33F01" w:rsidP="00C33F01">
      <w:pPr>
        <w:rPr>
          <w:rStyle w:val="A2"/>
          <w:rFonts w:cs="Arial"/>
          <w:color w:val="auto"/>
          <w:spacing w:val="-2"/>
          <w:sz w:val="22"/>
          <w:szCs w:val="22"/>
          <w:lang w:val="fr-FR"/>
        </w:rPr>
      </w:pPr>
    </w:p>
    <w:p w14:paraId="5E9F2734" w14:textId="79C1D6EF" w:rsidR="00C33F01" w:rsidRPr="0013521E" w:rsidRDefault="00E62B5D" w:rsidP="00C33F01">
      <w:pPr>
        <w:rPr>
          <w:spacing w:val="-2"/>
          <w:szCs w:val="22"/>
          <w:lang w:val="fr-FR"/>
        </w:rPr>
      </w:pPr>
      <w:r w:rsidRPr="0013521E">
        <w:rPr>
          <w:rStyle w:val="A3"/>
          <w:rFonts w:cs="Arial"/>
          <w:b/>
          <w:bCs/>
          <w:color w:val="auto"/>
          <w:spacing w:val="-2"/>
          <w:sz w:val="22"/>
          <w:szCs w:val="22"/>
          <w:lang w:val="fr-FR"/>
        </w:rPr>
        <w:t>319</w:t>
      </w:r>
      <w:r w:rsidR="00D04CDB" w:rsidRPr="0013521E">
        <w:rPr>
          <w:rStyle w:val="A3"/>
          <w:rFonts w:cs="Arial"/>
          <w:b/>
          <w:bCs/>
          <w:color w:val="auto"/>
          <w:spacing w:val="-2"/>
          <w:sz w:val="22"/>
          <w:szCs w:val="22"/>
          <w:lang w:val="fr-FR"/>
        </w:rPr>
        <w:t> </w:t>
      </w:r>
      <w:r w:rsidRPr="0013521E">
        <w:rPr>
          <w:rStyle w:val="A3"/>
          <w:rFonts w:cs="Arial"/>
          <w:b/>
          <w:bCs/>
          <w:color w:val="auto"/>
          <w:spacing w:val="-2"/>
          <w:sz w:val="22"/>
          <w:szCs w:val="22"/>
          <w:lang w:val="fr-FR"/>
        </w:rPr>
        <w:t>000</w:t>
      </w:r>
      <w:r w:rsidR="00C33F01" w:rsidRPr="0013521E">
        <w:rPr>
          <w:rStyle w:val="A3"/>
          <w:rFonts w:cs="Arial"/>
          <w:b/>
          <w:bCs/>
          <w:color w:val="auto"/>
          <w:spacing w:val="-2"/>
          <w:sz w:val="22"/>
          <w:szCs w:val="22"/>
          <w:lang w:val="fr-FR"/>
        </w:rPr>
        <w:t xml:space="preserve"> </w:t>
      </w:r>
      <w:r w:rsidR="00C33F01" w:rsidRPr="0013521E">
        <w:rPr>
          <w:spacing w:val="-2"/>
          <w:szCs w:val="22"/>
          <w:lang w:val="fr-FR"/>
        </w:rPr>
        <w:t>livres en format accessible mis à la disposition des déficients visuels par l</w:t>
      </w:r>
      <w:r w:rsidR="00502D05" w:rsidRPr="0013521E">
        <w:rPr>
          <w:spacing w:val="-2"/>
          <w:szCs w:val="22"/>
          <w:lang w:val="fr-FR"/>
        </w:rPr>
        <w:t>’</w:t>
      </w:r>
      <w:r w:rsidR="00C33F01" w:rsidRPr="0013521E">
        <w:rPr>
          <w:spacing w:val="-2"/>
          <w:szCs w:val="22"/>
          <w:lang w:val="fr-FR"/>
        </w:rPr>
        <w:t>intermédiaire de l</w:t>
      </w:r>
      <w:r w:rsidR="00502D05" w:rsidRPr="0013521E">
        <w:rPr>
          <w:spacing w:val="-2"/>
          <w:szCs w:val="22"/>
          <w:lang w:val="fr-FR"/>
        </w:rPr>
        <w:t>’</w:t>
      </w:r>
      <w:r w:rsidR="00C33F01" w:rsidRPr="0013521E">
        <w:rPr>
          <w:spacing w:val="-2"/>
          <w:szCs w:val="22"/>
          <w:lang w:val="fr-FR"/>
        </w:rPr>
        <w:t>ABC</w:t>
      </w:r>
    </w:p>
    <w:p w14:paraId="11C2729B" w14:textId="77777777" w:rsidR="00C33F01" w:rsidRPr="0013521E" w:rsidRDefault="00C33F01" w:rsidP="00C33F01">
      <w:pPr>
        <w:rPr>
          <w:rStyle w:val="A3"/>
          <w:rFonts w:cs="Arial"/>
          <w:color w:val="auto"/>
          <w:spacing w:val="-2"/>
          <w:sz w:val="22"/>
          <w:szCs w:val="22"/>
          <w:lang w:val="fr-FR"/>
        </w:rPr>
      </w:pPr>
    </w:p>
    <w:p w14:paraId="2E04D8A2" w14:textId="051E4429" w:rsidR="00C33F01" w:rsidRPr="0013521E" w:rsidRDefault="00C33F01" w:rsidP="00C33F01">
      <w:pPr>
        <w:rPr>
          <w:spacing w:val="-2"/>
          <w:szCs w:val="22"/>
          <w:lang w:val="fr-FR"/>
        </w:rPr>
      </w:pPr>
      <w:r w:rsidRPr="0013521E">
        <w:rPr>
          <w:b/>
          <w:spacing w:val="-2"/>
          <w:szCs w:val="22"/>
          <w:lang w:val="fr-FR"/>
        </w:rPr>
        <w:t>100</w:t>
      </w:r>
      <w:r w:rsidRPr="0013521E">
        <w:rPr>
          <w:b/>
          <w:spacing w:val="-2"/>
          <w:szCs w:val="22"/>
          <w:vertAlign w:val="superscript"/>
          <w:lang w:val="fr-FR"/>
        </w:rPr>
        <w:t>e</w:t>
      </w:r>
      <w:r w:rsidR="00E3770C" w:rsidRPr="0013521E">
        <w:rPr>
          <w:spacing w:val="-2"/>
          <w:szCs w:val="22"/>
          <w:lang w:val="fr-FR"/>
        </w:rPr>
        <w:t> </w:t>
      </w:r>
      <w:r w:rsidRPr="0013521E">
        <w:rPr>
          <w:spacing w:val="-2"/>
          <w:szCs w:val="22"/>
          <w:lang w:val="fr-FR"/>
        </w:rPr>
        <w:t>accord de collaboration en matière de recherche conclu par l</w:t>
      </w:r>
      <w:r w:rsidR="00502D05" w:rsidRPr="0013521E">
        <w:rPr>
          <w:spacing w:val="-2"/>
          <w:szCs w:val="22"/>
          <w:lang w:val="fr-FR"/>
        </w:rPr>
        <w:t>’</w:t>
      </w:r>
      <w:r w:rsidRPr="0013521E">
        <w:rPr>
          <w:spacing w:val="-2"/>
          <w:szCs w:val="22"/>
          <w:lang w:val="fr-FR"/>
        </w:rPr>
        <w:t xml:space="preserve">intermédiaire de la plateforme WIPO </w:t>
      </w:r>
      <w:proofErr w:type="spellStart"/>
      <w:r w:rsidRPr="0013521E">
        <w:rPr>
          <w:spacing w:val="-2"/>
          <w:szCs w:val="22"/>
          <w:lang w:val="fr-FR"/>
        </w:rPr>
        <w:t>Re:Search</w:t>
      </w:r>
      <w:proofErr w:type="spellEnd"/>
    </w:p>
    <w:p w14:paraId="5A1ECCFC" w14:textId="77777777" w:rsidR="00C33F01" w:rsidRPr="0013521E" w:rsidRDefault="00C33F01" w:rsidP="00C33F01">
      <w:pPr>
        <w:rPr>
          <w:spacing w:val="-2"/>
          <w:szCs w:val="22"/>
          <w:lang w:val="fr-FR"/>
        </w:rPr>
      </w:pPr>
    </w:p>
    <w:p w14:paraId="32F2D880" w14:textId="1C5F8B35" w:rsidR="00C33F01" w:rsidRPr="0013521E" w:rsidRDefault="00E62B5D" w:rsidP="00C33F01">
      <w:pPr>
        <w:rPr>
          <w:spacing w:val="-2"/>
          <w:szCs w:val="22"/>
          <w:lang w:val="fr-FR"/>
        </w:rPr>
      </w:pPr>
      <w:r w:rsidRPr="0013521E">
        <w:rPr>
          <w:rStyle w:val="A3"/>
          <w:rFonts w:cs="Arial"/>
          <w:b/>
          <w:bCs/>
          <w:color w:val="auto"/>
          <w:spacing w:val="-2"/>
          <w:sz w:val="22"/>
          <w:szCs w:val="22"/>
          <w:lang w:val="fr-FR"/>
        </w:rPr>
        <w:t>218</w:t>
      </w:r>
      <w:r w:rsidR="00D04CDB" w:rsidRPr="0013521E">
        <w:rPr>
          <w:rStyle w:val="A3"/>
          <w:rFonts w:cs="Arial"/>
          <w:b/>
          <w:bCs/>
          <w:color w:val="auto"/>
          <w:spacing w:val="-2"/>
          <w:sz w:val="22"/>
          <w:szCs w:val="22"/>
          <w:lang w:val="fr-FR"/>
        </w:rPr>
        <w:t> </w:t>
      </w:r>
      <w:r w:rsidRPr="0013521E">
        <w:rPr>
          <w:rStyle w:val="A3"/>
          <w:rFonts w:cs="Arial"/>
          <w:b/>
          <w:bCs/>
          <w:color w:val="auto"/>
          <w:spacing w:val="-2"/>
          <w:sz w:val="22"/>
          <w:szCs w:val="22"/>
          <w:lang w:val="fr-FR"/>
        </w:rPr>
        <w:t>000 </w:t>
      </w:r>
      <w:r w:rsidR="00C33F01" w:rsidRPr="0013521E">
        <w:rPr>
          <w:spacing w:val="-2"/>
          <w:szCs w:val="22"/>
          <w:lang w:val="fr-FR"/>
        </w:rPr>
        <w:t>demandes selon</w:t>
      </w:r>
      <w:r w:rsidR="00502D05" w:rsidRPr="0013521E">
        <w:rPr>
          <w:spacing w:val="-2"/>
          <w:szCs w:val="22"/>
          <w:lang w:val="fr-FR"/>
        </w:rPr>
        <w:t xml:space="preserve"> le PCT</w:t>
      </w:r>
    </w:p>
    <w:p w14:paraId="040CADFE" w14:textId="77777777" w:rsidR="00C33F01" w:rsidRPr="0013521E" w:rsidRDefault="00C33F01" w:rsidP="00C33F01">
      <w:pPr>
        <w:rPr>
          <w:rStyle w:val="A3"/>
          <w:rFonts w:cs="Arial"/>
          <w:color w:val="auto"/>
          <w:spacing w:val="-2"/>
          <w:sz w:val="22"/>
          <w:szCs w:val="22"/>
          <w:lang w:val="fr-FR"/>
        </w:rPr>
      </w:pPr>
    </w:p>
    <w:p w14:paraId="03E9F15C" w14:textId="6394E842" w:rsidR="00502D05" w:rsidRPr="0013521E" w:rsidRDefault="00C33F01" w:rsidP="00C33F01">
      <w:pPr>
        <w:rPr>
          <w:spacing w:val="-2"/>
          <w:szCs w:val="22"/>
          <w:lang w:val="fr-FR"/>
        </w:rPr>
      </w:pPr>
      <w:r w:rsidRPr="0013521E">
        <w:rPr>
          <w:spacing w:val="-2"/>
          <w:szCs w:val="22"/>
          <w:lang w:val="fr-FR"/>
        </w:rPr>
        <w:t xml:space="preserve">Les dépôts selon le système de </w:t>
      </w:r>
      <w:r w:rsidR="00502D05" w:rsidRPr="0013521E">
        <w:rPr>
          <w:spacing w:val="-2"/>
          <w:szCs w:val="22"/>
          <w:lang w:val="fr-FR"/>
        </w:rPr>
        <w:t>La Haye</w:t>
      </w:r>
      <w:r w:rsidRPr="0013521E">
        <w:rPr>
          <w:spacing w:val="-2"/>
          <w:szCs w:val="22"/>
          <w:lang w:val="fr-FR"/>
        </w:rPr>
        <w:t xml:space="preserve"> ont progressé de </w:t>
      </w:r>
      <w:r w:rsidRPr="0013521E">
        <w:rPr>
          <w:b/>
          <w:spacing w:val="-2"/>
          <w:szCs w:val="22"/>
          <w:lang w:val="fr-FR"/>
        </w:rPr>
        <w:t>40%</w:t>
      </w:r>
    </w:p>
    <w:p w14:paraId="267B3906" w14:textId="52CC551C" w:rsidR="00C33F01" w:rsidRPr="0013521E" w:rsidRDefault="00C33F01" w:rsidP="00C33F01">
      <w:pPr>
        <w:rPr>
          <w:b/>
          <w:bCs/>
          <w:spacing w:val="-2"/>
          <w:szCs w:val="22"/>
          <w:lang w:val="fr-FR"/>
        </w:rPr>
      </w:pPr>
    </w:p>
    <w:p w14:paraId="03AECAF4" w14:textId="56EF3F31" w:rsidR="00C33F01" w:rsidRPr="0013521E" w:rsidRDefault="00C33F01" w:rsidP="00C33F01">
      <w:pPr>
        <w:rPr>
          <w:spacing w:val="-2"/>
          <w:szCs w:val="22"/>
          <w:lang w:val="fr-FR"/>
        </w:rPr>
      </w:pPr>
      <w:r w:rsidRPr="0013521E">
        <w:rPr>
          <w:spacing w:val="-2"/>
          <w:szCs w:val="22"/>
          <w:lang w:val="fr-FR"/>
        </w:rPr>
        <w:t xml:space="preserve">Le système de Madrid a fêté ses </w:t>
      </w:r>
      <w:r w:rsidRPr="0013521E">
        <w:rPr>
          <w:b/>
          <w:spacing w:val="-2"/>
          <w:szCs w:val="22"/>
          <w:lang w:val="fr-FR"/>
        </w:rPr>
        <w:t>125</w:t>
      </w:r>
      <w:r w:rsidR="00E3770C" w:rsidRPr="0013521E">
        <w:rPr>
          <w:b/>
          <w:spacing w:val="-2"/>
          <w:szCs w:val="22"/>
          <w:lang w:val="fr-FR"/>
        </w:rPr>
        <w:t> </w:t>
      </w:r>
      <w:r w:rsidRPr="0013521E">
        <w:rPr>
          <w:spacing w:val="-2"/>
          <w:szCs w:val="22"/>
          <w:lang w:val="fr-FR"/>
        </w:rPr>
        <w:t>ans</w:t>
      </w:r>
    </w:p>
    <w:p w14:paraId="2EA0A6AA" w14:textId="77777777" w:rsidR="00C33F01" w:rsidRPr="0013521E" w:rsidRDefault="00C33F01" w:rsidP="00C33F01">
      <w:pPr>
        <w:rPr>
          <w:spacing w:val="-2"/>
          <w:szCs w:val="22"/>
          <w:lang w:val="fr-FR"/>
        </w:rPr>
      </w:pPr>
    </w:p>
    <w:p w14:paraId="7CABD8E2" w14:textId="544DB28F" w:rsidR="00502D05" w:rsidRPr="0013521E" w:rsidRDefault="00C33F01" w:rsidP="00C33F01">
      <w:pPr>
        <w:rPr>
          <w:spacing w:val="-2"/>
          <w:szCs w:val="22"/>
          <w:lang w:val="fr-FR"/>
        </w:rPr>
      </w:pPr>
      <w:r w:rsidRPr="0013521E">
        <w:rPr>
          <w:spacing w:val="-2"/>
          <w:szCs w:val="22"/>
          <w:lang w:val="fr-FR"/>
        </w:rPr>
        <w:t>Le Centre d</w:t>
      </w:r>
      <w:r w:rsidR="00502D05" w:rsidRPr="0013521E">
        <w:rPr>
          <w:spacing w:val="-2"/>
          <w:szCs w:val="22"/>
          <w:lang w:val="fr-FR"/>
        </w:rPr>
        <w:t>’</w:t>
      </w:r>
      <w:r w:rsidRPr="0013521E">
        <w:rPr>
          <w:spacing w:val="-2"/>
          <w:szCs w:val="22"/>
          <w:lang w:val="fr-FR"/>
        </w:rPr>
        <w:t>arbitrage et de médiation a été saisi de</w:t>
      </w:r>
      <w:r w:rsidR="00D04CDB" w:rsidRPr="0013521E">
        <w:rPr>
          <w:spacing w:val="-2"/>
          <w:szCs w:val="22"/>
          <w:lang w:val="fr-FR"/>
        </w:rPr>
        <w:t> </w:t>
      </w:r>
      <w:r w:rsidRPr="0013521E">
        <w:rPr>
          <w:b/>
          <w:spacing w:val="-2"/>
          <w:szCs w:val="22"/>
          <w:lang w:val="fr-FR"/>
        </w:rPr>
        <w:t>2750</w:t>
      </w:r>
      <w:r w:rsidR="00E3770C" w:rsidRPr="0013521E">
        <w:rPr>
          <w:b/>
          <w:spacing w:val="-2"/>
          <w:szCs w:val="22"/>
          <w:lang w:val="fr-FR"/>
        </w:rPr>
        <w:t> </w:t>
      </w:r>
      <w:r w:rsidRPr="0013521E">
        <w:rPr>
          <w:spacing w:val="-2"/>
          <w:szCs w:val="22"/>
          <w:lang w:val="fr-FR"/>
        </w:rPr>
        <w:t>litiges relatifs à des noms de domaine</w:t>
      </w:r>
    </w:p>
    <w:p w14:paraId="379C8D11" w14:textId="40DD1643" w:rsidR="00C33F01" w:rsidRPr="0013521E" w:rsidRDefault="00C33F01" w:rsidP="00C33F01">
      <w:pPr>
        <w:rPr>
          <w:rStyle w:val="A11"/>
          <w:rFonts w:cs="Arial"/>
          <w:color w:val="auto"/>
          <w:spacing w:val="-2"/>
          <w:lang w:val="fr-FR"/>
        </w:rPr>
      </w:pPr>
    </w:p>
    <w:p w14:paraId="427BB71C" w14:textId="3D94350B" w:rsidR="00C33F01" w:rsidRPr="0013521E" w:rsidRDefault="00C33F01" w:rsidP="00C33F01">
      <w:pPr>
        <w:rPr>
          <w:spacing w:val="-2"/>
          <w:szCs w:val="22"/>
          <w:lang w:val="fr-FR"/>
        </w:rPr>
      </w:pPr>
      <w:r w:rsidRPr="0013521E">
        <w:rPr>
          <w:b/>
          <w:spacing w:val="-2"/>
          <w:szCs w:val="22"/>
          <w:lang w:val="fr-FR"/>
        </w:rPr>
        <w:t>24</w:t>
      </w:r>
      <w:r w:rsidRPr="0013521E">
        <w:rPr>
          <w:spacing w:val="-2"/>
          <w:szCs w:val="22"/>
          <w:lang w:val="fr-FR"/>
        </w:rPr>
        <w:t xml:space="preserve"> offices ont partagé des informations par l</w:t>
      </w:r>
      <w:r w:rsidR="00502D05" w:rsidRPr="0013521E">
        <w:rPr>
          <w:spacing w:val="-2"/>
          <w:szCs w:val="22"/>
          <w:lang w:val="fr-FR"/>
        </w:rPr>
        <w:t>’</w:t>
      </w:r>
      <w:r w:rsidRPr="0013521E">
        <w:rPr>
          <w:spacing w:val="-2"/>
          <w:szCs w:val="22"/>
          <w:lang w:val="fr-FR"/>
        </w:rPr>
        <w:t xml:space="preserve">intermédiaire du système </w:t>
      </w:r>
      <w:r w:rsidR="00502D05" w:rsidRPr="0013521E">
        <w:rPr>
          <w:spacing w:val="-2"/>
          <w:szCs w:val="22"/>
          <w:lang w:val="fr-FR"/>
        </w:rPr>
        <w:t>WIPO CASE</w:t>
      </w:r>
    </w:p>
    <w:p w14:paraId="2988313B" w14:textId="77777777" w:rsidR="00C33F01" w:rsidRPr="0013521E" w:rsidRDefault="00C33F01" w:rsidP="00C33F01">
      <w:pPr>
        <w:rPr>
          <w:spacing w:val="-2"/>
          <w:szCs w:val="22"/>
          <w:lang w:val="fr-FR"/>
        </w:rPr>
      </w:pPr>
    </w:p>
    <w:p w14:paraId="5AFBCEB3" w14:textId="6CBB3434" w:rsidR="00502D05" w:rsidRPr="0013521E" w:rsidRDefault="00C33F01" w:rsidP="00C33F01">
      <w:pPr>
        <w:rPr>
          <w:spacing w:val="-2"/>
          <w:szCs w:val="22"/>
          <w:lang w:val="fr-FR"/>
        </w:rPr>
      </w:pPr>
      <w:r w:rsidRPr="0013521E">
        <w:rPr>
          <w:spacing w:val="-2"/>
          <w:szCs w:val="22"/>
          <w:lang w:val="fr-FR"/>
        </w:rPr>
        <w:t>Possibilité d</w:t>
      </w:r>
      <w:r w:rsidR="00502D05" w:rsidRPr="0013521E">
        <w:rPr>
          <w:spacing w:val="-2"/>
          <w:szCs w:val="22"/>
          <w:lang w:val="fr-FR"/>
        </w:rPr>
        <w:t>’</w:t>
      </w:r>
      <w:r w:rsidRPr="0013521E">
        <w:rPr>
          <w:spacing w:val="-2"/>
          <w:szCs w:val="22"/>
          <w:lang w:val="fr-FR"/>
        </w:rPr>
        <w:t xml:space="preserve">effectuer des recherches dans </w:t>
      </w:r>
      <w:r w:rsidRPr="0013521E">
        <w:rPr>
          <w:b/>
          <w:spacing w:val="-2"/>
          <w:szCs w:val="22"/>
          <w:lang w:val="fr-FR"/>
        </w:rPr>
        <w:t>14</w:t>
      </w:r>
      <w:r w:rsidR="00E3770C" w:rsidRPr="0013521E">
        <w:rPr>
          <w:b/>
          <w:spacing w:val="-2"/>
          <w:szCs w:val="22"/>
          <w:lang w:val="fr-FR"/>
        </w:rPr>
        <w:t> </w:t>
      </w:r>
      <w:r w:rsidRPr="0013521E">
        <w:rPr>
          <w:spacing w:val="-2"/>
          <w:szCs w:val="22"/>
          <w:lang w:val="fr-FR"/>
        </w:rPr>
        <w:t>langues dans la base de données PATENTSCOPE</w:t>
      </w:r>
    </w:p>
    <w:p w14:paraId="5EDBF1CF" w14:textId="67AC606B" w:rsidR="00C33F01" w:rsidRPr="0013521E" w:rsidRDefault="00C33F01" w:rsidP="00C33F01">
      <w:pPr>
        <w:rPr>
          <w:spacing w:val="-2"/>
          <w:szCs w:val="22"/>
          <w:lang w:val="fr-FR"/>
        </w:rPr>
      </w:pPr>
    </w:p>
    <w:p w14:paraId="71C5342B" w14:textId="0AA5EBF3" w:rsidR="00C33F01" w:rsidRPr="0013521E" w:rsidRDefault="00C33F01" w:rsidP="00C33F01">
      <w:pPr>
        <w:rPr>
          <w:spacing w:val="-2"/>
          <w:szCs w:val="22"/>
          <w:lang w:val="fr-FR"/>
        </w:rPr>
      </w:pPr>
      <w:r w:rsidRPr="0013521E">
        <w:rPr>
          <w:b/>
          <w:spacing w:val="-2"/>
          <w:szCs w:val="22"/>
          <w:lang w:val="fr-FR"/>
        </w:rPr>
        <w:t>100</w:t>
      </w:r>
      <w:r w:rsidR="00D04CDB" w:rsidRPr="0013521E">
        <w:rPr>
          <w:b/>
          <w:spacing w:val="-2"/>
          <w:szCs w:val="22"/>
          <w:lang w:val="fr-FR"/>
        </w:rPr>
        <w:t> </w:t>
      </w:r>
      <w:r w:rsidRPr="0013521E">
        <w:rPr>
          <w:b/>
          <w:spacing w:val="-2"/>
          <w:szCs w:val="22"/>
          <w:lang w:val="fr-FR"/>
        </w:rPr>
        <w:t>millions</w:t>
      </w:r>
      <w:r w:rsidRPr="0013521E">
        <w:rPr>
          <w:spacing w:val="-2"/>
          <w:szCs w:val="22"/>
          <w:lang w:val="fr-FR"/>
        </w:rPr>
        <w:t xml:space="preserve"> d</w:t>
      </w:r>
      <w:r w:rsidR="00502D05" w:rsidRPr="0013521E">
        <w:rPr>
          <w:spacing w:val="-2"/>
          <w:szCs w:val="22"/>
          <w:lang w:val="fr-FR"/>
        </w:rPr>
        <w:t>’</w:t>
      </w:r>
      <w:r w:rsidRPr="0013521E">
        <w:rPr>
          <w:spacing w:val="-2"/>
          <w:szCs w:val="22"/>
          <w:lang w:val="fr-FR"/>
        </w:rPr>
        <w:t>enregistrements dans les bases de données mondiales en libre accès de l</w:t>
      </w:r>
      <w:r w:rsidR="00502D05" w:rsidRPr="0013521E">
        <w:rPr>
          <w:spacing w:val="-2"/>
          <w:szCs w:val="22"/>
          <w:lang w:val="fr-FR"/>
        </w:rPr>
        <w:t>’</w:t>
      </w:r>
      <w:r w:rsidRPr="0013521E">
        <w:rPr>
          <w:spacing w:val="-2"/>
          <w:szCs w:val="22"/>
          <w:lang w:val="fr-FR"/>
        </w:rPr>
        <w:t>OMPI</w:t>
      </w:r>
    </w:p>
    <w:p w14:paraId="2C83D5F4" w14:textId="77777777" w:rsidR="00C33F01" w:rsidRPr="0013521E" w:rsidRDefault="00C33F01" w:rsidP="00C33F01">
      <w:pPr>
        <w:rPr>
          <w:rStyle w:val="A14"/>
          <w:rFonts w:cs="Arial"/>
          <w:color w:val="auto"/>
          <w:spacing w:val="-2"/>
          <w:sz w:val="22"/>
          <w:szCs w:val="22"/>
          <w:lang w:val="fr-FR"/>
        </w:rPr>
      </w:pPr>
    </w:p>
    <w:p w14:paraId="084E1315" w14:textId="307ECECA" w:rsidR="00C33F01" w:rsidRPr="0013521E" w:rsidRDefault="00C33F01" w:rsidP="00C33F01">
      <w:pPr>
        <w:rPr>
          <w:spacing w:val="-2"/>
          <w:szCs w:val="22"/>
          <w:lang w:val="fr-FR"/>
        </w:rPr>
      </w:pPr>
      <w:r w:rsidRPr="0013521E">
        <w:rPr>
          <w:spacing w:val="-2"/>
          <w:szCs w:val="22"/>
          <w:lang w:val="fr-FR"/>
        </w:rPr>
        <w:t xml:space="preserve">Excédent budgétaire de </w:t>
      </w:r>
      <w:r w:rsidRPr="0013521E">
        <w:rPr>
          <w:b/>
          <w:spacing w:val="-2"/>
          <w:szCs w:val="22"/>
          <w:lang w:val="fr-FR"/>
        </w:rPr>
        <w:t>70,3</w:t>
      </w:r>
      <w:r w:rsidR="00D04CDB" w:rsidRPr="0013521E">
        <w:rPr>
          <w:b/>
          <w:spacing w:val="-2"/>
          <w:szCs w:val="22"/>
          <w:lang w:val="fr-FR"/>
        </w:rPr>
        <w:t> </w:t>
      </w:r>
      <w:r w:rsidRPr="0013521E">
        <w:rPr>
          <w:b/>
          <w:spacing w:val="-2"/>
          <w:szCs w:val="22"/>
          <w:lang w:val="fr-FR"/>
        </w:rPr>
        <w:t>millions de francs suisses</w:t>
      </w:r>
      <w:r w:rsidRPr="0013521E">
        <w:rPr>
          <w:spacing w:val="-2"/>
          <w:szCs w:val="22"/>
          <w:lang w:val="fr-FR"/>
        </w:rPr>
        <w:t xml:space="preserve"> à fin</w:t>
      </w:r>
      <w:r w:rsidR="00E3770C" w:rsidRPr="0013521E">
        <w:rPr>
          <w:spacing w:val="-2"/>
          <w:szCs w:val="22"/>
          <w:lang w:val="fr-FR"/>
        </w:rPr>
        <w:t> </w:t>
      </w:r>
      <w:r w:rsidRPr="0013521E">
        <w:rPr>
          <w:spacing w:val="-2"/>
          <w:szCs w:val="22"/>
          <w:lang w:val="fr-FR"/>
        </w:rPr>
        <w:t>2015</w:t>
      </w:r>
    </w:p>
    <w:p w14:paraId="04A33E95" w14:textId="77777777" w:rsidR="00C33F01" w:rsidRPr="0013521E" w:rsidRDefault="00C33F01" w:rsidP="00C33F01">
      <w:pPr>
        <w:rPr>
          <w:rStyle w:val="A2"/>
          <w:rFonts w:cs="Arial"/>
          <w:color w:val="auto"/>
          <w:spacing w:val="-2"/>
          <w:sz w:val="22"/>
          <w:szCs w:val="22"/>
          <w:lang w:val="fr-FR"/>
        </w:rPr>
      </w:pPr>
    </w:p>
    <w:p w14:paraId="2081FBCD" w14:textId="45C04EA2" w:rsidR="00C33F01" w:rsidRPr="0013521E" w:rsidRDefault="00C33F01" w:rsidP="00C33F01">
      <w:pPr>
        <w:rPr>
          <w:spacing w:val="-2"/>
          <w:szCs w:val="22"/>
          <w:lang w:val="fr-FR"/>
        </w:rPr>
      </w:pPr>
      <w:r w:rsidRPr="0013521E">
        <w:rPr>
          <w:spacing w:val="-2"/>
          <w:szCs w:val="22"/>
          <w:lang w:val="fr-FR"/>
        </w:rPr>
        <w:t xml:space="preserve">Recettes supérieures de </w:t>
      </w:r>
      <w:r w:rsidRPr="0013521E">
        <w:rPr>
          <w:b/>
          <w:spacing w:val="-2"/>
          <w:szCs w:val="22"/>
          <w:lang w:val="fr-FR"/>
        </w:rPr>
        <w:t>8,7%</w:t>
      </w:r>
      <w:r w:rsidRPr="0013521E">
        <w:rPr>
          <w:spacing w:val="-2"/>
          <w:szCs w:val="22"/>
          <w:lang w:val="fr-FR"/>
        </w:rPr>
        <w:t xml:space="preserve"> à l</w:t>
      </w:r>
      <w:r w:rsidR="00502D05" w:rsidRPr="0013521E">
        <w:rPr>
          <w:spacing w:val="-2"/>
          <w:szCs w:val="22"/>
          <w:lang w:val="fr-FR"/>
        </w:rPr>
        <w:t>’</w:t>
      </w:r>
      <w:r w:rsidRPr="0013521E">
        <w:rPr>
          <w:spacing w:val="-2"/>
          <w:szCs w:val="22"/>
          <w:lang w:val="fr-FR"/>
        </w:rPr>
        <w:t>objectif prévu au budget 2014</w:t>
      </w:r>
      <w:r w:rsidR="00E3770C" w:rsidRPr="0013521E">
        <w:rPr>
          <w:spacing w:val="-2"/>
          <w:szCs w:val="22"/>
          <w:lang w:val="fr-FR"/>
        </w:rPr>
        <w:noBreakHyphen/>
      </w:r>
      <w:r w:rsidRPr="0013521E">
        <w:rPr>
          <w:spacing w:val="-2"/>
          <w:szCs w:val="22"/>
          <w:lang w:val="fr-FR"/>
        </w:rPr>
        <w:t>2015</w:t>
      </w:r>
    </w:p>
    <w:p w14:paraId="16D32E39" w14:textId="77777777" w:rsidR="00C33F01" w:rsidRPr="0013521E" w:rsidRDefault="00C33F01" w:rsidP="00C33F01">
      <w:pPr>
        <w:rPr>
          <w:spacing w:val="-2"/>
          <w:szCs w:val="22"/>
          <w:lang w:val="fr-FR"/>
        </w:rPr>
      </w:pPr>
    </w:p>
    <w:p w14:paraId="309D26C4" w14:textId="070BCC2D" w:rsidR="00C33F01" w:rsidRPr="0013521E" w:rsidRDefault="00C33F01" w:rsidP="00C33F01">
      <w:pPr>
        <w:rPr>
          <w:b/>
          <w:spacing w:val="-2"/>
          <w:szCs w:val="22"/>
          <w:lang w:val="fr-FR"/>
        </w:rPr>
      </w:pPr>
      <w:r w:rsidRPr="0013521E">
        <w:rPr>
          <w:b/>
          <w:spacing w:val="-2"/>
          <w:szCs w:val="22"/>
          <w:lang w:val="fr-FR"/>
        </w:rPr>
        <w:t xml:space="preserve">120 </w:t>
      </w:r>
      <w:r w:rsidRPr="0013521E">
        <w:rPr>
          <w:spacing w:val="-2"/>
          <w:szCs w:val="22"/>
          <w:lang w:val="fr-FR"/>
        </w:rPr>
        <w:t>nationalités représentées parmi le personnel de l</w:t>
      </w:r>
      <w:r w:rsidR="00502D05" w:rsidRPr="0013521E">
        <w:rPr>
          <w:spacing w:val="-2"/>
          <w:szCs w:val="22"/>
          <w:lang w:val="fr-FR"/>
        </w:rPr>
        <w:t>’</w:t>
      </w:r>
      <w:r w:rsidRPr="0013521E">
        <w:rPr>
          <w:spacing w:val="-2"/>
          <w:szCs w:val="22"/>
          <w:lang w:val="fr-FR"/>
        </w:rPr>
        <w:t>OMPI</w:t>
      </w:r>
    </w:p>
    <w:p w14:paraId="403D3B51" w14:textId="77777777" w:rsidR="00C33F01" w:rsidRPr="0013521E" w:rsidRDefault="00C33F01" w:rsidP="00C33F01">
      <w:pPr>
        <w:rPr>
          <w:rStyle w:val="A10"/>
          <w:rFonts w:cs="Arial"/>
          <w:color w:val="auto"/>
          <w:spacing w:val="-2"/>
          <w:sz w:val="22"/>
          <w:szCs w:val="22"/>
          <w:lang w:val="fr-FR"/>
        </w:rPr>
      </w:pPr>
    </w:p>
    <w:p w14:paraId="640CFA47" w14:textId="34A82818" w:rsidR="00502D05" w:rsidRPr="0013521E" w:rsidRDefault="00C33F01" w:rsidP="00C33F01">
      <w:pPr>
        <w:rPr>
          <w:spacing w:val="-2"/>
          <w:szCs w:val="22"/>
          <w:lang w:val="fr-FR"/>
        </w:rPr>
      </w:pPr>
      <w:r w:rsidRPr="0013521E">
        <w:rPr>
          <w:b/>
          <w:spacing w:val="-2"/>
          <w:szCs w:val="22"/>
          <w:lang w:val="fr-FR"/>
        </w:rPr>
        <w:t xml:space="preserve">128 </w:t>
      </w:r>
      <w:r w:rsidRPr="0013521E">
        <w:rPr>
          <w:spacing w:val="-2"/>
          <w:szCs w:val="22"/>
          <w:lang w:val="fr-FR"/>
        </w:rPr>
        <w:t>économies analysées dans l</w:t>
      </w:r>
      <w:r w:rsidR="00502D05" w:rsidRPr="0013521E">
        <w:rPr>
          <w:spacing w:val="-2"/>
          <w:szCs w:val="22"/>
          <w:lang w:val="fr-FR"/>
        </w:rPr>
        <w:t>’</w:t>
      </w:r>
      <w:r w:rsidRPr="0013521E">
        <w:rPr>
          <w:spacing w:val="-2"/>
          <w:szCs w:val="22"/>
          <w:lang w:val="fr-FR"/>
        </w:rPr>
        <w:t>Indice mondial de l</w:t>
      </w:r>
      <w:r w:rsidR="00502D05" w:rsidRPr="0013521E">
        <w:rPr>
          <w:spacing w:val="-2"/>
          <w:szCs w:val="22"/>
          <w:lang w:val="fr-FR"/>
        </w:rPr>
        <w:t>’</w:t>
      </w:r>
      <w:r w:rsidRPr="0013521E">
        <w:rPr>
          <w:spacing w:val="-2"/>
          <w:szCs w:val="22"/>
          <w:lang w:val="fr-FR"/>
        </w:rPr>
        <w:t>innovation</w:t>
      </w:r>
    </w:p>
    <w:p w14:paraId="33E0B17E" w14:textId="09357D1A" w:rsidR="00C33F01" w:rsidRPr="0013521E" w:rsidRDefault="00C33F01" w:rsidP="00C33F01">
      <w:pPr>
        <w:rPr>
          <w:rStyle w:val="A2"/>
          <w:rFonts w:cs="Arial"/>
          <w:color w:val="auto"/>
          <w:spacing w:val="-2"/>
          <w:sz w:val="22"/>
          <w:szCs w:val="22"/>
          <w:lang w:val="fr-FR"/>
        </w:rPr>
      </w:pPr>
    </w:p>
    <w:p w14:paraId="075D3BFF" w14:textId="63C4AFA4" w:rsidR="00C33F01" w:rsidRPr="0013521E" w:rsidRDefault="00C33F01" w:rsidP="00C33F01">
      <w:pPr>
        <w:rPr>
          <w:spacing w:val="-2"/>
          <w:szCs w:val="22"/>
          <w:lang w:val="fr-FR"/>
        </w:rPr>
      </w:pPr>
      <w:r w:rsidRPr="0013521E">
        <w:rPr>
          <w:b/>
          <w:spacing w:val="-2"/>
          <w:szCs w:val="22"/>
          <w:lang w:val="fr-FR"/>
        </w:rPr>
        <w:t>451</w:t>
      </w:r>
      <w:r w:rsidRPr="0013521E">
        <w:rPr>
          <w:spacing w:val="-2"/>
          <w:szCs w:val="22"/>
          <w:lang w:val="fr-FR"/>
        </w:rPr>
        <w:t xml:space="preserve"> manifestations organisées pour célébrer la Journée mondiale de la propriété intellectuelle dans 121</w:t>
      </w:r>
      <w:r w:rsidR="00E3770C" w:rsidRPr="0013521E">
        <w:rPr>
          <w:spacing w:val="-2"/>
          <w:szCs w:val="22"/>
          <w:lang w:val="fr-FR"/>
        </w:rPr>
        <w:t> </w:t>
      </w:r>
      <w:r w:rsidRPr="0013521E">
        <w:rPr>
          <w:spacing w:val="-2"/>
          <w:szCs w:val="22"/>
          <w:lang w:val="fr-FR"/>
        </w:rPr>
        <w:t>pays</w:t>
      </w:r>
    </w:p>
    <w:p w14:paraId="57C4A95F" w14:textId="77777777" w:rsidR="00C33F01" w:rsidRPr="0013521E" w:rsidRDefault="00C33F01" w:rsidP="00C33F01">
      <w:pPr>
        <w:rPr>
          <w:rStyle w:val="A10"/>
          <w:rFonts w:cs="Arial"/>
          <w:color w:val="auto"/>
          <w:spacing w:val="-2"/>
          <w:sz w:val="22"/>
          <w:szCs w:val="22"/>
          <w:lang w:val="fr-FR"/>
        </w:rPr>
      </w:pPr>
    </w:p>
    <w:p w14:paraId="197C1A53" w14:textId="7738FC97" w:rsidR="00502D05" w:rsidRPr="0013521E" w:rsidRDefault="00E62B5D" w:rsidP="00E62B5D">
      <w:pPr>
        <w:rPr>
          <w:spacing w:val="-2"/>
          <w:szCs w:val="22"/>
          <w:lang w:val="fr-FR"/>
        </w:rPr>
      </w:pPr>
      <w:r w:rsidRPr="0013521E">
        <w:rPr>
          <w:b/>
          <w:spacing w:val="-2"/>
          <w:szCs w:val="22"/>
          <w:lang w:val="fr-FR"/>
        </w:rPr>
        <w:t>11,4</w:t>
      </w:r>
      <w:r w:rsidR="00D04CDB" w:rsidRPr="0013521E">
        <w:rPr>
          <w:b/>
          <w:spacing w:val="-2"/>
          <w:szCs w:val="22"/>
          <w:lang w:val="fr-FR"/>
        </w:rPr>
        <w:t> </w:t>
      </w:r>
      <w:r w:rsidRPr="0013521E">
        <w:rPr>
          <w:b/>
          <w:spacing w:val="-2"/>
          <w:szCs w:val="22"/>
          <w:lang w:val="fr-FR"/>
        </w:rPr>
        <w:t>millions</w:t>
      </w:r>
      <w:r w:rsidRPr="0013521E">
        <w:rPr>
          <w:spacing w:val="-2"/>
          <w:szCs w:val="22"/>
          <w:lang w:val="fr-FR"/>
        </w:rPr>
        <w:t xml:space="preserve"> de vues pour les vidéos de l</w:t>
      </w:r>
      <w:r w:rsidR="00502D05" w:rsidRPr="0013521E">
        <w:rPr>
          <w:spacing w:val="-2"/>
          <w:szCs w:val="22"/>
          <w:lang w:val="fr-FR"/>
        </w:rPr>
        <w:t>’</w:t>
      </w:r>
      <w:r w:rsidRPr="0013521E">
        <w:rPr>
          <w:spacing w:val="-2"/>
          <w:szCs w:val="22"/>
          <w:lang w:val="fr-FR"/>
        </w:rPr>
        <w:t>OMPI sur YouTube</w:t>
      </w:r>
    </w:p>
    <w:p w14:paraId="4C37B79F" w14:textId="60EA5999" w:rsidR="00C33F01" w:rsidRPr="0013521E" w:rsidRDefault="00C33F01" w:rsidP="00C33F01">
      <w:pPr>
        <w:rPr>
          <w:rStyle w:val="A2"/>
          <w:rFonts w:cs="Arial"/>
          <w:color w:val="auto"/>
          <w:spacing w:val="-2"/>
          <w:sz w:val="22"/>
          <w:szCs w:val="22"/>
          <w:lang w:val="fr-FR"/>
        </w:rPr>
      </w:pPr>
    </w:p>
    <w:p w14:paraId="546C5DC5" w14:textId="603F2E41" w:rsidR="00E62B5D" w:rsidRPr="0013521E" w:rsidRDefault="00E62B5D" w:rsidP="00AA4BEA">
      <w:pPr>
        <w:keepNext/>
        <w:rPr>
          <w:spacing w:val="-2"/>
          <w:szCs w:val="22"/>
          <w:lang w:val="fr-FR"/>
        </w:rPr>
      </w:pPr>
      <w:r w:rsidRPr="0013521E">
        <w:rPr>
          <w:b/>
          <w:spacing w:val="-2"/>
          <w:szCs w:val="22"/>
          <w:lang w:val="fr-FR"/>
        </w:rPr>
        <w:lastRenderedPageBreak/>
        <w:t>155,7</w:t>
      </w:r>
      <w:r w:rsidR="00D04CDB" w:rsidRPr="0013521E">
        <w:rPr>
          <w:b/>
          <w:spacing w:val="-2"/>
          <w:szCs w:val="22"/>
          <w:lang w:val="fr-FR"/>
        </w:rPr>
        <w:t> </w:t>
      </w:r>
      <w:r w:rsidRPr="0013521E">
        <w:rPr>
          <w:b/>
          <w:spacing w:val="-2"/>
          <w:szCs w:val="22"/>
          <w:lang w:val="fr-FR"/>
        </w:rPr>
        <w:t>millions</w:t>
      </w:r>
      <w:r w:rsidRPr="0013521E">
        <w:rPr>
          <w:spacing w:val="-2"/>
          <w:szCs w:val="22"/>
          <w:lang w:val="fr-FR"/>
        </w:rPr>
        <w:t xml:space="preserve"> d</w:t>
      </w:r>
      <w:r w:rsidR="00502D05" w:rsidRPr="0013521E">
        <w:rPr>
          <w:spacing w:val="-2"/>
          <w:szCs w:val="22"/>
          <w:lang w:val="fr-FR"/>
        </w:rPr>
        <w:t>’</w:t>
      </w:r>
      <w:r w:rsidRPr="0013521E">
        <w:rPr>
          <w:spacing w:val="-2"/>
          <w:szCs w:val="22"/>
          <w:lang w:val="fr-FR"/>
        </w:rPr>
        <w:t>impressions pour les tweets de l</w:t>
      </w:r>
      <w:r w:rsidR="00502D05" w:rsidRPr="0013521E">
        <w:rPr>
          <w:spacing w:val="-2"/>
          <w:szCs w:val="22"/>
          <w:lang w:val="fr-FR"/>
        </w:rPr>
        <w:t>’</w:t>
      </w:r>
      <w:r w:rsidRPr="0013521E">
        <w:rPr>
          <w:spacing w:val="-2"/>
          <w:szCs w:val="22"/>
          <w:lang w:val="fr-FR"/>
        </w:rPr>
        <w:t>OMPI</w:t>
      </w:r>
    </w:p>
    <w:p w14:paraId="6B7D136F" w14:textId="77777777" w:rsidR="00C33F01" w:rsidRPr="0013521E" w:rsidRDefault="00C33F01" w:rsidP="00C33F01">
      <w:pPr>
        <w:rPr>
          <w:spacing w:val="-2"/>
          <w:szCs w:val="22"/>
          <w:lang w:val="fr-FR"/>
        </w:rPr>
      </w:pPr>
    </w:p>
    <w:p w14:paraId="72BA5409" w14:textId="72DE6820" w:rsidR="00E62B5D" w:rsidRPr="0013521E" w:rsidRDefault="00E62B5D" w:rsidP="00E62B5D">
      <w:pPr>
        <w:rPr>
          <w:spacing w:val="-2"/>
          <w:szCs w:val="22"/>
          <w:lang w:val="fr-FR"/>
        </w:rPr>
      </w:pPr>
      <w:r w:rsidRPr="0013521E">
        <w:rPr>
          <w:spacing w:val="-2"/>
          <w:szCs w:val="22"/>
          <w:lang w:val="fr-FR"/>
        </w:rPr>
        <w:t>Bulletins d</w:t>
      </w:r>
      <w:r w:rsidR="00502D05" w:rsidRPr="0013521E">
        <w:rPr>
          <w:spacing w:val="-2"/>
          <w:szCs w:val="22"/>
          <w:lang w:val="fr-FR"/>
        </w:rPr>
        <w:t>’</w:t>
      </w:r>
      <w:r w:rsidRPr="0013521E">
        <w:rPr>
          <w:spacing w:val="-2"/>
          <w:szCs w:val="22"/>
          <w:lang w:val="fr-FR"/>
        </w:rPr>
        <w:t>information de l</w:t>
      </w:r>
      <w:r w:rsidR="00502D05" w:rsidRPr="0013521E">
        <w:rPr>
          <w:spacing w:val="-2"/>
          <w:szCs w:val="22"/>
          <w:lang w:val="fr-FR"/>
        </w:rPr>
        <w:t>’</w:t>
      </w:r>
      <w:r w:rsidRPr="0013521E">
        <w:rPr>
          <w:spacing w:val="-2"/>
          <w:szCs w:val="22"/>
          <w:lang w:val="fr-FR"/>
        </w:rPr>
        <w:t xml:space="preserve">OMPI vus </w:t>
      </w:r>
      <w:r w:rsidRPr="0013521E">
        <w:rPr>
          <w:b/>
          <w:spacing w:val="-2"/>
          <w:szCs w:val="22"/>
          <w:lang w:val="fr-FR"/>
        </w:rPr>
        <w:t>2</w:t>
      </w:r>
      <w:r w:rsidR="00D04CDB" w:rsidRPr="0013521E">
        <w:rPr>
          <w:b/>
          <w:spacing w:val="-2"/>
          <w:szCs w:val="22"/>
          <w:lang w:val="fr-FR"/>
        </w:rPr>
        <w:t> </w:t>
      </w:r>
      <w:r w:rsidRPr="0013521E">
        <w:rPr>
          <w:b/>
          <w:spacing w:val="-2"/>
          <w:szCs w:val="22"/>
          <w:lang w:val="fr-FR"/>
        </w:rPr>
        <w:t>millions</w:t>
      </w:r>
      <w:r w:rsidRPr="0013521E">
        <w:rPr>
          <w:spacing w:val="-2"/>
          <w:szCs w:val="22"/>
          <w:lang w:val="fr-FR"/>
        </w:rPr>
        <w:t xml:space="preserve"> de fois depuis le lancement de la plateforme d</w:t>
      </w:r>
      <w:r w:rsidR="00502D05" w:rsidRPr="0013521E">
        <w:rPr>
          <w:spacing w:val="-2"/>
          <w:szCs w:val="22"/>
          <w:lang w:val="fr-FR"/>
        </w:rPr>
        <w:t>’</w:t>
      </w:r>
      <w:r w:rsidRPr="0013521E">
        <w:rPr>
          <w:spacing w:val="-2"/>
          <w:szCs w:val="22"/>
          <w:lang w:val="fr-FR"/>
        </w:rPr>
        <w:t>information électronique</w:t>
      </w:r>
    </w:p>
    <w:p w14:paraId="1A622DF0" w14:textId="77777777" w:rsidR="00C33F01" w:rsidRPr="001B3715" w:rsidRDefault="00C33F01" w:rsidP="0013521E">
      <w:pPr>
        <w:rPr>
          <w:b/>
          <w:lang w:val="fr-FR"/>
        </w:rPr>
      </w:pPr>
    </w:p>
    <w:p w14:paraId="4E405BEF" w14:textId="6A491B15" w:rsidR="00BB74EF" w:rsidRPr="001B3715" w:rsidRDefault="00B12796" w:rsidP="00E62B5D">
      <w:pPr>
        <w:pStyle w:val="ONUMFS"/>
        <w:numPr>
          <w:ilvl w:val="0"/>
          <w:numId w:val="0"/>
        </w:numPr>
        <w:rPr>
          <w:lang w:val="fr-FR"/>
        </w:rPr>
      </w:pPr>
      <w:r w:rsidRPr="001B3715">
        <w:rPr>
          <w:lang w:val="fr-FR"/>
        </w:rPr>
        <w:t xml:space="preserve">Des progrès </w:t>
      </w:r>
      <w:r w:rsidR="005A3741" w:rsidRPr="001B3715">
        <w:rPr>
          <w:lang w:val="fr-FR"/>
        </w:rPr>
        <w:t>not</w:t>
      </w:r>
      <w:r w:rsidRPr="001B3715">
        <w:rPr>
          <w:lang w:val="fr-FR"/>
        </w:rPr>
        <w:t>ables ont été accompli</w:t>
      </w:r>
      <w:r w:rsidR="00BB74EF" w:rsidRPr="001B3715">
        <w:rPr>
          <w:lang w:val="fr-FR"/>
        </w:rPr>
        <w:t xml:space="preserve">s </w:t>
      </w:r>
      <w:r w:rsidRPr="001B3715">
        <w:rPr>
          <w:lang w:val="fr-FR"/>
        </w:rPr>
        <w:t>dans toute l</w:t>
      </w:r>
      <w:r w:rsidR="00502D05" w:rsidRPr="001B3715">
        <w:rPr>
          <w:lang w:val="fr-FR"/>
        </w:rPr>
        <w:t>’</w:t>
      </w:r>
      <w:r w:rsidR="00BB74EF" w:rsidRPr="001B3715">
        <w:rPr>
          <w:lang w:val="fr-FR"/>
        </w:rPr>
        <w:t>Organi</w:t>
      </w:r>
      <w:r w:rsidRPr="001B3715">
        <w:rPr>
          <w:lang w:val="fr-FR"/>
        </w:rPr>
        <w:t>s</w:t>
      </w:r>
      <w:r w:rsidR="00BB74EF" w:rsidRPr="001B3715">
        <w:rPr>
          <w:lang w:val="fr-FR"/>
        </w:rPr>
        <w:t xml:space="preserve">ation </w:t>
      </w:r>
      <w:r w:rsidRPr="001B3715">
        <w:rPr>
          <w:lang w:val="fr-FR"/>
        </w:rPr>
        <w:t>au cours de l</w:t>
      </w:r>
      <w:r w:rsidR="00502D05" w:rsidRPr="001B3715">
        <w:rPr>
          <w:lang w:val="fr-FR"/>
        </w:rPr>
        <w:t>’</w:t>
      </w:r>
      <w:r w:rsidRPr="001B3715">
        <w:rPr>
          <w:lang w:val="fr-FR"/>
        </w:rPr>
        <w:t>année qui s</w:t>
      </w:r>
      <w:r w:rsidR="00502D05" w:rsidRPr="001B3715">
        <w:rPr>
          <w:lang w:val="fr-FR"/>
        </w:rPr>
        <w:t>’</w:t>
      </w:r>
      <w:r w:rsidRPr="001B3715">
        <w:rPr>
          <w:lang w:val="fr-FR"/>
        </w:rPr>
        <w:t>est écoulée depuis les dernières assemblées de l</w:t>
      </w:r>
      <w:r w:rsidR="00502D05" w:rsidRPr="001B3715">
        <w:rPr>
          <w:lang w:val="fr-FR"/>
        </w:rPr>
        <w:t>’</w:t>
      </w:r>
      <w:r w:rsidRPr="001B3715">
        <w:rPr>
          <w:lang w:val="fr-FR"/>
        </w:rPr>
        <w:t>OMPI en o</w:t>
      </w:r>
      <w:r w:rsidR="00BB74EF" w:rsidRPr="001B3715">
        <w:rPr>
          <w:lang w:val="fr-FR"/>
        </w:rPr>
        <w:t>ctobr</w:t>
      </w:r>
      <w:r w:rsidRPr="001B3715">
        <w:rPr>
          <w:lang w:val="fr-FR"/>
        </w:rPr>
        <w:t>e </w:t>
      </w:r>
      <w:r w:rsidR="00BB74EF" w:rsidRPr="001B3715">
        <w:rPr>
          <w:lang w:val="fr-FR"/>
        </w:rPr>
        <w:t xml:space="preserve">2015.  </w:t>
      </w:r>
      <w:r w:rsidRPr="001B3715">
        <w:rPr>
          <w:lang w:val="fr-FR"/>
        </w:rPr>
        <w:t>L</w:t>
      </w:r>
      <w:r w:rsidR="00502D05" w:rsidRPr="001B3715">
        <w:rPr>
          <w:lang w:val="fr-FR"/>
        </w:rPr>
        <w:t>’</w:t>
      </w:r>
      <w:r w:rsidR="00BB74EF" w:rsidRPr="001B3715">
        <w:rPr>
          <w:lang w:val="fr-FR"/>
        </w:rPr>
        <w:t>Organi</w:t>
      </w:r>
      <w:r w:rsidRPr="001B3715">
        <w:rPr>
          <w:lang w:val="fr-FR"/>
        </w:rPr>
        <w:t>s</w:t>
      </w:r>
      <w:r w:rsidR="00BB74EF" w:rsidRPr="001B3715">
        <w:rPr>
          <w:lang w:val="fr-FR"/>
        </w:rPr>
        <w:t xml:space="preserve">ation </w:t>
      </w:r>
      <w:r w:rsidRPr="001B3715">
        <w:rPr>
          <w:lang w:val="fr-FR"/>
        </w:rPr>
        <w:t>a clôturé l</w:t>
      </w:r>
      <w:r w:rsidR="00502D05" w:rsidRPr="001B3715">
        <w:rPr>
          <w:lang w:val="fr-FR"/>
        </w:rPr>
        <w:t>’</w:t>
      </w:r>
      <w:r w:rsidRPr="001B3715">
        <w:rPr>
          <w:lang w:val="fr-FR"/>
        </w:rPr>
        <w:t>exercice biennal</w:t>
      </w:r>
      <w:r w:rsidR="005A3741" w:rsidRPr="001B3715">
        <w:rPr>
          <w:lang w:val="fr-FR"/>
        </w:rPr>
        <w:t> </w:t>
      </w:r>
      <w:r w:rsidR="00BB74EF" w:rsidRPr="001B3715">
        <w:rPr>
          <w:lang w:val="fr-FR"/>
        </w:rPr>
        <w:t>2014</w:t>
      </w:r>
      <w:r w:rsidR="00E3770C">
        <w:rPr>
          <w:lang w:val="fr-FR"/>
        </w:rPr>
        <w:noBreakHyphen/>
      </w:r>
      <w:r w:rsidR="00BB74EF" w:rsidRPr="001B3715">
        <w:rPr>
          <w:lang w:val="fr-FR"/>
        </w:rPr>
        <w:t xml:space="preserve">2015 </w:t>
      </w:r>
      <w:r w:rsidR="00A35BBB" w:rsidRPr="001B3715">
        <w:rPr>
          <w:lang w:val="fr-FR"/>
        </w:rPr>
        <w:t>sur</w:t>
      </w:r>
      <w:r w:rsidR="005A3741" w:rsidRPr="001B3715">
        <w:rPr>
          <w:lang w:val="fr-FR"/>
        </w:rPr>
        <w:t xml:space="preserve"> </w:t>
      </w:r>
      <w:r w:rsidRPr="001B3715">
        <w:rPr>
          <w:lang w:val="fr-FR"/>
        </w:rPr>
        <w:t xml:space="preserve">des résultats financiers très </w:t>
      </w:r>
      <w:r w:rsidR="00BB74EF" w:rsidRPr="001B3715">
        <w:rPr>
          <w:lang w:val="fr-FR"/>
        </w:rPr>
        <w:t xml:space="preserve">positifs </w:t>
      </w:r>
      <w:r w:rsidRPr="001B3715">
        <w:rPr>
          <w:lang w:val="fr-FR"/>
        </w:rPr>
        <w:t xml:space="preserve">et nous avons été en mesure de poursuivre sur cette lancée </w:t>
      </w:r>
      <w:r w:rsidR="005A3741" w:rsidRPr="001B3715">
        <w:rPr>
          <w:lang w:val="fr-FR"/>
        </w:rPr>
        <w:t>d</w:t>
      </w:r>
      <w:r w:rsidRPr="001B3715">
        <w:rPr>
          <w:lang w:val="fr-FR"/>
        </w:rPr>
        <w:t>u</w:t>
      </w:r>
      <w:r w:rsidR="005A3741" w:rsidRPr="001B3715">
        <w:rPr>
          <w:lang w:val="fr-FR"/>
        </w:rPr>
        <w:t>rant</w:t>
      </w:r>
      <w:r w:rsidRPr="001B3715">
        <w:rPr>
          <w:lang w:val="fr-FR"/>
        </w:rPr>
        <w:t xml:space="preserve"> </w:t>
      </w:r>
      <w:r w:rsidR="005A3741" w:rsidRPr="001B3715">
        <w:rPr>
          <w:lang w:val="fr-FR"/>
        </w:rPr>
        <w:t>l</w:t>
      </w:r>
      <w:r w:rsidRPr="001B3715">
        <w:rPr>
          <w:lang w:val="fr-FR"/>
        </w:rPr>
        <w:t>es neuf premiers mois de l</w:t>
      </w:r>
      <w:r w:rsidR="00502D05" w:rsidRPr="001B3715">
        <w:rPr>
          <w:lang w:val="fr-FR"/>
        </w:rPr>
        <w:t>’</w:t>
      </w:r>
      <w:r w:rsidRPr="001B3715">
        <w:rPr>
          <w:lang w:val="fr-FR"/>
        </w:rPr>
        <w:t xml:space="preserve">exercice </w:t>
      </w:r>
      <w:r w:rsidR="00BB74EF" w:rsidRPr="001B3715">
        <w:rPr>
          <w:lang w:val="fr-FR"/>
        </w:rPr>
        <w:t>2016</w:t>
      </w:r>
      <w:r w:rsidR="00E3770C">
        <w:rPr>
          <w:lang w:val="fr-FR"/>
        </w:rPr>
        <w:noBreakHyphen/>
      </w:r>
      <w:r w:rsidR="00BB74EF" w:rsidRPr="001B3715">
        <w:rPr>
          <w:lang w:val="fr-FR"/>
        </w:rPr>
        <w:t>2017 en</w:t>
      </w:r>
      <w:r w:rsidRPr="001B3715">
        <w:rPr>
          <w:lang w:val="fr-FR"/>
        </w:rPr>
        <w:t xml:space="preserve"> cours</w:t>
      </w:r>
      <w:r w:rsidR="00BB74EF" w:rsidRPr="001B3715">
        <w:rPr>
          <w:lang w:val="fr-FR"/>
        </w:rPr>
        <w:t xml:space="preserve">; </w:t>
      </w:r>
      <w:r w:rsidRPr="001B3715">
        <w:rPr>
          <w:lang w:val="fr-FR"/>
        </w:rPr>
        <w:t xml:space="preserve"> les systèmes mondiaux de propriété intellectuelle continuent de croître</w:t>
      </w:r>
      <w:r w:rsidR="00BB74EF" w:rsidRPr="001B3715">
        <w:rPr>
          <w:lang w:val="fr-FR"/>
        </w:rPr>
        <w:t xml:space="preserve">, </w:t>
      </w:r>
      <w:r w:rsidRPr="001B3715">
        <w:rPr>
          <w:lang w:val="fr-FR"/>
        </w:rPr>
        <w:t>que ce soit en termes de couverture gé</w:t>
      </w:r>
      <w:r w:rsidR="00BB74EF" w:rsidRPr="001B3715">
        <w:rPr>
          <w:lang w:val="fr-FR"/>
        </w:rPr>
        <w:t>ographi</w:t>
      </w:r>
      <w:r w:rsidRPr="001B3715">
        <w:rPr>
          <w:lang w:val="fr-FR"/>
        </w:rPr>
        <w:t>que ou de taux d</w:t>
      </w:r>
      <w:r w:rsidR="00502D05" w:rsidRPr="001B3715">
        <w:rPr>
          <w:lang w:val="fr-FR"/>
        </w:rPr>
        <w:t>’</w:t>
      </w:r>
      <w:r w:rsidRPr="001B3715">
        <w:rPr>
          <w:lang w:val="fr-FR"/>
        </w:rPr>
        <w:t>utilisation des systèmes</w:t>
      </w:r>
      <w:r w:rsidR="00BB74EF" w:rsidRPr="001B3715">
        <w:rPr>
          <w:lang w:val="fr-FR"/>
        </w:rPr>
        <w:t xml:space="preserve">; </w:t>
      </w:r>
      <w:r w:rsidRPr="001B3715">
        <w:rPr>
          <w:lang w:val="fr-FR"/>
        </w:rPr>
        <w:t xml:space="preserve"> l</w:t>
      </w:r>
      <w:r w:rsidR="00BB74EF" w:rsidRPr="001B3715">
        <w:rPr>
          <w:lang w:val="fr-FR"/>
        </w:rPr>
        <w:t xml:space="preserve">e </w:t>
      </w:r>
      <w:r w:rsidRPr="001B3715">
        <w:rPr>
          <w:lang w:val="fr-FR"/>
        </w:rPr>
        <w:t>Traité de Marrakech visant à faciliter l</w:t>
      </w:r>
      <w:r w:rsidR="00502D05" w:rsidRPr="001B3715">
        <w:rPr>
          <w:lang w:val="fr-FR"/>
        </w:rPr>
        <w:t>’</w:t>
      </w:r>
      <w:r w:rsidRPr="001B3715">
        <w:rPr>
          <w:lang w:val="fr-FR"/>
        </w:rPr>
        <w:t>accès des aveugles, des déficients visuels et des personnes ayant d</w:t>
      </w:r>
      <w:r w:rsidR="00502D05" w:rsidRPr="001B3715">
        <w:rPr>
          <w:lang w:val="fr-FR"/>
        </w:rPr>
        <w:t>’</w:t>
      </w:r>
      <w:r w:rsidRPr="001B3715">
        <w:rPr>
          <w:lang w:val="fr-FR"/>
        </w:rPr>
        <w:t>autres difficultés de lecture des textes imprimés aux œuvres publiées (“Traité de Marrakech”)</w:t>
      </w:r>
      <w:r w:rsidR="00295809" w:rsidRPr="001B3715">
        <w:rPr>
          <w:lang w:val="fr-FR"/>
        </w:rPr>
        <w:t xml:space="preserve"> </w:t>
      </w:r>
      <w:r w:rsidR="00383CE4" w:rsidRPr="001B3715">
        <w:rPr>
          <w:lang w:val="fr-FR"/>
        </w:rPr>
        <w:t>est entré en vigueur et le nombre de parties contractantes aux autre</w:t>
      </w:r>
      <w:r w:rsidR="00295809" w:rsidRPr="001B3715">
        <w:rPr>
          <w:lang w:val="fr-FR"/>
        </w:rPr>
        <w:t>s</w:t>
      </w:r>
      <w:r w:rsidR="00383CE4" w:rsidRPr="001B3715">
        <w:rPr>
          <w:lang w:val="fr-FR"/>
        </w:rPr>
        <w:t xml:space="preserve"> traités administrés par l</w:t>
      </w:r>
      <w:r w:rsidR="00502D05" w:rsidRPr="001B3715">
        <w:rPr>
          <w:lang w:val="fr-FR"/>
        </w:rPr>
        <w:t>’</w:t>
      </w:r>
      <w:r w:rsidR="00383CE4" w:rsidRPr="001B3715">
        <w:rPr>
          <w:lang w:val="fr-FR"/>
        </w:rPr>
        <w:t>Organisation n</w:t>
      </w:r>
      <w:r w:rsidR="00502D05" w:rsidRPr="001B3715">
        <w:rPr>
          <w:lang w:val="fr-FR"/>
        </w:rPr>
        <w:t>’</w:t>
      </w:r>
      <w:r w:rsidR="00383CE4" w:rsidRPr="001B3715">
        <w:rPr>
          <w:lang w:val="fr-FR"/>
        </w:rPr>
        <w:t>a cessé d</w:t>
      </w:r>
      <w:r w:rsidR="00502D05" w:rsidRPr="001B3715">
        <w:rPr>
          <w:lang w:val="fr-FR"/>
        </w:rPr>
        <w:t>’</w:t>
      </w:r>
      <w:r w:rsidR="00383CE4" w:rsidRPr="001B3715">
        <w:rPr>
          <w:lang w:val="fr-FR"/>
        </w:rPr>
        <w:t>augmenter</w:t>
      </w:r>
      <w:r w:rsidR="00BB74EF" w:rsidRPr="001B3715">
        <w:rPr>
          <w:lang w:val="fr-FR"/>
        </w:rPr>
        <w:t xml:space="preserve">; </w:t>
      </w:r>
      <w:r w:rsidR="00295809" w:rsidRPr="001B3715">
        <w:rPr>
          <w:lang w:val="fr-FR"/>
        </w:rPr>
        <w:t xml:space="preserve"> </w:t>
      </w:r>
      <w:r w:rsidR="00383CE4" w:rsidRPr="001B3715">
        <w:rPr>
          <w:lang w:val="fr-FR"/>
        </w:rPr>
        <w:t xml:space="preserve">les bases de données mondiales et autres systèmes et </w:t>
      </w:r>
      <w:r w:rsidR="005F5036" w:rsidRPr="001B3715">
        <w:rPr>
          <w:lang w:val="fr-FR"/>
        </w:rPr>
        <w:t>plateformes</w:t>
      </w:r>
      <w:r w:rsidR="00383CE4" w:rsidRPr="001B3715">
        <w:rPr>
          <w:lang w:val="fr-FR"/>
        </w:rPr>
        <w:t xml:space="preserve"> informatiques gérés par l</w:t>
      </w:r>
      <w:r w:rsidR="00502D05" w:rsidRPr="001B3715">
        <w:rPr>
          <w:lang w:val="fr-FR"/>
        </w:rPr>
        <w:t>’</w:t>
      </w:r>
      <w:r w:rsidR="00BB74EF" w:rsidRPr="001B3715">
        <w:rPr>
          <w:lang w:val="fr-FR"/>
        </w:rPr>
        <w:t>Organi</w:t>
      </w:r>
      <w:r w:rsidR="00383CE4" w:rsidRPr="001B3715">
        <w:rPr>
          <w:lang w:val="fr-FR"/>
        </w:rPr>
        <w:t>s</w:t>
      </w:r>
      <w:r w:rsidR="00BB74EF" w:rsidRPr="001B3715">
        <w:rPr>
          <w:lang w:val="fr-FR"/>
        </w:rPr>
        <w:t xml:space="preserve">ation </w:t>
      </w:r>
      <w:r w:rsidR="00383CE4" w:rsidRPr="001B3715">
        <w:rPr>
          <w:lang w:val="fr-FR"/>
        </w:rPr>
        <w:t xml:space="preserve">ont </w:t>
      </w:r>
      <w:r w:rsidR="00BB74EF" w:rsidRPr="001B3715">
        <w:rPr>
          <w:lang w:val="fr-FR"/>
        </w:rPr>
        <w:t>enrich</w:t>
      </w:r>
      <w:r w:rsidR="00383CE4" w:rsidRPr="001B3715">
        <w:rPr>
          <w:lang w:val="fr-FR"/>
        </w:rPr>
        <w:t>i leur offre</w:t>
      </w:r>
      <w:r w:rsidR="00295809" w:rsidRPr="001B3715">
        <w:rPr>
          <w:lang w:val="fr-FR"/>
        </w:rPr>
        <w:t>,</w:t>
      </w:r>
      <w:r w:rsidR="00383CE4" w:rsidRPr="001B3715">
        <w:rPr>
          <w:lang w:val="fr-FR"/>
        </w:rPr>
        <w:t xml:space="preserve"> attir</w:t>
      </w:r>
      <w:r w:rsidR="00295809" w:rsidRPr="001B3715">
        <w:rPr>
          <w:lang w:val="fr-FR"/>
        </w:rPr>
        <w:t>ant ainsi</w:t>
      </w:r>
      <w:r w:rsidR="00383CE4" w:rsidRPr="001B3715">
        <w:rPr>
          <w:lang w:val="fr-FR"/>
        </w:rPr>
        <w:t xml:space="preserve"> un nombre croissant d</w:t>
      </w:r>
      <w:r w:rsidR="00502D05" w:rsidRPr="001B3715">
        <w:rPr>
          <w:lang w:val="fr-FR"/>
        </w:rPr>
        <w:t>’</w:t>
      </w:r>
      <w:r w:rsidR="00383CE4" w:rsidRPr="001B3715">
        <w:rPr>
          <w:lang w:val="fr-FR"/>
        </w:rPr>
        <w:t>offices participants et d</w:t>
      </w:r>
      <w:r w:rsidR="00502D05" w:rsidRPr="001B3715">
        <w:rPr>
          <w:lang w:val="fr-FR"/>
        </w:rPr>
        <w:t>’</w:t>
      </w:r>
      <w:r w:rsidR="00383CE4" w:rsidRPr="001B3715">
        <w:rPr>
          <w:lang w:val="fr-FR"/>
        </w:rPr>
        <w:t>utilisateurs</w:t>
      </w:r>
      <w:r w:rsidR="00BB74EF" w:rsidRPr="001B3715">
        <w:rPr>
          <w:lang w:val="fr-FR"/>
        </w:rPr>
        <w:t xml:space="preserve">; </w:t>
      </w:r>
      <w:r w:rsidR="00383CE4" w:rsidRPr="001B3715">
        <w:rPr>
          <w:lang w:val="fr-FR"/>
        </w:rPr>
        <w:t xml:space="preserve"> les programmes de renforcement des</w:t>
      </w:r>
      <w:r w:rsidR="00BB74EF" w:rsidRPr="001B3715">
        <w:rPr>
          <w:lang w:val="fr-FR"/>
        </w:rPr>
        <w:t xml:space="preserve"> capacit</w:t>
      </w:r>
      <w:r w:rsidR="00383CE4" w:rsidRPr="001B3715">
        <w:rPr>
          <w:lang w:val="fr-FR"/>
        </w:rPr>
        <w:t>és d</w:t>
      </w:r>
      <w:r w:rsidR="00BB74EF" w:rsidRPr="001B3715">
        <w:rPr>
          <w:lang w:val="fr-FR"/>
        </w:rPr>
        <w:t xml:space="preserve">e </w:t>
      </w:r>
      <w:r w:rsidR="00383CE4" w:rsidRPr="001B3715">
        <w:rPr>
          <w:lang w:val="fr-FR"/>
        </w:rPr>
        <w:t>l</w:t>
      </w:r>
      <w:r w:rsidR="00502D05" w:rsidRPr="001B3715">
        <w:rPr>
          <w:lang w:val="fr-FR"/>
        </w:rPr>
        <w:t>’</w:t>
      </w:r>
      <w:r w:rsidR="00BB74EF" w:rsidRPr="001B3715">
        <w:rPr>
          <w:lang w:val="fr-FR"/>
        </w:rPr>
        <w:t>Organi</w:t>
      </w:r>
      <w:r w:rsidR="00383CE4" w:rsidRPr="001B3715">
        <w:rPr>
          <w:lang w:val="fr-FR"/>
        </w:rPr>
        <w:t>s</w:t>
      </w:r>
      <w:r w:rsidR="00BB74EF" w:rsidRPr="001B3715">
        <w:rPr>
          <w:lang w:val="fr-FR"/>
        </w:rPr>
        <w:t xml:space="preserve">ation </w:t>
      </w:r>
      <w:r w:rsidR="00383CE4" w:rsidRPr="001B3715">
        <w:rPr>
          <w:lang w:val="fr-FR"/>
        </w:rPr>
        <w:t xml:space="preserve">ont </w:t>
      </w:r>
      <w:r w:rsidR="00BB74EF" w:rsidRPr="001B3715">
        <w:rPr>
          <w:lang w:val="fr-FR"/>
        </w:rPr>
        <w:t>continu</w:t>
      </w:r>
      <w:r w:rsidR="00383CE4" w:rsidRPr="001B3715">
        <w:rPr>
          <w:lang w:val="fr-FR"/>
        </w:rPr>
        <w:t>é de faire l</w:t>
      </w:r>
      <w:r w:rsidR="00502D05" w:rsidRPr="001B3715">
        <w:rPr>
          <w:lang w:val="fr-FR"/>
        </w:rPr>
        <w:t>’</w:t>
      </w:r>
      <w:r w:rsidR="00383CE4" w:rsidRPr="001B3715">
        <w:rPr>
          <w:lang w:val="fr-FR"/>
        </w:rPr>
        <w:t>objet d</w:t>
      </w:r>
      <w:r w:rsidR="00502D05" w:rsidRPr="001B3715">
        <w:rPr>
          <w:lang w:val="fr-FR"/>
        </w:rPr>
        <w:t>’</w:t>
      </w:r>
      <w:r w:rsidR="00383CE4" w:rsidRPr="001B3715">
        <w:rPr>
          <w:lang w:val="fr-FR"/>
        </w:rPr>
        <w:t>une forte demande</w:t>
      </w:r>
      <w:r w:rsidR="00BB74EF" w:rsidRPr="001B3715">
        <w:rPr>
          <w:lang w:val="fr-FR"/>
        </w:rPr>
        <w:t xml:space="preserve">; </w:t>
      </w:r>
      <w:r w:rsidR="00383CE4" w:rsidRPr="001B3715">
        <w:rPr>
          <w:lang w:val="fr-FR"/>
        </w:rPr>
        <w:t xml:space="preserve"> </w:t>
      </w:r>
      <w:r w:rsidR="00295809" w:rsidRPr="001B3715">
        <w:rPr>
          <w:lang w:val="fr-FR"/>
        </w:rPr>
        <w:t>par ailleurs,</w:t>
      </w:r>
      <w:r w:rsidR="00383CE4" w:rsidRPr="001B3715">
        <w:rPr>
          <w:lang w:val="fr-FR"/>
        </w:rPr>
        <w:t xml:space="preserve"> </w:t>
      </w:r>
      <w:r w:rsidR="00295809" w:rsidRPr="001B3715">
        <w:rPr>
          <w:lang w:val="fr-FR"/>
        </w:rPr>
        <w:t xml:space="preserve">de nombreux </w:t>
      </w:r>
      <w:r w:rsidR="00383CE4" w:rsidRPr="001B3715">
        <w:rPr>
          <w:lang w:val="fr-FR"/>
        </w:rPr>
        <w:t>autres résultats</w:t>
      </w:r>
      <w:r w:rsidR="00294277" w:rsidRPr="001B3715">
        <w:rPr>
          <w:lang w:val="fr-FR"/>
        </w:rPr>
        <w:t>,</w:t>
      </w:r>
      <w:r w:rsidR="00383CE4" w:rsidRPr="001B3715">
        <w:rPr>
          <w:lang w:val="fr-FR"/>
        </w:rPr>
        <w:t xml:space="preserve"> exposés plus en détail ci</w:t>
      </w:r>
      <w:r w:rsidR="00E3770C">
        <w:rPr>
          <w:lang w:val="fr-FR"/>
        </w:rPr>
        <w:noBreakHyphen/>
      </w:r>
      <w:r w:rsidR="00383CE4" w:rsidRPr="001B3715">
        <w:rPr>
          <w:lang w:val="fr-FR"/>
        </w:rPr>
        <w:t>après</w:t>
      </w:r>
      <w:r w:rsidR="00294277" w:rsidRPr="001B3715">
        <w:rPr>
          <w:lang w:val="fr-FR"/>
        </w:rPr>
        <w:t>,</w:t>
      </w:r>
      <w:r w:rsidR="00383CE4" w:rsidRPr="001B3715">
        <w:rPr>
          <w:lang w:val="fr-FR"/>
        </w:rPr>
        <w:t xml:space="preserve"> ont pu être obtenus</w:t>
      </w:r>
      <w:r w:rsidR="00BB74EF" w:rsidRPr="001B3715">
        <w:rPr>
          <w:lang w:val="fr-FR"/>
        </w:rPr>
        <w:t>.</w:t>
      </w:r>
    </w:p>
    <w:p w14:paraId="0ED7CA08" w14:textId="77777777" w:rsidR="00AF5C64" w:rsidRPr="001B3715" w:rsidRDefault="001D1CBD" w:rsidP="00137CB3">
      <w:pPr>
        <w:pStyle w:val="Heading3"/>
        <w:rPr>
          <w:lang w:val="fr-FR"/>
        </w:rPr>
      </w:pPr>
      <w:r w:rsidRPr="001B3715">
        <w:rPr>
          <w:lang w:val="fr-FR"/>
        </w:rPr>
        <w:t>Situation</w:t>
      </w:r>
      <w:r w:rsidR="00383CE4" w:rsidRPr="001B3715">
        <w:rPr>
          <w:lang w:val="fr-FR"/>
        </w:rPr>
        <w:t xml:space="preserve"> financière</w:t>
      </w:r>
    </w:p>
    <w:p w14:paraId="40B090B5" w14:textId="77777777" w:rsidR="00A35BBB" w:rsidRPr="001B3715" w:rsidRDefault="00A35BBB" w:rsidP="00137CB3">
      <w:pPr>
        <w:rPr>
          <w:lang w:val="fr-FR"/>
        </w:rPr>
      </w:pPr>
    </w:p>
    <w:p w14:paraId="599E2155" w14:textId="5195CDC5" w:rsidR="00677175" w:rsidRPr="001B3715" w:rsidRDefault="00294277" w:rsidP="00137CB3">
      <w:pPr>
        <w:pStyle w:val="ONUMFS"/>
        <w:rPr>
          <w:lang w:val="fr-FR"/>
        </w:rPr>
      </w:pPr>
      <w:r w:rsidRPr="001B3715">
        <w:rPr>
          <w:lang w:val="fr-FR"/>
        </w:rPr>
        <w:t xml:space="preserve">La situation </w:t>
      </w:r>
      <w:r w:rsidR="00C2564A" w:rsidRPr="001B3715">
        <w:rPr>
          <w:lang w:val="fr-FR"/>
        </w:rPr>
        <w:t>financi</w:t>
      </w:r>
      <w:r w:rsidRPr="001B3715">
        <w:rPr>
          <w:lang w:val="fr-FR"/>
        </w:rPr>
        <w:t>ère de l</w:t>
      </w:r>
      <w:r w:rsidR="00502D05" w:rsidRPr="001B3715">
        <w:rPr>
          <w:lang w:val="fr-FR"/>
        </w:rPr>
        <w:t>’</w:t>
      </w:r>
      <w:r w:rsidRPr="001B3715">
        <w:rPr>
          <w:lang w:val="fr-FR"/>
        </w:rPr>
        <w:t>Organisation reste sai</w:t>
      </w:r>
      <w:r w:rsidR="001B3715" w:rsidRPr="001B3715">
        <w:rPr>
          <w:lang w:val="fr-FR"/>
        </w:rPr>
        <w:t>ne.  No</w:t>
      </w:r>
      <w:r w:rsidRPr="001B3715">
        <w:rPr>
          <w:lang w:val="fr-FR"/>
        </w:rPr>
        <w:t xml:space="preserve">us avons </w:t>
      </w:r>
      <w:r w:rsidR="00971C9D" w:rsidRPr="001B3715">
        <w:rPr>
          <w:lang w:val="fr-FR"/>
        </w:rPr>
        <w:t xml:space="preserve">remarquablement bien </w:t>
      </w:r>
      <w:r w:rsidRPr="001B3715">
        <w:rPr>
          <w:lang w:val="fr-FR"/>
        </w:rPr>
        <w:t>terminé l</w:t>
      </w:r>
      <w:r w:rsidR="00502D05" w:rsidRPr="001B3715">
        <w:rPr>
          <w:lang w:val="fr-FR"/>
        </w:rPr>
        <w:t>’</w:t>
      </w:r>
      <w:r w:rsidRPr="001B3715">
        <w:rPr>
          <w:lang w:val="fr-FR"/>
        </w:rPr>
        <w:t>exercice biennal </w:t>
      </w:r>
      <w:r w:rsidR="00C2564A" w:rsidRPr="001B3715">
        <w:rPr>
          <w:lang w:val="fr-FR"/>
        </w:rPr>
        <w:t>2014</w:t>
      </w:r>
      <w:r w:rsidR="00E3770C">
        <w:rPr>
          <w:lang w:val="fr-FR"/>
        </w:rPr>
        <w:noBreakHyphen/>
      </w:r>
      <w:r w:rsidR="00C2564A" w:rsidRPr="001B3715">
        <w:rPr>
          <w:lang w:val="fr-FR"/>
        </w:rPr>
        <w:t xml:space="preserve">2015 </w:t>
      </w:r>
      <w:r w:rsidR="00971C9D" w:rsidRPr="001B3715">
        <w:rPr>
          <w:lang w:val="fr-FR"/>
        </w:rPr>
        <w:t xml:space="preserve">avec </w:t>
      </w:r>
      <w:r w:rsidRPr="001B3715">
        <w:rPr>
          <w:lang w:val="fr-FR"/>
        </w:rPr>
        <w:t>un excédent global de</w:t>
      </w:r>
      <w:r w:rsidR="00C2564A" w:rsidRPr="001B3715">
        <w:rPr>
          <w:lang w:val="fr-FR"/>
        </w:rPr>
        <w:t xml:space="preserve"> 70</w:t>
      </w:r>
      <w:r w:rsidRPr="001B3715">
        <w:rPr>
          <w:lang w:val="fr-FR"/>
        </w:rPr>
        <w:t>,</w:t>
      </w:r>
      <w:r w:rsidR="00C2564A" w:rsidRPr="001B3715">
        <w:rPr>
          <w:lang w:val="fr-FR"/>
        </w:rPr>
        <w:t>3</w:t>
      </w:r>
      <w:r w:rsidRPr="001B3715">
        <w:rPr>
          <w:lang w:val="fr-FR"/>
        </w:rPr>
        <w:t> </w:t>
      </w:r>
      <w:r w:rsidR="00C2564A" w:rsidRPr="001B3715">
        <w:rPr>
          <w:lang w:val="fr-FR"/>
        </w:rPr>
        <w:t>million</w:t>
      </w:r>
      <w:r w:rsidRPr="001B3715">
        <w:rPr>
          <w:lang w:val="fr-FR"/>
        </w:rPr>
        <w:t>s de francs suiss</w:t>
      </w:r>
      <w:r w:rsidR="001B3715" w:rsidRPr="001B3715">
        <w:rPr>
          <w:lang w:val="fr-FR"/>
        </w:rPr>
        <w:t>es.  Le</w:t>
      </w:r>
      <w:r w:rsidR="00CC79BA" w:rsidRPr="001B3715">
        <w:rPr>
          <w:lang w:val="fr-FR"/>
        </w:rPr>
        <w:t xml:space="preserve">s recettes pour ce même exercice biennal se sont élevées à </w:t>
      </w:r>
      <w:r w:rsidR="00C2564A" w:rsidRPr="001B3715">
        <w:rPr>
          <w:lang w:val="fr-FR"/>
        </w:rPr>
        <w:t>775</w:t>
      </w:r>
      <w:r w:rsidR="00CC79BA" w:rsidRPr="001B3715">
        <w:rPr>
          <w:lang w:val="fr-FR"/>
        </w:rPr>
        <w:t>,</w:t>
      </w:r>
      <w:r w:rsidR="00C2564A" w:rsidRPr="001B3715">
        <w:rPr>
          <w:lang w:val="fr-FR"/>
        </w:rPr>
        <w:t>7</w:t>
      </w:r>
      <w:r w:rsidR="00CC79BA" w:rsidRPr="001B3715">
        <w:rPr>
          <w:lang w:val="fr-FR"/>
        </w:rPr>
        <w:t> </w:t>
      </w:r>
      <w:r w:rsidR="00C2564A" w:rsidRPr="001B3715">
        <w:rPr>
          <w:lang w:val="fr-FR"/>
        </w:rPr>
        <w:t>million</w:t>
      </w:r>
      <w:r w:rsidR="00CC79BA" w:rsidRPr="001B3715">
        <w:rPr>
          <w:lang w:val="fr-FR"/>
        </w:rPr>
        <w:t>s de francs suisses</w:t>
      </w:r>
      <w:r w:rsidR="00C2564A" w:rsidRPr="001B3715">
        <w:rPr>
          <w:lang w:val="fr-FR"/>
        </w:rPr>
        <w:t xml:space="preserve">, </w:t>
      </w:r>
      <w:r w:rsidR="00CC79BA" w:rsidRPr="001B3715">
        <w:rPr>
          <w:lang w:val="fr-FR"/>
        </w:rPr>
        <w:t>en au</w:t>
      </w:r>
      <w:r w:rsidR="00971C9D" w:rsidRPr="001B3715">
        <w:rPr>
          <w:lang w:val="fr-FR"/>
        </w:rPr>
        <w:t>gmentation</w:t>
      </w:r>
      <w:r w:rsidR="00CC79BA" w:rsidRPr="001B3715">
        <w:rPr>
          <w:lang w:val="fr-FR"/>
        </w:rPr>
        <w:t xml:space="preserve"> d</w:t>
      </w:r>
      <w:r w:rsidR="00C2564A" w:rsidRPr="001B3715">
        <w:rPr>
          <w:lang w:val="fr-FR"/>
        </w:rPr>
        <w:t xml:space="preserve">e 14% </w:t>
      </w:r>
      <w:r w:rsidR="00CC79BA" w:rsidRPr="001B3715">
        <w:rPr>
          <w:lang w:val="fr-FR"/>
        </w:rPr>
        <w:t>par rapport à l</w:t>
      </w:r>
      <w:r w:rsidR="00502D05" w:rsidRPr="001B3715">
        <w:rPr>
          <w:lang w:val="fr-FR"/>
        </w:rPr>
        <w:t>’</w:t>
      </w:r>
      <w:r w:rsidR="00CC79BA" w:rsidRPr="001B3715">
        <w:rPr>
          <w:lang w:val="fr-FR"/>
        </w:rPr>
        <w:t>exercice biennal précédent et de</w:t>
      </w:r>
      <w:r w:rsidR="00C2564A" w:rsidRPr="001B3715">
        <w:rPr>
          <w:lang w:val="fr-FR"/>
        </w:rPr>
        <w:t xml:space="preserve"> 8</w:t>
      </w:r>
      <w:r w:rsidR="00CC79BA" w:rsidRPr="001B3715">
        <w:rPr>
          <w:lang w:val="fr-FR"/>
        </w:rPr>
        <w:t>,</w:t>
      </w:r>
      <w:r w:rsidR="00C2564A" w:rsidRPr="001B3715">
        <w:rPr>
          <w:lang w:val="fr-FR"/>
        </w:rPr>
        <w:t xml:space="preserve">7% </w:t>
      </w:r>
      <w:r w:rsidR="00CC79BA" w:rsidRPr="001B3715">
        <w:rPr>
          <w:lang w:val="fr-FR"/>
        </w:rPr>
        <w:t>par rapport à l</w:t>
      </w:r>
      <w:r w:rsidR="00502D05" w:rsidRPr="001B3715">
        <w:rPr>
          <w:lang w:val="fr-FR"/>
        </w:rPr>
        <w:t>’</w:t>
      </w:r>
      <w:r w:rsidR="00CC79BA" w:rsidRPr="001B3715">
        <w:rPr>
          <w:lang w:val="fr-FR"/>
        </w:rPr>
        <w:t xml:space="preserve">objectif inscrit au </w:t>
      </w:r>
      <w:r w:rsidR="00C2564A" w:rsidRPr="001B3715">
        <w:rPr>
          <w:lang w:val="fr-FR"/>
        </w:rPr>
        <w:t xml:space="preserve">budget, </w:t>
      </w:r>
      <w:r w:rsidR="00CC79BA" w:rsidRPr="001B3715">
        <w:rPr>
          <w:lang w:val="fr-FR"/>
        </w:rPr>
        <w:t>s</w:t>
      </w:r>
      <w:r w:rsidR="00921F2C" w:rsidRPr="001B3715">
        <w:rPr>
          <w:lang w:val="fr-FR"/>
        </w:rPr>
        <w:t>ous l</w:t>
      </w:r>
      <w:r w:rsidR="00502D05" w:rsidRPr="001B3715">
        <w:rPr>
          <w:lang w:val="fr-FR"/>
        </w:rPr>
        <w:t>’</w:t>
      </w:r>
      <w:r w:rsidR="00921F2C" w:rsidRPr="001B3715">
        <w:rPr>
          <w:lang w:val="fr-FR"/>
        </w:rPr>
        <w:t xml:space="preserve">effet de </w:t>
      </w:r>
      <w:r w:rsidR="00CC79BA" w:rsidRPr="001B3715">
        <w:rPr>
          <w:lang w:val="fr-FR"/>
        </w:rPr>
        <w:t xml:space="preserve">la solide croissance des recettes générées dans le cadre du Traité de coopération en matière de brevets (PCT) et du système de Madrid </w:t>
      </w:r>
      <w:r w:rsidR="00A35BBB" w:rsidRPr="001B3715">
        <w:rPr>
          <w:lang w:val="fr-FR"/>
        </w:rPr>
        <w:t xml:space="preserve">concernant </w:t>
      </w:r>
      <w:r w:rsidR="00CC79BA" w:rsidRPr="001B3715">
        <w:rPr>
          <w:lang w:val="fr-FR"/>
        </w:rPr>
        <w:t>l</w:t>
      </w:r>
      <w:r w:rsidR="00502D05" w:rsidRPr="001B3715">
        <w:rPr>
          <w:lang w:val="fr-FR"/>
        </w:rPr>
        <w:t>’</w:t>
      </w:r>
      <w:r w:rsidR="00CC79BA" w:rsidRPr="001B3715">
        <w:rPr>
          <w:lang w:val="fr-FR"/>
        </w:rPr>
        <w:t xml:space="preserve">enregistrement international des marques </w:t>
      </w:r>
      <w:r w:rsidR="00C2564A" w:rsidRPr="001B3715">
        <w:rPr>
          <w:lang w:val="fr-FR"/>
        </w:rPr>
        <w:t>(</w:t>
      </w:r>
      <w:r w:rsidR="00CC79BA" w:rsidRPr="001B3715">
        <w:rPr>
          <w:lang w:val="fr-FR"/>
        </w:rPr>
        <w:t>systèm</w:t>
      </w:r>
      <w:r w:rsidR="00C2564A" w:rsidRPr="001B3715">
        <w:rPr>
          <w:lang w:val="fr-FR"/>
        </w:rPr>
        <w:t xml:space="preserve">e </w:t>
      </w:r>
      <w:r w:rsidR="00CC79BA" w:rsidRPr="001B3715">
        <w:rPr>
          <w:lang w:val="fr-FR"/>
        </w:rPr>
        <w:t xml:space="preserve">de </w:t>
      </w:r>
      <w:r w:rsidR="00C2564A" w:rsidRPr="001B3715">
        <w:rPr>
          <w:lang w:val="fr-FR"/>
        </w:rPr>
        <w:t>Madr</w:t>
      </w:r>
      <w:r w:rsidR="001B3715" w:rsidRPr="001B3715">
        <w:rPr>
          <w:lang w:val="fr-FR"/>
        </w:rPr>
        <w:t>id).  Le</w:t>
      </w:r>
      <w:r w:rsidR="00CC79BA" w:rsidRPr="001B3715">
        <w:rPr>
          <w:lang w:val="fr-FR"/>
        </w:rPr>
        <w:t>s dép</w:t>
      </w:r>
      <w:r w:rsidR="00C2564A" w:rsidRPr="001B3715">
        <w:rPr>
          <w:lang w:val="fr-FR"/>
        </w:rPr>
        <w:t>en</w:t>
      </w:r>
      <w:r w:rsidR="00CC79BA" w:rsidRPr="001B3715">
        <w:rPr>
          <w:lang w:val="fr-FR"/>
        </w:rPr>
        <w:t>s</w:t>
      </w:r>
      <w:r w:rsidR="00C2564A" w:rsidRPr="001B3715">
        <w:rPr>
          <w:lang w:val="fr-FR"/>
        </w:rPr>
        <w:t>e</w:t>
      </w:r>
      <w:r w:rsidR="00CC79BA" w:rsidRPr="001B3715">
        <w:rPr>
          <w:lang w:val="fr-FR"/>
        </w:rPr>
        <w:t>s au titre de l</w:t>
      </w:r>
      <w:r w:rsidR="00502D05" w:rsidRPr="001B3715">
        <w:rPr>
          <w:lang w:val="fr-FR"/>
        </w:rPr>
        <w:t>’</w:t>
      </w:r>
      <w:r w:rsidR="00CC79BA" w:rsidRPr="001B3715">
        <w:rPr>
          <w:lang w:val="fr-FR"/>
        </w:rPr>
        <w:t>exercice biennal</w:t>
      </w:r>
      <w:r w:rsidR="00921F2C" w:rsidRPr="001B3715">
        <w:rPr>
          <w:lang w:val="fr-FR"/>
        </w:rPr>
        <w:t> </w:t>
      </w:r>
      <w:r w:rsidR="00CC79BA" w:rsidRPr="001B3715">
        <w:rPr>
          <w:lang w:val="fr-FR"/>
        </w:rPr>
        <w:t>2</w:t>
      </w:r>
      <w:r w:rsidR="00C2564A" w:rsidRPr="001B3715">
        <w:rPr>
          <w:lang w:val="fr-FR"/>
        </w:rPr>
        <w:t>014</w:t>
      </w:r>
      <w:r w:rsidR="00E3770C">
        <w:rPr>
          <w:lang w:val="fr-FR"/>
        </w:rPr>
        <w:noBreakHyphen/>
      </w:r>
      <w:r w:rsidR="00C2564A" w:rsidRPr="001B3715">
        <w:rPr>
          <w:lang w:val="fr-FR"/>
        </w:rPr>
        <w:t xml:space="preserve">2015 </w:t>
      </w:r>
      <w:r w:rsidR="00CC79BA" w:rsidRPr="001B3715">
        <w:rPr>
          <w:lang w:val="fr-FR"/>
        </w:rPr>
        <w:t>ont été de</w:t>
      </w:r>
      <w:r w:rsidR="00C2564A" w:rsidRPr="001B3715">
        <w:rPr>
          <w:lang w:val="fr-FR"/>
        </w:rPr>
        <w:t xml:space="preserve"> 642</w:t>
      </w:r>
      <w:r w:rsidR="00CC79BA" w:rsidRPr="001B3715">
        <w:rPr>
          <w:lang w:val="fr-FR"/>
        </w:rPr>
        <w:t>,</w:t>
      </w:r>
      <w:r w:rsidR="00C2564A" w:rsidRPr="001B3715">
        <w:rPr>
          <w:lang w:val="fr-FR"/>
        </w:rPr>
        <w:t>6</w:t>
      </w:r>
      <w:r w:rsidR="00CC79BA" w:rsidRPr="001B3715">
        <w:rPr>
          <w:lang w:val="fr-FR"/>
        </w:rPr>
        <w:t> </w:t>
      </w:r>
      <w:r w:rsidR="00C2564A" w:rsidRPr="001B3715">
        <w:rPr>
          <w:lang w:val="fr-FR"/>
        </w:rPr>
        <w:t>million</w:t>
      </w:r>
      <w:r w:rsidR="00CC79BA" w:rsidRPr="001B3715">
        <w:rPr>
          <w:lang w:val="fr-FR"/>
        </w:rPr>
        <w:t xml:space="preserve">s de </w:t>
      </w:r>
      <w:r w:rsidR="001512B4" w:rsidRPr="001B3715">
        <w:rPr>
          <w:lang w:val="fr-FR"/>
        </w:rPr>
        <w:t>francs</w:t>
      </w:r>
      <w:r w:rsidR="00CC79BA" w:rsidRPr="001B3715">
        <w:rPr>
          <w:lang w:val="fr-FR"/>
        </w:rPr>
        <w:t xml:space="preserve"> suisses</w:t>
      </w:r>
      <w:r w:rsidR="00C2564A" w:rsidRPr="001B3715">
        <w:rPr>
          <w:lang w:val="fr-FR"/>
        </w:rPr>
        <w:t xml:space="preserve">, </w:t>
      </w:r>
      <w:r w:rsidR="00CC79BA" w:rsidRPr="001B3715">
        <w:rPr>
          <w:lang w:val="fr-FR"/>
        </w:rPr>
        <w:t xml:space="preserve">soit </w:t>
      </w:r>
      <w:r w:rsidR="00C2564A" w:rsidRPr="001B3715">
        <w:rPr>
          <w:lang w:val="fr-FR"/>
        </w:rPr>
        <w:t>4</w:t>
      </w:r>
      <w:r w:rsidR="00CC79BA" w:rsidRPr="001B3715">
        <w:rPr>
          <w:lang w:val="fr-FR"/>
        </w:rPr>
        <w:t>,</w:t>
      </w:r>
      <w:r w:rsidR="00C2564A" w:rsidRPr="001B3715">
        <w:rPr>
          <w:lang w:val="fr-FR"/>
        </w:rPr>
        <w:t xml:space="preserve">7% </w:t>
      </w:r>
      <w:r w:rsidR="001512B4" w:rsidRPr="001B3715">
        <w:rPr>
          <w:lang w:val="fr-FR"/>
        </w:rPr>
        <w:t>en dessous</w:t>
      </w:r>
      <w:r w:rsidR="00CC79BA" w:rsidRPr="001B3715">
        <w:rPr>
          <w:lang w:val="fr-FR"/>
        </w:rPr>
        <w:t xml:space="preserve"> de l</w:t>
      </w:r>
      <w:r w:rsidR="00502D05" w:rsidRPr="001B3715">
        <w:rPr>
          <w:lang w:val="fr-FR"/>
        </w:rPr>
        <w:t>’</w:t>
      </w:r>
      <w:r w:rsidR="00CC79BA" w:rsidRPr="001B3715">
        <w:rPr>
          <w:lang w:val="fr-FR"/>
        </w:rPr>
        <w:t>objectif inscrit au budge</w:t>
      </w:r>
      <w:r w:rsidR="00C2564A" w:rsidRPr="001B3715">
        <w:rPr>
          <w:lang w:val="fr-FR"/>
        </w:rPr>
        <w:t xml:space="preserve">t, </w:t>
      </w:r>
      <w:r w:rsidR="00CC79BA" w:rsidRPr="001B3715">
        <w:rPr>
          <w:lang w:val="fr-FR"/>
        </w:rPr>
        <w:t>témoignant de l</w:t>
      </w:r>
      <w:r w:rsidR="00502D05" w:rsidRPr="001B3715">
        <w:rPr>
          <w:lang w:val="fr-FR"/>
        </w:rPr>
        <w:t>’</w:t>
      </w:r>
      <w:r w:rsidR="00CC79BA" w:rsidRPr="001B3715">
        <w:rPr>
          <w:lang w:val="fr-FR"/>
        </w:rPr>
        <w:t>attention portée à la maîtrise des coûts de personnel et à la gestion rigoureuse des ressources ext</w:t>
      </w:r>
      <w:r w:rsidR="002160F1" w:rsidRPr="001B3715">
        <w:rPr>
          <w:lang w:val="fr-FR"/>
        </w:rPr>
        <w:t>ern</w:t>
      </w:r>
      <w:r w:rsidR="00CC79BA" w:rsidRPr="001B3715">
        <w:rPr>
          <w:lang w:val="fr-FR"/>
        </w:rPr>
        <w:t xml:space="preserve">es </w:t>
      </w:r>
      <w:r w:rsidR="00921F2C" w:rsidRPr="001B3715">
        <w:rPr>
          <w:lang w:val="fr-FR"/>
        </w:rPr>
        <w:t xml:space="preserve">ainsi </w:t>
      </w:r>
      <w:r w:rsidR="00A35BBB" w:rsidRPr="001B3715">
        <w:rPr>
          <w:lang w:val="fr-FR"/>
        </w:rPr>
        <w:t xml:space="preserve">que de </w:t>
      </w:r>
      <w:r w:rsidR="00CC79BA" w:rsidRPr="001B3715">
        <w:rPr>
          <w:lang w:val="fr-FR"/>
        </w:rPr>
        <w:t>la mise en œuvre d</w:t>
      </w:r>
      <w:r w:rsidR="00E84959" w:rsidRPr="001B3715">
        <w:rPr>
          <w:lang w:val="fr-FR"/>
        </w:rPr>
        <w:t>u</w:t>
      </w:r>
      <w:r w:rsidR="00CC79BA" w:rsidRPr="001B3715">
        <w:rPr>
          <w:lang w:val="fr-FR"/>
        </w:rPr>
        <w:t xml:space="preserve"> prog</w:t>
      </w:r>
      <w:r w:rsidR="002160F1" w:rsidRPr="001B3715">
        <w:rPr>
          <w:lang w:val="fr-FR"/>
        </w:rPr>
        <w:t>ram</w:t>
      </w:r>
      <w:r w:rsidR="001B3715" w:rsidRPr="001B3715">
        <w:rPr>
          <w:lang w:val="fr-FR"/>
        </w:rPr>
        <w:t>me.  Ce</w:t>
      </w:r>
      <w:r w:rsidR="002160F1" w:rsidRPr="001B3715">
        <w:rPr>
          <w:lang w:val="fr-FR"/>
        </w:rPr>
        <w:t>s</w:t>
      </w:r>
      <w:r w:rsidR="00FE6F45" w:rsidRPr="001B3715">
        <w:rPr>
          <w:lang w:val="fr-FR"/>
        </w:rPr>
        <w:t xml:space="preserve"> r</w:t>
      </w:r>
      <w:r w:rsidR="002160F1" w:rsidRPr="001B3715">
        <w:rPr>
          <w:lang w:val="fr-FR"/>
        </w:rPr>
        <w:t>é</w:t>
      </w:r>
      <w:r w:rsidR="00FE6F45" w:rsidRPr="001B3715">
        <w:rPr>
          <w:lang w:val="fr-FR"/>
        </w:rPr>
        <w:t>sult</w:t>
      </w:r>
      <w:r w:rsidR="002160F1" w:rsidRPr="001B3715">
        <w:rPr>
          <w:lang w:val="fr-FR"/>
        </w:rPr>
        <w:t>at</w:t>
      </w:r>
      <w:r w:rsidR="00FE6F45" w:rsidRPr="001B3715">
        <w:rPr>
          <w:lang w:val="fr-FR"/>
        </w:rPr>
        <w:t xml:space="preserve">s </w:t>
      </w:r>
      <w:r w:rsidR="002160F1" w:rsidRPr="001B3715">
        <w:rPr>
          <w:lang w:val="fr-FR"/>
        </w:rPr>
        <w:t xml:space="preserve">ont été atteints alors </w:t>
      </w:r>
      <w:r w:rsidR="00226173" w:rsidRPr="001B3715">
        <w:rPr>
          <w:lang w:val="fr-FR"/>
        </w:rPr>
        <w:t>que les taxes ont été maintenues à un niveau constant puis</w:t>
      </w:r>
      <w:r w:rsidR="002160F1" w:rsidRPr="001B3715">
        <w:rPr>
          <w:lang w:val="fr-FR"/>
        </w:rPr>
        <w:t>qu</w:t>
      </w:r>
      <w:r w:rsidR="00632219" w:rsidRPr="001B3715">
        <w:rPr>
          <w:lang w:val="fr-FR"/>
        </w:rPr>
        <w:t>e cela fait désormais huit</w:t>
      </w:r>
      <w:r w:rsidR="00226173" w:rsidRPr="001B3715">
        <w:rPr>
          <w:lang w:val="fr-FR"/>
        </w:rPr>
        <w:t> </w:t>
      </w:r>
      <w:r w:rsidR="00632219" w:rsidRPr="001B3715">
        <w:rPr>
          <w:lang w:val="fr-FR"/>
        </w:rPr>
        <w:t>ans qu</w:t>
      </w:r>
      <w:r w:rsidR="00502D05" w:rsidRPr="001B3715">
        <w:rPr>
          <w:lang w:val="fr-FR"/>
        </w:rPr>
        <w:t>’</w:t>
      </w:r>
      <w:r w:rsidR="002160F1" w:rsidRPr="001B3715">
        <w:rPr>
          <w:lang w:val="fr-FR"/>
        </w:rPr>
        <w:t>il n</w:t>
      </w:r>
      <w:r w:rsidR="00502D05" w:rsidRPr="001B3715">
        <w:rPr>
          <w:lang w:val="fr-FR"/>
        </w:rPr>
        <w:t>’</w:t>
      </w:r>
      <w:r w:rsidR="002160F1" w:rsidRPr="001B3715">
        <w:rPr>
          <w:lang w:val="fr-FR"/>
        </w:rPr>
        <w:t>y a pas eu de modification des taxes</w:t>
      </w:r>
      <w:r w:rsidR="00347C95" w:rsidRPr="001B3715">
        <w:rPr>
          <w:lang w:val="fr-FR"/>
        </w:rPr>
        <w:t xml:space="preserve"> du PCT</w:t>
      </w:r>
      <w:r w:rsidR="00FE6F45" w:rsidRPr="001B3715">
        <w:rPr>
          <w:lang w:val="fr-FR"/>
        </w:rPr>
        <w:t xml:space="preserve">, </w:t>
      </w:r>
      <w:r w:rsidR="002160F1" w:rsidRPr="001B3715">
        <w:rPr>
          <w:lang w:val="fr-FR"/>
        </w:rPr>
        <w:t xml:space="preserve">du système de </w:t>
      </w:r>
      <w:r w:rsidR="00FE6F45" w:rsidRPr="001B3715">
        <w:rPr>
          <w:lang w:val="fr-FR"/>
        </w:rPr>
        <w:t xml:space="preserve">Madrid </w:t>
      </w:r>
      <w:r w:rsidR="002160F1" w:rsidRPr="001B3715">
        <w:rPr>
          <w:lang w:val="fr-FR"/>
        </w:rPr>
        <w:t xml:space="preserve">et du système de </w:t>
      </w:r>
      <w:r w:rsidR="00502D05" w:rsidRPr="001B3715">
        <w:rPr>
          <w:lang w:val="fr-FR"/>
        </w:rPr>
        <w:t>La Haye</w:t>
      </w:r>
      <w:r w:rsidR="002160F1" w:rsidRPr="001B3715">
        <w:rPr>
          <w:lang w:val="fr-FR"/>
        </w:rPr>
        <w:t xml:space="preserve"> concernant l</w:t>
      </w:r>
      <w:r w:rsidR="00502D05" w:rsidRPr="001B3715">
        <w:rPr>
          <w:lang w:val="fr-FR"/>
        </w:rPr>
        <w:t>’</w:t>
      </w:r>
      <w:r w:rsidR="002160F1" w:rsidRPr="001B3715">
        <w:rPr>
          <w:lang w:val="fr-FR"/>
        </w:rPr>
        <w:t xml:space="preserve">enregistrement international des dessins et modèles industriels (système de </w:t>
      </w:r>
      <w:r w:rsidR="00502D05" w:rsidRPr="001B3715">
        <w:rPr>
          <w:lang w:val="fr-FR"/>
        </w:rPr>
        <w:t>La Haye</w:t>
      </w:r>
      <w:r w:rsidR="002160F1" w:rsidRPr="001B3715">
        <w:rPr>
          <w:lang w:val="fr-FR"/>
        </w:rPr>
        <w:t>)</w:t>
      </w:r>
      <w:r w:rsidR="00DE3260" w:rsidRPr="001B3715">
        <w:rPr>
          <w:lang w:val="fr-FR"/>
        </w:rPr>
        <w:t>.</w:t>
      </w:r>
    </w:p>
    <w:p w14:paraId="686F9EF9" w14:textId="531D22FD" w:rsidR="0046480B" w:rsidRPr="001B3715" w:rsidRDefault="00632219" w:rsidP="00137CB3">
      <w:pPr>
        <w:pStyle w:val="ONUMFS"/>
        <w:rPr>
          <w:lang w:val="fr-FR"/>
        </w:rPr>
      </w:pPr>
      <w:r w:rsidRPr="001B3715">
        <w:rPr>
          <w:lang w:val="fr-FR"/>
        </w:rPr>
        <w:t xml:space="preserve">Les actifs </w:t>
      </w:r>
      <w:r w:rsidR="0046480B" w:rsidRPr="001B3715">
        <w:rPr>
          <w:lang w:val="fr-FR"/>
        </w:rPr>
        <w:t xml:space="preserve">nets </w:t>
      </w:r>
      <w:r w:rsidRPr="001B3715">
        <w:rPr>
          <w:lang w:val="fr-FR"/>
        </w:rPr>
        <w:t>de</w:t>
      </w:r>
      <w:r w:rsidR="0046480B" w:rsidRPr="001B3715">
        <w:rPr>
          <w:lang w:val="fr-FR"/>
        </w:rPr>
        <w:t xml:space="preserve"> </w:t>
      </w:r>
      <w:r w:rsidRPr="001B3715">
        <w:rPr>
          <w:lang w:val="fr-FR"/>
        </w:rPr>
        <w:t>l</w:t>
      </w:r>
      <w:r w:rsidR="00502D05" w:rsidRPr="001B3715">
        <w:rPr>
          <w:lang w:val="fr-FR"/>
        </w:rPr>
        <w:t>’</w:t>
      </w:r>
      <w:r w:rsidR="0046480B" w:rsidRPr="001B3715">
        <w:rPr>
          <w:lang w:val="fr-FR"/>
        </w:rPr>
        <w:t>Organi</w:t>
      </w:r>
      <w:r w:rsidRPr="001B3715">
        <w:rPr>
          <w:lang w:val="fr-FR"/>
        </w:rPr>
        <w:t>s</w:t>
      </w:r>
      <w:r w:rsidR="0046480B" w:rsidRPr="001B3715">
        <w:rPr>
          <w:lang w:val="fr-FR"/>
        </w:rPr>
        <w:t>ation s</w:t>
      </w:r>
      <w:r w:rsidR="00502D05" w:rsidRPr="001B3715">
        <w:rPr>
          <w:lang w:val="fr-FR"/>
        </w:rPr>
        <w:t>’</w:t>
      </w:r>
      <w:r w:rsidRPr="001B3715">
        <w:rPr>
          <w:lang w:val="fr-FR"/>
        </w:rPr>
        <w:t xml:space="preserve">élevaient à </w:t>
      </w:r>
      <w:r w:rsidR="0046480B" w:rsidRPr="001B3715">
        <w:rPr>
          <w:lang w:val="fr-FR"/>
        </w:rPr>
        <w:t>279</w:t>
      </w:r>
      <w:r w:rsidRPr="001B3715">
        <w:rPr>
          <w:lang w:val="fr-FR"/>
        </w:rPr>
        <w:t>,</w:t>
      </w:r>
      <w:r w:rsidR="0046480B" w:rsidRPr="001B3715">
        <w:rPr>
          <w:lang w:val="fr-FR"/>
        </w:rPr>
        <w:t>1</w:t>
      </w:r>
      <w:r w:rsidRPr="001B3715">
        <w:rPr>
          <w:lang w:val="fr-FR"/>
        </w:rPr>
        <w:t> </w:t>
      </w:r>
      <w:r w:rsidR="0046480B" w:rsidRPr="001B3715">
        <w:rPr>
          <w:lang w:val="fr-FR"/>
        </w:rPr>
        <w:t>million</w:t>
      </w:r>
      <w:r w:rsidRPr="001B3715">
        <w:rPr>
          <w:lang w:val="fr-FR"/>
        </w:rPr>
        <w:t>s de francs suisses à la fin d</w:t>
      </w:r>
      <w:r w:rsidR="0046480B" w:rsidRPr="001B3715">
        <w:rPr>
          <w:lang w:val="fr-FR"/>
        </w:rPr>
        <w:t>e</w:t>
      </w:r>
      <w:r w:rsidRPr="001B3715">
        <w:rPr>
          <w:lang w:val="fr-FR"/>
        </w:rPr>
        <w:t> </w:t>
      </w:r>
      <w:r w:rsidR="0046480B" w:rsidRPr="001B3715">
        <w:rPr>
          <w:lang w:val="fr-FR"/>
        </w:rPr>
        <w:t>2015.</w:t>
      </w:r>
    </w:p>
    <w:p w14:paraId="5DFD59F5" w14:textId="5D6101A6" w:rsidR="00347C95" w:rsidRPr="001B3715" w:rsidRDefault="00865DE4" w:rsidP="00137CB3">
      <w:pPr>
        <w:pStyle w:val="ONUMFS"/>
        <w:rPr>
          <w:lang w:val="fr-FR"/>
        </w:rPr>
      </w:pPr>
      <w:r w:rsidRPr="001B3715">
        <w:rPr>
          <w:lang w:val="fr-FR"/>
        </w:rPr>
        <w:t xml:space="preserve">Nous poursuivons sur </w:t>
      </w:r>
      <w:r w:rsidR="00921F2C" w:rsidRPr="001B3715">
        <w:rPr>
          <w:lang w:val="fr-FR"/>
        </w:rPr>
        <w:t>cette</w:t>
      </w:r>
      <w:r w:rsidRPr="001B3715">
        <w:rPr>
          <w:lang w:val="fr-FR"/>
        </w:rPr>
        <w:t xml:space="preserve"> lancée positive </w:t>
      </w:r>
      <w:r w:rsidR="00921F2C" w:rsidRPr="001B3715">
        <w:rPr>
          <w:lang w:val="fr-FR"/>
        </w:rPr>
        <w:t>durant l</w:t>
      </w:r>
      <w:r w:rsidR="00502D05" w:rsidRPr="001B3715">
        <w:rPr>
          <w:lang w:val="fr-FR"/>
        </w:rPr>
        <w:t>’</w:t>
      </w:r>
      <w:r w:rsidR="00EA106F" w:rsidRPr="001B3715">
        <w:rPr>
          <w:lang w:val="fr-FR"/>
        </w:rPr>
        <w:t>exercice biennal</w:t>
      </w:r>
      <w:r w:rsidR="00921F2C" w:rsidRPr="001B3715">
        <w:rPr>
          <w:lang w:val="fr-FR"/>
        </w:rPr>
        <w:t> </w:t>
      </w:r>
      <w:r w:rsidR="00DE3260" w:rsidRPr="001B3715">
        <w:rPr>
          <w:lang w:val="fr-FR"/>
        </w:rPr>
        <w:t>201</w:t>
      </w:r>
      <w:r w:rsidR="00445025" w:rsidRPr="001B3715">
        <w:rPr>
          <w:lang w:val="fr-FR"/>
        </w:rPr>
        <w:t>6</w:t>
      </w:r>
      <w:r w:rsidR="00E3770C">
        <w:rPr>
          <w:lang w:val="fr-FR"/>
        </w:rPr>
        <w:noBreakHyphen/>
      </w:r>
      <w:r w:rsidR="00DE3260" w:rsidRPr="001B3715">
        <w:rPr>
          <w:lang w:val="fr-FR"/>
        </w:rPr>
        <w:t>201</w:t>
      </w:r>
      <w:r w:rsidR="00445025" w:rsidRPr="001B3715">
        <w:rPr>
          <w:lang w:val="fr-FR"/>
        </w:rPr>
        <w:t>7</w:t>
      </w:r>
      <w:r w:rsidR="001512B4" w:rsidRPr="001B3715">
        <w:rPr>
          <w:lang w:val="fr-FR"/>
        </w:rPr>
        <w:t>.  Il</w:t>
      </w:r>
      <w:r w:rsidR="00EA106F" w:rsidRPr="001B3715">
        <w:rPr>
          <w:lang w:val="fr-FR"/>
        </w:rPr>
        <w:t xml:space="preserve"> est encore trop tôt dans l</w:t>
      </w:r>
      <w:r w:rsidR="00502D05" w:rsidRPr="001B3715">
        <w:rPr>
          <w:lang w:val="fr-FR"/>
        </w:rPr>
        <w:t>’</w:t>
      </w:r>
      <w:r w:rsidR="00EA106F" w:rsidRPr="001B3715">
        <w:rPr>
          <w:lang w:val="fr-FR"/>
        </w:rPr>
        <w:t>année et dans l</w:t>
      </w:r>
      <w:r w:rsidR="00502D05" w:rsidRPr="001B3715">
        <w:rPr>
          <w:lang w:val="fr-FR"/>
        </w:rPr>
        <w:t>’</w:t>
      </w:r>
      <w:r w:rsidR="00EA106F" w:rsidRPr="001B3715">
        <w:rPr>
          <w:lang w:val="fr-FR"/>
        </w:rPr>
        <w:t xml:space="preserve">exercice biennal pour donner une </w:t>
      </w:r>
      <w:r w:rsidR="00DE3260" w:rsidRPr="001B3715">
        <w:rPr>
          <w:lang w:val="fr-FR"/>
        </w:rPr>
        <w:t>estimat</w:t>
      </w:r>
      <w:r w:rsidR="00EA106F" w:rsidRPr="001B3715">
        <w:rPr>
          <w:lang w:val="fr-FR"/>
        </w:rPr>
        <w:t>ion d</w:t>
      </w:r>
      <w:r w:rsidR="00DE3260" w:rsidRPr="001B3715">
        <w:rPr>
          <w:lang w:val="fr-FR"/>
        </w:rPr>
        <w:t xml:space="preserve">es </w:t>
      </w:r>
      <w:r w:rsidR="00EA106F" w:rsidRPr="001B3715">
        <w:rPr>
          <w:lang w:val="fr-FR"/>
        </w:rPr>
        <w:t xml:space="preserve">résultats </w:t>
      </w:r>
      <w:r w:rsidR="00921F2C" w:rsidRPr="001B3715">
        <w:rPr>
          <w:lang w:val="fr-FR"/>
        </w:rPr>
        <w:t>auxquels on peut s</w:t>
      </w:r>
      <w:r w:rsidR="00502D05" w:rsidRPr="001B3715">
        <w:rPr>
          <w:lang w:val="fr-FR"/>
        </w:rPr>
        <w:t>’</w:t>
      </w:r>
      <w:r w:rsidR="00921F2C" w:rsidRPr="001B3715">
        <w:rPr>
          <w:lang w:val="fr-FR"/>
        </w:rPr>
        <w:t>attend</w:t>
      </w:r>
      <w:r w:rsidR="001B3715" w:rsidRPr="001B3715">
        <w:rPr>
          <w:lang w:val="fr-FR"/>
        </w:rPr>
        <w:t>re.  Ce</w:t>
      </w:r>
      <w:r w:rsidR="00A12E47" w:rsidRPr="001B3715">
        <w:rPr>
          <w:lang w:val="fr-FR"/>
        </w:rPr>
        <w:t>la étant, ces</w:t>
      </w:r>
      <w:r w:rsidR="00EA106F" w:rsidRPr="001B3715">
        <w:rPr>
          <w:lang w:val="fr-FR"/>
        </w:rPr>
        <w:t xml:space="preserve"> ré</w:t>
      </w:r>
      <w:r w:rsidR="00DE3260" w:rsidRPr="001B3715">
        <w:rPr>
          <w:lang w:val="fr-FR"/>
        </w:rPr>
        <w:t>sult</w:t>
      </w:r>
      <w:r w:rsidR="00EA106F" w:rsidRPr="001B3715">
        <w:rPr>
          <w:lang w:val="fr-FR"/>
        </w:rPr>
        <w:t>at</w:t>
      </w:r>
      <w:r w:rsidR="00DE3260" w:rsidRPr="001B3715">
        <w:rPr>
          <w:lang w:val="fr-FR"/>
        </w:rPr>
        <w:t xml:space="preserve">s </w:t>
      </w:r>
      <w:r w:rsidR="00A12E47" w:rsidRPr="001B3715">
        <w:rPr>
          <w:lang w:val="fr-FR"/>
        </w:rPr>
        <w:t xml:space="preserve">devraient être </w:t>
      </w:r>
      <w:r w:rsidR="00A76424" w:rsidRPr="001B3715">
        <w:rPr>
          <w:lang w:val="fr-FR"/>
        </w:rPr>
        <w:t xml:space="preserve">positifs </w:t>
      </w:r>
      <w:r w:rsidR="00A12E47" w:rsidRPr="001B3715">
        <w:rPr>
          <w:lang w:val="fr-FR"/>
        </w:rPr>
        <w:t xml:space="preserve">et présenter </w:t>
      </w:r>
      <w:r w:rsidR="00A76424" w:rsidRPr="001B3715">
        <w:rPr>
          <w:lang w:val="fr-FR"/>
        </w:rPr>
        <w:t>un excédent global pour</w:t>
      </w:r>
      <w:r w:rsidR="00A12E47" w:rsidRPr="001B3715">
        <w:rPr>
          <w:lang w:val="fr-FR"/>
        </w:rPr>
        <w:t> </w:t>
      </w:r>
      <w:r w:rsidR="00A76424" w:rsidRPr="001B3715">
        <w:rPr>
          <w:lang w:val="fr-FR"/>
        </w:rPr>
        <w:t xml:space="preserve">2016, </w:t>
      </w:r>
      <w:r w:rsidR="00EA106F" w:rsidRPr="001B3715">
        <w:rPr>
          <w:lang w:val="fr-FR"/>
        </w:rPr>
        <w:t>première</w:t>
      </w:r>
      <w:r w:rsidR="00A12E47" w:rsidRPr="001B3715">
        <w:rPr>
          <w:lang w:val="fr-FR"/>
        </w:rPr>
        <w:t> </w:t>
      </w:r>
      <w:r w:rsidR="00EA106F" w:rsidRPr="001B3715">
        <w:rPr>
          <w:lang w:val="fr-FR"/>
        </w:rPr>
        <w:t>année de l</w:t>
      </w:r>
      <w:r w:rsidR="00502D05" w:rsidRPr="001B3715">
        <w:rPr>
          <w:lang w:val="fr-FR"/>
        </w:rPr>
        <w:t>’</w:t>
      </w:r>
      <w:r w:rsidR="00EA106F" w:rsidRPr="001B3715">
        <w:rPr>
          <w:lang w:val="fr-FR"/>
        </w:rPr>
        <w:t>exercice biennal</w:t>
      </w:r>
      <w:r w:rsidR="00DE3260" w:rsidRPr="001B3715">
        <w:rPr>
          <w:lang w:val="fr-FR"/>
        </w:rPr>
        <w:t>.</w:t>
      </w:r>
    </w:p>
    <w:p w14:paraId="16B82F6D" w14:textId="6C2D5726" w:rsidR="00347C95" w:rsidRPr="001B3715" w:rsidRDefault="00A76424" w:rsidP="00137CB3">
      <w:pPr>
        <w:pStyle w:val="ONUMFS"/>
        <w:rPr>
          <w:lang w:val="fr-FR"/>
        </w:rPr>
      </w:pPr>
      <w:r w:rsidRPr="001B3715">
        <w:rPr>
          <w:lang w:val="fr-FR"/>
        </w:rPr>
        <w:t xml:space="preserve">Il convient </w:t>
      </w:r>
      <w:r w:rsidR="00A12E47" w:rsidRPr="001B3715">
        <w:rPr>
          <w:lang w:val="fr-FR"/>
        </w:rPr>
        <w:t xml:space="preserve">cependant </w:t>
      </w:r>
      <w:r w:rsidRPr="001B3715">
        <w:rPr>
          <w:lang w:val="fr-FR"/>
        </w:rPr>
        <w:t xml:space="preserve">de ne pas relâcher </w:t>
      </w:r>
      <w:r w:rsidR="00A12E47" w:rsidRPr="001B3715">
        <w:rPr>
          <w:lang w:val="fr-FR"/>
        </w:rPr>
        <w:t>la</w:t>
      </w:r>
      <w:r w:rsidRPr="001B3715">
        <w:rPr>
          <w:lang w:val="fr-FR"/>
        </w:rPr>
        <w:t xml:space="preserve"> vigilance </w:t>
      </w:r>
      <w:r w:rsidR="00A12E47" w:rsidRPr="001B3715">
        <w:rPr>
          <w:lang w:val="fr-FR"/>
        </w:rPr>
        <w:t xml:space="preserve">au niveau </w:t>
      </w:r>
      <w:r w:rsidRPr="001B3715">
        <w:rPr>
          <w:lang w:val="fr-FR"/>
        </w:rPr>
        <w:t>financi</w:t>
      </w:r>
      <w:r w:rsidR="001B3715" w:rsidRPr="001B3715">
        <w:rPr>
          <w:lang w:val="fr-FR"/>
        </w:rPr>
        <w:t>er.  Le</w:t>
      </w:r>
      <w:r w:rsidRPr="001B3715">
        <w:rPr>
          <w:lang w:val="fr-FR"/>
        </w:rPr>
        <w:t>s perspectives de l</w:t>
      </w:r>
      <w:r w:rsidR="00502D05" w:rsidRPr="001B3715">
        <w:rPr>
          <w:lang w:val="fr-FR"/>
        </w:rPr>
        <w:t>’</w:t>
      </w:r>
      <w:r w:rsidRPr="001B3715">
        <w:rPr>
          <w:lang w:val="fr-FR"/>
        </w:rPr>
        <w:t xml:space="preserve">économie mondiale </w:t>
      </w:r>
      <w:r w:rsidR="0081534F" w:rsidRPr="001B3715">
        <w:rPr>
          <w:lang w:val="fr-FR"/>
        </w:rPr>
        <w:t>r</w:t>
      </w:r>
      <w:r w:rsidRPr="001B3715">
        <w:rPr>
          <w:lang w:val="fr-FR"/>
        </w:rPr>
        <w:t>e</w:t>
      </w:r>
      <w:r w:rsidR="0081534F" w:rsidRPr="001B3715">
        <w:rPr>
          <w:lang w:val="fr-FR"/>
        </w:rPr>
        <w:t>st</w:t>
      </w:r>
      <w:r w:rsidRPr="001B3715">
        <w:rPr>
          <w:lang w:val="fr-FR"/>
        </w:rPr>
        <w:t xml:space="preserve">ent </w:t>
      </w:r>
      <w:r w:rsidR="000A53FB" w:rsidRPr="001B3715">
        <w:rPr>
          <w:lang w:val="fr-FR"/>
        </w:rPr>
        <w:t xml:space="preserve">fragiles </w:t>
      </w:r>
      <w:r w:rsidRPr="001B3715">
        <w:rPr>
          <w:lang w:val="fr-FR"/>
        </w:rPr>
        <w:t>et</w:t>
      </w:r>
      <w:r w:rsidR="00CE2115" w:rsidRPr="001B3715">
        <w:rPr>
          <w:lang w:val="fr-FR"/>
        </w:rPr>
        <w:t xml:space="preserve"> </w:t>
      </w:r>
      <w:r w:rsidRPr="001B3715">
        <w:rPr>
          <w:lang w:val="fr-FR"/>
        </w:rPr>
        <w:t>i</w:t>
      </w:r>
      <w:r w:rsidR="00CE2115" w:rsidRPr="001B3715">
        <w:rPr>
          <w:lang w:val="fr-FR"/>
        </w:rPr>
        <w:t>ncertain</w:t>
      </w:r>
      <w:r w:rsidR="001B3715" w:rsidRPr="001B3715">
        <w:rPr>
          <w:lang w:val="fr-FR"/>
        </w:rPr>
        <w:t>es.  Le</w:t>
      </w:r>
      <w:r w:rsidR="008E0919" w:rsidRPr="001B3715">
        <w:rPr>
          <w:lang w:val="fr-FR"/>
        </w:rPr>
        <w:t xml:space="preserve"> </w:t>
      </w:r>
      <w:r w:rsidR="0081534F" w:rsidRPr="001B3715">
        <w:rPr>
          <w:lang w:val="fr-FR"/>
        </w:rPr>
        <w:t>budget de l</w:t>
      </w:r>
      <w:r w:rsidR="00502D05" w:rsidRPr="001B3715">
        <w:rPr>
          <w:lang w:val="fr-FR"/>
        </w:rPr>
        <w:t>’</w:t>
      </w:r>
      <w:r w:rsidR="008E0919" w:rsidRPr="001B3715">
        <w:rPr>
          <w:lang w:val="fr-FR"/>
        </w:rPr>
        <w:t>Organi</w:t>
      </w:r>
      <w:r w:rsidR="0081534F" w:rsidRPr="001B3715">
        <w:rPr>
          <w:lang w:val="fr-FR"/>
        </w:rPr>
        <w:t>s</w:t>
      </w:r>
      <w:r w:rsidR="008E0919" w:rsidRPr="001B3715">
        <w:rPr>
          <w:lang w:val="fr-FR"/>
        </w:rPr>
        <w:t xml:space="preserve">ation </w:t>
      </w:r>
      <w:r w:rsidR="00A12E47" w:rsidRPr="001B3715">
        <w:rPr>
          <w:lang w:val="fr-FR"/>
        </w:rPr>
        <w:t>étant</w:t>
      </w:r>
      <w:r w:rsidR="0081534F" w:rsidRPr="001B3715">
        <w:rPr>
          <w:lang w:val="fr-FR"/>
        </w:rPr>
        <w:t xml:space="preserve"> établi en francs suisses</w:t>
      </w:r>
      <w:r w:rsidR="008E0919" w:rsidRPr="001B3715">
        <w:rPr>
          <w:lang w:val="fr-FR"/>
        </w:rPr>
        <w:t xml:space="preserve">, </w:t>
      </w:r>
      <w:r w:rsidR="0081534F" w:rsidRPr="001B3715">
        <w:rPr>
          <w:lang w:val="fr-FR"/>
        </w:rPr>
        <w:t>les taux d</w:t>
      </w:r>
      <w:r w:rsidR="00502D05" w:rsidRPr="001B3715">
        <w:rPr>
          <w:lang w:val="fr-FR"/>
        </w:rPr>
        <w:t>’</w:t>
      </w:r>
      <w:r w:rsidR="0081534F" w:rsidRPr="001B3715">
        <w:rPr>
          <w:lang w:val="fr-FR"/>
        </w:rPr>
        <w:t xml:space="preserve">intérêt négatifs </w:t>
      </w:r>
      <w:r w:rsidR="00A12E47" w:rsidRPr="001B3715">
        <w:rPr>
          <w:lang w:val="fr-FR"/>
        </w:rPr>
        <w:t>représente</w:t>
      </w:r>
      <w:r w:rsidR="0081534F" w:rsidRPr="001B3715">
        <w:rPr>
          <w:lang w:val="fr-FR"/>
        </w:rPr>
        <w:t>nt un défi pour la gestion de la trésorerie</w:t>
      </w:r>
      <w:r w:rsidR="00767466" w:rsidRPr="001B3715">
        <w:rPr>
          <w:lang w:val="fr-FR"/>
        </w:rPr>
        <w:t xml:space="preserve"> </w:t>
      </w:r>
      <w:r w:rsidR="0081534F" w:rsidRPr="001B3715">
        <w:rPr>
          <w:lang w:val="fr-FR"/>
        </w:rPr>
        <w:t>et les taux d</w:t>
      </w:r>
      <w:r w:rsidR="00767466" w:rsidRPr="001B3715">
        <w:rPr>
          <w:lang w:val="fr-FR"/>
        </w:rPr>
        <w:t>e</w:t>
      </w:r>
      <w:r w:rsidR="0081534F" w:rsidRPr="001B3715">
        <w:rPr>
          <w:lang w:val="fr-FR"/>
        </w:rPr>
        <w:t xml:space="preserve"> </w:t>
      </w:r>
      <w:r w:rsidR="00767466" w:rsidRPr="001B3715">
        <w:rPr>
          <w:lang w:val="fr-FR"/>
        </w:rPr>
        <w:t xml:space="preserve">change </w:t>
      </w:r>
      <w:r w:rsidR="0081534F" w:rsidRPr="001B3715">
        <w:rPr>
          <w:lang w:val="fr-FR"/>
        </w:rPr>
        <w:t>un facteur de risque c</w:t>
      </w:r>
      <w:r w:rsidR="00767466" w:rsidRPr="001B3715">
        <w:rPr>
          <w:lang w:val="fr-FR"/>
        </w:rPr>
        <w:t xml:space="preserve">onstant </w:t>
      </w:r>
      <w:r w:rsidR="00A12E47" w:rsidRPr="001B3715">
        <w:rPr>
          <w:lang w:val="fr-FR"/>
        </w:rPr>
        <w:t>à ne pas néglig</w:t>
      </w:r>
      <w:r w:rsidR="001B3715" w:rsidRPr="001B3715">
        <w:rPr>
          <w:lang w:val="fr-FR"/>
        </w:rPr>
        <w:t>er.  Ce</w:t>
      </w:r>
      <w:r w:rsidR="0081534F" w:rsidRPr="001B3715">
        <w:rPr>
          <w:lang w:val="fr-FR"/>
        </w:rPr>
        <w:t>s deux</w:t>
      </w:r>
      <w:r w:rsidR="000A53FB" w:rsidRPr="001B3715">
        <w:rPr>
          <w:lang w:val="fr-FR"/>
        </w:rPr>
        <w:t> </w:t>
      </w:r>
      <w:r w:rsidR="0081534F" w:rsidRPr="001B3715">
        <w:rPr>
          <w:lang w:val="fr-FR"/>
        </w:rPr>
        <w:t xml:space="preserve">derniers </w:t>
      </w:r>
      <w:r w:rsidR="008E0919" w:rsidRPr="001B3715">
        <w:rPr>
          <w:lang w:val="fr-FR"/>
        </w:rPr>
        <w:t>fact</w:t>
      </w:r>
      <w:r w:rsidR="0081534F" w:rsidRPr="001B3715">
        <w:rPr>
          <w:lang w:val="fr-FR"/>
        </w:rPr>
        <w:t>eu</w:t>
      </w:r>
      <w:r w:rsidR="008E0919" w:rsidRPr="001B3715">
        <w:rPr>
          <w:lang w:val="fr-FR"/>
        </w:rPr>
        <w:t xml:space="preserve">rs – </w:t>
      </w:r>
      <w:r w:rsidR="0081534F" w:rsidRPr="001B3715">
        <w:rPr>
          <w:lang w:val="fr-FR"/>
        </w:rPr>
        <w:t>taux d</w:t>
      </w:r>
      <w:r w:rsidR="00502D05" w:rsidRPr="001B3715">
        <w:rPr>
          <w:lang w:val="fr-FR"/>
        </w:rPr>
        <w:t>’</w:t>
      </w:r>
      <w:r w:rsidR="0081534F" w:rsidRPr="001B3715">
        <w:rPr>
          <w:lang w:val="fr-FR"/>
        </w:rPr>
        <w:t>intérêt né</w:t>
      </w:r>
      <w:r w:rsidR="008E0919" w:rsidRPr="001B3715">
        <w:rPr>
          <w:lang w:val="fr-FR"/>
        </w:rPr>
        <w:t>gati</w:t>
      </w:r>
      <w:r w:rsidR="0081534F" w:rsidRPr="001B3715">
        <w:rPr>
          <w:lang w:val="fr-FR"/>
        </w:rPr>
        <w:t>f</w:t>
      </w:r>
      <w:r w:rsidR="008E0919" w:rsidRPr="001B3715">
        <w:rPr>
          <w:lang w:val="fr-FR"/>
        </w:rPr>
        <w:t xml:space="preserve">s </w:t>
      </w:r>
      <w:r w:rsidR="0081534F" w:rsidRPr="001B3715">
        <w:rPr>
          <w:lang w:val="fr-FR"/>
        </w:rPr>
        <w:t xml:space="preserve">et exposition au </w:t>
      </w:r>
      <w:r w:rsidR="000A53FB" w:rsidRPr="001B3715">
        <w:rPr>
          <w:lang w:val="fr-FR"/>
        </w:rPr>
        <w:t>risque</w:t>
      </w:r>
      <w:r w:rsidR="0081534F" w:rsidRPr="001B3715">
        <w:rPr>
          <w:lang w:val="fr-FR"/>
        </w:rPr>
        <w:t xml:space="preserve"> </w:t>
      </w:r>
      <w:r w:rsidR="008E0919" w:rsidRPr="001B3715">
        <w:rPr>
          <w:lang w:val="fr-FR"/>
        </w:rPr>
        <w:t>d</w:t>
      </w:r>
      <w:r w:rsidR="0081534F" w:rsidRPr="001B3715">
        <w:rPr>
          <w:lang w:val="fr-FR"/>
        </w:rPr>
        <w:t>e</w:t>
      </w:r>
      <w:r w:rsidR="008E0919" w:rsidRPr="001B3715">
        <w:rPr>
          <w:lang w:val="fr-FR"/>
        </w:rPr>
        <w:t xml:space="preserve"> change – </w:t>
      </w:r>
      <w:r w:rsidR="0081534F" w:rsidRPr="001B3715">
        <w:rPr>
          <w:lang w:val="fr-FR"/>
        </w:rPr>
        <w:t>ont fait l</w:t>
      </w:r>
      <w:r w:rsidR="00502D05" w:rsidRPr="001B3715">
        <w:rPr>
          <w:lang w:val="fr-FR"/>
        </w:rPr>
        <w:t>’</w:t>
      </w:r>
      <w:r w:rsidR="0081534F" w:rsidRPr="001B3715">
        <w:rPr>
          <w:lang w:val="fr-FR"/>
        </w:rPr>
        <w:t>objet d</w:t>
      </w:r>
      <w:r w:rsidR="00502D05" w:rsidRPr="001B3715">
        <w:rPr>
          <w:lang w:val="fr-FR"/>
        </w:rPr>
        <w:t>’</w:t>
      </w:r>
      <w:r w:rsidR="0081534F" w:rsidRPr="001B3715">
        <w:rPr>
          <w:lang w:val="fr-FR"/>
        </w:rPr>
        <w:t xml:space="preserve">une attention </w:t>
      </w:r>
      <w:r w:rsidR="00A12E47" w:rsidRPr="001B3715">
        <w:rPr>
          <w:lang w:val="fr-FR"/>
        </w:rPr>
        <w:t xml:space="preserve">particulièrement </w:t>
      </w:r>
      <w:r w:rsidR="000A53FB" w:rsidRPr="001B3715">
        <w:rPr>
          <w:lang w:val="fr-FR"/>
        </w:rPr>
        <w:t>souten</w:t>
      </w:r>
      <w:r w:rsidR="001B3715" w:rsidRPr="001B3715">
        <w:rPr>
          <w:lang w:val="fr-FR"/>
        </w:rPr>
        <w:t>ue.  Pa</w:t>
      </w:r>
      <w:r w:rsidR="0081534F" w:rsidRPr="001B3715">
        <w:rPr>
          <w:lang w:val="fr-FR"/>
        </w:rPr>
        <w:t>r ailleurs, à brève échéance, nous voyons se profiler la probabilité d</w:t>
      </w:r>
      <w:r w:rsidR="00502D05" w:rsidRPr="001B3715">
        <w:rPr>
          <w:lang w:val="fr-FR"/>
        </w:rPr>
        <w:t>’</w:t>
      </w:r>
      <w:r w:rsidR="0081534F" w:rsidRPr="001B3715">
        <w:rPr>
          <w:lang w:val="fr-FR"/>
        </w:rPr>
        <w:t>un accroissement des dépenses dans les domaines des technologie</w:t>
      </w:r>
      <w:r w:rsidR="008E0919" w:rsidRPr="001B3715">
        <w:rPr>
          <w:lang w:val="fr-FR"/>
        </w:rPr>
        <w:t xml:space="preserve">s </w:t>
      </w:r>
      <w:r w:rsidR="0081534F" w:rsidRPr="001B3715">
        <w:rPr>
          <w:lang w:val="fr-FR"/>
        </w:rPr>
        <w:t>de l</w:t>
      </w:r>
      <w:r w:rsidR="00502D05" w:rsidRPr="001B3715">
        <w:rPr>
          <w:lang w:val="fr-FR"/>
        </w:rPr>
        <w:t>’</w:t>
      </w:r>
      <w:r w:rsidR="008E0919" w:rsidRPr="001B3715">
        <w:rPr>
          <w:lang w:val="fr-FR"/>
        </w:rPr>
        <w:t xml:space="preserve">information </w:t>
      </w:r>
      <w:r w:rsidR="0081534F" w:rsidRPr="001B3715">
        <w:rPr>
          <w:lang w:val="fr-FR"/>
        </w:rPr>
        <w:t>ainsi que de la sûreté et de la sécurité</w:t>
      </w:r>
      <w:r w:rsidR="008E0919" w:rsidRPr="001B3715">
        <w:rPr>
          <w:lang w:val="fr-FR"/>
        </w:rPr>
        <w:t xml:space="preserve">, </w:t>
      </w:r>
      <w:r w:rsidR="0081534F" w:rsidRPr="001B3715">
        <w:rPr>
          <w:lang w:val="fr-FR"/>
        </w:rPr>
        <w:t xml:space="preserve">notamment </w:t>
      </w:r>
      <w:r w:rsidR="007A7991" w:rsidRPr="001B3715">
        <w:rPr>
          <w:lang w:val="fr-FR"/>
        </w:rPr>
        <w:t>en matière de</w:t>
      </w:r>
      <w:r w:rsidR="0081534F" w:rsidRPr="001B3715">
        <w:rPr>
          <w:lang w:val="fr-FR"/>
        </w:rPr>
        <w:t xml:space="preserve"> </w:t>
      </w:r>
      <w:proofErr w:type="spellStart"/>
      <w:r w:rsidR="001512B4" w:rsidRPr="001B3715">
        <w:rPr>
          <w:lang w:val="fr-FR"/>
        </w:rPr>
        <w:t>cybersécurité</w:t>
      </w:r>
      <w:proofErr w:type="spellEnd"/>
      <w:r w:rsidR="008E0919" w:rsidRPr="001B3715">
        <w:rPr>
          <w:lang w:val="fr-FR"/>
        </w:rPr>
        <w:t xml:space="preserve">.  </w:t>
      </w:r>
      <w:r w:rsidR="0081534F" w:rsidRPr="001B3715">
        <w:rPr>
          <w:lang w:val="fr-FR"/>
        </w:rPr>
        <w:t>L</w:t>
      </w:r>
      <w:r w:rsidR="00502D05" w:rsidRPr="001B3715">
        <w:rPr>
          <w:lang w:val="fr-FR"/>
        </w:rPr>
        <w:t>’</w:t>
      </w:r>
      <w:r w:rsidR="005D0785" w:rsidRPr="001B3715">
        <w:rPr>
          <w:lang w:val="fr-FR"/>
        </w:rPr>
        <w:t>Organi</w:t>
      </w:r>
      <w:r w:rsidR="0081534F" w:rsidRPr="001B3715">
        <w:rPr>
          <w:lang w:val="fr-FR"/>
        </w:rPr>
        <w:t>s</w:t>
      </w:r>
      <w:r w:rsidR="005D0785" w:rsidRPr="001B3715">
        <w:rPr>
          <w:lang w:val="fr-FR"/>
        </w:rPr>
        <w:t>ation</w:t>
      </w:r>
      <w:r w:rsidR="0081534F" w:rsidRPr="001B3715">
        <w:rPr>
          <w:lang w:val="fr-FR"/>
        </w:rPr>
        <w:t xml:space="preserve"> tire l</w:t>
      </w:r>
      <w:r w:rsidR="00502D05" w:rsidRPr="001B3715">
        <w:rPr>
          <w:lang w:val="fr-FR"/>
        </w:rPr>
        <w:t>’</w:t>
      </w:r>
      <w:r w:rsidR="0081534F" w:rsidRPr="001B3715">
        <w:rPr>
          <w:lang w:val="fr-FR"/>
        </w:rPr>
        <w:t xml:space="preserve">essentiel de </w:t>
      </w:r>
      <w:r w:rsidR="007A7991" w:rsidRPr="001B3715">
        <w:rPr>
          <w:lang w:val="fr-FR"/>
        </w:rPr>
        <w:t>s</w:t>
      </w:r>
      <w:r w:rsidR="0081534F" w:rsidRPr="001B3715">
        <w:rPr>
          <w:lang w:val="fr-FR"/>
        </w:rPr>
        <w:t>es re</w:t>
      </w:r>
      <w:r w:rsidR="00226173" w:rsidRPr="001B3715">
        <w:rPr>
          <w:lang w:val="fr-FR"/>
        </w:rPr>
        <w:t>cette</w:t>
      </w:r>
      <w:r w:rsidR="0081534F" w:rsidRPr="001B3715">
        <w:rPr>
          <w:lang w:val="fr-FR"/>
        </w:rPr>
        <w:t>s des systèmes mondiaux de propriété intellectuelle</w:t>
      </w:r>
      <w:r w:rsidR="00347C95" w:rsidRPr="001B3715">
        <w:rPr>
          <w:lang w:val="fr-FR"/>
        </w:rPr>
        <w:t xml:space="preserve"> du PCT</w:t>
      </w:r>
      <w:r w:rsidR="007A7991" w:rsidRPr="001B3715">
        <w:rPr>
          <w:lang w:val="fr-FR"/>
        </w:rPr>
        <w:t xml:space="preserve">, </w:t>
      </w:r>
      <w:r w:rsidR="0081534F" w:rsidRPr="001B3715">
        <w:rPr>
          <w:lang w:val="fr-FR"/>
        </w:rPr>
        <w:t>d</w:t>
      </w:r>
      <w:r w:rsidR="00616A43" w:rsidRPr="001B3715">
        <w:rPr>
          <w:lang w:val="fr-FR"/>
        </w:rPr>
        <w:t xml:space="preserve">e Madrid </w:t>
      </w:r>
      <w:r w:rsidR="0081534F" w:rsidRPr="001B3715">
        <w:rPr>
          <w:lang w:val="fr-FR"/>
        </w:rPr>
        <w:t>et d</w:t>
      </w:r>
      <w:r w:rsidR="00616A43" w:rsidRPr="001B3715">
        <w:rPr>
          <w:lang w:val="fr-FR"/>
        </w:rPr>
        <w:t xml:space="preserve">e </w:t>
      </w:r>
      <w:r w:rsidR="00502D05" w:rsidRPr="001B3715">
        <w:rPr>
          <w:lang w:val="fr-FR"/>
        </w:rPr>
        <w:t>La Ha</w:t>
      </w:r>
      <w:r w:rsidR="001B3715" w:rsidRPr="001B3715">
        <w:rPr>
          <w:lang w:val="fr-FR"/>
        </w:rPr>
        <w:t>ye.  Po</w:t>
      </w:r>
      <w:r w:rsidR="00226173" w:rsidRPr="001B3715">
        <w:rPr>
          <w:lang w:val="fr-FR"/>
        </w:rPr>
        <w:t>ur rester concurrentiels, ces</w:t>
      </w:r>
      <w:r w:rsidR="00616A43" w:rsidRPr="001B3715">
        <w:rPr>
          <w:lang w:val="fr-FR"/>
        </w:rPr>
        <w:t xml:space="preserve"> syst</w:t>
      </w:r>
      <w:r w:rsidR="00226173" w:rsidRPr="001B3715">
        <w:rPr>
          <w:lang w:val="fr-FR"/>
        </w:rPr>
        <w:t>è</w:t>
      </w:r>
      <w:r w:rsidR="00616A43" w:rsidRPr="001B3715">
        <w:rPr>
          <w:lang w:val="fr-FR"/>
        </w:rPr>
        <w:t>m</w:t>
      </w:r>
      <w:r w:rsidR="00226173" w:rsidRPr="001B3715">
        <w:rPr>
          <w:lang w:val="fr-FR"/>
        </w:rPr>
        <w:t>e</w:t>
      </w:r>
      <w:r w:rsidR="00616A43" w:rsidRPr="001B3715">
        <w:rPr>
          <w:lang w:val="fr-FR"/>
        </w:rPr>
        <w:t xml:space="preserve">s </w:t>
      </w:r>
      <w:r w:rsidR="00226173" w:rsidRPr="001B3715">
        <w:rPr>
          <w:lang w:val="fr-FR"/>
        </w:rPr>
        <w:t xml:space="preserve">doivent être constamment améliorés et </w:t>
      </w:r>
      <w:r w:rsidR="00912B24" w:rsidRPr="001B3715">
        <w:rPr>
          <w:lang w:val="fr-FR"/>
        </w:rPr>
        <w:t xml:space="preserve">bénéficier de </w:t>
      </w:r>
      <w:r w:rsidR="00226173" w:rsidRPr="001B3715">
        <w:rPr>
          <w:lang w:val="fr-FR"/>
        </w:rPr>
        <w:t>dispositifs de sécurité ultramodern</w:t>
      </w:r>
      <w:r w:rsidR="001B3715" w:rsidRPr="001B3715">
        <w:rPr>
          <w:lang w:val="fr-FR"/>
        </w:rPr>
        <w:t>es.  En</w:t>
      </w:r>
      <w:r w:rsidR="00616A43" w:rsidRPr="001B3715">
        <w:rPr>
          <w:lang w:val="fr-FR"/>
        </w:rPr>
        <w:t xml:space="preserve"> </w:t>
      </w:r>
      <w:r w:rsidR="00226173" w:rsidRPr="001B3715">
        <w:rPr>
          <w:lang w:val="fr-FR"/>
        </w:rPr>
        <w:t>outre</w:t>
      </w:r>
      <w:r w:rsidR="00616A43" w:rsidRPr="001B3715">
        <w:rPr>
          <w:lang w:val="fr-FR"/>
        </w:rPr>
        <w:t xml:space="preserve">, </w:t>
      </w:r>
      <w:r w:rsidR="00C174AD" w:rsidRPr="001B3715">
        <w:rPr>
          <w:lang w:val="fr-FR"/>
        </w:rPr>
        <w:t xml:space="preserve">une </w:t>
      </w:r>
      <w:r w:rsidR="00C174AD" w:rsidRPr="001B3715">
        <w:rPr>
          <w:lang w:val="fr-FR"/>
        </w:rPr>
        <w:lastRenderedPageBreak/>
        <w:t>part importante d</w:t>
      </w:r>
      <w:r w:rsidR="0069181B" w:rsidRPr="001B3715">
        <w:rPr>
          <w:lang w:val="fr-FR"/>
        </w:rPr>
        <w:t>e</w:t>
      </w:r>
      <w:r w:rsidR="007F64C9" w:rsidRPr="001B3715">
        <w:rPr>
          <w:lang w:val="fr-FR"/>
        </w:rPr>
        <w:t xml:space="preserve"> la</w:t>
      </w:r>
      <w:r w:rsidR="000A53FB" w:rsidRPr="001B3715">
        <w:rPr>
          <w:lang w:val="fr-FR"/>
        </w:rPr>
        <w:t xml:space="preserve"> coopération </w:t>
      </w:r>
      <w:r w:rsidR="00803243" w:rsidRPr="001B3715">
        <w:rPr>
          <w:lang w:val="fr-FR"/>
        </w:rPr>
        <w:t>pour le</w:t>
      </w:r>
      <w:r w:rsidR="000A53FB" w:rsidRPr="001B3715">
        <w:rPr>
          <w:lang w:val="fr-FR"/>
        </w:rPr>
        <w:t xml:space="preserve"> développement</w:t>
      </w:r>
      <w:r w:rsidR="00226173" w:rsidRPr="001B3715">
        <w:rPr>
          <w:lang w:val="fr-FR"/>
        </w:rPr>
        <w:t xml:space="preserve"> </w:t>
      </w:r>
      <w:r w:rsidR="00C174AD" w:rsidRPr="001B3715">
        <w:rPr>
          <w:lang w:val="fr-FR"/>
        </w:rPr>
        <w:t xml:space="preserve">est </w:t>
      </w:r>
      <w:r w:rsidR="007F64C9" w:rsidRPr="001B3715">
        <w:rPr>
          <w:lang w:val="fr-FR"/>
        </w:rPr>
        <w:t xml:space="preserve">dispensée </w:t>
      </w:r>
      <w:r w:rsidR="00803243" w:rsidRPr="001B3715">
        <w:rPr>
          <w:lang w:val="fr-FR"/>
        </w:rPr>
        <w:t>par le biais d</w:t>
      </w:r>
      <w:r w:rsidR="00226173" w:rsidRPr="001B3715">
        <w:rPr>
          <w:lang w:val="fr-FR"/>
        </w:rPr>
        <w:t>e systèmes et</w:t>
      </w:r>
      <w:r w:rsidR="00C174AD" w:rsidRPr="001B3715">
        <w:rPr>
          <w:lang w:val="fr-FR"/>
        </w:rPr>
        <w:t xml:space="preserve"> </w:t>
      </w:r>
      <w:r w:rsidR="00803243" w:rsidRPr="001B3715">
        <w:rPr>
          <w:lang w:val="fr-FR"/>
        </w:rPr>
        <w:t xml:space="preserve">de </w:t>
      </w:r>
      <w:r w:rsidR="005F5036" w:rsidRPr="001B3715">
        <w:rPr>
          <w:lang w:val="fr-FR"/>
        </w:rPr>
        <w:t>plateformes</w:t>
      </w:r>
      <w:r w:rsidR="00226173" w:rsidRPr="001B3715">
        <w:rPr>
          <w:lang w:val="fr-FR"/>
        </w:rPr>
        <w:t xml:space="preserve"> informatiques </w:t>
      </w:r>
      <w:r w:rsidR="0069181B" w:rsidRPr="001B3715">
        <w:rPr>
          <w:lang w:val="fr-FR"/>
        </w:rPr>
        <w:t xml:space="preserve">et les systèmes </w:t>
      </w:r>
      <w:r w:rsidR="00B15C99" w:rsidRPr="001B3715">
        <w:rPr>
          <w:lang w:val="fr-FR"/>
        </w:rPr>
        <w:t>administrati</w:t>
      </w:r>
      <w:r w:rsidR="0069181B" w:rsidRPr="001B3715">
        <w:rPr>
          <w:lang w:val="fr-FR"/>
        </w:rPr>
        <w:t>fs et d</w:t>
      </w:r>
      <w:r w:rsidR="00B15C99" w:rsidRPr="001B3715">
        <w:rPr>
          <w:lang w:val="fr-FR"/>
        </w:rPr>
        <w:t>e ge</w:t>
      </w:r>
      <w:r w:rsidR="0069181B" w:rsidRPr="001B3715">
        <w:rPr>
          <w:lang w:val="fr-FR"/>
        </w:rPr>
        <w:t>s</w:t>
      </w:r>
      <w:r w:rsidR="00B15C99" w:rsidRPr="001B3715">
        <w:rPr>
          <w:lang w:val="fr-FR"/>
        </w:rPr>
        <w:t>t</w:t>
      </w:r>
      <w:r w:rsidR="0069181B" w:rsidRPr="001B3715">
        <w:rPr>
          <w:lang w:val="fr-FR"/>
        </w:rPr>
        <w:t>ion de l</w:t>
      </w:r>
      <w:r w:rsidR="00502D05" w:rsidRPr="001B3715">
        <w:rPr>
          <w:lang w:val="fr-FR"/>
        </w:rPr>
        <w:t>’</w:t>
      </w:r>
      <w:r w:rsidR="0069181B" w:rsidRPr="001B3715">
        <w:rPr>
          <w:lang w:val="fr-FR"/>
        </w:rPr>
        <w:t xml:space="preserve">Organisation </w:t>
      </w:r>
      <w:r w:rsidR="00B15C99" w:rsidRPr="001B3715">
        <w:rPr>
          <w:lang w:val="fr-FR"/>
        </w:rPr>
        <w:t>s</w:t>
      </w:r>
      <w:r w:rsidR="0069181B" w:rsidRPr="001B3715">
        <w:rPr>
          <w:lang w:val="fr-FR"/>
        </w:rPr>
        <w:t xml:space="preserve">ont </w:t>
      </w:r>
      <w:r w:rsidR="00A35BBB" w:rsidRPr="001B3715">
        <w:rPr>
          <w:lang w:val="fr-FR"/>
        </w:rPr>
        <w:t>également</w:t>
      </w:r>
      <w:r w:rsidR="0069181B" w:rsidRPr="001B3715">
        <w:rPr>
          <w:lang w:val="fr-FR"/>
        </w:rPr>
        <w:t xml:space="preserve"> informatisés</w:t>
      </w:r>
      <w:r w:rsidR="00B15C99" w:rsidRPr="001B3715">
        <w:rPr>
          <w:lang w:val="fr-FR"/>
        </w:rPr>
        <w:t xml:space="preserve">, </w:t>
      </w:r>
      <w:r w:rsidR="0069181B" w:rsidRPr="001B3715">
        <w:rPr>
          <w:lang w:val="fr-FR"/>
        </w:rPr>
        <w:t xml:space="preserve">tous éléments qui </w:t>
      </w:r>
      <w:r w:rsidR="00803243" w:rsidRPr="001B3715">
        <w:rPr>
          <w:lang w:val="fr-FR"/>
        </w:rPr>
        <w:t>rendent</w:t>
      </w:r>
      <w:r w:rsidR="007F64C9" w:rsidRPr="001B3715">
        <w:rPr>
          <w:lang w:val="fr-FR"/>
        </w:rPr>
        <w:t xml:space="preserve"> a</w:t>
      </w:r>
      <w:r w:rsidR="00C174AD" w:rsidRPr="001B3715">
        <w:rPr>
          <w:lang w:val="fr-FR"/>
        </w:rPr>
        <w:t>ussi</w:t>
      </w:r>
      <w:r w:rsidR="007F64C9" w:rsidRPr="001B3715">
        <w:rPr>
          <w:lang w:val="fr-FR"/>
        </w:rPr>
        <w:t xml:space="preserve"> </w:t>
      </w:r>
      <w:r w:rsidR="00803243" w:rsidRPr="001B3715">
        <w:rPr>
          <w:lang w:val="fr-FR"/>
        </w:rPr>
        <w:t xml:space="preserve">indispensables </w:t>
      </w:r>
      <w:r w:rsidR="0069181B" w:rsidRPr="001B3715">
        <w:rPr>
          <w:lang w:val="fr-FR"/>
        </w:rPr>
        <w:t xml:space="preserve">une amélioration </w:t>
      </w:r>
      <w:r w:rsidR="00803243" w:rsidRPr="001B3715">
        <w:rPr>
          <w:lang w:val="fr-FR"/>
        </w:rPr>
        <w:t>permane</w:t>
      </w:r>
      <w:r w:rsidR="0069181B" w:rsidRPr="001B3715">
        <w:rPr>
          <w:lang w:val="fr-FR"/>
        </w:rPr>
        <w:t>nte et</w:t>
      </w:r>
      <w:r w:rsidR="007F64C9" w:rsidRPr="001B3715">
        <w:rPr>
          <w:lang w:val="fr-FR"/>
        </w:rPr>
        <w:t xml:space="preserve"> </w:t>
      </w:r>
      <w:r w:rsidR="0069181B" w:rsidRPr="001B3715">
        <w:rPr>
          <w:lang w:val="fr-FR"/>
        </w:rPr>
        <w:t>la mise en place d</w:t>
      </w:r>
      <w:r w:rsidR="00502D05" w:rsidRPr="001B3715">
        <w:rPr>
          <w:lang w:val="fr-FR"/>
        </w:rPr>
        <w:t>’</w:t>
      </w:r>
      <w:r w:rsidR="0069181B" w:rsidRPr="001B3715">
        <w:rPr>
          <w:lang w:val="fr-FR"/>
        </w:rPr>
        <w:t>un environnement opérationnel sûr.</w:t>
      </w:r>
    </w:p>
    <w:p w14:paraId="06373AEB" w14:textId="7A4200F0" w:rsidR="002A7671" w:rsidRPr="001B3715" w:rsidRDefault="0069181B" w:rsidP="00137CB3">
      <w:pPr>
        <w:pStyle w:val="ONUMFS"/>
        <w:rPr>
          <w:lang w:val="fr-FR"/>
        </w:rPr>
      </w:pPr>
      <w:r w:rsidRPr="001B3715">
        <w:rPr>
          <w:lang w:val="fr-FR"/>
        </w:rPr>
        <w:t>L</w:t>
      </w:r>
      <w:r w:rsidR="00502D05" w:rsidRPr="001B3715">
        <w:rPr>
          <w:lang w:val="fr-FR"/>
        </w:rPr>
        <w:t>’</w:t>
      </w:r>
      <w:r w:rsidRPr="001B3715">
        <w:rPr>
          <w:lang w:val="fr-FR"/>
        </w:rPr>
        <w:t xml:space="preserve">exercice biennal actuel connaîtra un changement </w:t>
      </w:r>
      <w:r w:rsidR="00250CC1" w:rsidRPr="001B3715">
        <w:rPr>
          <w:lang w:val="fr-FR"/>
        </w:rPr>
        <w:t xml:space="preserve">majeur </w:t>
      </w:r>
      <w:r w:rsidRPr="001B3715">
        <w:rPr>
          <w:lang w:val="fr-FR"/>
        </w:rPr>
        <w:t>concern</w:t>
      </w:r>
      <w:r w:rsidR="007F64C9" w:rsidRPr="001B3715">
        <w:rPr>
          <w:lang w:val="fr-FR"/>
        </w:rPr>
        <w:t>ant</w:t>
      </w:r>
      <w:r w:rsidRPr="001B3715">
        <w:rPr>
          <w:lang w:val="fr-FR"/>
        </w:rPr>
        <w:t xml:space="preserve"> la gestion financière des</w:t>
      </w:r>
      <w:r w:rsidR="00D24252" w:rsidRPr="001B3715">
        <w:rPr>
          <w:lang w:val="fr-FR"/>
        </w:rPr>
        <w:t xml:space="preserve"> r</w:t>
      </w:r>
      <w:r w:rsidRPr="001B3715">
        <w:rPr>
          <w:lang w:val="fr-FR"/>
        </w:rPr>
        <w:t>é</w:t>
      </w:r>
      <w:r w:rsidR="00D24252" w:rsidRPr="001B3715">
        <w:rPr>
          <w:lang w:val="fr-FR"/>
        </w:rPr>
        <w:t xml:space="preserve">serves </w:t>
      </w:r>
      <w:r w:rsidRPr="001B3715">
        <w:rPr>
          <w:lang w:val="fr-FR"/>
        </w:rPr>
        <w:t xml:space="preserve">et </w:t>
      </w:r>
      <w:r w:rsidR="00D24252" w:rsidRPr="001B3715">
        <w:rPr>
          <w:lang w:val="fr-FR"/>
        </w:rPr>
        <w:t>d</w:t>
      </w:r>
      <w:r w:rsidRPr="001B3715">
        <w:rPr>
          <w:lang w:val="fr-FR"/>
        </w:rPr>
        <w:t>e</w:t>
      </w:r>
      <w:r w:rsidR="00D24252" w:rsidRPr="001B3715">
        <w:rPr>
          <w:lang w:val="fr-FR"/>
        </w:rPr>
        <w:t xml:space="preserve"> </w:t>
      </w:r>
      <w:r w:rsidRPr="001B3715">
        <w:rPr>
          <w:lang w:val="fr-FR"/>
        </w:rPr>
        <w:t xml:space="preserve">la </w:t>
      </w:r>
      <w:r w:rsidR="00D24252" w:rsidRPr="001B3715">
        <w:rPr>
          <w:lang w:val="fr-FR"/>
        </w:rPr>
        <w:t>tr</w:t>
      </w:r>
      <w:r w:rsidRPr="001B3715">
        <w:rPr>
          <w:lang w:val="fr-FR"/>
        </w:rPr>
        <w:t>ésorerie</w:t>
      </w:r>
      <w:r w:rsidR="00D24252" w:rsidRPr="001B3715">
        <w:rPr>
          <w:lang w:val="fr-FR"/>
        </w:rPr>
        <w:t xml:space="preserve">, </w:t>
      </w:r>
      <w:r w:rsidR="007F64C9" w:rsidRPr="001B3715">
        <w:rPr>
          <w:lang w:val="fr-FR"/>
        </w:rPr>
        <w:t xml:space="preserve">comme cela a été discuté </w:t>
      </w:r>
      <w:r w:rsidR="00250CC1" w:rsidRPr="001B3715">
        <w:rPr>
          <w:lang w:val="fr-FR"/>
        </w:rPr>
        <w:t xml:space="preserve">en détail </w:t>
      </w:r>
      <w:r w:rsidR="007F64C9" w:rsidRPr="001B3715">
        <w:rPr>
          <w:lang w:val="fr-FR"/>
        </w:rPr>
        <w:t>a</w:t>
      </w:r>
      <w:r w:rsidR="00250CC1" w:rsidRPr="001B3715">
        <w:rPr>
          <w:lang w:val="fr-FR"/>
        </w:rPr>
        <w:t>u Comité du programme et b</w:t>
      </w:r>
      <w:r w:rsidR="00D24252" w:rsidRPr="001B3715">
        <w:rPr>
          <w:lang w:val="fr-FR"/>
        </w:rPr>
        <w:t xml:space="preserve">udget.  </w:t>
      </w:r>
      <w:r w:rsidR="00250CC1" w:rsidRPr="001B3715">
        <w:rPr>
          <w:lang w:val="fr-FR"/>
        </w:rPr>
        <w:t>L</w:t>
      </w:r>
      <w:r w:rsidR="00502D05" w:rsidRPr="001B3715">
        <w:rPr>
          <w:lang w:val="fr-FR"/>
        </w:rPr>
        <w:t>’</w:t>
      </w:r>
      <w:r w:rsidR="00D24252" w:rsidRPr="001B3715">
        <w:rPr>
          <w:lang w:val="fr-FR"/>
        </w:rPr>
        <w:t>Organi</w:t>
      </w:r>
      <w:r w:rsidR="00250CC1" w:rsidRPr="001B3715">
        <w:rPr>
          <w:lang w:val="fr-FR"/>
        </w:rPr>
        <w:t>s</w:t>
      </w:r>
      <w:r w:rsidR="00D24252" w:rsidRPr="001B3715">
        <w:rPr>
          <w:lang w:val="fr-FR"/>
        </w:rPr>
        <w:t xml:space="preserve">ation </w:t>
      </w:r>
      <w:r w:rsidR="00250CC1" w:rsidRPr="001B3715">
        <w:rPr>
          <w:lang w:val="fr-FR"/>
        </w:rPr>
        <w:t>passera en effet d</w:t>
      </w:r>
      <w:r w:rsidR="00502D05" w:rsidRPr="001B3715">
        <w:rPr>
          <w:lang w:val="fr-FR"/>
        </w:rPr>
        <w:t>’</w:t>
      </w:r>
      <w:r w:rsidR="00250CC1" w:rsidRPr="001B3715">
        <w:rPr>
          <w:lang w:val="fr-FR"/>
        </w:rPr>
        <w:t>une gestion des réserves</w:t>
      </w:r>
      <w:r w:rsidR="00D24252" w:rsidRPr="001B3715">
        <w:rPr>
          <w:lang w:val="fr-FR"/>
        </w:rPr>
        <w:t xml:space="preserve"> e</w:t>
      </w:r>
      <w:r w:rsidR="00250CC1" w:rsidRPr="001B3715">
        <w:rPr>
          <w:lang w:val="fr-FR"/>
        </w:rPr>
        <w:t xml:space="preserve">t </w:t>
      </w:r>
      <w:r w:rsidR="00B61869" w:rsidRPr="001B3715">
        <w:rPr>
          <w:lang w:val="fr-FR"/>
        </w:rPr>
        <w:t>d</w:t>
      </w:r>
      <w:r w:rsidR="00250CC1" w:rsidRPr="001B3715">
        <w:rPr>
          <w:lang w:val="fr-FR"/>
        </w:rPr>
        <w:t>e</w:t>
      </w:r>
      <w:r w:rsidR="00B61869" w:rsidRPr="001B3715">
        <w:rPr>
          <w:lang w:val="fr-FR"/>
        </w:rPr>
        <w:t xml:space="preserve"> </w:t>
      </w:r>
      <w:r w:rsidR="00250CC1" w:rsidRPr="001B3715">
        <w:rPr>
          <w:lang w:val="fr-FR"/>
        </w:rPr>
        <w:t>la trésorerie</w:t>
      </w:r>
      <w:r w:rsidR="00B61869" w:rsidRPr="001B3715">
        <w:rPr>
          <w:lang w:val="fr-FR"/>
        </w:rPr>
        <w:t xml:space="preserve"> large</w:t>
      </w:r>
      <w:r w:rsidR="00250CC1" w:rsidRPr="001B3715">
        <w:rPr>
          <w:lang w:val="fr-FR"/>
        </w:rPr>
        <w:t>ment fondée sur les dépôts auprès des autorités fédérales suisses</w:t>
      </w:r>
      <w:r w:rsidR="00B61869" w:rsidRPr="001B3715">
        <w:rPr>
          <w:lang w:val="fr-FR"/>
        </w:rPr>
        <w:t xml:space="preserve">, </w:t>
      </w:r>
      <w:r w:rsidR="007F64C9" w:rsidRPr="001B3715">
        <w:rPr>
          <w:lang w:val="fr-FR"/>
        </w:rPr>
        <w:t>solution</w:t>
      </w:r>
      <w:r w:rsidR="00B61869" w:rsidRPr="001B3715">
        <w:rPr>
          <w:lang w:val="fr-FR"/>
        </w:rPr>
        <w:t xml:space="preserve"> </w:t>
      </w:r>
      <w:r w:rsidR="00250CC1" w:rsidRPr="001B3715">
        <w:rPr>
          <w:lang w:val="fr-FR"/>
        </w:rPr>
        <w:t>qui a bien répondu aux intérêts de l</w:t>
      </w:r>
      <w:r w:rsidR="00502D05" w:rsidRPr="001B3715">
        <w:rPr>
          <w:lang w:val="fr-FR"/>
        </w:rPr>
        <w:t>’</w:t>
      </w:r>
      <w:r w:rsidR="00B61869" w:rsidRPr="001B3715">
        <w:rPr>
          <w:lang w:val="fr-FR"/>
        </w:rPr>
        <w:t>Organi</w:t>
      </w:r>
      <w:r w:rsidR="00250CC1" w:rsidRPr="001B3715">
        <w:rPr>
          <w:lang w:val="fr-FR"/>
        </w:rPr>
        <w:t>s</w:t>
      </w:r>
      <w:r w:rsidR="00B61869" w:rsidRPr="001B3715">
        <w:rPr>
          <w:lang w:val="fr-FR"/>
        </w:rPr>
        <w:t xml:space="preserve">ation </w:t>
      </w:r>
      <w:r w:rsidR="00250CC1" w:rsidRPr="001B3715">
        <w:rPr>
          <w:lang w:val="fr-FR"/>
        </w:rPr>
        <w:t>et pour l</w:t>
      </w:r>
      <w:r w:rsidR="00F50FE4" w:rsidRPr="001B3715">
        <w:rPr>
          <w:lang w:val="fr-FR"/>
        </w:rPr>
        <w:t>a</w:t>
      </w:r>
      <w:r w:rsidR="00250CC1" w:rsidRPr="001B3715">
        <w:rPr>
          <w:lang w:val="fr-FR"/>
        </w:rPr>
        <w:t>quel</w:t>
      </w:r>
      <w:r w:rsidR="00F50FE4" w:rsidRPr="001B3715">
        <w:rPr>
          <w:lang w:val="fr-FR"/>
        </w:rPr>
        <w:t>le</w:t>
      </w:r>
      <w:r w:rsidR="00250CC1" w:rsidRPr="001B3715">
        <w:rPr>
          <w:lang w:val="fr-FR"/>
        </w:rPr>
        <w:t xml:space="preserve"> </w:t>
      </w:r>
      <w:r w:rsidR="007F64C9" w:rsidRPr="001B3715">
        <w:rPr>
          <w:lang w:val="fr-FR"/>
        </w:rPr>
        <w:t>cette dernière</w:t>
      </w:r>
      <w:r w:rsidR="00B61869" w:rsidRPr="001B3715">
        <w:rPr>
          <w:lang w:val="fr-FR"/>
        </w:rPr>
        <w:t xml:space="preserve"> </w:t>
      </w:r>
      <w:r w:rsidR="00250CC1" w:rsidRPr="001B3715">
        <w:rPr>
          <w:lang w:val="fr-FR"/>
        </w:rPr>
        <w:t>est reconnaissante envers les autorités helvétiques</w:t>
      </w:r>
      <w:r w:rsidR="00B61869" w:rsidRPr="001B3715">
        <w:rPr>
          <w:lang w:val="fr-FR"/>
        </w:rPr>
        <w:t xml:space="preserve">, </w:t>
      </w:r>
      <w:r w:rsidR="00250CC1" w:rsidRPr="001B3715">
        <w:rPr>
          <w:lang w:val="fr-FR"/>
        </w:rPr>
        <w:t>à une gestion conform</w:t>
      </w:r>
      <w:r w:rsidR="00A35BBB" w:rsidRPr="001B3715">
        <w:rPr>
          <w:lang w:val="fr-FR"/>
        </w:rPr>
        <w:t>e</w:t>
      </w:r>
      <w:r w:rsidR="00250CC1" w:rsidRPr="001B3715">
        <w:rPr>
          <w:lang w:val="fr-FR"/>
        </w:rPr>
        <w:t xml:space="preserve"> à la politique </w:t>
      </w:r>
      <w:r w:rsidR="00E84959" w:rsidRPr="001B3715">
        <w:rPr>
          <w:lang w:val="fr-FR"/>
        </w:rPr>
        <w:t>d</w:t>
      </w:r>
      <w:r w:rsidR="00250CC1" w:rsidRPr="001B3715">
        <w:rPr>
          <w:lang w:val="fr-FR"/>
        </w:rPr>
        <w:t xml:space="preserve">e </w:t>
      </w:r>
      <w:r w:rsidR="00E84959" w:rsidRPr="001B3715">
        <w:rPr>
          <w:lang w:val="fr-FR"/>
        </w:rPr>
        <w:t>pl</w:t>
      </w:r>
      <w:r w:rsidR="00250CC1" w:rsidRPr="001B3715">
        <w:rPr>
          <w:lang w:val="fr-FR"/>
        </w:rPr>
        <w:t>a</w:t>
      </w:r>
      <w:r w:rsidR="00E84959" w:rsidRPr="001B3715">
        <w:rPr>
          <w:lang w:val="fr-FR"/>
        </w:rPr>
        <w:t>c</w:t>
      </w:r>
      <w:r w:rsidR="00B61869" w:rsidRPr="001B3715">
        <w:rPr>
          <w:lang w:val="fr-FR"/>
        </w:rPr>
        <w:t>ement appro</w:t>
      </w:r>
      <w:r w:rsidR="00250CC1" w:rsidRPr="001B3715">
        <w:rPr>
          <w:lang w:val="fr-FR"/>
        </w:rPr>
        <w:t>uvée par les États m</w:t>
      </w:r>
      <w:r w:rsidR="00B61869" w:rsidRPr="001B3715">
        <w:rPr>
          <w:lang w:val="fr-FR"/>
        </w:rPr>
        <w:t>embr</w:t>
      </w:r>
      <w:r w:rsidR="001B3715" w:rsidRPr="001B3715">
        <w:rPr>
          <w:lang w:val="fr-FR"/>
        </w:rPr>
        <w:t>es.  Ce</w:t>
      </w:r>
      <w:r w:rsidR="00250CC1" w:rsidRPr="001B3715">
        <w:rPr>
          <w:lang w:val="fr-FR"/>
        </w:rPr>
        <w:t>tte</w:t>
      </w:r>
      <w:r w:rsidR="00B61869" w:rsidRPr="001B3715">
        <w:rPr>
          <w:lang w:val="fr-FR"/>
        </w:rPr>
        <w:t xml:space="preserve"> transition </w:t>
      </w:r>
      <w:r w:rsidR="00250CC1" w:rsidRPr="001B3715">
        <w:rPr>
          <w:lang w:val="fr-FR"/>
        </w:rPr>
        <w:t>est en cou</w:t>
      </w:r>
      <w:r w:rsidR="001B3715" w:rsidRPr="001B3715">
        <w:rPr>
          <w:lang w:val="fr-FR"/>
        </w:rPr>
        <w:t>rs.  Da</w:t>
      </w:r>
      <w:r w:rsidR="00F50FE4" w:rsidRPr="001B3715">
        <w:rPr>
          <w:lang w:val="fr-FR"/>
        </w:rPr>
        <w:t xml:space="preserve">ns la nouvelle </w:t>
      </w:r>
      <w:r w:rsidR="00B61869" w:rsidRPr="001B3715">
        <w:rPr>
          <w:lang w:val="fr-FR"/>
        </w:rPr>
        <w:t>situation</w:t>
      </w:r>
      <w:r w:rsidR="00F50FE4" w:rsidRPr="001B3715">
        <w:rPr>
          <w:lang w:val="fr-FR"/>
        </w:rPr>
        <w:t>,</w:t>
      </w:r>
      <w:r w:rsidR="00250CC1" w:rsidRPr="001B3715">
        <w:rPr>
          <w:lang w:val="fr-FR"/>
        </w:rPr>
        <w:t xml:space="preserve"> les ré</w:t>
      </w:r>
      <w:r w:rsidR="00B61869" w:rsidRPr="001B3715">
        <w:rPr>
          <w:lang w:val="fr-FR"/>
        </w:rPr>
        <w:t xml:space="preserve">serves </w:t>
      </w:r>
      <w:r w:rsidR="00250CC1" w:rsidRPr="001B3715">
        <w:rPr>
          <w:lang w:val="fr-FR"/>
        </w:rPr>
        <w:t>et l</w:t>
      </w:r>
      <w:r w:rsidR="00B61869" w:rsidRPr="001B3715">
        <w:rPr>
          <w:lang w:val="fr-FR"/>
        </w:rPr>
        <w:t>a</w:t>
      </w:r>
      <w:r w:rsidR="00250CC1" w:rsidRPr="001B3715">
        <w:rPr>
          <w:lang w:val="fr-FR"/>
        </w:rPr>
        <w:t xml:space="preserve"> </w:t>
      </w:r>
      <w:r w:rsidR="00B61869" w:rsidRPr="001B3715">
        <w:rPr>
          <w:lang w:val="fr-FR"/>
        </w:rPr>
        <w:t>tr</w:t>
      </w:r>
      <w:r w:rsidR="00250CC1" w:rsidRPr="001B3715">
        <w:rPr>
          <w:lang w:val="fr-FR"/>
        </w:rPr>
        <w:t xml:space="preserve">ésorerie seront plus directement </w:t>
      </w:r>
      <w:r w:rsidR="00B61869" w:rsidRPr="001B3715">
        <w:rPr>
          <w:lang w:val="fr-FR"/>
        </w:rPr>
        <w:t>expos</w:t>
      </w:r>
      <w:r w:rsidR="00250CC1" w:rsidRPr="001B3715">
        <w:rPr>
          <w:lang w:val="fr-FR"/>
        </w:rPr>
        <w:t>ées aux forces du marché</w:t>
      </w:r>
      <w:r w:rsidR="00B61869" w:rsidRPr="001B3715">
        <w:rPr>
          <w:lang w:val="fr-FR"/>
        </w:rPr>
        <w:t xml:space="preserve"> </w:t>
      </w:r>
      <w:r w:rsidR="00250CC1" w:rsidRPr="001B3715">
        <w:rPr>
          <w:lang w:val="fr-FR"/>
        </w:rPr>
        <w:t>et</w:t>
      </w:r>
      <w:r w:rsidR="00F50FE4" w:rsidRPr="001B3715">
        <w:rPr>
          <w:lang w:val="fr-FR"/>
        </w:rPr>
        <w:t xml:space="preserve"> donc</w:t>
      </w:r>
      <w:r w:rsidR="00250CC1" w:rsidRPr="001B3715">
        <w:rPr>
          <w:lang w:val="fr-FR"/>
        </w:rPr>
        <w:t xml:space="preserve"> plus </w:t>
      </w:r>
      <w:r w:rsidR="00F50FE4" w:rsidRPr="001B3715">
        <w:rPr>
          <w:lang w:val="fr-FR"/>
        </w:rPr>
        <w:t>vulnérables aux</w:t>
      </w:r>
      <w:r w:rsidR="00B61869" w:rsidRPr="001B3715">
        <w:rPr>
          <w:lang w:val="fr-FR"/>
        </w:rPr>
        <w:t xml:space="preserve"> fluctuations</w:t>
      </w:r>
      <w:r w:rsidR="00250CC1" w:rsidRPr="001B3715">
        <w:rPr>
          <w:lang w:val="fr-FR"/>
        </w:rPr>
        <w:t xml:space="preserve"> </w:t>
      </w:r>
      <w:r w:rsidR="00F50FE4" w:rsidRPr="001B3715">
        <w:rPr>
          <w:lang w:val="fr-FR"/>
        </w:rPr>
        <w:t>à court terme</w:t>
      </w:r>
      <w:r w:rsidR="00B61869" w:rsidRPr="001B3715">
        <w:rPr>
          <w:lang w:val="fr-FR"/>
        </w:rPr>
        <w:t>.</w:t>
      </w:r>
    </w:p>
    <w:p w14:paraId="2C742DEE" w14:textId="77777777" w:rsidR="00AF5C64" w:rsidRPr="001B3715" w:rsidRDefault="00E84959" w:rsidP="00137CB3">
      <w:pPr>
        <w:pStyle w:val="Heading3"/>
        <w:rPr>
          <w:lang w:val="fr-FR"/>
        </w:rPr>
      </w:pPr>
      <w:r w:rsidRPr="001B3715">
        <w:rPr>
          <w:lang w:val="fr-FR"/>
        </w:rPr>
        <w:t>Systèmes mondiaux de propriété intellectuelle</w:t>
      </w:r>
    </w:p>
    <w:p w14:paraId="08151B61" w14:textId="77777777" w:rsidR="00137CB3" w:rsidRPr="001B3715" w:rsidRDefault="00137CB3" w:rsidP="00137CB3">
      <w:pPr>
        <w:rPr>
          <w:lang w:val="fr-FR"/>
        </w:rPr>
      </w:pPr>
    </w:p>
    <w:p w14:paraId="27D1649A" w14:textId="6FD3455D" w:rsidR="00347C95" w:rsidRPr="001B3715" w:rsidRDefault="00E84959" w:rsidP="00137CB3">
      <w:pPr>
        <w:pStyle w:val="ONUMFS"/>
        <w:rPr>
          <w:lang w:val="fr-FR"/>
        </w:rPr>
      </w:pPr>
      <w:r w:rsidRPr="001B3715">
        <w:rPr>
          <w:lang w:val="fr-FR"/>
        </w:rPr>
        <w:t xml:space="preserve">Les systèmes mondiaux de propriété intellectuelle </w:t>
      </w:r>
      <w:r w:rsidR="00FC58D9" w:rsidRPr="001B3715">
        <w:rPr>
          <w:lang w:val="fr-FR"/>
        </w:rPr>
        <w:t>re</w:t>
      </w:r>
      <w:r w:rsidRPr="001B3715">
        <w:rPr>
          <w:lang w:val="fr-FR"/>
        </w:rPr>
        <w:t>stent au cœur du programme, des services et des finances de</w:t>
      </w:r>
      <w:r w:rsidR="00FC58D9" w:rsidRPr="001B3715">
        <w:rPr>
          <w:lang w:val="fr-FR"/>
        </w:rPr>
        <w:t xml:space="preserve"> </w:t>
      </w:r>
      <w:r w:rsidRPr="001B3715">
        <w:rPr>
          <w:lang w:val="fr-FR"/>
        </w:rPr>
        <w:t>l</w:t>
      </w:r>
      <w:r w:rsidR="00502D05" w:rsidRPr="001B3715">
        <w:rPr>
          <w:lang w:val="fr-FR"/>
        </w:rPr>
        <w:t>’</w:t>
      </w:r>
      <w:r w:rsidRPr="001B3715">
        <w:rPr>
          <w:lang w:val="fr-FR"/>
        </w:rPr>
        <w:t>O</w:t>
      </w:r>
      <w:r w:rsidR="001B3715" w:rsidRPr="001B3715">
        <w:rPr>
          <w:lang w:val="fr-FR"/>
        </w:rPr>
        <w:t>MPI.  Il</w:t>
      </w:r>
      <w:r w:rsidR="005C03B4" w:rsidRPr="001B3715">
        <w:rPr>
          <w:lang w:val="fr-FR"/>
        </w:rPr>
        <w:t>s</w:t>
      </w:r>
      <w:r w:rsidR="00FC58D9" w:rsidRPr="001B3715">
        <w:rPr>
          <w:lang w:val="fr-FR"/>
        </w:rPr>
        <w:t xml:space="preserve"> constitue</w:t>
      </w:r>
      <w:r w:rsidR="005C03B4" w:rsidRPr="001B3715">
        <w:rPr>
          <w:lang w:val="fr-FR"/>
        </w:rPr>
        <w:t>nt la plus importante source de recettes d</w:t>
      </w:r>
      <w:r w:rsidR="00FC58D9" w:rsidRPr="001B3715">
        <w:rPr>
          <w:lang w:val="fr-FR"/>
        </w:rPr>
        <w:t xml:space="preserve">e </w:t>
      </w:r>
      <w:r w:rsidR="005C03B4" w:rsidRPr="001B3715">
        <w:rPr>
          <w:lang w:val="fr-FR"/>
        </w:rPr>
        <w:t>l</w:t>
      </w:r>
      <w:r w:rsidR="00502D05" w:rsidRPr="001B3715">
        <w:rPr>
          <w:lang w:val="fr-FR"/>
        </w:rPr>
        <w:t>’</w:t>
      </w:r>
      <w:r w:rsidR="00FC58D9" w:rsidRPr="001B3715">
        <w:rPr>
          <w:lang w:val="fr-FR"/>
        </w:rPr>
        <w:t>Organi</w:t>
      </w:r>
      <w:r w:rsidR="005C03B4" w:rsidRPr="001B3715">
        <w:rPr>
          <w:lang w:val="fr-FR"/>
        </w:rPr>
        <w:t>s</w:t>
      </w:r>
      <w:r w:rsidR="00FC58D9" w:rsidRPr="001B3715">
        <w:rPr>
          <w:lang w:val="fr-FR"/>
        </w:rPr>
        <w:t xml:space="preserve">ation </w:t>
      </w:r>
      <w:r w:rsidR="005C03B4" w:rsidRPr="001B3715">
        <w:rPr>
          <w:lang w:val="fr-FR"/>
        </w:rPr>
        <w:t xml:space="preserve">et </w:t>
      </w:r>
      <w:r w:rsidR="00A35BBB" w:rsidRPr="001B3715">
        <w:rPr>
          <w:lang w:val="fr-FR"/>
        </w:rPr>
        <w:t xml:space="preserve">sont également </w:t>
      </w:r>
      <w:r w:rsidR="005C03B4" w:rsidRPr="001B3715">
        <w:rPr>
          <w:lang w:val="fr-FR"/>
        </w:rPr>
        <w:t xml:space="preserve">des </w:t>
      </w:r>
      <w:r w:rsidR="00FC58D9" w:rsidRPr="001B3715">
        <w:rPr>
          <w:lang w:val="fr-FR"/>
        </w:rPr>
        <w:t>ex</w:t>
      </w:r>
      <w:r w:rsidR="005C03B4" w:rsidRPr="001B3715">
        <w:rPr>
          <w:lang w:val="fr-FR"/>
        </w:rPr>
        <w:t>e</w:t>
      </w:r>
      <w:r w:rsidR="00FC58D9" w:rsidRPr="001B3715">
        <w:rPr>
          <w:lang w:val="fr-FR"/>
        </w:rPr>
        <w:t xml:space="preserve">mples </w:t>
      </w:r>
      <w:r w:rsidR="005C03B4" w:rsidRPr="001B3715">
        <w:rPr>
          <w:lang w:val="fr-FR"/>
        </w:rPr>
        <w:t>réussis de coopération</w:t>
      </w:r>
      <w:r w:rsidR="00FC58D9" w:rsidRPr="001B3715">
        <w:rPr>
          <w:lang w:val="fr-FR"/>
        </w:rPr>
        <w:t xml:space="preserve"> international</w:t>
      </w:r>
      <w:r w:rsidR="005C03B4" w:rsidRPr="001B3715">
        <w:rPr>
          <w:lang w:val="fr-FR"/>
        </w:rPr>
        <w:t>e</w:t>
      </w:r>
      <w:r w:rsidR="00FC58D9" w:rsidRPr="001B3715">
        <w:rPr>
          <w:lang w:val="fr-FR"/>
        </w:rPr>
        <w:t xml:space="preserve">, </w:t>
      </w:r>
      <w:r w:rsidR="005C03B4" w:rsidRPr="001B3715">
        <w:rPr>
          <w:lang w:val="fr-FR"/>
        </w:rPr>
        <w:t xml:space="preserve">compte tenu de </w:t>
      </w:r>
      <w:r w:rsidR="00A35BBB" w:rsidRPr="001B3715">
        <w:rPr>
          <w:lang w:val="fr-FR"/>
        </w:rPr>
        <w:t xml:space="preserve">la </w:t>
      </w:r>
      <w:r w:rsidR="005C03B4" w:rsidRPr="001B3715">
        <w:rPr>
          <w:lang w:val="fr-FR"/>
        </w:rPr>
        <w:t xml:space="preserve">participation </w:t>
      </w:r>
      <w:r w:rsidR="00A35BBB" w:rsidRPr="001B3715">
        <w:rPr>
          <w:lang w:val="fr-FR"/>
        </w:rPr>
        <w:t xml:space="preserve">accrue </w:t>
      </w:r>
      <w:r w:rsidR="005C03B4" w:rsidRPr="001B3715">
        <w:rPr>
          <w:lang w:val="fr-FR"/>
        </w:rPr>
        <w:t>des États membres et du nombre croissant d</w:t>
      </w:r>
      <w:r w:rsidR="00502D05" w:rsidRPr="001B3715">
        <w:rPr>
          <w:lang w:val="fr-FR"/>
        </w:rPr>
        <w:t>’</w:t>
      </w:r>
      <w:r w:rsidR="005C03B4" w:rsidRPr="001B3715">
        <w:rPr>
          <w:lang w:val="fr-FR"/>
        </w:rPr>
        <w:t>utilisateu</w:t>
      </w:r>
      <w:r w:rsidR="001B3715" w:rsidRPr="001B3715">
        <w:rPr>
          <w:lang w:val="fr-FR"/>
        </w:rPr>
        <w:t>rs.  Au</w:t>
      </w:r>
      <w:r w:rsidR="00F50FE4" w:rsidRPr="001B3715">
        <w:rPr>
          <w:lang w:val="fr-FR"/>
        </w:rPr>
        <w:t> </w:t>
      </w:r>
      <w:r w:rsidR="00720C46" w:rsidRPr="001B3715">
        <w:rPr>
          <w:lang w:val="fr-FR"/>
        </w:rPr>
        <w:t>gré de l</w:t>
      </w:r>
      <w:r w:rsidR="00502D05" w:rsidRPr="001B3715">
        <w:rPr>
          <w:lang w:val="fr-FR"/>
        </w:rPr>
        <w:t>’</w:t>
      </w:r>
      <w:r w:rsidR="00720C46" w:rsidRPr="001B3715">
        <w:rPr>
          <w:lang w:val="fr-FR"/>
        </w:rPr>
        <w:t>accroissement du nombre de membres et d</w:t>
      </w:r>
      <w:r w:rsidR="00502D05" w:rsidRPr="001B3715">
        <w:rPr>
          <w:lang w:val="fr-FR"/>
        </w:rPr>
        <w:t>’</w:t>
      </w:r>
      <w:r w:rsidR="00720C46" w:rsidRPr="001B3715">
        <w:rPr>
          <w:lang w:val="fr-FR"/>
        </w:rPr>
        <w:t>utilisateurs des systèmes</w:t>
      </w:r>
      <w:r w:rsidR="00FC58D9" w:rsidRPr="001B3715">
        <w:rPr>
          <w:lang w:val="fr-FR"/>
        </w:rPr>
        <w:t xml:space="preserve">, </w:t>
      </w:r>
      <w:r w:rsidR="00720C46" w:rsidRPr="001B3715">
        <w:rPr>
          <w:lang w:val="fr-FR"/>
        </w:rPr>
        <w:t>l</w:t>
      </w:r>
      <w:r w:rsidR="00502D05" w:rsidRPr="001B3715">
        <w:rPr>
          <w:lang w:val="fr-FR"/>
        </w:rPr>
        <w:t>’</w:t>
      </w:r>
      <w:r w:rsidR="00FC58D9" w:rsidRPr="001B3715">
        <w:rPr>
          <w:lang w:val="fr-FR"/>
        </w:rPr>
        <w:t>Organi</w:t>
      </w:r>
      <w:r w:rsidR="00720C46" w:rsidRPr="001B3715">
        <w:rPr>
          <w:lang w:val="fr-FR"/>
        </w:rPr>
        <w:t>s</w:t>
      </w:r>
      <w:r w:rsidR="00FC58D9" w:rsidRPr="001B3715">
        <w:rPr>
          <w:lang w:val="fr-FR"/>
        </w:rPr>
        <w:t xml:space="preserve">ation </w:t>
      </w:r>
      <w:r w:rsidR="00720C46" w:rsidRPr="001B3715">
        <w:rPr>
          <w:lang w:val="fr-FR"/>
        </w:rPr>
        <w:t>se rapproche</w:t>
      </w:r>
      <w:r w:rsidR="00F50FE4" w:rsidRPr="001B3715">
        <w:rPr>
          <w:lang w:val="fr-FR"/>
        </w:rPr>
        <w:t xml:space="preserve"> </w:t>
      </w:r>
      <w:r w:rsidR="00720C46" w:rsidRPr="001B3715">
        <w:rPr>
          <w:lang w:val="fr-FR"/>
        </w:rPr>
        <w:t>r</w:t>
      </w:r>
      <w:r w:rsidR="00F50FE4" w:rsidRPr="001B3715">
        <w:rPr>
          <w:lang w:val="fr-FR"/>
        </w:rPr>
        <w:t>ésolument</w:t>
      </w:r>
      <w:r w:rsidR="00720C46" w:rsidRPr="001B3715">
        <w:rPr>
          <w:lang w:val="fr-FR"/>
        </w:rPr>
        <w:t xml:space="preserve"> de son objectif stratégique consistant à donner une dimension </w:t>
      </w:r>
      <w:r w:rsidR="00F50FE4" w:rsidRPr="001B3715">
        <w:rPr>
          <w:lang w:val="fr-FR"/>
        </w:rPr>
        <w:t>r</w:t>
      </w:r>
      <w:r w:rsidR="00720C46" w:rsidRPr="001B3715">
        <w:rPr>
          <w:lang w:val="fr-FR"/>
        </w:rPr>
        <w:t>é</w:t>
      </w:r>
      <w:r w:rsidR="00F50FE4" w:rsidRPr="001B3715">
        <w:rPr>
          <w:lang w:val="fr-FR"/>
        </w:rPr>
        <w:t xml:space="preserve">ellement mondiale </w:t>
      </w:r>
      <w:r w:rsidR="00A35BBB" w:rsidRPr="001B3715">
        <w:rPr>
          <w:lang w:val="fr-FR"/>
        </w:rPr>
        <w:t>à ces</w:t>
      </w:r>
      <w:r w:rsidR="00F50FE4" w:rsidRPr="001B3715">
        <w:rPr>
          <w:lang w:val="fr-FR"/>
        </w:rPr>
        <w:t xml:space="preserve"> systèmes</w:t>
      </w:r>
      <w:r w:rsidR="00FC58D9" w:rsidRPr="001B3715">
        <w:rPr>
          <w:lang w:val="fr-FR"/>
        </w:rPr>
        <w:t>.</w:t>
      </w:r>
    </w:p>
    <w:p w14:paraId="44B3CBE8" w14:textId="5B111444" w:rsidR="00FC58D9" w:rsidRPr="001B3715" w:rsidRDefault="00641C22" w:rsidP="00137CB3">
      <w:pPr>
        <w:pStyle w:val="ONUMFS"/>
        <w:rPr>
          <w:lang w:val="fr-FR"/>
        </w:rPr>
      </w:pPr>
      <w:r w:rsidRPr="001B3715">
        <w:rPr>
          <w:b/>
          <w:lang w:val="fr-FR"/>
        </w:rPr>
        <w:t>Système</w:t>
      </w:r>
      <w:r w:rsidR="00502D05" w:rsidRPr="001B3715">
        <w:rPr>
          <w:b/>
          <w:lang w:val="fr-FR"/>
        </w:rPr>
        <w:t xml:space="preserve"> du </w:t>
      </w:r>
      <w:r w:rsidR="001B3715" w:rsidRPr="001B3715">
        <w:rPr>
          <w:b/>
          <w:lang w:val="fr-FR"/>
        </w:rPr>
        <w:t xml:space="preserve">PCT.  </w:t>
      </w:r>
      <w:r w:rsidR="001B3715" w:rsidRPr="001B3715">
        <w:rPr>
          <w:lang w:val="fr-FR"/>
        </w:rPr>
        <w:t>Pe</w:t>
      </w:r>
      <w:r w:rsidRPr="001B3715">
        <w:rPr>
          <w:lang w:val="fr-FR"/>
        </w:rPr>
        <w:t>ndant</w:t>
      </w:r>
      <w:r w:rsidR="00720C46" w:rsidRPr="001B3715">
        <w:rPr>
          <w:lang w:val="fr-FR"/>
        </w:rPr>
        <w:t xml:space="preserve"> l</w:t>
      </w:r>
      <w:r w:rsidR="00502D05" w:rsidRPr="001B3715">
        <w:rPr>
          <w:lang w:val="fr-FR"/>
        </w:rPr>
        <w:t>’</w:t>
      </w:r>
      <w:r w:rsidR="00720C46" w:rsidRPr="001B3715">
        <w:rPr>
          <w:lang w:val="fr-FR"/>
        </w:rPr>
        <w:t>année écoulée</w:t>
      </w:r>
      <w:r w:rsidR="00FC58D9" w:rsidRPr="001B3715">
        <w:rPr>
          <w:lang w:val="fr-FR"/>
        </w:rPr>
        <w:t xml:space="preserve">, </w:t>
      </w:r>
      <w:r w:rsidR="00720C46" w:rsidRPr="001B3715">
        <w:rPr>
          <w:lang w:val="fr-FR"/>
        </w:rPr>
        <w:t>l</w:t>
      </w:r>
      <w:r w:rsidR="00FC58D9" w:rsidRPr="001B3715">
        <w:rPr>
          <w:lang w:val="fr-FR"/>
        </w:rPr>
        <w:t>e n</w:t>
      </w:r>
      <w:r w:rsidR="00720C46" w:rsidRPr="001B3715">
        <w:rPr>
          <w:lang w:val="fr-FR"/>
        </w:rPr>
        <w:t>o</w:t>
      </w:r>
      <w:r w:rsidR="00FC58D9" w:rsidRPr="001B3715">
        <w:rPr>
          <w:lang w:val="fr-FR"/>
        </w:rPr>
        <w:t>mbr</w:t>
      </w:r>
      <w:r w:rsidR="00720C46" w:rsidRPr="001B3715">
        <w:rPr>
          <w:lang w:val="fr-FR"/>
        </w:rPr>
        <w:t>e</w:t>
      </w:r>
      <w:r w:rsidR="00FC58D9" w:rsidRPr="001B3715">
        <w:rPr>
          <w:lang w:val="fr-FR"/>
        </w:rPr>
        <w:t xml:space="preserve"> </w:t>
      </w:r>
      <w:r w:rsidR="00A63D39" w:rsidRPr="001B3715">
        <w:rPr>
          <w:lang w:val="fr-FR"/>
        </w:rPr>
        <w:t>de parties</w:t>
      </w:r>
      <w:r w:rsidR="00A2328F" w:rsidRPr="001B3715">
        <w:rPr>
          <w:lang w:val="fr-FR"/>
        </w:rPr>
        <w:t xml:space="preserve"> contractant</w:t>
      </w:r>
      <w:r w:rsidR="00A63D39" w:rsidRPr="001B3715">
        <w:rPr>
          <w:lang w:val="fr-FR"/>
        </w:rPr>
        <w:t>e</w:t>
      </w:r>
      <w:r w:rsidRPr="001B3715">
        <w:rPr>
          <w:lang w:val="fr-FR"/>
        </w:rPr>
        <w:t>s du Traité de coopération en matière de brevets (</w:t>
      </w:r>
      <w:r w:rsidR="00347C95" w:rsidRPr="001B3715">
        <w:rPr>
          <w:lang w:val="fr-FR"/>
        </w:rPr>
        <w:t>PCT</w:t>
      </w:r>
      <w:r w:rsidRPr="001B3715">
        <w:rPr>
          <w:lang w:val="fr-FR"/>
        </w:rPr>
        <w:t>)</w:t>
      </w:r>
      <w:r w:rsidR="00FC58D9" w:rsidRPr="001B3715">
        <w:rPr>
          <w:lang w:val="fr-FR"/>
        </w:rPr>
        <w:t xml:space="preserve"> </w:t>
      </w:r>
      <w:r w:rsidR="00623338" w:rsidRPr="001B3715">
        <w:rPr>
          <w:lang w:val="fr-FR"/>
        </w:rPr>
        <w:t>a franchi le cap des</w:t>
      </w:r>
      <w:r w:rsidR="00F50FE4" w:rsidRPr="001B3715">
        <w:rPr>
          <w:lang w:val="fr-FR"/>
        </w:rPr>
        <w:t> </w:t>
      </w:r>
      <w:r w:rsidR="00FC58D9" w:rsidRPr="001B3715">
        <w:rPr>
          <w:lang w:val="fr-FR"/>
        </w:rPr>
        <w:t xml:space="preserve">150, </w:t>
      </w:r>
      <w:r w:rsidR="00623338" w:rsidRPr="001B3715">
        <w:rPr>
          <w:lang w:val="fr-FR"/>
        </w:rPr>
        <w:t>les</w:t>
      </w:r>
      <w:r w:rsidR="00FC58D9" w:rsidRPr="001B3715">
        <w:rPr>
          <w:lang w:val="fr-FR"/>
        </w:rPr>
        <w:t xml:space="preserve"> a</w:t>
      </w:r>
      <w:r w:rsidR="00623338" w:rsidRPr="001B3715">
        <w:rPr>
          <w:lang w:val="fr-FR"/>
        </w:rPr>
        <w:t>dhé</w:t>
      </w:r>
      <w:r w:rsidR="00FC58D9" w:rsidRPr="001B3715">
        <w:rPr>
          <w:lang w:val="fr-FR"/>
        </w:rPr>
        <w:t xml:space="preserve">sions </w:t>
      </w:r>
      <w:r w:rsidR="00623338" w:rsidRPr="001B3715">
        <w:rPr>
          <w:lang w:val="fr-FR"/>
        </w:rPr>
        <w:t>de</w:t>
      </w:r>
      <w:r w:rsidR="00FC58D9" w:rsidRPr="001B3715">
        <w:rPr>
          <w:lang w:val="fr-FR"/>
        </w:rPr>
        <w:t xml:space="preserve"> Djibouti, </w:t>
      </w:r>
      <w:r w:rsidR="00623338" w:rsidRPr="001B3715">
        <w:rPr>
          <w:lang w:val="fr-FR"/>
        </w:rPr>
        <w:t xml:space="preserve">du </w:t>
      </w:r>
      <w:r w:rsidR="00FC58D9" w:rsidRPr="001B3715">
        <w:rPr>
          <w:lang w:val="fr-FR"/>
        </w:rPr>
        <w:t>K</w:t>
      </w:r>
      <w:r w:rsidR="00623338" w:rsidRPr="001B3715">
        <w:rPr>
          <w:lang w:val="fr-FR"/>
        </w:rPr>
        <w:t>o</w:t>
      </w:r>
      <w:r w:rsidR="00FC58D9" w:rsidRPr="001B3715">
        <w:rPr>
          <w:lang w:val="fr-FR"/>
        </w:rPr>
        <w:t>w</w:t>
      </w:r>
      <w:r w:rsidR="00623338" w:rsidRPr="001B3715">
        <w:rPr>
          <w:lang w:val="fr-FR"/>
        </w:rPr>
        <w:t>eï</w:t>
      </w:r>
      <w:r w:rsidR="00FC58D9" w:rsidRPr="001B3715">
        <w:rPr>
          <w:lang w:val="fr-FR"/>
        </w:rPr>
        <w:t xml:space="preserve">t </w:t>
      </w:r>
      <w:r w:rsidR="00623338" w:rsidRPr="001B3715">
        <w:rPr>
          <w:lang w:val="fr-FR"/>
        </w:rPr>
        <w:t xml:space="preserve">et </w:t>
      </w:r>
      <w:r w:rsidR="00FC58D9" w:rsidRPr="001B3715">
        <w:rPr>
          <w:lang w:val="fr-FR"/>
        </w:rPr>
        <w:t>d</w:t>
      </w:r>
      <w:r w:rsidR="00623338" w:rsidRPr="001B3715">
        <w:rPr>
          <w:lang w:val="fr-FR"/>
        </w:rPr>
        <w:t>u</w:t>
      </w:r>
      <w:r w:rsidR="00FC58D9" w:rsidRPr="001B3715">
        <w:rPr>
          <w:lang w:val="fr-FR"/>
        </w:rPr>
        <w:t xml:space="preserve"> Cambod</w:t>
      </w:r>
      <w:r w:rsidR="00623338" w:rsidRPr="001B3715">
        <w:rPr>
          <w:lang w:val="fr-FR"/>
        </w:rPr>
        <w:t>ge</w:t>
      </w:r>
      <w:r w:rsidR="00FC58D9" w:rsidRPr="001B3715">
        <w:rPr>
          <w:lang w:val="fr-FR"/>
        </w:rPr>
        <w:t xml:space="preserve"> </w:t>
      </w:r>
      <w:r w:rsidR="00A35BBB" w:rsidRPr="001B3715">
        <w:rPr>
          <w:lang w:val="fr-FR"/>
        </w:rPr>
        <w:t>ayant porté</w:t>
      </w:r>
      <w:r w:rsidR="00623338" w:rsidRPr="001B3715">
        <w:rPr>
          <w:lang w:val="fr-FR"/>
        </w:rPr>
        <w:t xml:space="preserve"> le nombre de pays membres à</w:t>
      </w:r>
      <w:r w:rsidR="00F50FE4" w:rsidRPr="001B3715">
        <w:rPr>
          <w:lang w:val="fr-FR"/>
        </w:rPr>
        <w:t> </w:t>
      </w:r>
      <w:r w:rsidR="00FC58D9" w:rsidRPr="001B3715">
        <w:rPr>
          <w:lang w:val="fr-FR"/>
        </w:rPr>
        <w:t xml:space="preserve">151.  </w:t>
      </w:r>
      <w:r w:rsidR="00623338" w:rsidRPr="001B3715">
        <w:rPr>
          <w:lang w:val="fr-FR"/>
        </w:rPr>
        <w:t>Avec l</w:t>
      </w:r>
      <w:r w:rsidR="00502D05" w:rsidRPr="001B3715">
        <w:rPr>
          <w:lang w:val="fr-FR"/>
        </w:rPr>
        <w:t>’</w:t>
      </w:r>
      <w:r w:rsidR="00623338" w:rsidRPr="001B3715">
        <w:rPr>
          <w:lang w:val="fr-FR"/>
        </w:rPr>
        <w:t xml:space="preserve">adhésion du </w:t>
      </w:r>
      <w:r w:rsidR="00FC58D9" w:rsidRPr="001B3715">
        <w:rPr>
          <w:lang w:val="fr-FR"/>
        </w:rPr>
        <w:t>K</w:t>
      </w:r>
      <w:r w:rsidR="00623338" w:rsidRPr="001B3715">
        <w:rPr>
          <w:lang w:val="fr-FR"/>
        </w:rPr>
        <w:t>o</w:t>
      </w:r>
      <w:r w:rsidR="00FC58D9" w:rsidRPr="001B3715">
        <w:rPr>
          <w:lang w:val="fr-FR"/>
        </w:rPr>
        <w:t>w</w:t>
      </w:r>
      <w:r w:rsidR="00623338" w:rsidRPr="001B3715">
        <w:rPr>
          <w:lang w:val="fr-FR"/>
        </w:rPr>
        <w:t>eï</w:t>
      </w:r>
      <w:r w:rsidR="00FC58D9" w:rsidRPr="001B3715">
        <w:rPr>
          <w:lang w:val="fr-FR"/>
        </w:rPr>
        <w:t xml:space="preserve">t, </w:t>
      </w:r>
      <w:r w:rsidR="00623338" w:rsidRPr="001B3715">
        <w:rPr>
          <w:lang w:val="fr-FR"/>
        </w:rPr>
        <w:t xml:space="preserve">les </w:t>
      </w:r>
      <w:r w:rsidR="00FC58D9" w:rsidRPr="001B3715">
        <w:rPr>
          <w:lang w:val="fr-FR"/>
        </w:rPr>
        <w:t>six</w:t>
      </w:r>
      <w:r w:rsidR="00F50FE4" w:rsidRPr="001B3715">
        <w:rPr>
          <w:lang w:val="fr-FR"/>
        </w:rPr>
        <w:t> </w:t>
      </w:r>
      <w:r w:rsidR="00623338" w:rsidRPr="001B3715">
        <w:rPr>
          <w:lang w:val="fr-FR"/>
        </w:rPr>
        <w:t>États m</w:t>
      </w:r>
      <w:r w:rsidR="00FC58D9" w:rsidRPr="001B3715">
        <w:rPr>
          <w:lang w:val="fr-FR"/>
        </w:rPr>
        <w:t xml:space="preserve">embres </w:t>
      </w:r>
      <w:r w:rsidR="00623338" w:rsidRPr="001B3715">
        <w:rPr>
          <w:lang w:val="fr-FR"/>
        </w:rPr>
        <w:t>du Conseil de c</w:t>
      </w:r>
      <w:r w:rsidR="00FC58D9" w:rsidRPr="001B3715">
        <w:rPr>
          <w:lang w:val="fr-FR"/>
        </w:rPr>
        <w:t>oop</w:t>
      </w:r>
      <w:r w:rsidR="00623338" w:rsidRPr="001B3715">
        <w:rPr>
          <w:lang w:val="fr-FR"/>
        </w:rPr>
        <w:t>é</w:t>
      </w:r>
      <w:r w:rsidR="00FC58D9" w:rsidRPr="001B3715">
        <w:rPr>
          <w:lang w:val="fr-FR"/>
        </w:rPr>
        <w:t xml:space="preserve">ration </w:t>
      </w:r>
      <w:r w:rsidR="00623338" w:rsidRPr="001B3715">
        <w:rPr>
          <w:lang w:val="fr-FR"/>
        </w:rPr>
        <w:t xml:space="preserve">du Golfe sont désormais </w:t>
      </w:r>
      <w:r w:rsidR="00F50FE4" w:rsidRPr="001B3715">
        <w:rPr>
          <w:lang w:val="fr-FR"/>
        </w:rPr>
        <w:t xml:space="preserve">tous </w:t>
      </w:r>
      <w:r w:rsidR="00623338" w:rsidRPr="001B3715">
        <w:rPr>
          <w:lang w:val="fr-FR"/>
        </w:rPr>
        <w:t>des États contractants</w:t>
      </w:r>
      <w:r w:rsidR="00347C95" w:rsidRPr="001B3715">
        <w:rPr>
          <w:lang w:val="fr-FR"/>
        </w:rPr>
        <w:t xml:space="preserve"> du PCT</w:t>
      </w:r>
      <w:r w:rsidR="00FC58D9" w:rsidRPr="001B3715">
        <w:rPr>
          <w:lang w:val="fr-FR"/>
        </w:rPr>
        <w:t>.</w:t>
      </w:r>
    </w:p>
    <w:p w14:paraId="55BF29BC" w14:textId="6795084A" w:rsidR="00AF5C64" w:rsidRPr="001B3715" w:rsidRDefault="00623338" w:rsidP="00137CB3">
      <w:pPr>
        <w:pStyle w:val="ONUMFS"/>
        <w:rPr>
          <w:lang w:val="fr-FR"/>
        </w:rPr>
      </w:pPr>
      <w:r w:rsidRPr="001B3715">
        <w:rPr>
          <w:lang w:val="fr-FR"/>
        </w:rPr>
        <w:t xml:space="preserve">La croissance des demandes </w:t>
      </w:r>
      <w:r w:rsidR="005472D4" w:rsidRPr="001B3715">
        <w:rPr>
          <w:lang w:val="fr-FR"/>
        </w:rPr>
        <w:t>international</w:t>
      </w:r>
      <w:r w:rsidRPr="001B3715">
        <w:rPr>
          <w:lang w:val="fr-FR"/>
        </w:rPr>
        <w:t>e</w:t>
      </w:r>
      <w:r w:rsidR="005472D4" w:rsidRPr="001B3715">
        <w:rPr>
          <w:lang w:val="fr-FR"/>
        </w:rPr>
        <w:t xml:space="preserve">s </w:t>
      </w:r>
      <w:r w:rsidRPr="001B3715">
        <w:rPr>
          <w:lang w:val="fr-FR"/>
        </w:rPr>
        <w:t>dans le cadre</w:t>
      </w:r>
      <w:r w:rsidR="00347C95" w:rsidRPr="001B3715">
        <w:rPr>
          <w:lang w:val="fr-FR"/>
        </w:rPr>
        <w:t xml:space="preserve"> du PCT</w:t>
      </w:r>
      <w:r w:rsidR="005472D4" w:rsidRPr="001B3715">
        <w:rPr>
          <w:lang w:val="fr-FR"/>
        </w:rPr>
        <w:t xml:space="preserve"> </w:t>
      </w:r>
      <w:r w:rsidRPr="001B3715">
        <w:rPr>
          <w:lang w:val="fr-FR"/>
        </w:rPr>
        <w:t xml:space="preserve">a été de </w:t>
      </w:r>
      <w:r w:rsidR="005472D4" w:rsidRPr="001B3715">
        <w:rPr>
          <w:lang w:val="fr-FR"/>
        </w:rPr>
        <w:t>1</w:t>
      </w:r>
      <w:r w:rsidRPr="001B3715">
        <w:rPr>
          <w:lang w:val="fr-FR"/>
        </w:rPr>
        <w:t>,</w:t>
      </w:r>
      <w:r w:rsidR="005472D4" w:rsidRPr="001B3715">
        <w:rPr>
          <w:lang w:val="fr-FR"/>
        </w:rPr>
        <w:t xml:space="preserve">7% </w:t>
      </w:r>
      <w:r w:rsidRPr="001B3715">
        <w:rPr>
          <w:lang w:val="fr-FR"/>
        </w:rPr>
        <w:t>e</w:t>
      </w:r>
      <w:r w:rsidR="005472D4" w:rsidRPr="001B3715">
        <w:rPr>
          <w:lang w:val="fr-FR"/>
        </w:rPr>
        <w:t>n</w:t>
      </w:r>
      <w:r w:rsidRPr="001B3715">
        <w:rPr>
          <w:lang w:val="fr-FR"/>
        </w:rPr>
        <w:t> </w:t>
      </w:r>
      <w:r w:rsidR="005472D4" w:rsidRPr="001B3715">
        <w:rPr>
          <w:lang w:val="fr-FR"/>
        </w:rPr>
        <w:t xml:space="preserve">2015, </w:t>
      </w:r>
      <w:r w:rsidRPr="001B3715">
        <w:rPr>
          <w:lang w:val="fr-FR"/>
        </w:rPr>
        <w:t>ce qui porte le nombre t</w:t>
      </w:r>
      <w:r w:rsidR="005472D4" w:rsidRPr="001B3715">
        <w:rPr>
          <w:lang w:val="fr-FR"/>
        </w:rPr>
        <w:t xml:space="preserve">otal </w:t>
      </w:r>
      <w:r w:rsidRPr="001B3715">
        <w:rPr>
          <w:lang w:val="fr-FR"/>
        </w:rPr>
        <w:t>de demandes déposées pour l</w:t>
      </w:r>
      <w:r w:rsidR="00502D05" w:rsidRPr="001B3715">
        <w:rPr>
          <w:lang w:val="fr-FR"/>
        </w:rPr>
        <w:t>’</w:t>
      </w:r>
      <w:r w:rsidRPr="001B3715">
        <w:rPr>
          <w:lang w:val="fr-FR"/>
        </w:rPr>
        <w:t xml:space="preserve">année à </w:t>
      </w:r>
      <w:r w:rsidR="005472D4" w:rsidRPr="001B3715">
        <w:rPr>
          <w:lang w:val="fr-FR"/>
        </w:rPr>
        <w:t>218</w:t>
      </w:r>
      <w:r w:rsidRPr="001B3715">
        <w:rPr>
          <w:lang w:val="fr-FR"/>
        </w:rPr>
        <w:t> </w:t>
      </w:r>
      <w:r w:rsidR="005472D4" w:rsidRPr="001B3715">
        <w:rPr>
          <w:lang w:val="fr-FR"/>
        </w:rPr>
        <w:t xml:space="preserve">000.  </w:t>
      </w:r>
      <w:r w:rsidRPr="001B3715">
        <w:rPr>
          <w:lang w:val="fr-FR"/>
        </w:rPr>
        <w:t>Ce taux de croissance devrait être plus élevé en </w:t>
      </w:r>
      <w:r w:rsidR="005472D4" w:rsidRPr="001B3715">
        <w:rPr>
          <w:lang w:val="fr-FR"/>
        </w:rPr>
        <w:t>2016.</w:t>
      </w:r>
    </w:p>
    <w:p w14:paraId="1ABDD4F3" w14:textId="43FB420E" w:rsidR="00AF5C64" w:rsidRPr="001B3715" w:rsidRDefault="00623338" w:rsidP="00137CB3">
      <w:pPr>
        <w:pStyle w:val="ONUMFS"/>
        <w:rPr>
          <w:lang w:val="fr-FR"/>
        </w:rPr>
      </w:pPr>
      <w:r w:rsidRPr="001B3715">
        <w:rPr>
          <w:lang w:val="fr-FR"/>
        </w:rPr>
        <w:t xml:space="preserve">La </w:t>
      </w:r>
      <w:r w:rsidR="00E45996" w:rsidRPr="001B3715">
        <w:rPr>
          <w:lang w:val="fr-FR"/>
        </w:rPr>
        <w:t>répart</w:t>
      </w:r>
      <w:r w:rsidRPr="001B3715">
        <w:rPr>
          <w:lang w:val="fr-FR"/>
        </w:rPr>
        <w:t xml:space="preserve">ition </w:t>
      </w:r>
      <w:r w:rsidR="005472D4" w:rsidRPr="001B3715">
        <w:rPr>
          <w:lang w:val="fr-FR"/>
        </w:rPr>
        <w:t>g</w:t>
      </w:r>
      <w:r w:rsidRPr="001B3715">
        <w:rPr>
          <w:lang w:val="fr-FR"/>
        </w:rPr>
        <w:t>é</w:t>
      </w:r>
      <w:r w:rsidR="005472D4" w:rsidRPr="001B3715">
        <w:rPr>
          <w:lang w:val="fr-FR"/>
        </w:rPr>
        <w:t>ographi</w:t>
      </w:r>
      <w:r w:rsidRPr="001B3715">
        <w:rPr>
          <w:lang w:val="fr-FR"/>
        </w:rPr>
        <w:t>que des demandes selon</w:t>
      </w:r>
      <w:r w:rsidR="00347C95" w:rsidRPr="001B3715">
        <w:rPr>
          <w:lang w:val="fr-FR"/>
        </w:rPr>
        <w:t xml:space="preserve"> le PCT</w:t>
      </w:r>
      <w:r w:rsidR="005472D4" w:rsidRPr="001B3715">
        <w:rPr>
          <w:lang w:val="fr-FR"/>
        </w:rPr>
        <w:t xml:space="preserve"> continue</w:t>
      </w:r>
      <w:r w:rsidR="00E45996" w:rsidRPr="001B3715">
        <w:rPr>
          <w:lang w:val="fr-FR"/>
        </w:rPr>
        <w:t xml:space="preserve"> d</w:t>
      </w:r>
      <w:r w:rsidR="00502D05" w:rsidRPr="001B3715">
        <w:rPr>
          <w:lang w:val="fr-FR"/>
        </w:rPr>
        <w:t>’</w:t>
      </w:r>
      <w:r w:rsidR="00E45996" w:rsidRPr="001B3715">
        <w:rPr>
          <w:lang w:val="fr-FR"/>
        </w:rPr>
        <w:t>évoluer en faveur de l</w:t>
      </w:r>
      <w:r w:rsidR="00502D05" w:rsidRPr="001B3715">
        <w:rPr>
          <w:lang w:val="fr-FR"/>
        </w:rPr>
        <w:t>’</w:t>
      </w:r>
      <w:r w:rsidR="005472D4" w:rsidRPr="001B3715">
        <w:rPr>
          <w:lang w:val="fr-FR"/>
        </w:rPr>
        <w:t>Asi</w:t>
      </w:r>
      <w:r w:rsidR="00E45996" w:rsidRPr="001B3715">
        <w:rPr>
          <w:lang w:val="fr-FR"/>
        </w:rPr>
        <w:t>e</w:t>
      </w:r>
      <w:r w:rsidR="005472D4" w:rsidRPr="001B3715">
        <w:rPr>
          <w:lang w:val="fr-FR"/>
        </w:rPr>
        <w:t>, 43</w:t>
      </w:r>
      <w:r w:rsidR="00E45996" w:rsidRPr="001B3715">
        <w:rPr>
          <w:lang w:val="fr-FR"/>
        </w:rPr>
        <w:t>,</w:t>
      </w:r>
      <w:r w:rsidR="005472D4" w:rsidRPr="001B3715">
        <w:rPr>
          <w:lang w:val="fr-FR"/>
        </w:rPr>
        <w:t xml:space="preserve">5% </w:t>
      </w:r>
      <w:r w:rsidR="00E45996" w:rsidRPr="001B3715">
        <w:rPr>
          <w:lang w:val="fr-FR"/>
        </w:rPr>
        <w:t xml:space="preserve">de </w:t>
      </w:r>
      <w:r w:rsidR="00A35BBB" w:rsidRPr="001B3715">
        <w:rPr>
          <w:lang w:val="fr-FR"/>
        </w:rPr>
        <w:t>l</w:t>
      </w:r>
      <w:r w:rsidR="00502D05" w:rsidRPr="001B3715">
        <w:rPr>
          <w:lang w:val="fr-FR"/>
        </w:rPr>
        <w:t>’</w:t>
      </w:r>
      <w:r w:rsidR="00A35BBB" w:rsidRPr="001B3715">
        <w:rPr>
          <w:lang w:val="fr-FR"/>
        </w:rPr>
        <w:t>ensemble des</w:t>
      </w:r>
      <w:r w:rsidR="00E45996" w:rsidRPr="001B3715">
        <w:rPr>
          <w:lang w:val="fr-FR"/>
        </w:rPr>
        <w:t xml:space="preserve"> demandes déposées en </w:t>
      </w:r>
      <w:r w:rsidR="005472D4" w:rsidRPr="001B3715">
        <w:rPr>
          <w:lang w:val="fr-FR"/>
        </w:rPr>
        <w:t xml:space="preserve">2015 </w:t>
      </w:r>
      <w:r w:rsidR="00E45996" w:rsidRPr="001B3715">
        <w:rPr>
          <w:lang w:val="fr-FR"/>
        </w:rPr>
        <w:t xml:space="preserve">provenant de </w:t>
      </w:r>
      <w:r w:rsidR="00A35BBB" w:rsidRPr="001B3715">
        <w:rPr>
          <w:lang w:val="fr-FR"/>
        </w:rPr>
        <w:t>ce continent</w:t>
      </w:r>
      <w:r w:rsidR="005472D4" w:rsidRPr="001B3715">
        <w:rPr>
          <w:lang w:val="fr-FR"/>
        </w:rPr>
        <w:t>, co</w:t>
      </w:r>
      <w:r w:rsidR="00E45996" w:rsidRPr="001B3715">
        <w:rPr>
          <w:lang w:val="fr-FR"/>
        </w:rPr>
        <w:t>ntre</w:t>
      </w:r>
      <w:r w:rsidR="005472D4" w:rsidRPr="001B3715">
        <w:rPr>
          <w:lang w:val="fr-FR"/>
        </w:rPr>
        <w:t xml:space="preserve"> 27</w:t>
      </w:r>
      <w:r w:rsidR="00E45996" w:rsidRPr="001B3715">
        <w:rPr>
          <w:lang w:val="fr-FR"/>
        </w:rPr>
        <w:t>,</w:t>
      </w:r>
      <w:r w:rsidR="005472D4" w:rsidRPr="001B3715">
        <w:rPr>
          <w:lang w:val="fr-FR"/>
        </w:rPr>
        <w:t xml:space="preserve">6% </w:t>
      </w:r>
      <w:r w:rsidR="00A35BBB" w:rsidRPr="001B3715">
        <w:rPr>
          <w:lang w:val="fr-FR"/>
        </w:rPr>
        <w:t xml:space="preserve">pour </w:t>
      </w:r>
      <w:r w:rsidR="00E45996" w:rsidRPr="001B3715">
        <w:rPr>
          <w:lang w:val="fr-FR"/>
        </w:rPr>
        <w:t>l</w:t>
      </w:r>
      <w:r w:rsidR="00502D05" w:rsidRPr="001B3715">
        <w:rPr>
          <w:lang w:val="fr-FR"/>
        </w:rPr>
        <w:t>’</w:t>
      </w:r>
      <w:r w:rsidR="00E45996" w:rsidRPr="001B3715">
        <w:rPr>
          <w:lang w:val="fr-FR"/>
        </w:rPr>
        <w:t xml:space="preserve">Amérique du Nord et </w:t>
      </w:r>
      <w:r w:rsidR="005472D4" w:rsidRPr="001B3715">
        <w:rPr>
          <w:lang w:val="fr-FR"/>
        </w:rPr>
        <w:t xml:space="preserve">27% </w:t>
      </w:r>
      <w:r w:rsidR="00A35BBB" w:rsidRPr="001B3715">
        <w:rPr>
          <w:lang w:val="fr-FR"/>
        </w:rPr>
        <w:t xml:space="preserve">pour </w:t>
      </w:r>
      <w:r w:rsidR="00E45996" w:rsidRPr="001B3715">
        <w:rPr>
          <w:lang w:val="fr-FR"/>
        </w:rPr>
        <w:t>l</w:t>
      </w:r>
      <w:r w:rsidR="00502D05" w:rsidRPr="001B3715">
        <w:rPr>
          <w:lang w:val="fr-FR"/>
        </w:rPr>
        <w:t>’</w:t>
      </w:r>
      <w:r w:rsidR="005472D4" w:rsidRPr="001B3715">
        <w:rPr>
          <w:lang w:val="fr-FR"/>
        </w:rPr>
        <w:t>Euro</w:t>
      </w:r>
      <w:r w:rsidR="001B3715" w:rsidRPr="001B3715">
        <w:rPr>
          <w:lang w:val="fr-FR"/>
        </w:rPr>
        <w:t>pe.  Po</w:t>
      </w:r>
      <w:r w:rsidR="00E45996" w:rsidRPr="001B3715">
        <w:rPr>
          <w:lang w:val="fr-FR"/>
        </w:rPr>
        <w:t>ur ce qui est du classement par pays, les États</w:t>
      </w:r>
      <w:r w:rsidR="00E3770C">
        <w:rPr>
          <w:lang w:val="fr-FR"/>
        </w:rPr>
        <w:noBreakHyphen/>
      </w:r>
      <w:r w:rsidR="005472D4" w:rsidRPr="001B3715">
        <w:rPr>
          <w:lang w:val="fr-FR"/>
        </w:rPr>
        <w:t xml:space="preserve">Unis </w:t>
      </w:r>
      <w:r w:rsidR="00E45996" w:rsidRPr="001B3715">
        <w:rPr>
          <w:lang w:val="fr-FR"/>
        </w:rPr>
        <w:t>d</w:t>
      </w:r>
      <w:r w:rsidR="00502D05" w:rsidRPr="001B3715">
        <w:rPr>
          <w:lang w:val="fr-FR"/>
        </w:rPr>
        <w:t>’</w:t>
      </w:r>
      <w:r w:rsidR="005472D4" w:rsidRPr="001B3715">
        <w:rPr>
          <w:lang w:val="fr-FR"/>
        </w:rPr>
        <w:t>Am</w:t>
      </w:r>
      <w:r w:rsidR="00E45996" w:rsidRPr="001B3715">
        <w:rPr>
          <w:lang w:val="fr-FR"/>
        </w:rPr>
        <w:t>é</w:t>
      </w:r>
      <w:r w:rsidR="005472D4" w:rsidRPr="001B3715">
        <w:rPr>
          <w:lang w:val="fr-FR"/>
        </w:rPr>
        <w:t>ri</w:t>
      </w:r>
      <w:r w:rsidR="00E45996" w:rsidRPr="001B3715">
        <w:rPr>
          <w:lang w:val="fr-FR"/>
        </w:rPr>
        <w:t>que ont enregistré le plus grand nombre de dépôts,</w:t>
      </w:r>
      <w:r w:rsidR="005472D4" w:rsidRPr="001B3715">
        <w:rPr>
          <w:lang w:val="fr-FR"/>
        </w:rPr>
        <w:t xml:space="preserve"> </w:t>
      </w:r>
      <w:r w:rsidR="00E45996" w:rsidRPr="001B3715">
        <w:rPr>
          <w:lang w:val="fr-FR"/>
        </w:rPr>
        <w:t xml:space="preserve">suivis par le </w:t>
      </w:r>
      <w:r w:rsidR="005472D4" w:rsidRPr="001B3715">
        <w:rPr>
          <w:lang w:val="fr-FR"/>
        </w:rPr>
        <w:t>Jap</w:t>
      </w:r>
      <w:r w:rsidR="00E45996" w:rsidRPr="001B3715">
        <w:rPr>
          <w:lang w:val="fr-FR"/>
        </w:rPr>
        <w:t>o</w:t>
      </w:r>
      <w:r w:rsidR="005472D4" w:rsidRPr="001B3715">
        <w:rPr>
          <w:lang w:val="fr-FR"/>
        </w:rPr>
        <w:t xml:space="preserve">n, </w:t>
      </w:r>
      <w:r w:rsidR="00E45996" w:rsidRPr="001B3715">
        <w:rPr>
          <w:lang w:val="fr-FR"/>
        </w:rPr>
        <w:t xml:space="preserve">la </w:t>
      </w:r>
      <w:r w:rsidR="005472D4" w:rsidRPr="001B3715">
        <w:rPr>
          <w:lang w:val="fr-FR"/>
        </w:rPr>
        <w:t>Chin</w:t>
      </w:r>
      <w:r w:rsidR="00E45996" w:rsidRPr="001B3715">
        <w:rPr>
          <w:lang w:val="fr-FR"/>
        </w:rPr>
        <w:t>e</w:t>
      </w:r>
      <w:r w:rsidR="005472D4" w:rsidRPr="001B3715">
        <w:rPr>
          <w:lang w:val="fr-FR"/>
        </w:rPr>
        <w:t xml:space="preserve">, </w:t>
      </w:r>
      <w:r w:rsidR="00E45996" w:rsidRPr="001B3715">
        <w:rPr>
          <w:lang w:val="fr-FR"/>
        </w:rPr>
        <w:t>l</w:t>
      </w:r>
      <w:r w:rsidR="00502D05" w:rsidRPr="001B3715">
        <w:rPr>
          <w:lang w:val="fr-FR"/>
        </w:rPr>
        <w:t>’</w:t>
      </w:r>
      <w:r w:rsidR="00E45996" w:rsidRPr="001B3715">
        <w:rPr>
          <w:lang w:val="fr-FR"/>
        </w:rPr>
        <w:t xml:space="preserve">Allemagne et la </w:t>
      </w:r>
      <w:r w:rsidR="005472D4" w:rsidRPr="001B3715">
        <w:rPr>
          <w:lang w:val="fr-FR"/>
        </w:rPr>
        <w:t>R</w:t>
      </w:r>
      <w:r w:rsidR="00E45996" w:rsidRPr="001B3715">
        <w:rPr>
          <w:lang w:val="fr-FR"/>
        </w:rPr>
        <w:t>é</w:t>
      </w:r>
      <w:r w:rsidR="005472D4" w:rsidRPr="001B3715">
        <w:rPr>
          <w:lang w:val="fr-FR"/>
        </w:rPr>
        <w:t>publi</w:t>
      </w:r>
      <w:r w:rsidR="00E45996" w:rsidRPr="001B3715">
        <w:rPr>
          <w:lang w:val="fr-FR"/>
        </w:rPr>
        <w:t>que de C</w:t>
      </w:r>
      <w:r w:rsidR="005472D4" w:rsidRPr="001B3715">
        <w:rPr>
          <w:lang w:val="fr-FR"/>
        </w:rPr>
        <w:t>or</w:t>
      </w:r>
      <w:r w:rsidR="00E45996" w:rsidRPr="001B3715">
        <w:rPr>
          <w:lang w:val="fr-FR"/>
        </w:rPr>
        <w:t>é</w:t>
      </w:r>
      <w:r w:rsidR="005472D4" w:rsidRPr="001B3715">
        <w:rPr>
          <w:lang w:val="fr-FR"/>
        </w:rPr>
        <w:t>e.</w:t>
      </w:r>
    </w:p>
    <w:p w14:paraId="0672FB4E" w14:textId="073FBBE9" w:rsidR="00AF5C64" w:rsidRPr="001B3715" w:rsidRDefault="00E45996" w:rsidP="00137CB3">
      <w:pPr>
        <w:pStyle w:val="ONUMFS"/>
        <w:rPr>
          <w:lang w:val="fr-FR"/>
        </w:rPr>
      </w:pPr>
      <w:r w:rsidRPr="001B3715">
        <w:rPr>
          <w:lang w:val="fr-FR"/>
        </w:rPr>
        <w:t>L</w:t>
      </w:r>
      <w:r w:rsidR="00502D05" w:rsidRPr="001B3715">
        <w:rPr>
          <w:lang w:val="fr-FR"/>
        </w:rPr>
        <w:t>’</w:t>
      </w:r>
      <w:r w:rsidRPr="001B3715">
        <w:rPr>
          <w:lang w:val="fr-FR"/>
        </w:rPr>
        <w:t>un</w:t>
      </w:r>
      <w:r w:rsidR="00A35BBB" w:rsidRPr="001B3715">
        <w:rPr>
          <w:lang w:val="fr-FR"/>
        </w:rPr>
        <w:t>e</w:t>
      </w:r>
      <w:r w:rsidRPr="001B3715">
        <w:rPr>
          <w:lang w:val="fr-FR"/>
        </w:rPr>
        <w:t xml:space="preserve"> des </w:t>
      </w:r>
      <w:r w:rsidR="00285556" w:rsidRPr="001B3715">
        <w:rPr>
          <w:lang w:val="fr-FR"/>
        </w:rPr>
        <w:t>g</w:t>
      </w:r>
      <w:r w:rsidRPr="001B3715">
        <w:rPr>
          <w:lang w:val="fr-FR"/>
        </w:rPr>
        <w:t>ra</w:t>
      </w:r>
      <w:r w:rsidR="00285556" w:rsidRPr="001B3715">
        <w:rPr>
          <w:lang w:val="fr-FR"/>
        </w:rPr>
        <w:t>nd</w:t>
      </w:r>
      <w:r w:rsidR="00A35BBB" w:rsidRPr="001B3715">
        <w:rPr>
          <w:lang w:val="fr-FR"/>
        </w:rPr>
        <w:t>e</w:t>
      </w:r>
      <w:r w:rsidR="00285556" w:rsidRPr="001B3715">
        <w:rPr>
          <w:lang w:val="fr-FR"/>
        </w:rPr>
        <w:t>s</w:t>
      </w:r>
      <w:r w:rsidRPr="001B3715">
        <w:rPr>
          <w:lang w:val="fr-FR"/>
        </w:rPr>
        <w:t xml:space="preserve"> </w:t>
      </w:r>
      <w:r w:rsidR="00A35BBB" w:rsidRPr="001B3715">
        <w:rPr>
          <w:lang w:val="fr-FR"/>
        </w:rPr>
        <w:t>réussites du</w:t>
      </w:r>
      <w:r w:rsidR="00285556" w:rsidRPr="001B3715">
        <w:rPr>
          <w:lang w:val="fr-FR"/>
        </w:rPr>
        <w:t xml:space="preserve"> Bureau international</w:t>
      </w:r>
      <w:r w:rsidRPr="001B3715">
        <w:rPr>
          <w:lang w:val="fr-FR"/>
        </w:rPr>
        <w:t xml:space="preserve"> ces dernières années </w:t>
      </w:r>
      <w:r w:rsidR="00A35BBB" w:rsidRPr="001B3715">
        <w:rPr>
          <w:lang w:val="fr-FR"/>
        </w:rPr>
        <w:t xml:space="preserve">a été la mise en place du </w:t>
      </w:r>
      <w:r w:rsidRPr="001B3715">
        <w:rPr>
          <w:lang w:val="fr-FR"/>
        </w:rPr>
        <w:t xml:space="preserve">système </w:t>
      </w:r>
      <w:proofErr w:type="spellStart"/>
      <w:r w:rsidRPr="001B3715">
        <w:rPr>
          <w:lang w:val="fr-FR"/>
        </w:rPr>
        <w:t>ePCT</w:t>
      </w:r>
      <w:proofErr w:type="spellEnd"/>
      <w:r w:rsidRPr="001B3715">
        <w:rPr>
          <w:lang w:val="fr-FR"/>
        </w:rPr>
        <w:t xml:space="preserve">, qui offre un environnement électronique </w:t>
      </w:r>
      <w:r w:rsidR="00A35BBB" w:rsidRPr="001B3715">
        <w:rPr>
          <w:lang w:val="fr-FR"/>
        </w:rPr>
        <w:t>exhaustif</w:t>
      </w:r>
      <w:r w:rsidRPr="001B3715">
        <w:rPr>
          <w:lang w:val="fr-FR"/>
        </w:rPr>
        <w:t xml:space="preserve"> pour le dépôt, le traitement et la gestion des demandes </w:t>
      </w:r>
      <w:r w:rsidR="00285556" w:rsidRPr="001B3715">
        <w:rPr>
          <w:lang w:val="fr-FR"/>
        </w:rPr>
        <w:t xml:space="preserve">internationales </w:t>
      </w:r>
      <w:r w:rsidRPr="001B3715">
        <w:rPr>
          <w:lang w:val="fr-FR"/>
        </w:rPr>
        <w:t>selon</w:t>
      </w:r>
      <w:r w:rsidR="00347C95" w:rsidRPr="001B3715">
        <w:rPr>
          <w:lang w:val="fr-FR"/>
        </w:rPr>
        <w:t xml:space="preserve"> le PCT</w:t>
      </w:r>
      <w:r w:rsidRPr="001B3715">
        <w:rPr>
          <w:lang w:val="fr-FR"/>
        </w:rPr>
        <w:t xml:space="preserve"> par l</w:t>
      </w:r>
      <w:r w:rsidR="00285556" w:rsidRPr="001B3715">
        <w:rPr>
          <w:lang w:val="fr-FR"/>
        </w:rPr>
        <w:t xml:space="preserve">es déposants, les </w:t>
      </w:r>
      <w:r w:rsidRPr="001B3715">
        <w:rPr>
          <w:lang w:val="fr-FR"/>
        </w:rPr>
        <w:t>offices de propriété intellectuelle nationaux et régionaux et le</w:t>
      </w:r>
      <w:r w:rsidR="00285556" w:rsidRPr="001B3715">
        <w:rPr>
          <w:lang w:val="fr-FR"/>
        </w:rPr>
        <w:t xml:space="preserve"> Bureau internation</w:t>
      </w:r>
      <w:r w:rsidR="001B3715" w:rsidRPr="001B3715">
        <w:rPr>
          <w:lang w:val="fr-FR"/>
        </w:rPr>
        <w:t>al.  Pl</w:t>
      </w:r>
      <w:r w:rsidR="00285556" w:rsidRPr="001B3715">
        <w:rPr>
          <w:lang w:val="fr-FR"/>
        </w:rPr>
        <w:t xml:space="preserve">us de 50 offices nationaux et régionaux de propriété intellectuelle ont accès au système </w:t>
      </w:r>
      <w:proofErr w:type="spellStart"/>
      <w:r w:rsidR="00285556" w:rsidRPr="001B3715">
        <w:rPr>
          <w:lang w:val="fr-FR"/>
        </w:rPr>
        <w:t>ePCT</w:t>
      </w:r>
      <w:proofErr w:type="spellEnd"/>
      <w:r w:rsidR="00285556" w:rsidRPr="001B3715">
        <w:rPr>
          <w:lang w:val="fr-FR"/>
        </w:rPr>
        <w:t xml:space="preserve">, </w:t>
      </w:r>
      <w:r w:rsidR="00A35BBB" w:rsidRPr="001B3715">
        <w:rPr>
          <w:lang w:val="fr-FR"/>
        </w:rPr>
        <w:t xml:space="preserve">qui </w:t>
      </w:r>
      <w:r w:rsidR="00285556" w:rsidRPr="001B3715">
        <w:rPr>
          <w:lang w:val="fr-FR"/>
        </w:rPr>
        <w:t>amélior</w:t>
      </w:r>
      <w:r w:rsidR="00A35BBB" w:rsidRPr="001B3715">
        <w:rPr>
          <w:lang w:val="fr-FR"/>
        </w:rPr>
        <w:t>e</w:t>
      </w:r>
      <w:r w:rsidR="00285556" w:rsidRPr="001B3715">
        <w:rPr>
          <w:lang w:val="fr-FR"/>
        </w:rPr>
        <w:t xml:space="preserve"> </w:t>
      </w:r>
      <w:r w:rsidR="00A35BBB" w:rsidRPr="001B3715">
        <w:rPr>
          <w:lang w:val="fr-FR"/>
        </w:rPr>
        <w:t xml:space="preserve">leurs </w:t>
      </w:r>
      <w:r w:rsidR="00285556" w:rsidRPr="001B3715">
        <w:rPr>
          <w:lang w:val="fr-FR"/>
        </w:rPr>
        <w:t>services aux déposants</w:t>
      </w:r>
      <w:r w:rsidR="00FC58D9" w:rsidRPr="001B3715">
        <w:rPr>
          <w:lang w:val="fr-FR"/>
        </w:rPr>
        <w:t xml:space="preserve">, </w:t>
      </w:r>
      <w:r w:rsidR="00285556" w:rsidRPr="001B3715">
        <w:rPr>
          <w:lang w:val="fr-FR"/>
        </w:rPr>
        <w:t>notamment le dépôt de</w:t>
      </w:r>
      <w:r w:rsidR="00A35BBB" w:rsidRPr="001B3715">
        <w:rPr>
          <w:lang w:val="fr-FR"/>
        </w:rPr>
        <w:t>s</w:t>
      </w:r>
      <w:r w:rsidR="00285556" w:rsidRPr="001B3715">
        <w:rPr>
          <w:lang w:val="fr-FR"/>
        </w:rPr>
        <w:t xml:space="preserve"> demandes </w:t>
      </w:r>
      <w:r w:rsidR="00FC58D9" w:rsidRPr="001B3715">
        <w:rPr>
          <w:lang w:val="fr-FR"/>
        </w:rPr>
        <w:t>international</w:t>
      </w:r>
      <w:r w:rsidR="00285556" w:rsidRPr="001B3715">
        <w:rPr>
          <w:lang w:val="fr-FR"/>
        </w:rPr>
        <w:t>es</w:t>
      </w:r>
      <w:r w:rsidR="005753BA" w:rsidRPr="001B3715">
        <w:rPr>
          <w:lang w:val="fr-FR"/>
        </w:rPr>
        <w:t xml:space="preserve"> </w:t>
      </w:r>
      <w:r w:rsidR="00A35BBB" w:rsidRPr="001B3715">
        <w:rPr>
          <w:lang w:val="fr-FR"/>
        </w:rPr>
        <w:t xml:space="preserve">auprès de </w:t>
      </w:r>
      <w:r w:rsidR="005472D4" w:rsidRPr="001B3715">
        <w:rPr>
          <w:lang w:val="fr-FR"/>
        </w:rPr>
        <w:t>4</w:t>
      </w:r>
      <w:r w:rsidR="00FC58D9" w:rsidRPr="001B3715">
        <w:rPr>
          <w:lang w:val="fr-FR"/>
        </w:rPr>
        <w:t>3</w:t>
      </w:r>
      <w:r w:rsidR="00A35BBB" w:rsidRPr="001B3715">
        <w:rPr>
          <w:lang w:val="fr-FR"/>
        </w:rPr>
        <w:t xml:space="preserve"> de ces </w:t>
      </w:r>
      <w:r w:rsidR="00285556" w:rsidRPr="001B3715">
        <w:rPr>
          <w:lang w:val="fr-FR"/>
        </w:rPr>
        <w:t>o</w:t>
      </w:r>
      <w:r w:rsidR="00FC58D9" w:rsidRPr="001B3715">
        <w:rPr>
          <w:lang w:val="fr-FR"/>
        </w:rPr>
        <w:t>ffic</w:t>
      </w:r>
      <w:r w:rsidR="001B3715" w:rsidRPr="001B3715">
        <w:rPr>
          <w:lang w:val="fr-FR"/>
        </w:rPr>
        <w:t>es.  Le</w:t>
      </w:r>
      <w:r w:rsidR="00285556" w:rsidRPr="001B3715">
        <w:rPr>
          <w:lang w:val="fr-FR"/>
        </w:rPr>
        <w:t xml:space="preserve"> dépôt é</w:t>
      </w:r>
      <w:r w:rsidR="00FC58D9" w:rsidRPr="001B3715">
        <w:rPr>
          <w:lang w:val="fr-FR"/>
        </w:rPr>
        <w:t>lectroni</w:t>
      </w:r>
      <w:r w:rsidR="00285556" w:rsidRPr="001B3715">
        <w:rPr>
          <w:lang w:val="fr-FR"/>
        </w:rPr>
        <w:t>que</w:t>
      </w:r>
      <w:r w:rsidR="00A35BBB" w:rsidRPr="001B3715">
        <w:rPr>
          <w:lang w:val="fr-FR"/>
        </w:rPr>
        <w:t xml:space="preserve"> intégral au moyen</w:t>
      </w:r>
      <w:r w:rsidR="00285556" w:rsidRPr="001B3715">
        <w:rPr>
          <w:lang w:val="fr-FR"/>
        </w:rPr>
        <w:t xml:space="preserve"> </w:t>
      </w:r>
      <w:r w:rsidR="005753BA" w:rsidRPr="001B3715">
        <w:rPr>
          <w:lang w:val="fr-FR"/>
        </w:rPr>
        <w:t>du</w:t>
      </w:r>
      <w:r w:rsidR="00285556" w:rsidRPr="001B3715">
        <w:rPr>
          <w:lang w:val="fr-FR"/>
        </w:rPr>
        <w:t xml:space="preserve"> système </w:t>
      </w:r>
      <w:proofErr w:type="spellStart"/>
      <w:r w:rsidR="00285556" w:rsidRPr="001B3715">
        <w:rPr>
          <w:lang w:val="fr-FR"/>
        </w:rPr>
        <w:t>ePCT</w:t>
      </w:r>
      <w:proofErr w:type="spellEnd"/>
      <w:r w:rsidR="00285556" w:rsidRPr="001B3715">
        <w:rPr>
          <w:lang w:val="fr-FR"/>
        </w:rPr>
        <w:t xml:space="preserve"> est désormais possible dans</w:t>
      </w:r>
      <w:r w:rsidR="00FC58D9" w:rsidRPr="001B3715">
        <w:rPr>
          <w:lang w:val="fr-FR"/>
        </w:rPr>
        <w:t xml:space="preserve"> </w:t>
      </w:r>
      <w:r w:rsidR="005472D4" w:rsidRPr="001B3715">
        <w:rPr>
          <w:lang w:val="fr-FR"/>
        </w:rPr>
        <w:t>18</w:t>
      </w:r>
      <w:r w:rsidR="00285556" w:rsidRPr="001B3715">
        <w:rPr>
          <w:lang w:val="fr-FR"/>
        </w:rPr>
        <w:t> </w:t>
      </w:r>
      <w:r w:rsidR="00FC58D9" w:rsidRPr="001B3715">
        <w:rPr>
          <w:lang w:val="fr-FR"/>
        </w:rPr>
        <w:t>n</w:t>
      </w:r>
      <w:r w:rsidR="00285556" w:rsidRPr="001B3715">
        <w:rPr>
          <w:lang w:val="fr-FR"/>
        </w:rPr>
        <w:t>ouveaux of</w:t>
      </w:r>
      <w:r w:rsidR="005472D4" w:rsidRPr="001B3715">
        <w:rPr>
          <w:lang w:val="fr-FR"/>
        </w:rPr>
        <w:t>fices</w:t>
      </w:r>
      <w:r w:rsidR="00FC58D9" w:rsidRPr="001B3715">
        <w:rPr>
          <w:lang w:val="fr-FR"/>
        </w:rPr>
        <w:t xml:space="preserve">, </w:t>
      </w:r>
      <w:r w:rsidR="005753BA" w:rsidRPr="001B3715">
        <w:rPr>
          <w:lang w:val="fr-FR"/>
        </w:rPr>
        <w:t>d</w:t>
      </w:r>
      <w:r w:rsidR="00285556" w:rsidRPr="001B3715">
        <w:rPr>
          <w:lang w:val="fr-FR"/>
        </w:rPr>
        <w:t xml:space="preserve">ont </w:t>
      </w:r>
      <w:r w:rsidR="00A35BBB" w:rsidRPr="001B3715">
        <w:rPr>
          <w:lang w:val="fr-FR"/>
        </w:rPr>
        <w:t xml:space="preserve">ceux de </w:t>
      </w:r>
      <w:r w:rsidR="005753BA" w:rsidRPr="001B3715">
        <w:rPr>
          <w:lang w:val="fr-FR"/>
        </w:rPr>
        <w:t>l</w:t>
      </w:r>
      <w:r w:rsidR="00502D05" w:rsidRPr="001B3715">
        <w:rPr>
          <w:lang w:val="fr-FR"/>
        </w:rPr>
        <w:t>’</w:t>
      </w:r>
      <w:r w:rsidR="00FC58D9" w:rsidRPr="001B3715">
        <w:rPr>
          <w:lang w:val="fr-FR"/>
        </w:rPr>
        <w:t>Azerba</w:t>
      </w:r>
      <w:r w:rsidR="00F547B0" w:rsidRPr="001B3715">
        <w:rPr>
          <w:lang w:val="fr-FR"/>
        </w:rPr>
        <w:t>ïd</w:t>
      </w:r>
      <w:r w:rsidR="00FC58D9" w:rsidRPr="001B3715">
        <w:rPr>
          <w:lang w:val="fr-FR"/>
        </w:rPr>
        <w:t xml:space="preserve">jan, </w:t>
      </w:r>
      <w:r w:rsidR="00A35BBB" w:rsidRPr="001B3715">
        <w:rPr>
          <w:lang w:val="fr-FR"/>
        </w:rPr>
        <w:t xml:space="preserve">du </w:t>
      </w:r>
      <w:proofErr w:type="spellStart"/>
      <w:r w:rsidR="00FC58D9" w:rsidRPr="001B3715">
        <w:rPr>
          <w:lang w:val="fr-FR"/>
        </w:rPr>
        <w:t>Brun</w:t>
      </w:r>
      <w:r w:rsidR="00F547B0" w:rsidRPr="001B3715">
        <w:rPr>
          <w:lang w:val="fr-FR"/>
        </w:rPr>
        <w:t>é</w:t>
      </w:r>
      <w:r w:rsidR="00FC58D9" w:rsidRPr="001B3715">
        <w:rPr>
          <w:lang w:val="fr-FR"/>
        </w:rPr>
        <w:t>i</w:t>
      </w:r>
      <w:proofErr w:type="spellEnd"/>
      <w:r w:rsidR="00FC58D9" w:rsidRPr="001B3715">
        <w:rPr>
          <w:lang w:val="fr-FR"/>
        </w:rPr>
        <w:t xml:space="preserve"> Darussalam, </w:t>
      </w:r>
      <w:r w:rsidR="00A35BBB" w:rsidRPr="001B3715">
        <w:rPr>
          <w:lang w:val="fr-FR"/>
        </w:rPr>
        <w:t xml:space="preserve">de </w:t>
      </w:r>
      <w:r w:rsidR="005753BA" w:rsidRPr="001B3715">
        <w:rPr>
          <w:lang w:val="fr-FR"/>
        </w:rPr>
        <w:t>la</w:t>
      </w:r>
      <w:r w:rsidR="00F547B0" w:rsidRPr="001B3715">
        <w:rPr>
          <w:lang w:val="fr-FR"/>
        </w:rPr>
        <w:t xml:space="preserve"> </w:t>
      </w:r>
      <w:r w:rsidR="00FC58D9" w:rsidRPr="001B3715">
        <w:rPr>
          <w:lang w:val="fr-FR"/>
        </w:rPr>
        <w:t>Col</w:t>
      </w:r>
      <w:r w:rsidR="00F547B0" w:rsidRPr="001B3715">
        <w:rPr>
          <w:lang w:val="fr-FR"/>
        </w:rPr>
        <w:t>o</w:t>
      </w:r>
      <w:r w:rsidR="00FC58D9" w:rsidRPr="001B3715">
        <w:rPr>
          <w:lang w:val="fr-FR"/>
        </w:rPr>
        <w:t>mbi</w:t>
      </w:r>
      <w:r w:rsidR="00F547B0" w:rsidRPr="001B3715">
        <w:rPr>
          <w:lang w:val="fr-FR"/>
        </w:rPr>
        <w:t>e</w:t>
      </w:r>
      <w:r w:rsidR="00FC58D9" w:rsidRPr="001B3715">
        <w:rPr>
          <w:lang w:val="fr-FR"/>
        </w:rPr>
        <w:t xml:space="preserve">, </w:t>
      </w:r>
      <w:r w:rsidR="00A35BBB" w:rsidRPr="001B3715">
        <w:rPr>
          <w:lang w:val="fr-FR"/>
        </w:rPr>
        <w:t xml:space="preserve">de </w:t>
      </w:r>
      <w:r w:rsidR="00FC58D9" w:rsidRPr="001B3715">
        <w:rPr>
          <w:lang w:val="fr-FR"/>
        </w:rPr>
        <w:t>Cuba,</w:t>
      </w:r>
      <w:r w:rsidR="001512B4" w:rsidRPr="001B3715">
        <w:rPr>
          <w:lang w:val="fr-FR"/>
        </w:rPr>
        <w:t xml:space="preserve"> </w:t>
      </w:r>
      <w:r w:rsidR="00A35BBB" w:rsidRPr="001B3715">
        <w:rPr>
          <w:lang w:val="fr-FR"/>
        </w:rPr>
        <w:t>d</w:t>
      </w:r>
      <w:r w:rsidR="00502D05" w:rsidRPr="001B3715">
        <w:rPr>
          <w:lang w:val="fr-FR"/>
        </w:rPr>
        <w:t>’</w:t>
      </w:r>
      <w:r w:rsidR="001512B4" w:rsidRPr="001B3715">
        <w:rPr>
          <w:lang w:val="fr-FR"/>
        </w:rPr>
        <w:t>Oman et</w:t>
      </w:r>
      <w:r w:rsidR="005F5036" w:rsidRPr="001B3715">
        <w:rPr>
          <w:lang w:val="fr-FR"/>
        </w:rPr>
        <w:t xml:space="preserve"> </w:t>
      </w:r>
      <w:r w:rsidR="00A35BBB" w:rsidRPr="001B3715">
        <w:rPr>
          <w:lang w:val="fr-FR"/>
        </w:rPr>
        <w:t xml:space="preserve">de </w:t>
      </w:r>
      <w:r w:rsidR="001512B4" w:rsidRPr="001B3715">
        <w:rPr>
          <w:lang w:val="fr-FR"/>
        </w:rPr>
        <w:t xml:space="preserve">la </w:t>
      </w:r>
      <w:r w:rsidR="005F5036" w:rsidRPr="001B3715">
        <w:rPr>
          <w:lang w:val="fr-FR"/>
        </w:rPr>
        <w:t>République islamique d</w:t>
      </w:r>
      <w:r w:rsidR="00502D05" w:rsidRPr="001B3715">
        <w:rPr>
          <w:lang w:val="fr-FR"/>
        </w:rPr>
        <w:t>’</w:t>
      </w:r>
      <w:r w:rsidR="005F5036" w:rsidRPr="001B3715">
        <w:rPr>
          <w:lang w:val="fr-FR"/>
        </w:rPr>
        <w:t>Ir</w:t>
      </w:r>
      <w:r w:rsidR="001B3715" w:rsidRPr="001B3715">
        <w:rPr>
          <w:lang w:val="fr-FR"/>
        </w:rPr>
        <w:t>an.  De</w:t>
      </w:r>
      <w:r w:rsidR="00504A80" w:rsidRPr="001B3715">
        <w:rPr>
          <w:lang w:val="fr-FR"/>
        </w:rPr>
        <w:t>puis juillet </w:t>
      </w:r>
      <w:r w:rsidR="00FC58D9" w:rsidRPr="001B3715">
        <w:rPr>
          <w:lang w:val="fr-FR"/>
        </w:rPr>
        <w:t xml:space="preserve">2016, </w:t>
      </w:r>
      <w:r w:rsidR="00504A80" w:rsidRPr="001B3715">
        <w:rPr>
          <w:lang w:val="fr-FR"/>
        </w:rPr>
        <w:t xml:space="preserve">les déposants peuvent </w:t>
      </w:r>
      <w:r w:rsidR="00FC58D9" w:rsidRPr="001B3715">
        <w:rPr>
          <w:lang w:val="fr-FR"/>
        </w:rPr>
        <w:t>communi</w:t>
      </w:r>
      <w:r w:rsidR="00504A80" w:rsidRPr="001B3715">
        <w:rPr>
          <w:lang w:val="fr-FR"/>
        </w:rPr>
        <w:t>quer avec le Bureau i</w:t>
      </w:r>
      <w:r w:rsidR="00FC58D9" w:rsidRPr="001B3715">
        <w:rPr>
          <w:lang w:val="fr-FR"/>
        </w:rPr>
        <w:t xml:space="preserve">nternational </w:t>
      </w:r>
      <w:r w:rsidR="00504A80" w:rsidRPr="001B3715">
        <w:rPr>
          <w:lang w:val="fr-FR"/>
        </w:rPr>
        <w:t>au moyen du système</w:t>
      </w:r>
      <w:r w:rsidR="00FC58D9" w:rsidRPr="001B3715">
        <w:rPr>
          <w:lang w:val="fr-FR"/>
        </w:rPr>
        <w:t xml:space="preserve"> </w:t>
      </w:r>
      <w:proofErr w:type="spellStart"/>
      <w:r w:rsidR="00FC58D9" w:rsidRPr="001B3715">
        <w:rPr>
          <w:lang w:val="fr-FR"/>
        </w:rPr>
        <w:t>ePCT</w:t>
      </w:r>
      <w:proofErr w:type="spellEnd"/>
      <w:r w:rsidR="00FC58D9" w:rsidRPr="001B3715">
        <w:rPr>
          <w:lang w:val="fr-FR"/>
        </w:rPr>
        <w:t xml:space="preserve"> </w:t>
      </w:r>
      <w:r w:rsidR="00504A80" w:rsidRPr="001B3715">
        <w:rPr>
          <w:lang w:val="fr-FR"/>
        </w:rPr>
        <w:t xml:space="preserve">dans les </w:t>
      </w:r>
      <w:r w:rsidR="00FC58D9" w:rsidRPr="001B3715">
        <w:rPr>
          <w:lang w:val="fr-FR"/>
        </w:rPr>
        <w:t>10</w:t>
      </w:r>
      <w:r w:rsidR="00504A80" w:rsidRPr="001B3715">
        <w:rPr>
          <w:lang w:val="fr-FR"/>
        </w:rPr>
        <w:t> </w:t>
      </w:r>
      <w:r w:rsidR="00FC58D9" w:rsidRPr="001B3715">
        <w:rPr>
          <w:lang w:val="fr-FR"/>
        </w:rPr>
        <w:t xml:space="preserve">langues </w:t>
      </w:r>
      <w:r w:rsidR="00504A80" w:rsidRPr="001B3715">
        <w:rPr>
          <w:lang w:val="fr-FR"/>
        </w:rPr>
        <w:t>de publication</w:t>
      </w:r>
      <w:r w:rsidR="00347C95" w:rsidRPr="001B3715">
        <w:rPr>
          <w:lang w:val="fr-FR"/>
        </w:rPr>
        <w:t xml:space="preserve"> du </w:t>
      </w:r>
      <w:r w:rsidR="001B3715" w:rsidRPr="001B3715">
        <w:rPr>
          <w:lang w:val="fr-FR"/>
        </w:rPr>
        <w:t>PCT.  La</w:t>
      </w:r>
      <w:r w:rsidR="00504A80" w:rsidRPr="001B3715">
        <w:rPr>
          <w:lang w:val="fr-FR"/>
        </w:rPr>
        <w:t xml:space="preserve"> prochaine étape importante dans le dé</w:t>
      </w:r>
      <w:r w:rsidR="00FC58D9" w:rsidRPr="001B3715">
        <w:rPr>
          <w:lang w:val="fr-FR"/>
        </w:rPr>
        <w:t>velop</w:t>
      </w:r>
      <w:r w:rsidR="00504A80" w:rsidRPr="001B3715">
        <w:rPr>
          <w:lang w:val="fr-FR"/>
        </w:rPr>
        <w:t>pe</w:t>
      </w:r>
      <w:r w:rsidR="00FC58D9" w:rsidRPr="001B3715">
        <w:rPr>
          <w:lang w:val="fr-FR"/>
        </w:rPr>
        <w:t xml:space="preserve">ment </w:t>
      </w:r>
      <w:r w:rsidR="00504A80" w:rsidRPr="001B3715">
        <w:rPr>
          <w:lang w:val="fr-FR"/>
        </w:rPr>
        <w:t>du système</w:t>
      </w:r>
      <w:r w:rsidR="00FC58D9" w:rsidRPr="001B3715">
        <w:rPr>
          <w:lang w:val="fr-FR"/>
        </w:rPr>
        <w:t xml:space="preserve"> </w:t>
      </w:r>
      <w:proofErr w:type="spellStart"/>
      <w:r w:rsidR="00FC58D9" w:rsidRPr="001B3715">
        <w:rPr>
          <w:lang w:val="fr-FR"/>
        </w:rPr>
        <w:t>ePCT</w:t>
      </w:r>
      <w:proofErr w:type="spellEnd"/>
      <w:r w:rsidR="00FC58D9" w:rsidRPr="001B3715">
        <w:rPr>
          <w:lang w:val="fr-FR"/>
        </w:rPr>
        <w:t xml:space="preserve"> </w:t>
      </w:r>
      <w:r w:rsidR="00504A80" w:rsidRPr="001B3715">
        <w:rPr>
          <w:lang w:val="fr-FR"/>
        </w:rPr>
        <w:t>sera</w:t>
      </w:r>
      <w:r w:rsidR="002305F5" w:rsidRPr="001B3715">
        <w:rPr>
          <w:lang w:val="fr-FR"/>
        </w:rPr>
        <w:t xml:space="preserve"> un </w:t>
      </w:r>
      <w:r w:rsidR="00504A80" w:rsidRPr="001B3715">
        <w:rPr>
          <w:lang w:val="fr-FR"/>
        </w:rPr>
        <w:t>remanie</w:t>
      </w:r>
      <w:r w:rsidR="002305F5" w:rsidRPr="001B3715">
        <w:rPr>
          <w:lang w:val="fr-FR"/>
        </w:rPr>
        <w:t xml:space="preserve">ment </w:t>
      </w:r>
      <w:r w:rsidR="00504A80" w:rsidRPr="001B3715">
        <w:rPr>
          <w:lang w:val="fr-FR"/>
        </w:rPr>
        <w:t>compl</w:t>
      </w:r>
      <w:r w:rsidR="002305F5" w:rsidRPr="001B3715">
        <w:rPr>
          <w:lang w:val="fr-FR"/>
        </w:rPr>
        <w:t>e</w:t>
      </w:r>
      <w:r w:rsidR="00504A80" w:rsidRPr="001B3715">
        <w:rPr>
          <w:lang w:val="fr-FR"/>
        </w:rPr>
        <w:t xml:space="preserve">t </w:t>
      </w:r>
      <w:r w:rsidR="002305F5" w:rsidRPr="001B3715">
        <w:rPr>
          <w:lang w:val="fr-FR"/>
        </w:rPr>
        <w:t>en termes de présentation et de convivialité</w:t>
      </w:r>
      <w:r w:rsidR="00FC58D9" w:rsidRPr="001B3715">
        <w:rPr>
          <w:lang w:val="fr-FR"/>
        </w:rPr>
        <w:t xml:space="preserve">, </w:t>
      </w:r>
      <w:r w:rsidR="002305F5" w:rsidRPr="001B3715">
        <w:rPr>
          <w:lang w:val="fr-FR"/>
        </w:rPr>
        <w:t>afin de rendre l</w:t>
      </w:r>
      <w:r w:rsidR="00502D05" w:rsidRPr="001B3715">
        <w:rPr>
          <w:lang w:val="fr-FR"/>
        </w:rPr>
        <w:t>’</w:t>
      </w:r>
      <w:r w:rsidR="002305F5" w:rsidRPr="001B3715">
        <w:rPr>
          <w:lang w:val="fr-FR"/>
        </w:rPr>
        <w:t>e</w:t>
      </w:r>
      <w:r w:rsidR="00FC58D9" w:rsidRPr="001B3715">
        <w:rPr>
          <w:lang w:val="fr-FR"/>
        </w:rPr>
        <w:t>nviron</w:t>
      </w:r>
      <w:r w:rsidR="002305F5" w:rsidRPr="001B3715">
        <w:rPr>
          <w:lang w:val="fr-FR"/>
        </w:rPr>
        <w:t>ne</w:t>
      </w:r>
      <w:r w:rsidR="00FC58D9" w:rsidRPr="001B3715">
        <w:rPr>
          <w:lang w:val="fr-FR"/>
        </w:rPr>
        <w:t xml:space="preserve">ment </w:t>
      </w:r>
      <w:r w:rsidR="002305F5" w:rsidRPr="001B3715">
        <w:rPr>
          <w:lang w:val="fr-FR"/>
        </w:rPr>
        <w:t>plus attrayant et simple d</w:t>
      </w:r>
      <w:r w:rsidR="00502D05" w:rsidRPr="001B3715">
        <w:rPr>
          <w:lang w:val="fr-FR"/>
        </w:rPr>
        <w:t>’</w:t>
      </w:r>
      <w:r w:rsidR="002305F5" w:rsidRPr="001B3715">
        <w:rPr>
          <w:lang w:val="fr-FR"/>
        </w:rPr>
        <w:t>utilisati</w:t>
      </w:r>
      <w:r w:rsidR="001B3715" w:rsidRPr="001B3715">
        <w:rPr>
          <w:lang w:val="fr-FR"/>
        </w:rPr>
        <w:t>on.  La</w:t>
      </w:r>
      <w:r w:rsidR="002305F5" w:rsidRPr="001B3715">
        <w:rPr>
          <w:lang w:val="fr-FR"/>
        </w:rPr>
        <w:t xml:space="preserve"> nouvelle mouture du système devrait être mise en </w:t>
      </w:r>
      <w:r w:rsidR="00A35BBB" w:rsidRPr="001B3715">
        <w:rPr>
          <w:lang w:val="fr-FR"/>
        </w:rPr>
        <w:t>service</w:t>
      </w:r>
      <w:r w:rsidR="002305F5" w:rsidRPr="001B3715">
        <w:rPr>
          <w:lang w:val="fr-FR"/>
        </w:rPr>
        <w:t xml:space="preserve"> vers la fin de l</w:t>
      </w:r>
      <w:r w:rsidR="00502D05" w:rsidRPr="001B3715">
        <w:rPr>
          <w:lang w:val="fr-FR"/>
        </w:rPr>
        <w:t>’</w:t>
      </w:r>
      <w:r w:rsidR="002305F5" w:rsidRPr="001B3715">
        <w:rPr>
          <w:lang w:val="fr-FR"/>
        </w:rPr>
        <w:t>ann</w:t>
      </w:r>
      <w:r w:rsidR="001B3715" w:rsidRPr="001B3715">
        <w:rPr>
          <w:lang w:val="fr-FR"/>
        </w:rPr>
        <w:t>ée.  S’a</w:t>
      </w:r>
      <w:r w:rsidR="002305F5" w:rsidRPr="001B3715">
        <w:rPr>
          <w:lang w:val="fr-FR"/>
        </w:rPr>
        <w:t>gissant de l</w:t>
      </w:r>
      <w:r w:rsidR="00502D05" w:rsidRPr="001B3715">
        <w:rPr>
          <w:lang w:val="fr-FR"/>
        </w:rPr>
        <w:t>’</w:t>
      </w:r>
      <w:r w:rsidR="002305F5" w:rsidRPr="001B3715">
        <w:rPr>
          <w:lang w:val="fr-FR"/>
        </w:rPr>
        <w:t xml:space="preserve">environnement informatique, il convient par ailleurs de </w:t>
      </w:r>
      <w:r w:rsidR="00FC58D9" w:rsidRPr="001B3715">
        <w:rPr>
          <w:lang w:val="fr-FR"/>
        </w:rPr>
        <w:t>mention</w:t>
      </w:r>
      <w:r w:rsidR="002305F5" w:rsidRPr="001B3715">
        <w:rPr>
          <w:lang w:val="fr-FR"/>
        </w:rPr>
        <w:t>ner</w:t>
      </w:r>
      <w:r w:rsidR="00FC58D9" w:rsidRPr="001B3715">
        <w:rPr>
          <w:lang w:val="fr-FR"/>
        </w:rPr>
        <w:t xml:space="preserve">, </w:t>
      </w:r>
      <w:r w:rsidR="002305F5" w:rsidRPr="001B3715">
        <w:rPr>
          <w:lang w:val="fr-FR"/>
        </w:rPr>
        <w:t xml:space="preserve">comme déjà </w:t>
      </w:r>
      <w:r w:rsidR="002305F5" w:rsidRPr="001B3715">
        <w:rPr>
          <w:lang w:val="fr-FR"/>
        </w:rPr>
        <w:lastRenderedPageBreak/>
        <w:t xml:space="preserve">évoqué plus haut, que la </w:t>
      </w:r>
      <w:proofErr w:type="spellStart"/>
      <w:r w:rsidR="001512B4" w:rsidRPr="001B3715">
        <w:rPr>
          <w:lang w:val="fr-FR"/>
        </w:rPr>
        <w:t>cybersécurité</w:t>
      </w:r>
      <w:proofErr w:type="spellEnd"/>
      <w:r w:rsidR="002305F5" w:rsidRPr="001B3715">
        <w:rPr>
          <w:lang w:val="fr-FR"/>
        </w:rPr>
        <w:t xml:space="preserve"> et la ré</w:t>
      </w:r>
      <w:r w:rsidR="00FC58D9" w:rsidRPr="001B3715">
        <w:rPr>
          <w:lang w:val="fr-FR"/>
        </w:rPr>
        <w:t xml:space="preserve">silience </w:t>
      </w:r>
      <w:r w:rsidR="002305F5" w:rsidRPr="001B3715">
        <w:rPr>
          <w:lang w:val="fr-FR"/>
        </w:rPr>
        <w:t xml:space="preserve">sont des enjeux majeurs </w:t>
      </w:r>
      <w:r w:rsidR="00323065" w:rsidRPr="001B3715">
        <w:rPr>
          <w:lang w:val="fr-FR"/>
        </w:rPr>
        <w:t>auxquels</w:t>
      </w:r>
      <w:r w:rsidR="00497C44" w:rsidRPr="001B3715">
        <w:rPr>
          <w:lang w:val="fr-FR"/>
        </w:rPr>
        <w:t xml:space="preserve"> le Bureau i</w:t>
      </w:r>
      <w:r w:rsidR="00FC58D9" w:rsidRPr="001B3715">
        <w:rPr>
          <w:lang w:val="fr-FR"/>
        </w:rPr>
        <w:t xml:space="preserve">nternational </w:t>
      </w:r>
      <w:r w:rsidR="00323065" w:rsidRPr="001B3715">
        <w:rPr>
          <w:lang w:val="fr-FR"/>
        </w:rPr>
        <w:t>s</w:t>
      </w:r>
      <w:r w:rsidR="00502D05" w:rsidRPr="001B3715">
        <w:rPr>
          <w:lang w:val="fr-FR"/>
        </w:rPr>
        <w:t>’</w:t>
      </w:r>
      <w:r w:rsidR="00323065" w:rsidRPr="001B3715">
        <w:rPr>
          <w:lang w:val="fr-FR"/>
        </w:rPr>
        <w:t>efforce de répondre pour</w:t>
      </w:r>
      <w:r w:rsidR="00497C44" w:rsidRPr="001B3715">
        <w:rPr>
          <w:lang w:val="fr-FR"/>
        </w:rPr>
        <w:t xml:space="preserve"> faire en sorte que la sécurité et la </w:t>
      </w:r>
      <w:r w:rsidR="00FC58D9" w:rsidRPr="001B3715">
        <w:rPr>
          <w:lang w:val="fr-FR"/>
        </w:rPr>
        <w:t>capacit</w:t>
      </w:r>
      <w:r w:rsidR="00497C44" w:rsidRPr="001B3715">
        <w:rPr>
          <w:lang w:val="fr-FR"/>
        </w:rPr>
        <w:t>é de poursui</w:t>
      </w:r>
      <w:r w:rsidR="00323065" w:rsidRPr="001B3715">
        <w:rPr>
          <w:lang w:val="fr-FR"/>
        </w:rPr>
        <w:t>t</w:t>
      </w:r>
      <w:r w:rsidR="00497C44" w:rsidRPr="001B3715">
        <w:rPr>
          <w:lang w:val="fr-FR"/>
        </w:rPr>
        <w:t xml:space="preserve">e </w:t>
      </w:r>
      <w:r w:rsidR="00323065" w:rsidRPr="001B3715">
        <w:rPr>
          <w:lang w:val="fr-FR"/>
        </w:rPr>
        <w:t>d</w:t>
      </w:r>
      <w:r w:rsidR="00497C44" w:rsidRPr="001B3715">
        <w:rPr>
          <w:lang w:val="fr-FR"/>
        </w:rPr>
        <w:t>es opérations</w:t>
      </w:r>
      <w:r w:rsidR="00FC58D9" w:rsidRPr="001B3715">
        <w:rPr>
          <w:lang w:val="fr-FR"/>
        </w:rPr>
        <w:t xml:space="preserve">, </w:t>
      </w:r>
      <w:r w:rsidR="00497C44" w:rsidRPr="001B3715">
        <w:rPr>
          <w:lang w:val="fr-FR"/>
        </w:rPr>
        <w:t>deux </w:t>
      </w:r>
      <w:r w:rsidR="00A35BBB" w:rsidRPr="001B3715">
        <w:rPr>
          <w:lang w:val="fr-FR"/>
        </w:rPr>
        <w:t>aspects</w:t>
      </w:r>
      <w:r w:rsidR="00323065" w:rsidRPr="001B3715">
        <w:rPr>
          <w:lang w:val="fr-FR"/>
        </w:rPr>
        <w:t xml:space="preserve"> </w:t>
      </w:r>
      <w:r w:rsidR="00497C44" w:rsidRPr="001B3715">
        <w:rPr>
          <w:lang w:val="fr-FR"/>
        </w:rPr>
        <w:t xml:space="preserve">essentiels </w:t>
      </w:r>
      <w:r w:rsidR="00A35BBB" w:rsidRPr="001B3715">
        <w:rPr>
          <w:lang w:val="fr-FR"/>
        </w:rPr>
        <w:t xml:space="preserve">du </w:t>
      </w:r>
      <w:r w:rsidR="00497C44" w:rsidRPr="001B3715">
        <w:rPr>
          <w:lang w:val="fr-FR"/>
        </w:rPr>
        <w:t>système</w:t>
      </w:r>
      <w:r w:rsidR="00347C95" w:rsidRPr="001B3715">
        <w:rPr>
          <w:lang w:val="fr-FR"/>
        </w:rPr>
        <w:t xml:space="preserve"> du PCT</w:t>
      </w:r>
      <w:r w:rsidR="00FC58D9" w:rsidRPr="001B3715">
        <w:rPr>
          <w:lang w:val="fr-FR"/>
        </w:rPr>
        <w:t>, continue</w:t>
      </w:r>
      <w:r w:rsidR="00497C44" w:rsidRPr="001B3715">
        <w:rPr>
          <w:lang w:val="fr-FR"/>
        </w:rPr>
        <w:t>nt de figurer en tête de nos priorités de</w:t>
      </w:r>
      <w:r w:rsidR="00FC58D9" w:rsidRPr="001B3715">
        <w:rPr>
          <w:lang w:val="fr-FR"/>
        </w:rPr>
        <w:t xml:space="preserve"> poli</w:t>
      </w:r>
      <w:r w:rsidR="00497C44" w:rsidRPr="001B3715">
        <w:rPr>
          <w:lang w:val="fr-FR"/>
        </w:rPr>
        <w:t>tique générale</w:t>
      </w:r>
      <w:r w:rsidR="00FC58D9" w:rsidRPr="001B3715">
        <w:rPr>
          <w:lang w:val="fr-FR"/>
        </w:rPr>
        <w:t>.</w:t>
      </w:r>
    </w:p>
    <w:p w14:paraId="4A2D88C9" w14:textId="46098C14" w:rsidR="00AF5C64" w:rsidRPr="001B3715" w:rsidRDefault="008258DE" w:rsidP="00137CB3">
      <w:pPr>
        <w:pStyle w:val="ONUMFS"/>
        <w:rPr>
          <w:lang w:val="fr-FR"/>
        </w:rPr>
      </w:pPr>
      <w:r w:rsidRPr="001B3715">
        <w:rPr>
          <w:lang w:val="fr-FR"/>
        </w:rPr>
        <w:t xml:space="preserve">On dénombre </w:t>
      </w:r>
      <w:r w:rsidR="00F729BF" w:rsidRPr="001B3715">
        <w:rPr>
          <w:lang w:val="fr-FR"/>
        </w:rPr>
        <w:t>aujourd</w:t>
      </w:r>
      <w:r w:rsidR="00502D05" w:rsidRPr="001B3715">
        <w:rPr>
          <w:lang w:val="fr-FR"/>
        </w:rPr>
        <w:t>’</w:t>
      </w:r>
      <w:r w:rsidR="00F729BF" w:rsidRPr="001B3715">
        <w:rPr>
          <w:lang w:val="fr-FR"/>
        </w:rPr>
        <w:t>hui</w:t>
      </w:r>
      <w:r w:rsidRPr="001B3715">
        <w:rPr>
          <w:lang w:val="fr-FR"/>
        </w:rPr>
        <w:t xml:space="preserve"> 21 </w:t>
      </w:r>
      <w:r w:rsidR="00124059" w:rsidRPr="001B3715">
        <w:rPr>
          <w:lang w:val="fr-FR"/>
        </w:rPr>
        <w:t>administrations chargées de la recherche internationale et de l</w:t>
      </w:r>
      <w:r w:rsidR="00502D05" w:rsidRPr="001B3715">
        <w:rPr>
          <w:lang w:val="fr-FR"/>
        </w:rPr>
        <w:t>’</w:t>
      </w:r>
      <w:r w:rsidR="00124059" w:rsidRPr="001B3715">
        <w:rPr>
          <w:lang w:val="fr-FR"/>
        </w:rPr>
        <w:t>examen préliminaire i</w:t>
      </w:r>
      <w:r w:rsidR="00FC58D9" w:rsidRPr="001B3715">
        <w:rPr>
          <w:lang w:val="fr-FR"/>
        </w:rPr>
        <w:t xml:space="preserve">nternational </w:t>
      </w:r>
      <w:r w:rsidR="00A35BBB" w:rsidRPr="001B3715">
        <w:rPr>
          <w:lang w:val="fr-FR"/>
        </w:rPr>
        <w:t>avec l</w:t>
      </w:r>
      <w:r w:rsidR="00502D05" w:rsidRPr="001B3715">
        <w:rPr>
          <w:lang w:val="fr-FR"/>
        </w:rPr>
        <w:t>’</w:t>
      </w:r>
      <w:r w:rsidR="00A35BBB" w:rsidRPr="001B3715">
        <w:rPr>
          <w:lang w:val="fr-FR"/>
        </w:rPr>
        <w:t>entrée en fonctions</w:t>
      </w:r>
      <w:r w:rsidR="00F729BF" w:rsidRPr="001B3715">
        <w:rPr>
          <w:lang w:val="fr-FR"/>
        </w:rPr>
        <w:t xml:space="preserve"> </w:t>
      </w:r>
      <w:r w:rsidRPr="001B3715">
        <w:rPr>
          <w:lang w:val="fr-FR"/>
        </w:rPr>
        <w:t>de l</w:t>
      </w:r>
      <w:r w:rsidR="00502D05" w:rsidRPr="001B3715">
        <w:rPr>
          <w:lang w:val="fr-FR"/>
        </w:rPr>
        <w:t>’</w:t>
      </w:r>
      <w:r w:rsidRPr="001B3715">
        <w:rPr>
          <w:lang w:val="fr-FR"/>
        </w:rPr>
        <w:t>Institut ukrainien de la propriété i</w:t>
      </w:r>
      <w:r w:rsidR="00FC58D9" w:rsidRPr="001B3715">
        <w:rPr>
          <w:lang w:val="fr-FR"/>
        </w:rPr>
        <w:t>ntellectu</w:t>
      </w:r>
      <w:r w:rsidRPr="001B3715">
        <w:rPr>
          <w:lang w:val="fr-FR"/>
        </w:rPr>
        <w:t>e</w:t>
      </w:r>
      <w:r w:rsidR="00FC58D9" w:rsidRPr="001B3715">
        <w:rPr>
          <w:lang w:val="fr-FR"/>
        </w:rPr>
        <w:t>l</w:t>
      </w:r>
      <w:r w:rsidRPr="001B3715">
        <w:rPr>
          <w:lang w:val="fr-FR"/>
        </w:rPr>
        <w:t>l</w:t>
      </w:r>
      <w:r w:rsidR="00FC58D9" w:rsidRPr="001B3715">
        <w:rPr>
          <w:lang w:val="fr-FR"/>
        </w:rPr>
        <w:t xml:space="preserve">e </w:t>
      </w:r>
      <w:r w:rsidRPr="001B3715">
        <w:rPr>
          <w:lang w:val="fr-FR"/>
        </w:rPr>
        <w:t>et de l</w:t>
      </w:r>
      <w:r w:rsidR="00502D05" w:rsidRPr="001B3715">
        <w:rPr>
          <w:lang w:val="fr-FR"/>
        </w:rPr>
        <w:t>’</w:t>
      </w:r>
      <w:r w:rsidRPr="001B3715">
        <w:rPr>
          <w:lang w:val="fr-FR"/>
        </w:rPr>
        <w:t xml:space="preserve">Institut des brevets </w:t>
      </w:r>
      <w:r w:rsidR="00FC58D9" w:rsidRPr="001B3715">
        <w:rPr>
          <w:lang w:val="fr-FR"/>
        </w:rPr>
        <w:t>d</w:t>
      </w:r>
      <w:r w:rsidRPr="001B3715">
        <w:rPr>
          <w:lang w:val="fr-FR"/>
        </w:rPr>
        <w:t xml:space="preserve">e </w:t>
      </w:r>
      <w:proofErr w:type="spellStart"/>
      <w:r w:rsidRPr="001B3715">
        <w:rPr>
          <w:lang w:val="fr-FR"/>
        </w:rPr>
        <w:t>Visegrad</w:t>
      </w:r>
      <w:proofErr w:type="spellEnd"/>
      <w:r w:rsidR="00F729BF" w:rsidRPr="001B3715">
        <w:rPr>
          <w:lang w:val="fr-FR"/>
        </w:rPr>
        <w:t xml:space="preserve"> en cours d</w:t>
      </w:r>
      <w:r w:rsidR="00502D05" w:rsidRPr="001B3715">
        <w:rPr>
          <w:lang w:val="fr-FR"/>
        </w:rPr>
        <w:t>’</w:t>
      </w:r>
      <w:r w:rsidR="00F729BF" w:rsidRPr="001B3715">
        <w:rPr>
          <w:lang w:val="fr-FR"/>
        </w:rPr>
        <w:t>année</w:t>
      </w:r>
      <w:r w:rsidR="00FC58D9" w:rsidRPr="001B3715">
        <w:rPr>
          <w:lang w:val="fr-FR"/>
        </w:rPr>
        <w:t xml:space="preserve">.  </w:t>
      </w:r>
      <w:r w:rsidRPr="001B3715">
        <w:rPr>
          <w:lang w:val="fr-FR"/>
        </w:rPr>
        <w:t>L</w:t>
      </w:r>
      <w:r w:rsidR="00502D05" w:rsidRPr="001B3715">
        <w:rPr>
          <w:lang w:val="fr-FR"/>
        </w:rPr>
        <w:t>’</w:t>
      </w:r>
      <w:r w:rsidRPr="001B3715">
        <w:rPr>
          <w:lang w:val="fr-FR"/>
        </w:rPr>
        <w:t>Assemblée de l</w:t>
      </w:r>
      <w:r w:rsidR="00502D05" w:rsidRPr="001B3715">
        <w:rPr>
          <w:lang w:val="fr-FR"/>
        </w:rPr>
        <w:t>’</w:t>
      </w:r>
      <w:r w:rsidRPr="001B3715">
        <w:rPr>
          <w:lang w:val="fr-FR"/>
        </w:rPr>
        <w:t>Union</w:t>
      </w:r>
      <w:r w:rsidR="00347C95" w:rsidRPr="001B3715">
        <w:rPr>
          <w:lang w:val="fr-FR"/>
        </w:rPr>
        <w:t xml:space="preserve"> du PCT</w:t>
      </w:r>
      <w:r w:rsidR="00FC58D9" w:rsidRPr="001B3715">
        <w:rPr>
          <w:lang w:val="fr-FR"/>
        </w:rPr>
        <w:t xml:space="preserve"> </w:t>
      </w:r>
      <w:r w:rsidRPr="001B3715">
        <w:rPr>
          <w:lang w:val="fr-FR"/>
        </w:rPr>
        <w:t>examinera cette année, dans le cadre des assemblées,</w:t>
      </w:r>
      <w:r w:rsidR="00FC58D9" w:rsidRPr="001B3715">
        <w:rPr>
          <w:lang w:val="fr-FR"/>
        </w:rPr>
        <w:t xml:space="preserve"> </w:t>
      </w:r>
      <w:r w:rsidRPr="001B3715">
        <w:rPr>
          <w:lang w:val="fr-FR"/>
        </w:rPr>
        <w:t xml:space="preserve">une </w:t>
      </w:r>
      <w:r w:rsidR="00FC58D9" w:rsidRPr="001B3715">
        <w:rPr>
          <w:lang w:val="fr-FR"/>
        </w:rPr>
        <w:t>propos</w:t>
      </w:r>
      <w:r w:rsidRPr="001B3715">
        <w:rPr>
          <w:lang w:val="fr-FR"/>
        </w:rPr>
        <w:t>ition visant à nommer l</w:t>
      </w:r>
      <w:r w:rsidR="00502D05" w:rsidRPr="001B3715">
        <w:rPr>
          <w:lang w:val="fr-FR"/>
        </w:rPr>
        <w:t>’</w:t>
      </w:r>
      <w:r w:rsidRPr="001B3715">
        <w:rPr>
          <w:lang w:val="fr-FR"/>
        </w:rPr>
        <w:t>Institut turc des brevets en qualité de vingt</w:t>
      </w:r>
      <w:r w:rsidR="00E3770C">
        <w:rPr>
          <w:lang w:val="fr-FR"/>
        </w:rPr>
        <w:noBreakHyphen/>
      </w:r>
      <w:r w:rsidRPr="001B3715">
        <w:rPr>
          <w:lang w:val="fr-FR"/>
        </w:rPr>
        <w:t>deuxième admin</w:t>
      </w:r>
      <w:r w:rsidR="00242A9F" w:rsidRPr="001B3715">
        <w:rPr>
          <w:lang w:val="fr-FR"/>
        </w:rPr>
        <w:t>i</w:t>
      </w:r>
      <w:r w:rsidRPr="001B3715">
        <w:rPr>
          <w:lang w:val="fr-FR"/>
        </w:rPr>
        <w:t>stration internati</w:t>
      </w:r>
      <w:r w:rsidR="00242A9F" w:rsidRPr="001B3715">
        <w:rPr>
          <w:lang w:val="fr-FR"/>
        </w:rPr>
        <w:t>o</w:t>
      </w:r>
      <w:r w:rsidRPr="001B3715">
        <w:rPr>
          <w:lang w:val="fr-FR"/>
        </w:rPr>
        <w:t>n</w:t>
      </w:r>
      <w:r w:rsidR="00242A9F" w:rsidRPr="001B3715">
        <w:rPr>
          <w:lang w:val="fr-FR"/>
        </w:rPr>
        <w:t>ale</w:t>
      </w:r>
      <w:r w:rsidR="00FC58D9" w:rsidRPr="001B3715">
        <w:rPr>
          <w:lang w:val="fr-FR"/>
        </w:rPr>
        <w:t>.</w:t>
      </w:r>
    </w:p>
    <w:p w14:paraId="2F59D73B" w14:textId="02995569" w:rsidR="00AF5C64" w:rsidRPr="001B3715" w:rsidRDefault="00242A9F" w:rsidP="00137CB3">
      <w:pPr>
        <w:pStyle w:val="ONUMFS"/>
        <w:rPr>
          <w:lang w:val="fr-FR"/>
        </w:rPr>
      </w:pPr>
      <w:r w:rsidRPr="001B3715">
        <w:rPr>
          <w:lang w:val="fr-FR"/>
        </w:rPr>
        <w:t>Le Bureau i</w:t>
      </w:r>
      <w:r w:rsidR="00FC58D9" w:rsidRPr="001B3715">
        <w:rPr>
          <w:lang w:val="fr-FR"/>
        </w:rPr>
        <w:t xml:space="preserve">nternational continue </w:t>
      </w:r>
      <w:r w:rsidRPr="001B3715">
        <w:rPr>
          <w:lang w:val="fr-FR"/>
        </w:rPr>
        <w:t>de ré</w:t>
      </w:r>
      <w:r w:rsidR="00FC58D9" w:rsidRPr="001B3715">
        <w:rPr>
          <w:lang w:val="fr-FR"/>
        </w:rPr>
        <w:t>pond</w:t>
      </w:r>
      <w:r w:rsidRPr="001B3715">
        <w:rPr>
          <w:lang w:val="fr-FR"/>
        </w:rPr>
        <w:t>re</w:t>
      </w:r>
      <w:r w:rsidR="00FC58D9" w:rsidRPr="001B3715">
        <w:rPr>
          <w:lang w:val="fr-FR"/>
        </w:rPr>
        <w:t xml:space="preserve"> </w:t>
      </w:r>
      <w:r w:rsidRPr="001B3715">
        <w:rPr>
          <w:lang w:val="fr-FR"/>
        </w:rPr>
        <w:t>aux besoins des déposants actuels et potentiels par le biais d</w:t>
      </w:r>
      <w:r w:rsidR="00502D05" w:rsidRPr="001B3715">
        <w:rPr>
          <w:lang w:val="fr-FR"/>
        </w:rPr>
        <w:t>’</w:t>
      </w:r>
      <w:r w:rsidRPr="001B3715">
        <w:rPr>
          <w:lang w:val="fr-FR"/>
        </w:rPr>
        <w:t xml:space="preserve">activités de sensibilisation, de formation et </w:t>
      </w:r>
      <w:r w:rsidR="00FC58D9" w:rsidRPr="001B3715">
        <w:rPr>
          <w:lang w:val="fr-FR"/>
        </w:rPr>
        <w:t>d</w:t>
      </w:r>
      <w:r w:rsidRPr="001B3715">
        <w:rPr>
          <w:lang w:val="fr-FR"/>
        </w:rPr>
        <w:t>e</w:t>
      </w:r>
      <w:r w:rsidR="00FC58D9" w:rsidRPr="001B3715">
        <w:rPr>
          <w:lang w:val="fr-FR"/>
        </w:rPr>
        <w:t xml:space="preserve"> service</w:t>
      </w:r>
      <w:r w:rsidR="00137CB3" w:rsidRPr="001B3715">
        <w:rPr>
          <w:lang w:val="fr-FR"/>
        </w:rPr>
        <w:t>s</w:t>
      </w:r>
      <w:r w:rsidR="00FC58D9" w:rsidRPr="001B3715">
        <w:rPr>
          <w:lang w:val="fr-FR"/>
        </w:rPr>
        <w:t xml:space="preserve"> </w:t>
      </w:r>
      <w:r w:rsidRPr="001B3715">
        <w:rPr>
          <w:lang w:val="fr-FR"/>
        </w:rPr>
        <w:t>à la clientè</w:t>
      </w:r>
      <w:r w:rsidR="001B3715" w:rsidRPr="001B3715">
        <w:rPr>
          <w:lang w:val="fr-FR"/>
        </w:rPr>
        <w:t>le.  Un</w:t>
      </w:r>
      <w:r w:rsidRPr="001B3715">
        <w:rPr>
          <w:lang w:val="fr-FR"/>
        </w:rPr>
        <w:t xml:space="preserve">e enquête approfondie </w:t>
      </w:r>
      <w:r w:rsidR="002F6885" w:rsidRPr="001B3715">
        <w:rPr>
          <w:lang w:val="fr-FR"/>
        </w:rPr>
        <w:t>portant sur le</w:t>
      </w:r>
      <w:r w:rsidRPr="001B3715">
        <w:rPr>
          <w:lang w:val="fr-FR"/>
        </w:rPr>
        <w:t>s utilisateurs du système</w:t>
      </w:r>
      <w:r w:rsidR="00347C95" w:rsidRPr="001B3715">
        <w:rPr>
          <w:lang w:val="fr-FR"/>
        </w:rPr>
        <w:t xml:space="preserve"> du PCT</w:t>
      </w:r>
      <w:r w:rsidR="00FC58D9" w:rsidRPr="001B3715">
        <w:rPr>
          <w:lang w:val="fr-FR"/>
        </w:rPr>
        <w:t xml:space="preserve"> </w:t>
      </w:r>
      <w:r w:rsidRPr="001B3715">
        <w:rPr>
          <w:lang w:val="fr-FR"/>
        </w:rPr>
        <w:t xml:space="preserve">a été </w:t>
      </w:r>
      <w:r w:rsidR="002F6885" w:rsidRPr="001B3715">
        <w:rPr>
          <w:lang w:val="fr-FR"/>
        </w:rPr>
        <w:t>men</w:t>
      </w:r>
      <w:r w:rsidRPr="001B3715">
        <w:rPr>
          <w:lang w:val="fr-FR"/>
        </w:rPr>
        <w:t>ée en</w:t>
      </w:r>
      <w:r w:rsidR="002F6885" w:rsidRPr="001B3715">
        <w:rPr>
          <w:lang w:val="fr-FR"/>
        </w:rPr>
        <w:t> </w:t>
      </w:r>
      <w:r w:rsidR="00FC58D9" w:rsidRPr="001B3715">
        <w:rPr>
          <w:lang w:val="fr-FR"/>
        </w:rPr>
        <w:t xml:space="preserve">2015 </w:t>
      </w:r>
      <w:r w:rsidR="002F6885" w:rsidRPr="001B3715">
        <w:rPr>
          <w:lang w:val="fr-FR"/>
        </w:rPr>
        <w:t>afi</w:t>
      </w:r>
      <w:r w:rsidRPr="001B3715">
        <w:rPr>
          <w:lang w:val="fr-FR"/>
        </w:rPr>
        <w:t>n d</w:t>
      </w:r>
      <w:r w:rsidR="00502D05" w:rsidRPr="001B3715">
        <w:rPr>
          <w:lang w:val="fr-FR"/>
        </w:rPr>
        <w:t>’</w:t>
      </w:r>
      <w:r w:rsidRPr="001B3715">
        <w:rPr>
          <w:lang w:val="fr-FR"/>
        </w:rPr>
        <w:t xml:space="preserve">évaluer le taux de </w:t>
      </w:r>
      <w:r w:rsidR="00FC58D9" w:rsidRPr="001B3715">
        <w:rPr>
          <w:lang w:val="fr-FR"/>
        </w:rPr>
        <w:t xml:space="preserve">satisfaction </w:t>
      </w:r>
      <w:r w:rsidR="002F6885" w:rsidRPr="001B3715">
        <w:rPr>
          <w:lang w:val="fr-FR"/>
        </w:rPr>
        <w:t>quant aux</w:t>
      </w:r>
      <w:r w:rsidRPr="001B3715">
        <w:rPr>
          <w:lang w:val="fr-FR"/>
        </w:rPr>
        <w:t xml:space="preserve"> </w:t>
      </w:r>
      <w:r w:rsidR="00FC58D9" w:rsidRPr="001B3715">
        <w:rPr>
          <w:lang w:val="fr-FR"/>
        </w:rPr>
        <w:t xml:space="preserve">services </w:t>
      </w:r>
      <w:r w:rsidRPr="001B3715">
        <w:rPr>
          <w:lang w:val="fr-FR"/>
        </w:rPr>
        <w:t xml:space="preserve">fournis par le Bureau </w:t>
      </w:r>
      <w:r w:rsidR="00FC58D9" w:rsidRPr="001B3715">
        <w:rPr>
          <w:lang w:val="fr-FR"/>
        </w:rPr>
        <w:t>i</w:t>
      </w:r>
      <w:r w:rsidRPr="001B3715">
        <w:rPr>
          <w:lang w:val="fr-FR"/>
        </w:rPr>
        <w:t>nternational</w:t>
      </w:r>
      <w:r w:rsidR="00FC58D9" w:rsidRPr="001B3715">
        <w:rPr>
          <w:lang w:val="fr-FR"/>
        </w:rPr>
        <w:t xml:space="preserve">, </w:t>
      </w:r>
      <w:r w:rsidRPr="001B3715">
        <w:rPr>
          <w:lang w:val="fr-FR"/>
        </w:rPr>
        <w:t xml:space="preserve">les offices </w:t>
      </w:r>
      <w:r w:rsidR="00FC58D9" w:rsidRPr="001B3715">
        <w:rPr>
          <w:lang w:val="fr-FR"/>
        </w:rPr>
        <w:t>r</w:t>
      </w:r>
      <w:r w:rsidRPr="001B3715">
        <w:rPr>
          <w:lang w:val="fr-FR"/>
        </w:rPr>
        <w:t>é</w:t>
      </w:r>
      <w:r w:rsidR="00FC58D9" w:rsidRPr="001B3715">
        <w:rPr>
          <w:lang w:val="fr-FR"/>
        </w:rPr>
        <w:t>ce</w:t>
      </w:r>
      <w:r w:rsidRPr="001B3715">
        <w:rPr>
          <w:lang w:val="fr-FR"/>
        </w:rPr>
        <w:t>pteurs et les administration</w:t>
      </w:r>
      <w:r w:rsidR="00FC58D9" w:rsidRPr="001B3715">
        <w:rPr>
          <w:lang w:val="fr-FR"/>
        </w:rPr>
        <w:t>s international</w:t>
      </w:r>
      <w:r w:rsidR="001B3715" w:rsidRPr="001B3715">
        <w:rPr>
          <w:lang w:val="fr-FR"/>
        </w:rPr>
        <w:t>es.  Ce</w:t>
      </w:r>
      <w:r w:rsidRPr="001B3715">
        <w:rPr>
          <w:lang w:val="fr-FR"/>
        </w:rPr>
        <w:t xml:space="preserve">tte </w:t>
      </w:r>
      <w:r w:rsidR="002F6885" w:rsidRPr="001B3715">
        <w:rPr>
          <w:lang w:val="fr-FR"/>
        </w:rPr>
        <w:t>enquête</w:t>
      </w:r>
      <w:r w:rsidRPr="001B3715">
        <w:rPr>
          <w:lang w:val="fr-FR"/>
        </w:rPr>
        <w:t xml:space="preserve"> </w:t>
      </w:r>
      <w:r w:rsidR="002F6885" w:rsidRPr="001B3715">
        <w:rPr>
          <w:lang w:val="fr-FR"/>
        </w:rPr>
        <w:t>faisait suite à un exe</w:t>
      </w:r>
      <w:r w:rsidRPr="001B3715">
        <w:rPr>
          <w:lang w:val="fr-FR"/>
        </w:rPr>
        <w:t xml:space="preserve">rcice similaire </w:t>
      </w:r>
      <w:r w:rsidR="002F6885" w:rsidRPr="001B3715">
        <w:rPr>
          <w:lang w:val="fr-FR"/>
        </w:rPr>
        <w:t>réalisé</w:t>
      </w:r>
      <w:r w:rsidRPr="001B3715">
        <w:rPr>
          <w:lang w:val="fr-FR"/>
        </w:rPr>
        <w:t xml:space="preserve"> en </w:t>
      </w:r>
      <w:r w:rsidR="00FC58D9" w:rsidRPr="001B3715">
        <w:rPr>
          <w:lang w:val="fr-FR"/>
        </w:rPr>
        <w:t xml:space="preserve">2009.  </w:t>
      </w:r>
      <w:r w:rsidRPr="001B3715">
        <w:rPr>
          <w:lang w:val="fr-FR"/>
        </w:rPr>
        <w:t>Plus d</w:t>
      </w:r>
      <w:r w:rsidR="00FC58D9" w:rsidRPr="001B3715">
        <w:rPr>
          <w:lang w:val="fr-FR"/>
        </w:rPr>
        <w:t>e</w:t>
      </w:r>
      <w:r w:rsidR="005F5036" w:rsidRPr="001B3715">
        <w:rPr>
          <w:lang w:val="fr-FR"/>
        </w:rPr>
        <w:t> </w:t>
      </w:r>
      <w:r w:rsidR="00FC58D9" w:rsidRPr="001B3715">
        <w:rPr>
          <w:lang w:val="fr-FR"/>
        </w:rPr>
        <w:t>1000</w:t>
      </w:r>
      <w:r w:rsidR="002F6885" w:rsidRPr="001B3715">
        <w:rPr>
          <w:lang w:val="fr-FR"/>
        </w:rPr>
        <w:t> </w:t>
      </w:r>
      <w:r w:rsidR="00FC58D9" w:rsidRPr="001B3715">
        <w:rPr>
          <w:lang w:val="fr-FR"/>
        </w:rPr>
        <w:t>u</w:t>
      </w:r>
      <w:r w:rsidRPr="001B3715">
        <w:rPr>
          <w:lang w:val="fr-FR"/>
        </w:rPr>
        <w:t xml:space="preserve">tilisateurs </w:t>
      </w:r>
      <w:r w:rsidR="00F729BF" w:rsidRPr="001B3715">
        <w:rPr>
          <w:lang w:val="fr-FR"/>
        </w:rPr>
        <w:t xml:space="preserve">y </w:t>
      </w:r>
      <w:r w:rsidRPr="001B3715">
        <w:rPr>
          <w:lang w:val="fr-FR"/>
        </w:rPr>
        <w:t xml:space="preserve">ont </w:t>
      </w:r>
      <w:r w:rsidR="002F6885" w:rsidRPr="001B3715">
        <w:rPr>
          <w:lang w:val="fr-FR"/>
        </w:rPr>
        <w:t>partici</w:t>
      </w:r>
      <w:r w:rsidR="001B3715" w:rsidRPr="001B3715">
        <w:rPr>
          <w:lang w:val="fr-FR"/>
        </w:rPr>
        <w:t>pé.  L’i</w:t>
      </w:r>
      <w:r w:rsidR="002F6885" w:rsidRPr="001B3715">
        <w:rPr>
          <w:lang w:val="fr-FR"/>
        </w:rPr>
        <w:t>ndice d</w:t>
      </w:r>
      <w:r w:rsidR="00FC58D9" w:rsidRPr="001B3715">
        <w:rPr>
          <w:lang w:val="fr-FR"/>
        </w:rPr>
        <w:t xml:space="preserve">e satisfaction </w:t>
      </w:r>
      <w:r w:rsidR="002F6885" w:rsidRPr="001B3715">
        <w:rPr>
          <w:lang w:val="fr-FR"/>
        </w:rPr>
        <w:t>générale concernant les services fournis par le Bureau international dans le cadre</w:t>
      </w:r>
      <w:r w:rsidR="00347C95" w:rsidRPr="001B3715">
        <w:rPr>
          <w:lang w:val="fr-FR"/>
        </w:rPr>
        <w:t xml:space="preserve"> du PCT</w:t>
      </w:r>
      <w:r w:rsidR="00FC58D9" w:rsidRPr="001B3715">
        <w:rPr>
          <w:lang w:val="fr-FR"/>
        </w:rPr>
        <w:t xml:space="preserve"> </w:t>
      </w:r>
      <w:r w:rsidR="002F6885" w:rsidRPr="001B3715">
        <w:rPr>
          <w:lang w:val="fr-FR"/>
        </w:rPr>
        <w:t>était de</w:t>
      </w:r>
      <w:r w:rsidR="00FC58D9" w:rsidRPr="001B3715">
        <w:rPr>
          <w:lang w:val="fr-FR"/>
        </w:rPr>
        <w:t xml:space="preserve"> 89%, </w:t>
      </w:r>
      <w:r w:rsidR="002F6885" w:rsidRPr="001B3715">
        <w:rPr>
          <w:lang w:val="fr-FR"/>
        </w:rPr>
        <w:t>dénotant dans tous les domaines une nette amélioration par rapport à </w:t>
      </w:r>
      <w:r w:rsidR="00FC58D9" w:rsidRPr="001B3715">
        <w:rPr>
          <w:lang w:val="fr-FR"/>
        </w:rPr>
        <w:t xml:space="preserve">2009.  </w:t>
      </w:r>
      <w:r w:rsidR="00137CB3" w:rsidRPr="001B3715">
        <w:rPr>
          <w:lang w:val="fr-FR"/>
        </w:rPr>
        <w:t>L</w:t>
      </w:r>
      <w:r w:rsidR="00502D05" w:rsidRPr="001B3715">
        <w:rPr>
          <w:lang w:val="fr-FR"/>
        </w:rPr>
        <w:t>’</w:t>
      </w:r>
      <w:r w:rsidR="002F6885" w:rsidRPr="001B3715">
        <w:rPr>
          <w:lang w:val="fr-FR"/>
        </w:rPr>
        <w:t xml:space="preserve">année prochaine, nous examinerons les améliorations </w:t>
      </w:r>
      <w:r w:rsidR="00640BF2" w:rsidRPr="001B3715">
        <w:rPr>
          <w:lang w:val="fr-FR"/>
        </w:rPr>
        <w:t xml:space="preserve">qui </w:t>
      </w:r>
      <w:r w:rsidR="002F6885" w:rsidRPr="001B3715">
        <w:rPr>
          <w:lang w:val="fr-FR"/>
        </w:rPr>
        <w:t>p</w:t>
      </w:r>
      <w:r w:rsidR="00640BF2" w:rsidRPr="001B3715">
        <w:rPr>
          <w:lang w:val="fr-FR"/>
        </w:rPr>
        <w:t>e</w:t>
      </w:r>
      <w:r w:rsidR="002F6885" w:rsidRPr="001B3715">
        <w:rPr>
          <w:lang w:val="fr-FR"/>
        </w:rPr>
        <w:t>uv</w:t>
      </w:r>
      <w:r w:rsidR="00640BF2" w:rsidRPr="001B3715">
        <w:rPr>
          <w:lang w:val="fr-FR"/>
        </w:rPr>
        <w:t>e</w:t>
      </w:r>
      <w:r w:rsidR="002F6885" w:rsidRPr="001B3715">
        <w:rPr>
          <w:lang w:val="fr-FR"/>
        </w:rPr>
        <w:t>nt être apportées aux services de l</w:t>
      </w:r>
      <w:r w:rsidR="00502D05" w:rsidRPr="001B3715">
        <w:rPr>
          <w:lang w:val="fr-FR"/>
        </w:rPr>
        <w:t>’</w:t>
      </w:r>
      <w:r w:rsidR="002F6885" w:rsidRPr="001B3715">
        <w:rPr>
          <w:lang w:val="fr-FR"/>
        </w:rPr>
        <w:t xml:space="preserve">OMPI </w:t>
      </w:r>
      <w:r w:rsidR="00640BF2" w:rsidRPr="001B3715">
        <w:rPr>
          <w:lang w:val="fr-FR"/>
        </w:rPr>
        <w:t xml:space="preserve">en tenant compte </w:t>
      </w:r>
      <w:r w:rsidR="002F6885" w:rsidRPr="001B3715">
        <w:rPr>
          <w:lang w:val="fr-FR"/>
        </w:rPr>
        <w:t xml:space="preserve">des </w:t>
      </w:r>
      <w:r w:rsidR="00FC58D9" w:rsidRPr="001B3715">
        <w:rPr>
          <w:lang w:val="fr-FR"/>
        </w:rPr>
        <w:t>suggest</w:t>
      </w:r>
      <w:r w:rsidR="002F6885" w:rsidRPr="001B3715">
        <w:rPr>
          <w:lang w:val="fr-FR"/>
        </w:rPr>
        <w:t xml:space="preserve">ions des utilisateurs et nous avons relayé les </w:t>
      </w:r>
      <w:r w:rsidR="00640BF2" w:rsidRPr="001B3715">
        <w:rPr>
          <w:lang w:val="fr-FR"/>
        </w:rPr>
        <w:t xml:space="preserve">points précis </w:t>
      </w:r>
      <w:r w:rsidR="002F6885" w:rsidRPr="001B3715">
        <w:rPr>
          <w:lang w:val="fr-FR"/>
        </w:rPr>
        <w:t>soulevés par les p</w:t>
      </w:r>
      <w:r w:rsidR="00C15B82" w:rsidRPr="001B3715">
        <w:rPr>
          <w:lang w:val="fr-FR"/>
        </w:rPr>
        <w:t>a</w:t>
      </w:r>
      <w:r w:rsidR="002F6885" w:rsidRPr="001B3715">
        <w:rPr>
          <w:lang w:val="fr-FR"/>
        </w:rPr>
        <w:t>rtic</w:t>
      </w:r>
      <w:r w:rsidR="00C15B82" w:rsidRPr="001B3715">
        <w:rPr>
          <w:lang w:val="fr-FR"/>
        </w:rPr>
        <w:t>ip</w:t>
      </w:r>
      <w:r w:rsidR="002F6885" w:rsidRPr="001B3715">
        <w:rPr>
          <w:lang w:val="fr-FR"/>
        </w:rPr>
        <w:t>ants c</w:t>
      </w:r>
      <w:r w:rsidR="00C15B82" w:rsidRPr="001B3715">
        <w:rPr>
          <w:lang w:val="fr-FR"/>
        </w:rPr>
        <w:t>o</w:t>
      </w:r>
      <w:r w:rsidR="002F6885" w:rsidRPr="001B3715">
        <w:rPr>
          <w:lang w:val="fr-FR"/>
        </w:rPr>
        <w:t>ncernant les services fournis par d</w:t>
      </w:r>
      <w:r w:rsidR="00502D05" w:rsidRPr="001B3715">
        <w:rPr>
          <w:lang w:val="fr-FR"/>
        </w:rPr>
        <w:t>’</w:t>
      </w:r>
      <w:r w:rsidR="002F6885" w:rsidRPr="001B3715">
        <w:rPr>
          <w:lang w:val="fr-FR"/>
        </w:rPr>
        <w:t xml:space="preserve">autres offices dans </w:t>
      </w:r>
      <w:r w:rsidR="00C15B82" w:rsidRPr="001B3715">
        <w:rPr>
          <w:lang w:val="fr-FR"/>
        </w:rPr>
        <w:t>le cadre</w:t>
      </w:r>
      <w:r w:rsidR="00347C95" w:rsidRPr="001B3715">
        <w:rPr>
          <w:lang w:val="fr-FR"/>
        </w:rPr>
        <w:t xml:space="preserve"> du PCT</w:t>
      </w:r>
      <w:r w:rsidR="00FC58D9" w:rsidRPr="001B3715">
        <w:rPr>
          <w:lang w:val="fr-FR"/>
        </w:rPr>
        <w:t>.</w:t>
      </w:r>
    </w:p>
    <w:p w14:paraId="12FC7CB1" w14:textId="3DD9B8BC" w:rsidR="00AF5C64" w:rsidRPr="001B3715" w:rsidRDefault="003056BB" w:rsidP="00137CB3">
      <w:pPr>
        <w:pStyle w:val="ONUMFS"/>
        <w:rPr>
          <w:lang w:val="fr-FR"/>
        </w:rPr>
      </w:pPr>
      <w:r w:rsidRPr="001B3715">
        <w:rPr>
          <w:b/>
          <w:lang w:val="fr-FR"/>
        </w:rPr>
        <w:t>S</w:t>
      </w:r>
      <w:r w:rsidR="00C15B82" w:rsidRPr="001B3715">
        <w:rPr>
          <w:b/>
          <w:lang w:val="fr-FR"/>
        </w:rPr>
        <w:t>ystème de</w:t>
      </w:r>
      <w:r w:rsidR="00333FFC" w:rsidRPr="001B3715">
        <w:rPr>
          <w:b/>
          <w:lang w:val="fr-FR"/>
        </w:rPr>
        <w:t xml:space="preserve"> Madr</w:t>
      </w:r>
      <w:r w:rsidR="001B3715" w:rsidRPr="001B3715">
        <w:rPr>
          <w:b/>
          <w:lang w:val="fr-FR"/>
        </w:rPr>
        <w:t xml:space="preserve">id.  </w:t>
      </w:r>
      <w:r w:rsidR="001B3715" w:rsidRPr="001B3715">
        <w:rPr>
          <w:lang w:val="fr-FR"/>
        </w:rPr>
        <w:t>Le</w:t>
      </w:r>
      <w:r w:rsidR="00C15B82" w:rsidRPr="001B3715">
        <w:rPr>
          <w:lang w:val="fr-FR"/>
        </w:rPr>
        <w:t xml:space="preserve"> nombre de membres du système de Madrid a continué de progresser</w:t>
      </w:r>
      <w:r w:rsidR="00333FFC" w:rsidRPr="001B3715">
        <w:rPr>
          <w:lang w:val="fr-FR"/>
        </w:rPr>
        <w:t xml:space="preserve">, </w:t>
      </w:r>
      <w:r w:rsidR="00C15B82" w:rsidRPr="001B3715">
        <w:rPr>
          <w:lang w:val="fr-FR"/>
        </w:rPr>
        <w:t>bien qu</w:t>
      </w:r>
      <w:r w:rsidR="00502D05" w:rsidRPr="001B3715">
        <w:rPr>
          <w:lang w:val="fr-FR"/>
        </w:rPr>
        <w:t>’</w:t>
      </w:r>
      <w:r w:rsidR="00C15B82" w:rsidRPr="001B3715">
        <w:rPr>
          <w:lang w:val="fr-FR"/>
        </w:rPr>
        <w:t xml:space="preserve">à un rythme </w:t>
      </w:r>
      <w:r w:rsidR="00137CB3" w:rsidRPr="001B3715">
        <w:rPr>
          <w:lang w:val="fr-FR"/>
        </w:rPr>
        <w:t>moins éle</w:t>
      </w:r>
      <w:r w:rsidR="001B3715" w:rsidRPr="001B3715">
        <w:rPr>
          <w:lang w:val="fr-FR"/>
        </w:rPr>
        <w:t>vé.  De</w:t>
      </w:r>
      <w:r w:rsidR="00C15B82" w:rsidRPr="001B3715">
        <w:rPr>
          <w:lang w:val="fr-FR"/>
        </w:rPr>
        <w:t>puis les assemblées d</w:t>
      </w:r>
      <w:r w:rsidR="00333FFC" w:rsidRPr="001B3715">
        <w:rPr>
          <w:lang w:val="fr-FR"/>
        </w:rPr>
        <w:t>e</w:t>
      </w:r>
      <w:r w:rsidR="00C15B82" w:rsidRPr="001B3715">
        <w:rPr>
          <w:lang w:val="fr-FR"/>
        </w:rPr>
        <w:t> </w:t>
      </w:r>
      <w:r w:rsidR="00333FFC" w:rsidRPr="001B3715">
        <w:rPr>
          <w:lang w:val="fr-FR"/>
        </w:rPr>
        <w:t xml:space="preserve">2015, </w:t>
      </w:r>
      <w:r w:rsidR="00C15B82" w:rsidRPr="001B3715">
        <w:rPr>
          <w:lang w:val="fr-FR"/>
        </w:rPr>
        <w:t>la République démocratique populaire l</w:t>
      </w:r>
      <w:r w:rsidR="00333FFC" w:rsidRPr="001B3715">
        <w:rPr>
          <w:lang w:val="fr-FR"/>
        </w:rPr>
        <w:t xml:space="preserve">ao </w:t>
      </w:r>
      <w:r w:rsidR="00C15B82" w:rsidRPr="001B3715">
        <w:rPr>
          <w:lang w:val="fr-FR"/>
        </w:rPr>
        <w:t>a adhéré au s</w:t>
      </w:r>
      <w:r w:rsidR="00333FFC" w:rsidRPr="001B3715">
        <w:rPr>
          <w:lang w:val="fr-FR"/>
        </w:rPr>
        <w:t>yst</w:t>
      </w:r>
      <w:r w:rsidR="00C15B82" w:rsidRPr="001B3715">
        <w:rPr>
          <w:lang w:val="fr-FR"/>
        </w:rPr>
        <w:t>è</w:t>
      </w:r>
      <w:r w:rsidR="00333FFC" w:rsidRPr="001B3715">
        <w:rPr>
          <w:lang w:val="fr-FR"/>
        </w:rPr>
        <w:t>m</w:t>
      </w:r>
      <w:r w:rsidR="00C15B82" w:rsidRPr="001B3715">
        <w:rPr>
          <w:lang w:val="fr-FR"/>
        </w:rPr>
        <w:t>e</w:t>
      </w:r>
      <w:r w:rsidR="00333FFC" w:rsidRPr="001B3715">
        <w:rPr>
          <w:lang w:val="fr-FR"/>
        </w:rPr>
        <w:t xml:space="preserve">, </w:t>
      </w:r>
      <w:r w:rsidR="00C15B82" w:rsidRPr="001B3715">
        <w:rPr>
          <w:lang w:val="fr-FR"/>
        </w:rPr>
        <w:t xml:space="preserve">ce qui porte à 97 le nombre de </w:t>
      </w:r>
      <w:r w:rsidR="00640BF2" w:rsidRPr="001B3715">
        <w:rPr>
          <w:lang w:val="fr-FR"/>
        </w:rPr>
        <w:t>p</w:t>
      </w:r>
      <w:r w:rsidR="00C15B82" w:rsidRPr="001B3715">
        <w:rPr>
          <w:lang w:val="fr-FR"/>
        </w:rPr>
        <w:t>arties c</w:t>
      </w:r>
      <w:r w:rsidR="00333FFC" w:rsidRPr="001B3715">
        <w:rPr>
          <w:lang w:val="fr-FR"/>
        </w:rPr>
        <w:t>ontract</w:t>
      </w:r>
      <w:r w:rsidR="00C15B82" w:rsidRPr="001B3715">
        <w:rPr>
          <w:lang w:val="fr-FR"/>
        </w:rPr>
        <w:t>antes</w:t>
      </w:r>
      <w:r w:rsidR="00333FFC" w:rsidRPr="001B3715">
        <w:rPr>
          <w:lang w:val="fr-FR"/>
        </w:rPr>
        <w:t>, co</w:t>
      </w:r>
      <w:r w:rsidR="00C15B82" w:rsidRPr="001B3715">
        <w:rPr>
          <w:lang w:val="fr-FR"/>
        </w:rPr>
        <w:t>uvrant un total de 113 pays</w:t>
      </w:r>
      <w:r w:rsidR="00333FFC" w:rsidRPr="001B3715">
        <w:rPr>
          <w:lang w:val="fr-FR"/>
        </w:rPr>
        <w:t xml:space="preserve"> (</w:t>
      </w:r>
      <w:r w:rsidR="00C15B82" w:rsidRPr="001B3715">
        <w:rPr>
          <w:lang w:val="fr-FR"/>
        </w:rPr>
        <w:t>du fait de l</w:t>
      </w:r>
      <w:r w:rsidR="00502D05" w:rsidRPr="001B3715">
        <w:rPr>
          <w:lang w:val="fr-FR"/>
        </w:rPr>
        <w:t>’</w:t>
      </w:r>
      <w:r w:rsidR="00C15B82" w:rsidRPr="001B3715">
        <w:rPr>
          <w:lang w:val="fr-FR"/>
        </w:rPr>
        <w:t>adhésion de certains pays à des systèmes de marques régiona</w:t>
      </w:r>
      <w:r w:rsidR="001B3715" w:rsidRPr="001B3715">
        <w:rPr>
          <w:lang w:val="fr-FR"/>
        </w:rPr>
        <w:t>ux).  To</w:t>
      </w:r>
      <w:r w:rsidR="00C15B82" w:rsidRPr="001B3715">
        <w:rPr>
          <w:lang w:val="fr-FR"/>
        </w:rPr>
        <w:t>utes les</w:t>
      </w:r>
      <w:r w:rsidR="00333FFC" w:rsidRPr="001B3715">
        <w:rPr>
          <w:lang w:val="fr-FR"/>
        </w:rPr>
        <w:t xml:space="preserve"> r</w:t>
      </w:r>
      <w:r w:rsidR="00C15B82" w:rsidRPr="001B3715">
        <w:rPr>
          <w:lang w:val="fr-FR"/>
        </w:rPr>
        <w:t>é</w:t>
      </w:r>
      <w:r w:rsidR="00333FFC" w:rsidRPr="001B3715">
        <w:rPr>
          <w:lang w:val="fr-FR"/>
        </w:rPr>
        <w:t xml:space="preserve">gions </w:t>
      </w:r>
      <w:r w:rsidR="00C15B82" w:rsidRPr="001B3715">
        <w:rPr>
          <w:lang w:val="fr-FR"/>
        </w:rPr>
        <w:t>du monde sont désormais représentées dans le système et</w:t>
      </w:r>
      <w:r w:rsidR="00333FFC" w:rsidRPr="001B3715">
        <w:rPr>
          <w:lang w:val="fr-FR"/>
        </w:rPr>
        <w:t xml:space="preserve"> </w:t>
      </w:r>
      <w:r w:rsidR="00C15B82" w:rsidRPr="001B3715">
        <w:rPr>
          <w:lang w:val="fr-FR"/>
        </w:rPr>
        <w:t>l</w:t>
      </w:r>
      <w:r w:rsidR="00333FFC" w:rsidRPr="001B3715">
        <w:rPr>
          <w:lang w:val="fr-FR"/>
        </w:rPr>
        <w:t xml:space="preserve">e </w:t>
      </w:r>
      <w:r w:rsidR="00C15B82" w:rsidRPr="001B3715">
        <w:rPr>
          <w:lang w:val="fr-FR"/>
        </w:rPr>
        <w:t>Bureau i</w:t>
      </w:r>
      <w:r w:rsidR="00333FFC" w:rsidRPr="001B3715">
        <w:rPr>
          <w:lang w:val="fr-FR"/>
        </w:rPr>
        <w:t xml:space="preserve">nternational </w:t>
      </w:r>
      <w:r w:rsidR="00793386" w:rsidRPr="001B3715">
        <w:rPr>
          <w:lang w:val="fr-FR"/>
        </w:rPr>
        <w:t>déploie des efforts considérable</w:t>
      </w:r>
      <w:r w:rsidR="00C15B82" w:rsidRPr="001B3715">
        <w:rPr>
          <w:lang w:val="fr-FR"/>
        </w:rPr>
        <w:t>s</w:t>
      </w:r>
      <w:r w:rsidR="00793386" w:rsidRPr="001B3715">
        <w:rPr>
          <w:lang w:val="fr-FR"/>
        </w:rPr>
        <w:t xml:space="preserve"> auprès</w:t>
      </w:r>
      <w:r w:rsidR="00C15B82" w:rsidRPr="001B3715">
        <w:rPr>
          <w:lang w:val="fr-FR"/>
        </w:rPr>
        <w:t xml:space="preserve"> </w:t>
      </w:r>
      <w:r w:rsidR="00793386" w:rsidRPr="001B3715">
        <w:rPr>
          <w:lang w:val="fr-FR"/>
        </w:rPr>
        <w:t>d</w:t>
      </w:r>
      <w:r w:rsidR="00502D05" w:rsidRPr="001B3715">
        <w:rPr>
          <w:lang w:val="fr-FR"/>
        </w:rPr>
        <w:t>’</w:t>
      </w:r>
      <w:r w:rsidR="00C15B82" w:rsidRPr="001B3715">
        <w:rPr>
          <w:lang w:val="fr-FR"/>
        </w:rPr>
        <w:t>un certa</w:t>
      </w:r>
      <w:r w:rsidR="0042741E" w:rsidRPr="001B3715">
        <w:rPr>
          <w:lang w:val="fr-FR"/>
        </w:rPr>
        <w:t>in nombre de membres potentie</w:t>
      </w:r>
      <w:r w:rsidR="001B3715" w:rsidRPr="001B3715">
        <w:rPr>
          <w:lang w:val="fr-FR"/>
        </w:rPr>
        <w:t>ls.  Pl</w:t>
      </w:r>
      <w:r w:rsidR="0042741E" w:rsidRPr="001B3715">
        <w:rPr>
          <w:lang w:val="fr-FR"/>
        </w:rPr>
        <w:t>usieurs nouveaux membres devraient ainsi adhérer au système l</w:t>
      </w:r>
      <w:r w:rsidR="00502D05" w:rsidRPr="001B3715">
        <w:rPr>
          <w:lang w:val="fr-FR"/>
        </w:rPr>
        <w:t>’</w:t>
      </w:r>
      <w:r w:rsidR="0042741E" w:rsidRPr="001B3715">
        <w:rPr>
          <w:lang w:val="fr-FR"/>
        </w:rPr>
        <w:t>an prochain</w:t>
      </w:r>
      <w:r w:rsidR="00333FFC" w:rsidRPr="001B3715">
        <w:rPr>
          <w:lang w:val="fr-FR"/>
        </w:rPr>
        <w:t>.</w:t>
      </w:r>
    </w:p>
    <w:p w14:paraId="7D56EE88" w14:textId="4964CD27" w:rsidR="00AF5C64" w:rsidRPr="001B3715" w:rsidRDefault="006672C8" w:rsidP="00137CB3">
      <w:pPr>
        <w:pStyle w:val="ONUMFS"/>
        <w:rPr>
          <w:lang w:val="fr-FR"/>
        </w:rPr>
      </w:pPr>
      <w:r w:rsidRPr="001B3715">
        <w:rPr>
          <w:lang w:val="fr-FR"/>
        </w:rPr>
        <w:t>L</w:t>
      </w:r>
      <w:r w:rsidR="00502D05" w:rsidRPr="001B3715">
        <w:rPr>
          <w:lang w:val="fr-FR"/>
        </w:rPr>
        <w:t>’</w:t>
      </w:r>
      <w:r w:rsidRPr="001B3715">
        <w:rPr>
          <w:lang w:val="fr-FR"/>
        </w:rPr>
        <w:t>utilisation du système de Madrid continue d</w:t>
      </w:r>
      <w:r w:rsidR="00502D05" w:rsidRPr="001B3715">
        <w:rPr>
          <w:lang w:val="fr-FR"/>
        </w:rPr>
        <w:t>’</w:t>
      </w:r>
      <w:r w:rsidRPr="001B3715">
        <w:rPr>
          <w:lang w:val="fr-FR"/>
        </w:rPr>
        <w:t>augment</w:t>
      </w:r>
      <w:r w:rsidR="001B3715" w:rsidRPr="001B3715">
        <w:rPr>
          <w:lang w:val="fr-FR"/>
        </w:rPr>
        <w:t>er.  Ce</w:t>
      </w:r>
      <w:r w:rsidRPr="001B3715">
        <w:rPr>
          <w:lang w:val="fr-FR"/>
        </w:rPr>
        <w:t>la s</w:t>
      </w:r>
      <w:r w:rsidR="00502D05" w:rsidRPr="001B3715">
        <w:rPr>
          <w:lang w:val="fr-FR"/>
        </w:rPr>
        <w:t>’</w:t>
      </w:r>
      <w:r w:rsidRPr="001B3715">
        <w:rPr>
          <w:lang w:val="fr-FR"/>
        </w:rPr>
        <w:t>explique, d</w:t>
      </w:r>
      <w:r w:rsidR="00502D05" w:rsidRPr="001B3715">
        <w:rPr>
          <w:lang w:val="fr-FR"/>
        </w:rPr>
        <w:t>’</w:t>
      </w:r>
      <w:r w:rsidRPr="001B3715">
        <w:rPr>
          <w:lang w:val="fr-FR"/>
        </w:rPr>
        <w:t>une part, par l</w:t>
      </w:r>
      <w:r w:rsidR="00502D05" w:rsidRPr="001B3715">
        <w:rPr>
          <w:lang w:val="fr-FR"/>
        </w:rPr>
        <w:t>’</w:t>
      </w:r>
      <w:r w:rsidRPr="001B3715">
        <w:rPr>
          <w:lang w:val="fr-FR"/>
        </w:rPr>
        <w:t>attractivité et la valeur croissantes du système à mesure que s</w:t>
      </w:r>
      <w:r w:rsidR="00502D05" w:rsidRPr="001B3715">
        <w:rPr>
          <w:lang w:val="fr-FR"/>
        </w:rPr>
        <w:t>’</w:t>
      </w:r>
      <w:r w:rsidRPr="001B3715">
        <w:rPr>
          <w:lang w:val="fr-FR"/>
        </w:rPr>
        <w:t>étend sa couverture géographique et, d</w:t>
      </w:r>
      <w:r w:rsidR="00502D05" w:rsidRPr="001B3715">
        <w:rPr>
          <w:lang w:val="fr-FR"/>
        </w:rPr>
        <w:t>’</w:t>
      </w:r>
      <w:r w:rsidRPr="001B3715">
        <w:rPr>
          <w:lang w:val="fr-FR"/>
        </w:rPr>
        <w:t>autre part, par une utilisation plus importante dans les nouveaux pays membres du fait que le système est de plus en plus largement con</w:t>
      </w:r>
      <w:r w:rsidR="001B3715" w:rsidRPr="001B3715">
        <w:rPr>
          <w:lang w:val="fr-FR"/>
        </w:rPr>
        <w:t>nu.  Le</w:t>
      </w:r>
      <w:r w:rsidRPr="001B3715">
        <w:rPr>
          <w:lang w:val="fr-FR"/>
        </w:rPr>
        <w:t>s demandes internationales d</w:t>
      </w:r>
      <w:r w:rsidR="00502D05" w:rsidRPr="001B3715">
        <w:rPr>
          <w:lang w:val="fr-FR"/>
        </w:rPr>
        <w:t>’</w:t>
      </w:r>
      <w:r w:rsidRPr="001B3715">
        <w:rPr>
          <w:lang w:val="fr-FR"/>
        </w:rPr>
        <w:t>enregistrement de marques déposées dans le cadre du système de Madrid ont progressé de 0,9% en</w:t>
      </w:r>
      <w:r w:rsidR="00D04CDB" w:rsidRPr="001B3715">
        <w:rPr>
          <w:lang w:val="fr-FR"/>
        </w:rPr>
        <w:t> </w:t>
      </w:r>
      <w:r w:rsidRPr="001B3715">
        <w:rPr>
          <w:lang w:val="fr-FR"/>
        </w:rPr>
        <w:t>2015, atteignant le nombre record de 48</w:t>
      </w:r>
      <w:r w:rsidR="00D04CDB" w:rsidRPr="001B3715">
        <w:rPr>
          <w:lang w:val="fr-FR"/>
        </w:rPr>
        <w:t> </w:t>
      </w:r>
      <w:r w:rsidRPr="001B3715">
        <w:rPr>
          <w:lang w:val="fr-FR"/>
        </w:rPr>
        <w:t>910.</w:t>
      </w:r>
      <w:r w:rsidR="00D04CDB" w:rsidRPr="001B3715">
        <w:rPr>
          <w:lang w:val="fr-FR"/>
        </w:rPr>
        <w:t xml:space="preserve"> </w:t>
      </w:r>
      <w:r w:rsidRPr="001B3715">
        <w:rPr>
          <w:lang w:val="fr-FR"/>
        </w:rPr>
        <w:t xml:space="preserve"> L</w:t>
      </w:r>
      <w:r w:rsidR="00502D05" w:rsidRPr="001B3715">
        <w:rPr>
          <w:lang w:val="fr-FR"/>
        </w:rPr>
        <w:t>’</w:t>
      </w:r>
      <w:r w:rsidRPr="001B3715">
        <w:rPr>
          <w:lang w:val="fr-FR"/>
        </w:rPr>
        <w:t>Australie, les États</w:t>
      </w:r>
      <w:r w:rsidR="00E3770C">
        <w:rPr>
          <w:lang w:val="fr-FR"/>
        </w:rPr>
        <w:noBreakHyphen/>
      </w:r>
      <w:r w:rsidRPr="001B3715">
        <w:rPr>
          <w:lang w:val="fr-FR"/>
        </w:rPr>
        <w:t>Unis d</w:t>
      </w:r>
      <w:r w:rsidR="00502D05" w:rsidRPr="001B3715">
        <w:rPr>
          <w:lang w:val="fr-FR"/>
        </w:rPr>
        <w:t>’</w:t>
      </w:r>
      <w:r w:rsidRPr="001B3715">
        <w:rPr>
          <w:lang w:val="fr-FR"/>
        </w:rPr>
        <w:t>Amérique et la France ont été à l</w:t>
      </w:r>
      <w:r w:rsidR="00502D05" w:rsidRPr="001B3715">
        <w:rPr>
          <w:lang w:val="fr-FR"/>
        </w:rPr>
        <w:t>’</w:t>
      </w:r>
      <w:r w:rsidRPr="001B3715">
        <w:rPr>
          <w:lang w:val="fr-FR"/>
        </w:rPr>
        <w:t>origine de l</w:t>
      </w:r>
      <w:r w:rsidR="00502D05" w:rsidRPr="001B3715">
        <w:rPr>
          <w:lang w:val="fr-FR"/>
        </w:rPr>
        <w:t>’</w:t>
      </w:r>
      <w:r w:rsidRPr="001B3715">
        <w:rPr>
          <w:lang w:val="fr-FR"/>
        </w:rPr>
        <w:t>essentiel de la progression tota</w:t>
      </w:r>
      <w:r w:rsidR="001B3715" w:rsidRPr="001B3715">
        <w:rPr>
          <w:lang w:val="fr-FR"/>
        </w:rPr>
        <w:t>le.  En</w:t>
      </w:r>
      <w:r w:rsidR="00D04CDB" w:rsidRPr="001B3715">
        <w:rPr>
          <w:lang w:val="fr-FR"/>
        </w:rPr>
        <w:t> </w:t>
      </w:r>
      <w:r w:rsidRPr="001B3715">
        <w:rPr>
          <w:lang w:val="fr-FR"/>
        </w:rPr>
        <w:t>2016,</w:t>
      </w:r>
      <w:r w:rsidR="00E3770C">
        <w:rPr>
          <w:lang w:val="fr-FR"/>
        </w:rPr>
        <w:t xml:space="preserve"> l</w:t>
      </w:r>
      <w:r w:rsidRPr="001B3715">
        <w:rPr>
          <w:lang w:val="fr-FR"/>
        </w:rPr>
        <w:t>e taux de croissance des demandes déposées dans le cadre du système de Madrid devrait être plus élevé qu</w:t>
      </w:r>
      <w:r w:rsidR="00502D05" w:rsidRPr="001B3715">
        <w:rPr>
          <w:lang w:val="fr-FR"/>
        </w:rPr>
        <w:t>’</w:t>
      </w:r>
      <w:r w:rsidRPr="001B3715">
        <w:rPr>
          <w:lang w:val="fr-FR"/>
        </w:rPr>
        <w:t>en</w:t>
      </w:r>
      <w:r w:rsidR="00D04CDB" w:rsidRPr="001B3715">
        <w:rPr>
          <w:lang w:val="fr-FR"/>
        </w:rPr>
        <w:t> </w:t>
      </w:r>
      <w:r w:rsidRPr="001B3715">
        <w:rPr>
          <w:lang w:val="fr-FR"/>
        </w:rPr>
        <w:t>2015</w:t>
      </w:r>
      <w:r w:rsidR="00333FFC" w:rsidRPr="001B3715">
        <w:rPr>
          <w:lang w:val="fr-FR"/>
        </w:rPr>
        <w:t>.</w:t>
      </w:r>
    </w:p>
    <w:p w14:paraId="3D352C28" w14:textId="6711E151" w:rsidR="00347C95" w:rsidRPr="001B3715" w:rsidRDefault="006672C8" w:rsidP="00137CB3">
      <w:pPr>
        <w:pStyle w:val="ONUMFS"/>
        <w:rPr>
          <w:lang w:val="fr-FR"/>
        </w:rPr>
      </w:pPr>
      <w:r w:rsidRPr="001B3715">
        <w:rPr>
          <w:lang w:val="fr-FR"/>
        </w:rPr>
        <w:t>Parmi les 10</w:t>
      </w:r>
      <w:r w:rsidR="00E3770C">
        <w:rPr>
          <w:lang w:val="fr-FR"/>
        </w:rPr>
        <w:t> </w:t>
      </w:r>
      <w:r w:rsidRPr="001B3715">
        <w:rPr>
          <w:lang w:val="fr-FR"/>
        </w:rPr>
        <w:t>principaux pays d</w:t>
      </w:r>
      <w:r w:rsidR="00502D05" w:rsidRPr="001B3715">
        <w:rPr>
          <w:lang w:val="fr-FR"/>
        </w:rPr>
        <w:t>’</w:t>
      </w:r>
      <w:r w:rsidRPr="001B3715">
        <w:rPr>
          <w:lang w:val="fr-FR"/>
        </w:rPr>
        <w:t>origine des dépôts en</w:t>
      </w:r>
      <w:r w:rsidR="00D04CDB" w:rsidRPr="001B3715">
        <w:rPr>
          <w:lang w:val="fr-FR"/>
        </w:rPr>
        <w:t> </w:t>
      </w:r>
      <w:r w:rsidRPr="001B3715">
        <w:rPr>
          <w:lang w:val="fr-FR"/>
        </w:rPr>
        <w:t>2015, l</w:t>
      </w:r>
      <w:r w:rsidR="00502D05" w:rsidRPr="001B3715">
        <w:rPr>
          <w:lang w:val="fr-FR"/>
        </w:rPr>
        <w:t>’</w:t>
      </w:r>
      <w:r w:rsidRPr="001B3715">
        <w:rPr>
          <w:lang w:val="fr-FR"/>
        </w:rPr>
        <w:t>Australie (+24,7%) et les États</w:t>
      </w:r>
      <w:r w:rsidR="00E3770C">
        <w:rPr>
          <w:lang w:val="fr-FR"/>
        </w:rPr>
        <w:noBreakHyphen/>
      </w:r>
      <w:r w:rsidRPr="001B3715">
        <w:rPr>
          <w:lang w:val="fr-FR"/>
        </w:rPr>
        <w:t>Unis d</w:t>
      </w:r>
      <w:r w:rsidR="00502D05" w:rsidRPr="001B3715">
        <w:rPr>
          <w:lang w:val="fr-FR"/>
        </w:rPr>
        <w:t>’</w:t>
      </w:r>
      <w:r w:rsidRPr="001B3715">
        <w:rPr>
          <w:lang w:val="fr-FR"/>
        </w:rPr>
        <w:t>Amérique (+11,2%) ont enregistré une croissance à deux</w:t>
      </w:r>
      <w:r w:rsidR="00D04CDB" w:rsidRPr="001B3715">
        <w:rPr>
          <w:lang w:val="fr-FR"/>
        </w:rPr>
        <w:t> </w:t>
      </w:r>
      <w:r w:rsidRPr="001B3715">
        <w:rPr>
          <w:lang w:val="fr-FR"/>
        </w:rPr>
        <w:t>chiffres, suivis de près par la France (+8,8%) et le Japon (+6,8%).</w:t>
      </w:r>
      <w:r w:rsidR="00D04CDB" w:rsidRPr="001B3715">
        <w:rPr>
          <w:lang w:val="fr-FR"/>
        </w:rPr>
        <w:t xml:space="preserve"> </w:t>
      </w:r>
      <w:r w:rsidRPr="001B3715">
        <w:rPr>
          <w:lang w:val="fr-FR"/>
        </w:rPr>
        <w:t xml:space="preserve"> Pour la deuxième année consécutive, les États</w:t>
      </w:r>
      <w:r w:rsidR="00E3770C">
        <w:rPr>
          <w:lang w:val="fr-FR"/>
        </w:rPr>
        <w:noBreakHyphen/>
      </w:r>
      <w:r w:rsidRPr="001B3715">
        <w:rPr>
          <w:lang w:val="fr-FR"/>
        </w:rPr>
        <w:t>Unis d</w:t>
      </w:r>
      <w:r w:rsidR="00502D05" w:rsidRPr="001B3715">
        <w:rPr>
          <w:lang w:val="fr-FR"/>
        </w:rPr>
        <w:t>’</w:t>
      </w:r>
      <w:r w:rsidRPr="001B3715">
        <w:rPr>
          <w:lang w:val="fr-FR"/>
        </w:rPr>
        <w:t>Amérique ont été le plus grand utilisateur du système, devant l</w:t>
      </w:r>
      <w:r w:rsidR="00502D05" w:rsidRPr="001B3715">
        <w:rPr>
          <w:lang w:val="fr-FR"/>
        </w:rPr>
        <w:t>’</w:t>
      </w:r>
      <w:r w:rsidRPr="001B3715">
        <w:rPr>
          <w:lang w:val="fr-FR"/>
        </w:rPr>
        <w:t>Allemag</w:t>
      </w:r>
      <w:r w:rsidR="001B3715" w:rsidRPr="001B3715">
        <w:rPr>
          <w:lang w:val="fr-FR"/>
        </w:rPr>
        <w:t>ne.  Po</w:t>
      </w:r>
      <w:r w:rsidRPr="001B3715">
        <w:rPr>
          <w:lang w:val="fr-FR"/>
        </w:rPr>
        <w:t>ur ce qui est du classement par déposant, le laboratoire pharmaceutique suisse Novartis arrive en tête, avec 193</w:t>
      </w:r>
      <w:r w:rsidR="00E3770C">
        <w:rPr>
          <w:lang w:val="fr-FR"/>
        </w:rPr>
        <w:t> </w:t>
      </w:r>
      <w:r w:rsidRPr="001B3715">
        <w:rPr>
          <w:lang w:val="fr-FR"/>
        </w:rPr>
        <w:t>demandes en</w:t>
      </w:r>
      <w:r w:rsidR="00D04CDB" w:rsidRPr="001B3715">
        <w:rPr>
          <w:lang w:val="fr-FR"/>
        </w:rPr>
        <w:t> </w:t>
      </w:r>
      <w:r w:rsidRPr="001B3715">
        <w:rPr>
          <w:lang w:val="fr-FR"/>
        </w:rPr>
        <w:t>2015, suivi du détaillant allemand LIDL (142) et du groupe français L</w:t>
      </w:r>
      <w:r w:rsidR="00502D05" w:rsidRPr="001B3715">
        <w:rPr>
          <w:lang w:val="fr-FR"/>
        </w:rPr>
        <w:t>’</w:t>
      </w:r>
      <w:r w:rsidRPr="001B3715">
        <w:rPr>
          <w:lang w:val="fr-FR"/>
        </w:rPr>
        <w:t>Oréal (130).</w:t>
      </w:r>
      <w:r w:rsidR="00D04CDB" w:rsidRPr="001B3715">
        <w:rPr>
          <w:lang w:val="fr-FR"/>
        </w:rPr>
        <w:t xml:space="preserve"> </w:t>
      </w:r>
      <w:r w:rsidRPr="001B3715">
        <w:rPr>
          <w:lang w:val="fr-FR"/>
        </w:rPr>
        <w:t xml:space="preserve"> Le principal déposant en dehors de l</w:t>
      </w:r>
      <w:r w:rsidR="00502D05" w:rsidRPr="001B3715">
        <w:rPr>
          <w:lang w:val="fr-FR"/>
        </w:rPr>
        <w:t>’</w:t>
      </w:r>
      <w:r w:rsidRPr="001B3715">
        <w:rPr>
          <w:lang w:val="fr-FR"/>
        </w:rPr>
        <w:t>Europe a été Apple, qui se classe au septième rang avec 86 demand</w:t>
      </w:r>
      <w:r w:rsidR="001B3715" w:rsidRPr="001B3715">
        <w:rPr>
          <w:lang w:val="fr-FR"/>
        </w:rPr>
        <w:t>es.  Le</w:t>
      </w:r>
      <w:r w:rsidRPr="001B3715">
        <w:rPr>
          <w:lang w:val="fr-FR"/>
        </w:rPr>
        <w:t>s cinq</w:t>
      </w:r>
      <w:r w:rsidR="00D04CDB" w:rsidRPr="001B3715">
        <w:rPr>
          <w:lang w:val="fr-FR"/>
        </w:rPr>
        <w:t> </w:t>
      </w:r>
      <w:r w:rsidRPr="001B3715">
        <w:rPr>
          <w:lang w:val="fr-FR"/>
        </w:rPr>
        <w:t>principaux marchés sur lesquels une protection a été demandée sont les mêmes en</w:t>
      </w:r>
      <w:r w:rsidR="00D04CDB" w:rsidRPr="001B3715">
        <w:rPr>
          <w:lang w:val="fr-FR"/>
        </w:rPr>
        <w:t> </w:t>
      </w:r>
      <w:r w:rsidRPr="001B3715">
        <w:rPr>
          <w:lang w:val="fr-FR"/>
        </w:rPr>
        <w:t>2015 qu</w:t>
      </w:r>
      <w:r w:rsidR="00502D05" w:rsidRPr="001B3715">
        <w:rPr>
          <w:lang w:val="fr-FR"/>
        </w:rPr>
        <w:t>’</w:t>
      </w:r>
      <w:r w:rsidRPr="001B3715">
        <w:rPr>
          <w:lang w:val="fr-FR"/>
        </w:rPr>
        <w:t>en</w:t>
      </w:r>
      <w:r w:rsidR="00D04CDB" w:rsidRPr="001B3715">
        <w:rPr>
          <w:lang w:val="fr-FR"/>
        </w:rPr>
        <w:t> </w:t>
      </w:r>
      <w:r w:rsidRPr="001B3715">
        <w:rPr>
          <w:lang w:val="fr-FR"/>
        </w:rPr>
        <w:t xml:space="preserve">2014, </w:t>
      </w:r>
      <w:r w:rsidR="00502D05" w:rsidRPr="001B3715">
        <w:rPr>
          <w:lang w:val="fr-FR"/>
        </w:rPr>
        <w:t>à savoir</w:t>
      </w:r>
      <w:r w:rsidRPr="001B3715">
        <w:rPr>
          <w:lang w:val="fr-FR"/>
        </w:rPr>
        <w:t xml:space="preserve"> la Chine, l</w:t>
      </w:r>
      <w:r w:rsidR="00502D05" w:rsidRPr="001B3715">
        <w:rPr>
          <w:lang w:val="fr-FR"/>
        </w:rPr>
        <w:t>’</w:t>
      </w:r>
      <w:r w:rsidRPr="001B3715">
        <w:rPr>
          <w:lang w:val="fr-FR"/>
        </w:rPr>
        <w:t>Union européenne, les États</w:t>
      </w:r>
      <w:r w:rsidR="00E3770C">
        <w:rPr>
          <w:lang w:val="fr-FR"/>
        </w:rPr>
        <w:noBreakHyphen/>
      </w:r>
      <w:r w:rsidRPr="001B3715">
        <w:rPr>
          <w:lang w:val="fr-FR"/>
        </w:rPr>
        <w:t>Unis d</w:t>
      </w:r>
      <w:r w:rsidR="00502D05" w:rsidRPr="001B3715">
        <w:rPr>
          <w:lang w:val="fr-FR"/>
        </w:rPr>
        <w:t>’</w:t>
      </w:r>
      <w:r w:rsidRPr="001B3715">
        <w:rPr>
          <w:lang w:val="fr-FR"/>
        </w:rPr>
        <w:t>Amérique, la Fédération de Russie et le Japon</w:t>
      </w:r>
      <w:r w:rsidR="00333FFC" w:rsidRPr="001B3715">
        <w:rPr>
          <w:lang w:val="fr-FR"/>
        </w:rPr>
        <w:t>.</w:t>
      </w:r>
    </w:p>
    <w:p w14:paraId="50FECFB0" w14:textId="68A85C6B" w:rsidR="00AF5C64" w:rsidRPr="001B3715" w:rsidRDefault="004C6CD7" w:rsidP="00137CB3">
      <w:pPr>
        <w:pStyle w:val="ONUMFS"/>
        <w:rPr>
          <w:lang w:val="fr-FR"/>
        </w:rPr>
      </w:pPr>
      <w:r w:rsidRPr="001B3715">
        <w:rPr>
          <w:lang w:val="fr-FR"/>
        </w:rPr>
        <w:lastRenderedPageBreak/>
        <w:t xml:space="preserve">Les travaux portant sur la </w:t>
      </w:r>
      <w:r w:rsidR="00333FFC" w:rsidRPr="001B3715">
        <w:rPr>
          <w:lang w:val="fr-FR"/>
        </w:rPr>
        <w:t>moderni</w:t>
      </w:r>
      <w:r w:rsidRPr="001B3715">
        <w:rPr>
          <w:lang w:val="fr-FR"/>
        </w:rPr>
        <w:t>s</w:t>
      </w:r>
      <w:r w:rsidR="00333FFC" w:rsidRPr="001B3715">
        <w:rPr>
          <w:lang w:val="fr-FR"/>
        </w:rPr>
        <w:t xml:space="preserve">ation </w:t>
      </w:r>
      <w:r w:rsidRPr="001B3715">
        <w:rPr>
          <w:lang w:val="fr-FR"/>
        </w:rPr>
        <w:t>du cadre juridique du système de M</w:t>
      </w:r>
      <w:r w:rsidR="00333FFC" w:rsidRPr="001B3715">
        <w:rPr>
          <w:lang w:val="fr-FR"/>
        </w:rPr>
        <w:t xml:space="preserve">adrid </w:t>
      </w:r>
      <w:r w:rsidRPr="001B3715">
        <w:rPr>
          <w:lang w:val="fr-FR"/>
        </w:rPr>
        <w:t>se sont poursuivis au sein du Groupe de travail sur le développement juridique du système d</w:t>
      </w:r>
      <w:r w:rsidR="00333FFC" w:rsidRPr="001B3715">
        <w:rPr>
          <w:lang w:val="fr-FR"/>
        </w:rPr>
        <w:t xml:space="preserve">e Madrid </w:t>
      </w:r>
      <w:r w:rsidRPr="001B3715">
        <w:rPr>
          <w:lang w:val="fr-FR"/>
        </w:rPr>
        <w:t xml:space="preserve">qui a </w:t>
      </w:r>
      <w:r w:rsidR="00333FFC" w:rsidRPr="001B3715">
        <w:rPr>
          <w:lang w:val="fr-FR"/>
        </w:rPr>
        <w:t>adopt</w:t>
      </w:r>
      <w:r w:rsidRPr="001B3715">
        <w:rPr>
          <w:lang w:val="fr-FR"/>
        </w:rPr>
        <w:t>é</w:t>
      </w:r>
      <w:r w:rsidR="00333FFC" w:rsidRPr="001B3715">
        <w:rPr>
          <w:lang w:val="fr-FR"/>
        </w:rPr>
        <w:t xml:space="preserve">, </w:t>
      </w:r>
      <w:r w:rsidRPr="001B3715">
        <w:rPr>
          <w:lang w:val="fr-FR"/>
        </w:rPr>
        <w:t>en juin de cette année</w:t>
      </w:r>
      <w:r w:rsidR="00333FFC" w:rsidRPr="001B3715">
        <w:rPr>
          <w:lang w:val="fr-FR"/>
        </w:rPr>
        <w:t xml:space="preserve">, </w:t>
      </w:r>
      <w:r w:rsidRPr="001B3715">
        <w:rPr>
          <w:lang w:val="fr-FR"/>
        </w:rPr>
        <w:t xml:space="preserve">une feuille de route visant à </w:t>
      </w:r>
      <w:r w:rsidR="00137CB3" w:rsidRPr="001B3715">
        <w:rPr>
          <w:lang w:val="fr-FR"/>
        </w:rPr>
        <w:t>s</w:t>
      </w:r>
      <w:r w:rsidR="00502D05" w:rsidRPr="001B3715">
        <w:rPr>
          <w:lang w:val="fr-FR"/>
        </w:rPr>
        <w:t>’</w:t>
      </w:r>
      <w:r w:rsidRPr="001B3715">
        <w:rPr>
          <w:lang w:val="fr-FR"/>
        </w:rPr>
        <w:t>assurer que le système évolue de manière à répondre aux besoins de l</w:t>
      </w:r>
      <w:r w:rsidR="00502D05" w:rsidRPr="001B3715">
        <w:rPr>
          <w:lang w:val="fr-FR"/>
        </w:rPr>
        <w:t>’</w:t>
      </w:r>
      <w:r w:rsidRPr="001B3715">
        <w:rPr>
          <w:lang w:val="fr-FR"/>
        </w:rPr>
        <w:t>ensemble de se</w:t>
      </w:r>
      <w:r w:rsidR="00333FFC" w:rsidRPr="001B3715">
        <w:rPr>
          <w:lang w:val="fr-FR"/>
        </w:rPr>
        <w:t>s membr</w:t>
      </w:r>
      <w:r w:rsidRPr="001B3715">
        <w:rPr>
          <w:lang w:val="fr-FR"/>
        </w:rPr>
        <w:t>e</w:t>
      </w:r>
      <w:r w:rsidR="00333FFC" w:rsidRPr="001B3715">
        <w:rPr>
          <w:lang w:val="fr-FR"/>
        </w:rPr>
        <w:t xml:space="preserve">s, </w:t>
      </w:r>
      <w:r w:rsidRPr="001B3715">
        <w:rPr>
          <w:lang w:val="fr-FR"/>
        </w:rPr>
        <w:t xml:space="preserve">sans pour autant remettre en </w:t>
      </w:r>
      <w:r w:rsidR="00333FFC" w:rsidRPr="001B3715">
        <w:rPr>
          <w:lang w:val="fr-FR"/>
        </w:rPr>
        <w:t xml:space="preserve">question </w:t>
      </w:r>
      <w:r w:rsidRPr="001B3715">
        <w:rPr>
          <w:lang w:val="fr-FR"/>
        </w:rPr>
        <w:t>les princip</w:t>
      </w:r>
      <w:r w:rsidR="00333FFC" w:rsidRPr="001B3715">
        <w:rPr>
          <w:lang w:val="fr-FR"/>
        </w:rPr>
        <w:t>e</w:t>
      </w:r>
      <w:r w:rsidRPr="001B3715">
        <w:rPr>
          <w:lang w:val="fr-FR"/>
        </w:rPr>
        <w:t>s</w:t>
      </w:r>
      <w:r w:rsidR="00333FFC" w:rsidRPr="001B3715">
        <w:rPr>
          <w:lang w:val="fr-FR"/>
        </w:rPr>
        <w:t xml:space="preserve"> f</w:t>
      </w:r>
      <w:r w:rsidRPr="001B3715">
        <w:rPr>
          <w:lang w:val="fr-FR"/>
        </w:rPr>
        <w:t>o</w:t>
      </w:r>
      <w:r w:rsidR="00333FFC" w:rsidRPr="001B3715">
        <w:rPr>
          <w:lang w:val="fr-FR"/>
        </w:rPr>
        <w:t>ndamenta</w:t>
      </w:r>
      <w:r w:rsidRPr="001B3715">
        <w:rPr>
          <w:lang w:val="fr-FR"/>
        </w:rPr>
        <w:t>ux</w:t>
      </w:r>
      <w:r w:rsidR="00333FFC" w:rsidRPr="001B3715">
        <w:rPr>
          <w:lang w:val="fr-FR"/>
        </w:rPr>
        <w:t xml:space="preserve"> </w:t>
      </w:r>
      <w:r w:rsidRPr="001B3715">
        <w:rPr>
          <w:lang w:val="fr-FR"/>
        </w:rPr>
        <w:t>sur lesquels il repo</w:t>
      </w:r>
      <w:r w:rsidR="001B3715" w:rsidRPr="001B3715">
        <w:rPr>
          <w:lang w:val="fr-FR"/>
        </w:rPr>
        <w:t>se.  La</w:t>
      </w:r>
      <w:r w:rsidRPr="001B3715">
        <w:rPr>
          <w:lang w:val="fr-FR"/>
        </w:rPr>
        <w:t xml:space="preserve"> feuille de route r</w:t>
      </w:r>
      <w:r w:rsidR="00640BF2" w:rsidRPr="001B3715">
        <w:rPr>
          <w:lang w:val="fr-FR"/>
        </w:rPr>
        <w:t>ecense</w:t>
      </w:r>
      <w:r w:rsidRPr="001B3715">
        <w:rPr>
          <w:lang w:val="fr-FR"/>
        </w:rPr>
        <w:t xml:space="preserve"> les questions qui d</w:t>
      </w:r>
      <w:r w:rsidR="001D535C" w:rsidRPr="001B3715">
        <w:rPr>
          <w:lang w:val="fr-FR"/>
        </w:rPr>
        <w:t>e</w:t>
      </w:r>
      <w:r w:rsidRPr="001B3715">
        <w:rPr>
          <w:lang w:val="fr-FR"/>
        </w:rPr>
        <w:t>v</w:t>
      </w:r>
      <w:r w:rsidR="001D535C" w:rsidRPr="001B3715">
        <w:rPr>
          <w:lang w:val="fr-FR"/>
        </w:rPr>
        <w:t>ro</w:t>
      </w:r>
      <w:r w:rsidRPr="001B3715">
        <w:rPr>
          <w:lang w:val="fr-FR"/>
        </w:rPr>
        <w:t xml:space="preserve">nt être </w:t>
      </w:r>
      <w:r w:rsidR="001D535C" w:rsidRPr="001B3715">
        <w:rPr>
          <w:lang w:val="fr-FR"/>
        </w:rPr>
        <w:t>abordé</w:t>
      </w:r>
      <w:r w:rsidRPr="001B3715">
        <w:rPr>
          <w:lang w:val="fr-FR"/>
        </w:rPr>
        <w:t>es ces prochaines années</w:t>
      </w:r>
      <w:r w:rsidR="00333FFC" w:rsidRPr="001B3715">
        <w:rPr>
          <w:lang w:val="fr-FR"/>
        </w:rPr>
        <w:t xml:space="preserve">, </w:t>
      </w:r>
      <w:r w:rsidR="001D535C" w:rsidRPr="001B3715">
        <w:rPr>
          <w:lang w:val="fr-FR"/>
        </w:rPr>
        <w:t xml:space="preserve">notamment la dépendance </w:t>
      </w:r>
      <w:r w:rsidR="00793386" w:rsidRPr="001B3715">
        <w:rPr>
          <w:lang w:val="fr-FR"/>
        </w:rPr>
        <w:t>par rapport à</w:t>
      </w:r>
      <w:r w:rsidR="001D535C" w:rsidRPr="001B3715">
        <w:rPr>
          <w:lang w:val="fr-FR"/>
        </w:rPr>
        <w:t xml:space="preserve"> la marque de base, les pratiques en matière de classement et l</w:t>
      </w:r>
      <w:r w:rsidR="00502D05" w:rsidRPr="001B3715">
        <w:rPr>
          <w:lang w:val="fr-FR"/>
        </w:rPr>
        <w:t>’</w:t>
      </w:r>
      <w:r w:rsidR="001D535C" w:rsidRPr="001B3715">
        <w:rPr>
          <w:lang w:val="fr-FR"/>
        </w:rPr>
        <w:t>utilisation de marques dans des caractères</w:t>
      </w:r>
      <w:r w:rsidR="00333FFC" w:rsidRPr="001B3715">
        <w:rPr>
          <w:lang w:val="fr-FR"/>
        </w:rPr>
        <w:t xml:space="preserve"> diff</w:t>
      </w:r>
      <w:r w:rsidR="001D535C" w:rsidRPr="001B3715">
        <w:rPr>
          <w:lang w:val="fr-FR"/>
        </w:rPr>
        <w:t>é</w:t>
      </w:r>
      <w:r w:rsidR="00333FFC" w:rsidRPr="001B3715">
        <w:rPr>
          <w:lang w:val="fr-FR"/>
        </w:rPr>
        <w:t>rents.</w:t>
      </w:r>
    </w:p>
    <w:p w14:paraId="60843A97" w14:textId="77DF61C4" w:rsidR="00347C95" w:rsidRPr="001B3715" w:rsidRDefault="00333FFC" w:rsidP="00137CB3">
      <w:pPr>
        <w:pStyle w:val="ONUMFS"/>
        <w:rPr>
          <w:lang w:val="fr-FR"/>
        </w:rPr>
      </w:pPr>
      <w:r w:rsidRPr="001B3715">
        <w:rPr>
          <w:lang w:val="fr-FR"/>
        </w:rPr>
        <w:t>L</w:t>
      </w:r>
      <w:r w:rsidR="001D535C" w:rsidRPr="001B3715">
        <w:rPr>
          <w:lang w:val="fr-FR"/>
        </w:rPr>
        <w:t>e rapport de l</w:t>
      </w:r>
      <w:r w:rsidR="00502D05" w:rsidRPr="001B3715">
        <w:rPr>
          <w:lang w:val="fr-FR"/>
        </w:rPr>
        <w:t>’</w:t>
      </w:r>
      <w:r w:rsidR="001D535C" w:rsidRPr="001B3715">
        <w:rPr>
          <w:lang w:val="fr-FR"/>
        </w:rPr>
        <w:t>année dernière annonçait le lanc</w:t>
      </w:r>
      <w:r w:rsidRPr="001B3715">
        <w:rPr>
          <w:lang w:val="fr-FR"/>
        </w:rPr>
        <w:t xml:space="preserve">ement </w:t>
      </w:r>
      <w:r w:rsidR="001D535C" w:rsidRPr="001B3715">
        <w:rPr>
          <w:lang w:val="fr-FR"/>
        </w:rPr>
        <w:t>d</w:t>
      </w:r>
      <w:r w:rsidR="00502D05" w:rsidRPr="001B3715">
        <w:rPr>
          <w:lang w:val="fr-FR"/>
        </w:rPr>
        <w:t>’</w:t>
      </w:r>
      <w:r w:rsidR="001D535C" w:rsidRPr="001B3715">
        <w:rPr>
          <w:lang w:val="fr-FR"/>
        </w:rPr>
        <w:t>un p</w:t>
      </w:r>
      <w:r w:rsidR="004E5D04" w:rsidRPr="001B3715">
        <w:rPr>
          <w:lang w:val="fr-FR"/>
        </w:rPr>
        <w:t>rogramme</w:t>
      </w:r>
      <w:r w:rsidRPr="001B3715">
        <w:rPr>
          <w:lang w:val="fr-FR"/>
        </w:rPr>
        <w:t xml:space="preserve"> ambiti</w:t>
      </w:r>
      <w:r w:rsidR="001D535C" w:rsidRPr="001B3715">
        <w:rPr>
          <w:lang w:val="fr-FR"/>
        </w:rPr>
        <w:t>e</w:t>
      </w:r>
      <w:r w:rsidRPr="001B3715">
        <w:rPr>
          <w:lang w:val="fr-FR"/>
        </w:rPr>
        <w:t>u</w:t>
      </w:r>
      <w:r w:rsidR="001D535C" w:rsidRPr="001B3715">
        <w:rPr>
          <w:lang w:val="fr-FR"/>
        </w:rPr>
        <w:t>x</w:t>
      </w:r>
      <w:r w:rsidRPr="001B3715">
        <w:rPr>
          <w:lang w:val="fr-FR"/>
        </w:rPr>
        <w:t xml:space="preserve"> </w:t>
      </w:r>
      <w:r w:rsidR="004E5D04" w:rsidRPr="001B3715">
        <w:rPr>
          <w:lang w:val="fr-FR"/>
        </w:rPr>
        <w:t>visant à</w:t>
      </w:r>
      <w:r w:rsidR="001D535C" w:rsidRPr="001B3715">
        <w:rPr>
          <w:lang w:val="fr-FR"/>
        </w:rPr>
        <w:t xml:space="preserve"> améliorer l</w:t>
      </w:r>
      <w:r w:rsidR="00502D05" w:rsidRPr="001B3715">
        <w:rPr>
          <w:lang w:val="fr-FR"/>
        </w:rPr>
        <w:t>’</w:t>
      </w:r>
      <w:r w:rsidRPr="001B3715">
        <w:rPr>
          <w:lang w:val="fr-FR"/>
        </w:rPr>
        <w:t>effic</w:t>
      </w:r>
      <w:r w:rsidR="001D535C" w:rsidRPr="001B3715">
        <w:rPr>
          <w:lang w:val="fr-FR"/>
        </w:rPr>
        <w:t>ac</w:t>
      </w:r>
      <w:r w:rsidRPr="001B3715">
        <w:rPr>
          <w:lang w:val="fr-FR"/>
        </w:rPr>
        <w:t>i</w:t>
      </w:r>
      <w:r w:rsidR="001D535C" w:rsidRPr="001B3715">
        <w:rPr>
          <w:lang w:val="fr-FR"/>
        </w:rPr>
        <w:t>té et la</w:t>
      </w:r>
      <w:r w:rsidRPr="001B3715">
        <w:rPr>
          <w:lang w:val="fr-FR"/>
        </w:rPr>
        <w:t xml:space="preserve"> qualit</w:t>
      </w:r>
      <w:r w:rsidR="001D535C" w:rsidRPr="001B3715">
        <w:rPr>
          <w:lang w:val="fr-FR"/>
        </w:rPr>
        <w:t xml:space="preserve">é des services </w:t>
      </w:r>
      <w:r w:rsidR="004E5D04" w:rsidRPr="001B3715">
        <w:rPr>
          <w:lang w:val="fr-FR"/>
        </w:rPr>
        <w:t>assurés par le</w:t>
      </w:r>
      <w:r w:rsidR="001D535C" w:rsidRPr="001B3715">
        <w:rPr>
          <w:lang w:val="fr-FR"/>
        </w:rPr>
        <w:t xml:space="preserve"> Bureau i</w:t>
      </w:r>
      <w:r w:rsidRPr="001B3715">
        <w:rPr>
          <w:lang w:val="fr-FR"/>
        </w:rPr>
        <w:t xml:space="preserve">nternational </w:t>
      </w:r>
      <w:r w:rsidR="001D535C" w:rsidRPr="001B3715">
        <w:rPr>
          <w:lang w:val="fr-FR"/>
        </w:rPr>
        <w:t>a</w:t>
      </w:r>
      <w:r w:rsidR="004E5D04" w:rsidRPr="001B3715">
        <w:rPr>
          <w:lang w:val="fr-FR"/>
        </w:rPr>
        <w:t>u titre</w:t>
      </w:r>
      <w:r w:rsidR="001D535C" w:rsidRPr="001B3715">
        <w:rPr>
          <w:lang w:val="fr-FR"/>
        </w:rPr>
        <w:t xml:space="preserve"> du système de</w:t>
      </w:r>
      <w:r w:rsidRPr="001B3715">
        <w:rPr>
          <w:lang w:val="fr-FR"/>
        </w:rPr>
        <w:t xml:space="preserve"> Madr</w:t>
      </w:r>
      <w:r w:rsidR="001B3715" w:rsidRPr="001B3715">
        <w:rPr>
          <w:lang w:val="fr-FR"/>
        </w:rPr>
        <w:t>id.  Le</w:t>
      </w:r>
      <w:r w:rsidRPr="001B3715">
        <w:rPr>
          <w:lang w:val="fr-FR"/>
        </w:rPr>
        <w:t xml:space="preserve"> p</w:t>
      </w:r>
      <w:r w:rsidR="004E5D04" w:rsidRPr="001B3715">
        <w:rPr>
          <w:lang w:val="fr-FR"/>
        </w:rPr>
        <w:t>rogramme</w:t>
      </w:r>
      <w:r w:rsidRPr="001B3715">
        <w:rPr>
          <w:lang w:val="fr-FR"/>
        </w:rPr>
        <w:t xml:space="preserve"> </w:t>
      </w:r>
      <w:r w:rsidR="001D535C" w:rsidRPr="001B3715">
        <w:rPr>
          <w:lang w:val="fr-FR"/>
        </w:rPr>
        <w:t xml:space="preserve">a produit des résultats plus </w:t>
      </w:r>
      <w:r w:rsidR="004E5D04" w:rsidRPr="001B3715">
        <w:rPr>
          <w:lang w:val="fr-FR"/>
        </w:rPr>
        <w:t>tangible</w:t>
      </w:r>
      <w:r w:rsidR="001D535C" w:rsidRPr="001B3715">
        <w:rPr>
          <w:lang w:val="fr-FR"/>
        </w:rPr>
        <w:t>s en </w:t>
      </w:r>
      <w:r w:rsidRPr="001B3715">
        <w:rPr>
          <w:lang w:val="fr-FR"/>
        </w:rPr>
        <w:t xml:space="preserve">2015.  </w:t>
      </w:r>
      <w:r w:rsidR="004E5D04" w:rsidRPr="001B3715">
        <w:rPr>
          <w:lang w:val="fr-FR"/>
        </w:rPr>
        <w:t>Le coût unitaire d</w:t>
      </w:r>
      <w:r w:rsidR="00502D05" w:rsidRPr="001B3715">
        <w:rPr>
          <w:lang w:val="fr-FR"/>
        </w:rPr>
        <w:t>’</w:t>
      </w:r>
      <w:r w:rsidR="004E5D04" w:rsidRPr="001B3715">
        <w:rPr>
          <w:lang w:val="fr-FR"/>
        </w:rPr>
        <w:t>une demande (c</w:t>
      </w:r>
      <w:r w:rsidR="00502D05" w:rsidRPr="001B3715">
        <w:rPr>
          <w:lang w:val="fr-FR"/>
        </w:rPr>
        <w:t>’</w:t>
      </w:r>
      <w:r w:rsidR="004E5D04" w:rsidRPr="001B3715">
        <w:rPr>
          <w:lang w:val="fr-FR"/>
        </w:rPr>
        <w:t>est</w:t>
      </w:r>
      <w:r w:rsidR="00E3770C">
        <w:rPr>
          <w:lang w:val="fr-FR"/>
        </w:rPr>
        <w:noBreakHyphen/>
      </w:r>
      <w:r w:rsidR="004E5D04" w:rsidRPr="001B3715">
        <w:rPr>
          <w:lang w:val="fr-FR"/>
        </w:rPr>
        <w:t>à</w:t>
      </w:r>
      <w:r w:rsidR="00E3770C">
        <w:rPr>
          <w:lang w:val="fr-FR"/>
        </w:rPr>
        <w:noBreakHyphen/>
      </w:r>
      <w:r w:rsidR="004E5D04" w:rsidRPr="001B3715">
        <w:rPr>
          <w:lang w:val="fr-FR"/>
        </w:rPr>
        <w:t xml:space="preserve">dire le coût de traitement et de maintien </w:t>
      </w:r>
      <w:r w:rsidR="00137CB3" w:rsidRPr="001B3715">
        <w:rPr>
          <w:lang w:val="fr-FR"/>
        </w:rPr>
        <w:t xml:space="preserve">en vigueur </w:t>
      </w:r>
      <w:r w:rsidR="004E5D04" w:rsidRPr="001B3715">
        <w:rPr>
          <w:lang w:val="fr-FR"/>
        </w:rPr>
        <w:t>d</w:t>
      </w:r>
      <w:r w:rsidR="00502D05" w:rsidRPr="001B3715">
        <w:rPr>
          <w:lang w:val="fr-FR"/>
        </w:rPr>
        <w:t>’</w:t>
      </w:r>
      <w:r w:rsidR="004E5D04" w:rsidRPr="001B3715">
        <w:rPr>
          <w:lang w:val="fr-FR"/>
        </w:rPr>
        <w:t>un enregistrement international) a considérablement diminué</w:t>
      </w:r>
      <w:r w:rsidRPr="001B3715">
        <w:rPr>
          <w:lang w:val="fr-FR"/>
        </w:rPr>
        <w:t xml:space="preserve"> </w:t>
      </w:r>
      <w:r w:rsidR="004E5D04" w:rsidRPr="001B3715">
        <w:rPr>
          <w:lang w:val="fr-FR"/>
        </w:rPr>
        <w:t>et une nette amélioration de la productivité en matière d</w:t>
      </w:r>
      <w:r w:rsidR="00502D05" w:rsidRPr="001B3715">
        <w:rPr>
          <w:lang w:val="fr-FR"/>
        </w:rPr>
        <w:t>’</w:t>
      </w:r>
      <w:r w:rsidR="004E5D04" w:rsidRPr="001B3715">
        <w:rPr>
          <w:lang w:val="fr-FR"/>
        </w:rPr>
        <w:t>examen</w:t>
      </w:r>
      <w:r w:rsidRPr="001B3715">
        <w:rPr>
          <w:lang w:val="fr-FR"/>
        </w:rPr>
        <w:t xml:space="preserve"> a</w:t>
      </w:r>
      <w:r w:rsidR="004E5D04" w:rsidRPr="001B3715">
        <w:rPr>
          <w:lang w:val="fr-FR"/>
        </w:rPr>
        <w:t xml:space="preserve"> été</w:t>
      </w:r>
      <w:r w:rsidRPr="001B3715">
        <w:rPr>
          <w:lang w:val="fr-FR"/>
        </w:rPr>
        <w:t xml:space="preserve"> observ</w:t>
      </w:r>
      <w:r w:rsidR="001B3715" w:rsidRPr="001B3715">
        <w:rPr>
          <w:lang w:val="fr-FR"/>
        </w:rPr>
        <w:t>ée.  En</w:t>
      </w:r>
      <w:r w:rsidR="004E5D04" w:rsidRPr="001B3715">
        <w:rPr>
          <w:lang w:val="fr-FR"/>
        </w:rPr>
        <w:t> outre</w:t>
      </w:r>
      <w:r w:rsidRPr="001B3715">
        <w:rPr>
          <w:lang w:val="fr-FR"/>
        </w:rPr>
        <w:t xml:space="preserve">, </w:t>
      </w:r>
      <w:r w:rsidR="004E5D04" w:rsidRPr="001B3715">
        <w:rPr>
          <w:lang w:val="fr-FR"/>
        </w:rPr>
        <w:t xml:space="preserve">le délai </w:t>
      </w:r>
      <w:r w:rsidR="0072788C" w:rsidRPr="001B3715">
        <w:rPr>
          <w:lang w:val="fr-FR"/>
        </w:rPr>
        <w:t>d</w:t>
      </w:r>
      <w:r w:rsidR="00502D05" w:rsidRPr="001B3715">
        <w:rPr>
          <w:lang w:val="fr-FR"/>
        </w:rPr>
        <w:t>’</w:t>
      </w:r>
      <w:r w:rsidR="0072788C" w:rsidRPr="001B3715">
        <w:rPr>
          <w:lang w:val="fr-FR"/>
        </w:rPr>
        <w:t xml:space="preserve">attente </w:t>
      </w:r>
      <w:r w:rsidR="004E5D04" w:rsidRPr="001B3715">
        <w:rPr>
          <w:lang w:val="fr-FR"/>
        </w:rPr>
        <w:t>dans toutes les catégories de transaction</w:t>
      </w:r>
      <w:r w:rsidR="00570B85" w:rsidRPr="001B3715">
        <w:rPr>
          <w:lang w:val="fr-FR"/>
        </w:rPr>
        <w:t>s</w:t>
      </w:r>
      <w:r w:rsidR="004E5D04" w:rsidRPr="001B3715">
        <w:rPr>
          <w:lang w:val="fr-FR"/>
        </w:rPr>
        <w:t>, à l</w:t>
      </w:r>
      <w:r w:rsidR="00502D05" w:rsidRPr="001B3715">
        <w:rPr>
          <w:lang w:val="fr-FR"/>
        </w:rPr>
        <w:t>’</w:t>
      </w:r>
      <w:r w:rsidR="004E5D04" w:rsidRPr="001B3715">
        <w:rPr>
          <w:lang w:val="fr-FR"/>
        </w:rPr>
        <w:t>exception de l</w:t>
      </w:r>
      <w:r w:rsidR="00502D05" w:rsidRPr="001B3715">
        <w:rPr>
          <w:lang w:val="fr-FR"/>
        </w:rPr>
        <w:t>’</w:t>
      </w:r>
      <w:r w:rsidR="004E5D04" w:rsidRPr="001B3715">
        <w:rPr>
          <w:lang w:val="fr-FR"/>
        </w:rPr>
        <w:t>une d</w:t>
      </w:r>
      <w:r w:rsidR="00502D05" w:rsidRPr="001B3715">
        <w:rPr>
          <w:lang w:val="fr-FR"/>
        </w:rPr>
        <w:t>’</w:t>
      </w:r>
      <w:r w:rsidR="004E5D04" w:rsidRPr="001B3715">
        <w:rPr>
          <w:lang w:val="fr-FR"/>
        </w:rPr>
        <w:t>entre elles, est tombé en dessous de la moyenne des cinq dernières années.</w:t>
      </w:r>
    </w:p>
    <w:p w14:paraId="73658AAD" w14:textId="1A883088" w:rsidR="00AF5C64" w:rsidRPr="001B3715" w:rsidRDefault="002B12C7" w:rsidP="00137CB3">
      <w:pPr>
        <w:pStyle w:val="ONUMFS"/>
        <w:rPr>
          <w:lang w:val="fr-FR"/>
        </w:rPr>
      </w:pPr>
      <w:r w:rsidRPr="001B3715">
        <w:rPr>
          <w:lang w:val="fr-FR"/>
        </w:rPr>
        <w:t xml:space="preserve">Les progrès réalisés en termes de </w:t>
      </w:r>
      <w:r w:rsidR="00333FFC" w:rsidRPr="001B3715">
        <w:rPr>
          <w:lang w:val="fr-FR"/>
        </w:rPr>
        <w:t>productivit</w:t>
      </w:r>
      <w:r w:rsidRPr="001B3715">
        <w:rPr>
          <w:lang w:val="fr-FR"/>
        </w:rPr>
        <w:t>é et d</w:t>
      </w:r>
      <w:r w:rsidR="00502D05" w:rsidRPr="001B3715">
        <w:rPr>
          <w:lang w:val="fr-FR"/>
        </w:rPr>
        <w:t>’</w:t>
      </w:r>
      <w:r w:rsidR="00333FFC" w:rsidRPr="001B3715">
        <w:rPr>
          <w:lang w:val="fr-FR"/>
        </w:rPr>
        <w:t>effic</w:t>
      </w:r>
      <w:r w:rsidRPr="001B3715">
        <w:rPr>
          <w:lang w:val="fr-FR"/>
        </w:rPr>
        <w:t>ac</w:t>
      </w:r>
      <w:r w:rsidR="00333FFC" w:rsidRPr="001B3715">
        <w:rPr>
          <w:lang w:val="fr-FR"/>
        </w:rPr>
        <w:t>i</w:t>
      </w:r>
      <w:r w:rsidRPr="001B3715">
        <w:rPr>
          <w:lang w:val="fr-FR"/>
        </w:rPr>
        <w:t>té ont ralenti en </w:t>
      </w:r>
      <w:r w:rsidR="00333FFC" w:rsidRPr="001B3715">
        <w:rPr>
          <w:lang w:val="fr-FR"/>
        </w:rPr>
        <w:t xml:space="preserve">2016 </w:t>
      </w:r>
      <w:r w:rsidRPr="001B3715">
        <w:rPr>
          <w:lang w:val="fr-FR"/>
        </w:rPr>
        <w:t>avec l</w:t>
      </w:r>
      <w:r w:rsidR="00502D05" w:rsidRPr="001B3715">
        <w:rPr>
          <w:lang w:val="fr-FR"/>
        </w:rPr>
        <w:t>’</w:t>
      </w:r>
      <w:r w:rsidRPr="001B3715">
        <w:rPr>
          <w:lang w:val="fr-FR"/>
        </w:rPr>
        <w:t>installation du système MIRIS (</w:t>
      </w:r>
      <w:r w:rsidR="00333FFC" w:rsidRPr="001B3715">
        <w:rPr>
          <w:lang w:val="fr-FR"/>
        </w:rPr>
        <w:t xml:space="preserve">Madrid International Registrations Information </w:t>
      </w:r>
      <w:r w:rsidRPr="001B3715">
        <w:rPr>
          <w:lang w:val="fr-FR"/>
        </w:rPr>
        <w:t>System</w:t>
      </w:r>
      <w:r w:rsidR="00333FFC" w:rsidRPr="001B3715">
        <w:rPr>
          <w:lang w:val="fr-FR"/>
        </w:rPr>
        <w:t xml:space="preserve">), </w:t>
      </w:r>
      <w:r w:rsidRPr="001B3715">
        <w:rPr>
          <w:lang w:val="fr-FR"/>
        </w:rPr>
        <w:t>une nouvelle plateforme informatique conçue pour répondre aux besoins opérationnels actuels du système de Madrid et pour renforcer son offre de services en ligne aux utilisateu</w:t>
      </w:r>
      <w:r w:rsidR="001B3715" w:rsidRPr="001B3715">
        <w:rPr>
          <w:lang w:val="fr-FR"/>
        </w:rPr>
        <w:t>rs.  S’i</w:t>
      </w:r>
      <w:r w:rsidRPr="001B3715">
        <w:rPr>
          <w:lang w:val="fr-FR"/>
        </w:rPr>
        <w:t>l avait été initialement prévu que le passage au nouveau système n</w:t>
      </w:r>
      <w:r w:rsidR="00502D05" w:rsidRPr="001B3715">
        <w:rPr>
          <w:lang w:val="fr-FR"/>
        </w:rPr>
        <w:t>’</w:t>
      </w:r>
      <w:r w:rsidRPr="001B3715">
        <w:rPr>
          <w:lang w:val="fr-FR"/>
        </w:rPr>
        <w:t>aurait que peu d</w:t>
      </w:r>
      <w:r w:rsidR="00502D05" w:rsidRPr="001B3715">
        <w:rPr>
          <w:lang w:val="fr-FR"/>
        </w:rPr>
        <w:t>’</w:t>
      </w:r>
      <w:r w:rsidRPr="001B3715">
        <w:rPr>
          <w:lang w:val="fr-FR"/>
        </w:rPr>
        <w:t>incidence sur le fonctionnement du système</w:t>
      </w:r>
      <w:r w:rsidR="00333FFC" w:rsidRPr="001B3715">
        <w:rPr>
          <w:lang w:val="fr-FR"/>
        </w:rPr>
        <w:t xml:space="preserve">, </w:t>
      </w:r>
      <w:r w:rsidRPr="001B3715">
        <w:rPr>
          <w:lang w:val="fr-FR"/>
        </w:rPr>
        <w:t>la période d</w:t>
      </w:r>
      <w:r w:rsidR="00333FFC" w:rsidRPr="001B3715">
        <w:rPr>
          <w:lang w:val="fr-FR"/>
        </w:rPr>
        <w:t xml:space="preserve">e transition </w:t>
      </w:r>
      <w:r w:rsidRPr="001B3715">
        <w:rPr>
          <w:lang w:val="fr-FR"/>
        </w:rPr>
        <w:t>a finalement duré plus longtemps que pré</w:t>
      </w:r>
      <w:r w:rsidR="001B3715" w:rsidRPr="001B3715">
        <w:rPr>
          <w:lang w:val="fr-FR"/>
        </w:rPr>
        <w:t>vu.  Le</w:t>
      </w:r>
      <w:r w:rsidRPr="001B3715">
        <w:rPr>
          <w:lang w:val="fr-FR"/>
        </w:rPr>
        <w:t xml:space="preserve"> systèm</w:t>
      </w:r>
      <w:r w:rsidR="00333FFC" w:rsidRPr="001B3715">
        <w:rPr>
          <w:lang w:val="fr-FR"/>
        </w:rPr>
        <w:t xml:space="preserve">e MIRIS </w:t>
      </w:r>
      <w:r w:rsidR="00CF2EE0" w:rsidRPr="001B3715">
        <w:rPr>
          <w:lang w:val="fr-FR"/>
        </w:rPr>
        <w:t>étant désormais</w:t>
      </w:r>
      <w:r w:rsidRPr="001B3715">
        <w:rPr>
          <w:lang w:val="fr-FR"/>
        </w:rPr>
        <w:t xml:space="preserve"> pleinement mis en </w:t>
      </w:r>
      <w:r w:rsidR="00CF2EE0" w:rsidRPr="001B3715">
        <w:rPr>
          <w:lang w:val="fr-FR"/>
        </w:rPr>
        <w:t>œuvre,</w:t>
      </w:r>
      <w:r w:rsidRPr="001B3715">
        <w:rPr>
          <w:lang w:val="fr-FR"/>
        </w:rPr>
        <w:t xml:space="preserve"> nous </w:t>
      </w:r>
      <w:r w:rsidR="00CF2EE0" w:rsidRPr="001B3715">
        <w:rPr>
          <w:lang w:val="fr-FR"/>
        </w:rPr>
        <w:t xml:space="preserve">espérons renouer avec </w:t>
      </w:r>
      <w:r w:rsidRPr="001B3715">
        <w:rPr>
          <w:lang w:val="fr-FR"/>
        </w:rPr>
        <w:t xml:space="preserve">la croissance de la productivité </w:t>
      </w:r>
      <w:r w:rsidR="00CF2EE0" w:rsidRPr="001B3715">
        <w:rPr>
          <w:lang w:val="fr-FR"/>
        </w:rPr>
        <w:t>et offrir des services améliorés aux utilisateurs</w:t>
      </w:r>
      <w:r w:rsidR="00333FFC" w:rsidRPr="001B3715">
        <w:rPr>
          <w:lang w:val="fr-FR"/>
        </w:rPr>
        <w:t>.</w:t>
      </w:r>
    </w:p>
    <w:p w14:paraId="4341E268" w14:textId="27DAFEBA" w:rsidR="00AF5C64" w:rsidRPr="001B3715" w:rsidRDefault="00F14561" w:rsidP="00137CB3">
      <w:pPr>
        <w:pStyle w:val="ONUMFS"/>
        <w:rPr>
          <w:lang w:val="fr-FR"/>
        </w:rPr>
      </w:pPr>
      <w:r w:rsidRPr="001B3715">
        <w:rPr>
          <w:lang w:val="fr-FR"/>
        </w:rPr>
        <w:t>L</w:t>
      </w:r>
      <w:r w:rsidR="00502D05" w:rsidRPr="001B3715">
        <w:rPr>
          <w:lang w:val="fr-FR"/>
        </w:rPr>
        <w:t>’</w:t>
      </w:r>
      <w:r w:rsidR="00333FFC" w:rsidRPr="001B3715">
        <w:rPr>
          <w:lang w:val="fr-FR"/>
        </w:rPr>
        <w:t>environ</w:t>
      </w:r>
      <w:r w:rsidRPr="001B3715">
        <w:rPr>
          <w:lang w:val="fr-FR"/>
        </w:rPr>
        <w:t>ne</w:t>
      </w:r>
      <w:r w:rsidR="00333FFC" w:rsidRPr="001B3715">
        <w:rPr>
          <w:lang w:val="fr-FR"/>
        </w:rPr>
        <w:t xml:space="preserve">ment </w:t>
      </w:r>
      <w:r w:rsidRPr="001B3715">
        <w:rPr>
          <w:lang w:val="fr-FR"/>
        </w:rPr>
        <w:t>informatique du système d</w:t>
      </w:r>
      <w:r w:rsidR="00333FFC" w:rsidRPr="001B3715">
        <w:rPr>
          <w:lang w:val="fr-FR"/>
        </w:rPr>
        <w:t xml:space="preserve">e Madrid </w:t>
      </w:r>
      <w:r w:rsidRPr="001B3715">
        <w:rPr>
          <w:lang w:val="fr-FR"/>
        </w:rPr>
        <w:t xml:space="preserve">est </w:t>
      </w:r>
      <w:r w:rsidR="00C41B65" w:rsidRPr="001B3715">
        <w:rPr>
          <w:lang w:val="fr-FR"/>
        </w:rPr>
        <w:t>l</w:t>
      </w:r>
      <w:r w:rsidR="00502D05" w:rsidRPr="001B3715">
        <w:rPr>
          <w:lang w:val="fr-FR"/>
        </w:rPr>
        <w:t>’</w:t>
      </w:r>
      <w:r w:rsidR="00C41B65" w:rsidRPr="001B3715">
        <w:rPr>
          <w:lang w:val="fr-FR"/>
        </w:rPr>
        <w:t xml:space="preserve">une </w:t>
      </w:r>
      <w:r w:rsidRPr="001B3715">
        <w:rPr>
          <w:lang w:val="fr-FR"/>
        </w:rPr>
        <w:t>des pr</w:t>
      </w:r>
      <w:r w:rsidR="00C41B65" w:rsidRPr="001B3715">
        <w:rPr>
          <w:lang w:val="fr-FR"/>
        </w:rPr>
        <w:t>iorités</w:t>
      </w:r>
      <w:r w:rsidRPr="001B3715">
        <w:rPr>
          <w:lang w:val="fr-FR"/>
        </w:rPr>
        <w:t xml:space="preserve"> du </w:t>
      </w:r>
      <w:r w:rsidR="00C41B65" w:rsidRPr="001B3715">
        <w:rPr>
          <w:lang w:val="fr-FR"/>
        </w:rPr>
        <w:t>B</w:t>
      </w:r>
      <w:r w:rsidRPr="001B3715">
        <w:rPr>
          <w:lang w:val="fr-FR"/>
        </w:rPr>
        <w:t xml:space="preserve">ureau </w:t>
      </w:r>
      <w:r w:rsidR="00C41B65" w:rsidRPr="001B3715">
        <w:rPr>
          <w:lang w:val="fr-FR"/>
        </w:rPr>
        <w:t>i</w:t>
      </w:r>
      <w:r w:rsidR="00333FFC" w:rsidRPr="001B3715">
        <w:rPr>
          <w:lang w:val="fr-FR"/>
        </w:rPr>
        <w:t xml:space="preserve">nternational, </w:t>
      </w:r>
      <w:r w:rsidR="00C41B65" w:rsidRPr="001B3715">
        <w:rPr>
          <w:lang w:val="fr-FR"/>
        </w:rPr>
        <w:t>qui entend mettre en place un environnement global et intégré pour le traitement interne et les</w:t>
      </w:r>
      <w:r w:rsidR="00333FFC" w:rsidRPr="001B3715">
        <w:rPr>
          <w:lang w:val="fr-FR"/>
        </w:rPr>
        <w:t xml:space="preserve"> interactions </w:t>
      </w:r>
      <w:r w:rsidR="00C41B65" w:rsidRPr="001B3715">
        <w:rPr>
          <w:lang w:val="fr-FR"/>
        </w:rPr>
        <w:t xml:space="preserve">avec les offices de propriété intellectuelle des </w:t>
      </w:r>
      <w:r w:rsidR="0072788C" w:rsidRPr="001B3715">
        <w:rPr>
          <w:lang w:val="fr-FR"/>
        </w:rPr>
        <w:t>p</w:t>
      </w:r>
      <w:r w:rsidR="00C41B65" w:rsidRPr="001B3715">
        <w:rPr>
          <w:lang w:val="fr-FR"/>
        </w:rPr>
        <w:t>arties c</w:t>
      </w:r>
      <w:r w:rsidR="00333FFC" w:rsidRPr="001B3715">
        <w:rPr>
          <w:lang w:val="fr-FR"/>
        </w:rPr>
        <w:t>ontract</w:t>
      </w:r>
      <w:r w:rsidR="00C41B65" w:rsidRPr="001B3715">
        <w:rPr>
          <w:lang w:val="fr-FR"/>
        </w:rPr>
        <w:t>a</w:t>
      </w:r>
      <w:r w:rsidR="00333FFC" w:rsidRPr="001B3715">
        <w:rPr>
          <w:lang w:val="fr-FR"/>
        </w:rPr>
        <w:t>n</w:t>
      </w:r>
      <w:r w:rsidR="00C41B65" w:rsidRPr="001B3715">
        <w:rPr>
          <w:lang w:val="fr-FR"/>
        </w:rPr>
        <w:t>tes</w:t>
      </w:r>
      <w:r w:rsidR="00333FFC" w:rsidRPr="001B3715">
        <w:rPr>
          <w:lang w:val="fr-FR"/>
        </w:rPr>
        <w:t xml:space="preserve"> </w:t>
      </w:r>
      <w:r w:rsidR="00C41B65" w:rsidRPr="001B3715">
        <w:rPr>
          <w:lang w:val="fr-FR"/>
        </w:rPr>
        <w:t xml:space="preserve">et </w:t>
      </w:r>
      <w:r w:rsidR="00333FFC" w:rsidRPr="001B3715">
        <w:rPr>
          <w:lang w:val="fr-FR"/>
        </w:rPr>
        <w:t>d</w:t>
      </w:r>
      <w:r w:rsidR="00C41B65" w:rsidRPr="001B3715">
        <w:rPr>
          <w:lang w:val="fr-FR"/>
        </w:rPr>
        <w:t>es</w:t>
      </w:r>
      <w:r w:rsidR="00333FFC" w:rsidRPr="001B3715">
        <w:rPr>
          <w:lang w:val="fr-FR"/>
        </w:rPr>
        <w:t xml:space="preserve"> u</w:t>
      </w:r>
      <w:r w:rsidR="00C41B65" w:rsidRPr="001B3715">
        <w:rPr>
          <w:lang w:val="fr-FR"/>
        </w:rPr>
        <w:t>tilisateu</w:t>
      </w:r>
      <w:r w:rsidR="001B3715" w:rsidRPr="001B3715">
        <w:rPr>
          <w:lang w:val="fr-FR"/>
        </w:rPr>
        <w:t>rs.  Un</w:t>
      </w:r>
      <w:r w:rsidR="00C41B65" w:rsidRPr="001B3715">
        <w:rPr>
          <w:lang w:val="fr-FR"/>
        </w:rPr>
        <w:t xml:space="preserve"> pas important vers l</w:t>
      </w:r>
      <w:r w:rsidR="00502D05" w:rsidRPr="001B3715">
        <w:rPr>
          <w:lang w:val="fr-FR"/>
        </w:rPr>
        <w:t>’</w:t>
      </w:r>
      <w:r w:rsidR="00333FFC" w:rsidRPr="001B3715">
        <w:rPr>
          <w:lang w:val="fr-FR"/>
        </w:rPr>
        <w:t>int</w:t>
      </w:r>
      <w:r w:rsidR="00C41B65" w:rsidRPr="001B3715">
        <w:rPr>
          <w:lang w:val="fr-FR"/>
        </w:rPr>
        <w:t>é</w:t>
      </w:r>
      <w:r w:rsidR="00333FFC" w:rsidRPr="001B3715">
        <w:rPr>
          <w:lang w:val="fr-FR"/>
        </w:rPr>
        <w:t xml:space="preserve">gration </w:t>
      </w:r>
      <w:r w:rsidR="00C41B65" w:rsidRPr="001B3715">
        <w:rPr>
          <w:lang w:val="fr-FR"/>
        </w:rPr>
        <w:t>des</w:t>
      </w:r>
      <w:r w:rsidR="00333FFC" w:rsidRPr="001B3715">
        <w:rPr>
          <w:lang w:val="fr-FR"/>
        </w:rPr>
        <w:t xml:space="preserve"> services a </w:t>
      </w:r>
      <w:r w:rsidR="00C41B65" w:rsidRPr="001B3715">
        <w:rPr>
          <w:lang w:val="fr-FR"/>
        </w:rPr>
        <w:t>été fait avec l</w:t>
      </w:r>
      <w:r w:rsidR="00502D05" w:rsidRPr="001B3715">
        <w:rPr>
          <w:lang w:val="fr-FR"/>
        </w:rPr>
        <w:t>’</w:t>
      </w:r>
      <w:r w:rsidR="00C41B65" w:rsidRPr="001B3715">
        <w:rPr>
          <w:lang w:val="fr-FR"/>
        </w:rPr>
        <w:t xml:space="preserve">installation du </w:t>
      </w:r>
      <w:r w:rsidR="00333FFC" w:rsidRPr="001B3715">
        <w:rPr>
          <w:lang w:val="fr-FR"/>
        </w:rPr>
        <w:t xml:space="preserve">Madrid Monitor, </w:t>
      </w:r>
      <w:r w:rsidR="00C41B65" w:rsidRPr="001B3715">
        <w:rPr>
          <w:lang w:val="fr-FR"/>
        </w:rPr>
        <w:t>outil qui regroupe dans une seule application les fonctions et les informations accessibles dans la base de données ROMARIN et la Gazette OMPI des marques internationales</w:t>
      </w:r>
      <w:r w:rsidR="00137CB3" w:rsidRPr="001B3715">
        <w:rPr>
          <w:lang w:val="fr-FR"/>
        </w:rPr>
        <w:t>,</w:t>
      </w:r>
      <w:r w:rsidR="00C41B65" w:rsidRPr="001B3715">
        <w:rPr>
          <w:lang w:val="fr-FR"/>
        </w:rPr>
        <w:t xml:space="preserve"> et par l</w:t>
      </w:r>
      <w:r w:rsidR="00502D05" w:rsidRPr="001B3715">
        <w:rPr>
          <w:lang w:val="fr-FR"/>
        </w:rPr>
        <w:t>’</w:t>
      </w:r>
      <w:r w:rsidR="00C41B65" w:rsidRPr="001B3715">
        <w:rPr>
          <w:lang w:val="fr-FR"/>
        </w:rPr>
        <w:t>intermédiaire du service Madrid E</w:t>
      </w:r>
      <w:r w:rsidR="00E3770C">
        <w:rPr>
          <w:lang w:val="fr-FR"/>
        </w:rPr>
        <w:noBreakHyphen/>
      </w:r>
      <w:proofErr w:type="spellStart"/>
      <w:r w:rsidR="00C41B65" w:rsidRPr="001B3715">
        <w:rPr>
          <w:lang w:val="fr-FR"/>
        </w:rPr>
        <w:t>Alert</w:t>
      </w:r>
      <w:proofErr w:type="spellEnd"/>
      <w:r w:rsidR="00C41B65" w:rsidRPr="001B3715">
        <w:rPr>
          <w:lang w:val="fr-FR"/>
        </w:rPr>
        <w:t xml:space="preserve"> et du service de suivi en temps réel (Real Time </w:t>
      </w:r>
      <w:proofErr w:type="spellStart"/>
      <w:r w:rsidR="00C41B65" w:rsidRPr="001B3715">
        <w:rPr>
          <w:lang w:val="fr-FR"/>
        </w:rPr>
        <w:t>Stat</w:t>
      </w:r>
      <w:r w:rsidR="001B3715" w:rsidRPr="001B3715">
        <w:rPr>
          <w:lang w:val="fr-FR"/>
        </w:rPr>
        <w:t>us</w:t>
      </w:r>
      <w:proofErr w:type="spellEnd"/>
      <w:r w:rsidR="001B3715" w:rsidRPr="001B3715">
        <w:rPr>
          <w:lang w:val="fr-FR"/>
        </w:rPr>
        <w:t>).  Au</w:t>
      </w:r>
      <w:r w:rsidR="00C41B65" w:rsidRPr="001B3715">
        <w:rPr>
          <w:lang w:val="fr-FR"/>
        </w:rPr>
        <w:t xml:space="preserve"> cours des mois à venir, une nouvelle fonctionnalité sera </w:t>
      </w:r>
      <w:r w:rsidR="0072788C" w:rsidRPr="001B3715">
        <w:rPr>
          <w:lang w:val="fr-FR"/>
        </w:rPr>
        <w:t>lancée</w:t>
      </w:r>
      <w:r w:rsidR="00333FFC" w:rsidRPr="001B3715">
        <w:rPr>
          <w:lang w:val="fr-FR"/>
        </w:rPr>
        <w:t xml:space="preserve">, </w:t>
      </w:r>
      <w:r w:rsidR="00C41B65" w:rsidRPr="001B3715">
        <w:rPr>
          <w:lang w:val="fr-FR"/>
        </w:rPr>
        <w:t xml:space="preserve">la base de données </w:t>
      </w:r>
      <w:r w:rsidR="00333FFC" w:rsidRPr="001B3715">
        <w:rPr>
          <w:lang w:val="fr-FR"/>
        </w:rPr>
        <w:t xml:space="preserve">Madrid </w:t>
      </w:r>
      <w:proofErr w:type="spellStart"/>
      <w:r w:rsidR="00333FFC" w:rsidRPr="001B3715">
        <w:rPr>
          <w:lang w:val="fr-FR"/>
        </w:rPr>
        <w:t>Member</w:t>
      </w:r>
      <w:proofErr w:type="spellEnd"/>
      <w:r w:rsidR="00333FFC" w:rsidRPr="001B3715">
        <w:rPr>
          <w:lang w:val="fr-FR"/>
        </w:rPr>
        <w:t xml:space="preserve"> Profi</w:t>
      </w:r>
      <w:r w:rsidR="001B3715" w:rsidRPr="001B3715">
        <w:rPr>
          <w:lang w:val="fr-FR"/>
        </w:rPr>
        <w:t>le.  Ce</w:t>
      </w:r>
      <w:r w:rsidR="00543FD7" w:rsidRPr="001B3715">
        <w:rPr>
          <w:lang w:val="fr-FR"/>
        </w:rPr>
        <w:t xml:space="preserve"> nouveau </w:t>
      </w:r>
      <w:r w:rsidR="00333FFC" w:rsidRPr="001B3715">
        <w:rPr>
          <w:lang w:val="fr-FR"/>
        </w:rPr>
        <w:t xml:space="preserve">service </w:t>
      </w:r>
      <w:r w:rsidR="00543FD7" w:rsidRPr="001B3715">
        <w:rPr>
          <w:lang w:val="fr-FR"/>
        </w:rPr>
        <w:t>offrira un système de recherche</w:t>
      </w:r>
      <w:r w:rsidR="00333FFC" w:rsidRPr="001B3715">
        <w:rPr>
          <w:lang w:val="fr-FR"/>
        </w:rPr>
        <w:t xml:space="preserve"> sophisti</w:t>
      </w:r>
      <w:r w:rsidR="00543FD7" w:rsidRPr="001B3715">
        <w:rPr>
          <w:lang w:val="fr-FR"/>
        </w:rPr>
        <w:t>qué permettant aux clients d</w:t>
      </w:r>
      <w:r w:rsidR="00502D05" w:rsidRPr="001B3715">
        <w:rPr>
          <w:lang w:val="fr-FR"/>
        </w:rPr>
        <w:t>’</w:t>
      </w:r>
      <w:r w:rsidR="00543FD7" w:rsidRPr="001B3715">
        <w:rPr>
          <w:lang w:val="fr-FR"/>
        </w:rPr>
        <w:t>avoir accès à un large éventail d</w:t>
      </w:r>
      <w:r w:rsidR="00502D05" w:rsidRPr="001B3715">
        <w:rPr>
          <w:lang w:val="fr-FR"/>
        </w:rPr>
        <w:t>’</w:t>
      </w:r>
      <w:r w:rsidR="00333FFC" w:rsidRPr="001B3715">
        <w:rPr>
          <w:lang w:val="fr-FR"/>
        </w:rPr>
        <w:t>information</w:t>
      </w:r>
      <w:r w:rsidR="00543FD7" w:rsidRPr="001B3715">
        <w:rPr>
          <w:lang w:val="fr-FR"/>
        </w:rPr>
        <w:t>s</w:t>
      </w:r>
      <w:r w:rsidR="00333FFC" w:rsidRPr="001B3715">
        <w:rPr>
          <w:lang w:val="fr-FR"/>
        </w:rPr>
        <w:t xml:space="preserve"> </w:t>
      </w:r>
      <w:r w:rsidR="00543FD7" w:rsidRPr="001B3715">
        <w:rPr>
          <w:lang w:val="fr-FR"/>
        </w:rPr>
        <w:t>sur les</w:t>
      </w:r>
      <w:r w:rsidR="00333FFC" w:rsidRPr="001B3715">
        <w:rPr>
          <w:lang w:val="fr-FR"/>
        </w:rPr>
        <w:t xml:space="preserve"> proc</w:t>
      </w:r>
      <w:r w:rsidR="00543FD7" w:rsidRPr="001B3715">
        <w:rPr>
          <w:lang w:val="fr-FR"/>
        </w:rPr>
        <w:t>é</w:t>
      </w:r>
      <w:r w:rsidR="00333FFC" w:rsidRPr="001B3715">
        <w:rPr>
          <w:lang w:val="fr-FR"/>
        </w:rPr>
        <w:t xml:space="preserve">dures </w:t>
      </w:r>
      <w:r w:rsidR="00543FD7" w:rsidRPr="001B3715">
        <w:rPr>
          <w:lang w:val="fr-FR"/>
        </w:rPr>
        <w:t>appliquées dans les offices de propriété intellectuelle des membres du système de</w:t>
      </w:r>
      <w:r w:rsidR="00333FFC" w:rsidRPr="001B3715">
        <w:rPr>
          <w:lang w:val="fr-FR"/>
        </w:rPr>
        <w:t xml:space="preserve"> Madrid </w:t>
      </w:r>
      <w:r w:rsidR="00543FD7" w:rsidRPr="001B3715">
        <w:rPr>
          <w:lang w:val="fr-FR"/>
        </w:rPr>
        <w:t>en ce qui concerne l</w:t>
      </w:r>
      <w:r w:rsidR="00502D05" w:rsidRPr="001B3715">
        <w:rPr>
          <w:lang w:val="fr-FR"/>
        </w:rPr>
        <w:t>’</w:t>
      </w:r>
      <w:r w:rsidR="00543FD7" w:rsidRPr="001B3715">
        <w:rPr>
          <w:lang w:val="fr-FR"/>
        </w:rPr>
        <w:t>enregistrement</w:t>
      </w:r>
      <w:r w:rsidR="00333FFC" w:rsidRPr="001B3715">
        <w:rPr>
          <w:lang w:val="fr-FR"/>
        </w:rPr>
        <w:t xml:space="preserve"> international </w:t>
      </w:r>
      <w:r w:rsidR="00543FD7" w:rsidRPr="001B3715">
        <w:rPr>
          <w:lang w:val="fr-FR"/>
        </w:rPr>
        <w:t>des</w:t>
      </w:r>
      <w:r w:rsidR="00333FFC" w:rsidRPr="001B3715">
        <w:rPr>
          <w:lang w:val="fr-FR"/>
        </w:rPr>
        <w:t xml:space="preserve"> mar</w:t>
      </w:r>
      <w:r w:rsidR="00543FD7" w:rsidRPr="001B3715">
        <w:rPr>
          <w:lang w:val="fr-FR"/>
        </w:rPr>
        <w:t>qu</w:t>
      </w:r>
      <w:r w:rsidR="001B3715" w:rsidRPr="001B3715">
        <w:rPr>
          <w:lang w:val="fr-FR"/>
        </w:rPr>
        <w:t>es.  La</w:t>
      </w:r>
      <w:r w:rsidR="00543FD7" w:rsidRPr="001B3715">
        <w:rPr>
          <w:lang w:val="fr-FR"/>
        </w:rPr>
        <w:t xml:space="preserve"> base de données en est au stade final de son élaboration et sera mise à la disposition du public dès qu</w:t>
      </w:r>
      <w:r w:rsidR="00502D05" w:rsidRPr="001B3715">
        <w:rPr>
          <w:lang w:val="fr-FR"/>
        </w:rPr>
        <w:t>’</w:t>
      </w:r>
      <w:r w:rsidR="00543FD7" w:rsidRPr="001B3715">
        <w:rPr>
          <w:lang w:val="fr-FR"/>
        </w:rPr>
        <w:t xml:space="preserve">elle aura été alimentée </w:t>
      </w:r>
      <w:r w:rsidR="00137CB3" w:rsidRPr="001B3715">
        <w:rPr>
          <w:lang w:val="fr-FR"/>
        </w:rPr>
        <w:t>au moyen des</w:t>
      </w:r>
      <w:r w:rsidR="00543FD7" w:rsidRPr="001B3715">
        <w:rPr>
          <w:lang w:val="fr-FR"/>
        </w:rPr>
        <w:t xml:space="preserve"> informations fournies par les membres du système de Madrid</w:t>
      </w:r>
      <w:r w:rsidR="00333FFC" w:rsidRPr="001B3715">
        <w:rPr>
          <w:lang w:val="fr-FR"/>
        </w:rPr>
        <w:t>.</w:t>
      </w:r>
    </w:p>
    <w:p w14:paraId="3C93156D" w14:textId="0E4310BD" w:rsidR="00AF5C64" w:rsidRPr="001B3715" w:rsidRDefault="006672C8" w:rsidP="00137CB3">
      <w:pPr>
        <w:pStyle w:val="ONUMFS"/>
        <w:rPr>
          <w:lang w:val="fr-FR"/>
        </w:rPr>
      </w:pPr>
      <w:r w:rsidRPr="001B3715">
        <w:rPr>
          <w:lang w:val="fr-FR"/>
        </w:rPr>
        <w:t>Le système de Madrid fête ses 125</w:t>
      </w:r>
      <w:r w:rsidR="00E3770C">
        <w:rPr>
          <w:lang w:val="fr-FR"/>
        </w:rPr>
        <w:t> </w:t>
      </w:r>
      <w:r w:rsidRPr="001B3715">
        <w:rPr>
          <w:lang w:val="fr-FR"/>
        </w:rPr>
        <w:t>ans d</w:t>
      </w:r>
      <w:r w:rsidR="00502D05" w:rsidRPr="001B3715">
        <w:rPr>
          <w:lang w:val="fr-FR"/>
        </w:rPr>
        <w:t>’</w:t>
      </w:r>
      <w:r w:rsidRPr="001B3715">
        <w:rPr>
          <w:lang w:val="fr-FR"/>
        </w:rPr>
        <w:t>existence en</w:t>
      </w:r>
      <w:r w:rsidR="00D04CDB" w:rsidRPr="001B3715">
        <w:rPr>
          <w:lang w:val="fr-FR"/>
        </w:rPr>
        <w:t> </w:t>
      </w:r>
      <w:r w:rsidRPr="001B3715">
        <w:rPr>
          <w:lang w:val="fr-FR"/>
        </w:rPr>
        <w:t>2016 en organisant une série d</w:t>
      </w:r>
      <w:r w:rsidR="00502D05" w:rsidRPr="001B3715">
        <w:rPr>
          <w:lang w:val="fr-FR"/>
        </w:rPr>
        <w:t>’</w:t>
      </w:r>
      <w:r w:rsidRPr="001B3715">
        <w:rPr>
          <w:lang w:val="fr-FR"/>
        </w:rPr>
        <w:t xml:space="preserve">événements promotionnels qui véhiculent un message clé, </w:t>
      </w:r>
      <w:r w:rsidR="00502D05" w:rsidRPr="001B3715">
        <w:rPr>
          <w:lang w:val="fr-FR"/>
        </w:rPr>
        <w:t>à savoir</w:t>
      </w:r>
      <w:r w:rsidRPr="001B3715">
        <w:rPr>
          <w:lang w:val="fr-FR"/>
        </w:rPr>
        <w:t xml:space="preserve"> que des milliers de chefs d</w:t>
      </w:r>
      <w:r w:rsidR="00502D05" w:rsidRPr="001B3715">
        <w:rPr>
          <w:lang w:val="fr-FR"/>
        </w:rPr>
        <w:t>’</w:t>
      </w:r>
      <w:r w:rsidRPr="001B3715">
        <w:rPr>
          <w:lang w:val="fr-FR"/>
        </w:rPr>
        <w:t>entreprise, de PME et de multinationales, tous secteurs et pays confondus, ont utilisé le système de Madrid pour protéger leurs marques sur des marchés d</w:t>
      </w:r>
      <w:r w:rsidR="00502D05" w:rsidRPr="001B3715">
        <w:rPr>
          <w:lang w:val="fr-FR"/>
        </w:rPr>
        <w:t>’</w:t>
      </w:r>
      <w:r w:rsidRPr="001B3715">
        <w:rPr>
          <w:lang w:val="fr-FR"/>
        </w:rPr>
        <w:t>exportation essentie</w:t>
      </w:r>
      <w:r w:rsidR="001B3715" w:rsidRPr="001B3715">
        <w:rPr>
          <w:lang w:val="fr-FR"/>
        </w:rPr>
        <w:t>ls.  De</w:t>
      </w:r>
      <w:r w:rsidRPr="001B3715">
        <w:rPr>
          <w:lang w:val="fr-FR"/>
        </w:rPr>
        <w:t>puis la création du système, le nombre de marques enregistrées a largement dépassé la barre du million, avec quelque 625</w:t>
      </w:r>
      <w:r w:rsidR="00D04CDB" w:rsidRPr="001B3715">
        <w:rPr>
          <w:lang w:val="fr-FR"/>
        </w:rPr>
        <w:t> </w:t>
      </w:r>
      <w:r w:rsidRPr="001B3715">
        <w:rPr>
          <w:lang w:val="fr-FR"/>
        </w:rPr>
        <w:t>000</w:t>
      </w:r>
      <w:r w:rsidR="00E3770C">
        <w:rPr>
          <w:lang w:val="fr-FR"/>
        </w:rPr>
        <w:t> </w:t>
      </w:r>
      <w:r w:rsidRPr="001B3715">
        <w:rPr>
          <w:lang w:val="fr-FR"/>
        </w:rPr>
        <w:t>enregistrements internationaux actuellement en vigueur, au nombre desquels d</w:t>
      </w:r>
      <w:r w:rsidR="00502D05" w:rsidRPr="001B3715">
        <w:rPr>
          <w:lang w:val="fr-FR"/>
        </w:rPr>
        <w:t>’</w:t>
      </w:r>
      <w:r w:rsidRPr="001B3715">
        <w:rPr>
          <w:lang w:val="fr-FR"/>
        </w:rPr>
        <w:t>innombrables marques qui jouissent aujourd</w:t>
      </w:r>
      <w:r w:rsidR="00502D05" w:rsidRPr="001B3715">
        <w:rPr>
          <w:lang w:val="fr-FR"/>
        </w:rPr>
        <w:t>’</w:t>
      </w:r>
      <w:r w:rsidRPr="001B3715">
        <w:rPr>
          <w:lang w:val="fr-FR"/>
        </w:rPr>
        <w:t>hui d</w:t>
      </w:r>
      <w:r w:rsidR="00502D05" w:rsidRPr="001B3715">
        <w:rPr>
          <w:lang w:val="fr-FR"/>
        </w:rPr>
        <w:t>’</w:t>
      </w:r>
      <w:r w:rsidRPr="001B3715">
        <w:rPr>
          <w:lang w:val="fr-FR"/>
        </w:rPr>
        <w:t>une renommée mondia</w:t>
      </w:r>
      <w:r w:rsidR="001B3715" w:rsidRPr="001B3715">
        <w:rPr>
          <w:lang w:val="fr-FR"/>
        </w:rPr>
        <w:t>le.  Ce</w:t>
      </w:r>
      <w:r w:rsidRPr="001B3715">
        <w:rPr>
          <w:lang w:val="fr-FR"/>
        </w:rPr>
        <w:t xml:space="preserve"> dynamisme impressionnant témoigne de la simplicité d</w:t>
      </w:r>
      <w:r w:rsidR="00502D05" w:rsidRPr="001B3715">
        <w:rPr>
          <w:lang w:val="fr-FR"/>
        </w:rPr>
        <w:t>’</w:t>
      </w:r>
      <w:r w:rsidRPr="001B3715">
        <w:rPr>
          <w:lang w:val="fr-FR"/>
        </w:rPr>
        <w:t>utilisation, de la rentabilité et de la portée géographique élargie du système de Madrid</w:t>
      </w:r>
      <w:r w:rsidR="00333FFC" w:rsidRPr="001B3715">
        <w:rPr>
          <w:lang w:val="fr-FR"/>
        </w:rPr>
        <w:t>.</w:t>
      </w:r>
    </w:p>
    <w:p w14:paraId="497523E0" w14:textId="01F28CB3" w:rsidR="00A94D3A" w:rsidRPr="001B3715" w:rsidRDefault="003056BB" w:rsidP="003C1469">
      <w:pPr>
        <w:pStyle w:val="ONUMFS"/>
        <w:rPr>
          <w:lang w:val="fr-FR"/>
        </w:rPr>
      </w:pPr>
      <w:r w:rsidRPr="001B3715">
        <w:rPr>
          <w:b/>
          <w:lang w:val="fr-FR"/>
        </w:rPr>
        <w:t>S</w:t>
      </w:r>
      <w:r w:rsidR="00A94D3A" w:rsidRPr="001B3715">
        <w:rPr>
          <w:b/>
          <w:lang w:val="fr-FR"/>
        </w:rPr>
        <w:t xml:space="preserve">ystème de </w:t>
      </w:r>
      <w:r w:rsidR="00502D05" w:rsidRPr="001B3715">
        <w:rPr>
          <w:b/>
          <w:lang w:val="fr-FR"/>
        </w:rPr>
        <w:t>La Ha</w:t>
      </w:r>
      <w:r w:rsidR="001B3715" w:rsidRPr="001B3715">
        <w:rPr>
          <w:b/>
          <w:lang w:val="fr-FR"/>
        </w:rPr>
        <w:t xml:space="preserve">ye.  </w:t>
      </w:r>
      <w:r w:rsidR="001B3715" w:rsidRPr="001B3715">
        <w:rPr>
          <w:lang w:val="fr-FR"/>
        </w:rPr>
        <w:t>Le</w:t>
      </w:r>
      <w:r w:rsidR="00A94D3A" w:rsidRPr="001B3715">
        <w:rPr>
          <w:lang w:val="fr-FR"/>
        </w:rPr>
        <w:t xml:space="preserve"> nombre de membres du système de </w:t>
      </w:r>
      <w:r w:rsidR="00502D05" w:rsidRPr="001B3715">
        <w:rPr>
          <w:lang w:val="fr-FR"/>
        </w:rPr>
        <w:t>La Haye</w:t>
      </w:r>
      <w:r w:rsidR="00A94D3A" w:rsidRPr="001B3715">
        <w:rPr>
          <w:lang w:val="fr-FR"/>
        </w:rPr>
        <w:t xml:space="preserve"> </w:t>
      </w:r>
      <w:r w:rsidR="003C1469" w:rsidRPr="001B3715">
        <w:rPr>
          <w:lang w:val="fr-FR"/>
        </w:rPr>
        <w:t>a continué</w:t>
      </w:r>
      <w:r w:rsidR="00A94D3A" w:rsidRPr="001B3715">
        <w:rPr>
          <w:lang w:val="fr-FR"/>
        </w:rPr>
        <w:t xml:space="preserve"> d</w:t>
      </w:r>
      <w:r w:rsidR="00502D05" w:rsidRPr="001B3715">
        <w:rPr>
          <w:lang w:val="fr-FR"/>
        </w:rPr>
        <w:t>’</w:t>
      </w:r>
      <w:r w:rsidR="00A94D3A" w:rsidRPr="001B3715">
        <w:rPr>
          <w:lang w:val="fr-FR"/>
        </w:rPr>
        <w:t xml:space="preserve">augmenter </w:t>
      </w:r>
      <w:r w:rsidR="003C1469" w:rsidRPr="001B3715">
        <w:rPr>
          <w:lang w:val="fr-FR"/>
        </w:rPr>
        <w:t>régulièreme</w:t>
      </w:r>
      <w:r w:rsidR="001B3715" w:rsidRPr="001B3715">
        <w:rPr>
          <w:lang w:val="fr-FR"/>
        </w:rPr>
        <w:t>nt.  De</w:t>
      </w:r>
      <w:r w:rsidR="00A94D3A" w:rsidRPr="001B3715">
        <w:rPr>
          <w:lang w:val="fr-FR"/>
        </w:rPr>
        <w:t>puis les assemblées de 2015, le Turkménistan et la République populaire démocratique de Corée ont adhéré à l</w:t>
      </w:r>
      <w:r w:rsidR="00502D05" w:rsidRPr="001B3715">
        <w:rPr>
          <w:lang w:val="fr-FR"/>
        </w:rPr>
        <w:t>’</w:t>
      </w:r>
      <w:r w:rsidR="00A94D3A" w:rsidRPr="001B3715">
        <w:rPr>
          <w:lang w:val="fr-FR"/>
        </w:rPr>
        <w:t>Acte de Genève (1999), qui est l</w:t>
      </w:r>
      <w:r w:rsidR="00502D05" w:rsidRPr="001B3715">
        <w:rPr>
          <w:lang w:val="fr-FR"/>
        </w:rPr>
        <w:t>’</w:t>
      </w:r>
      <w:r w:rsidR="00A94D3A" w:rsidRPr="001B3715">
        <w:rPr>
          <w:lang w:val="fr-FR"/>
        </w:rPr>
        <w:t xml:space="preserve">émanation la plus récente du système de </w:t>
      </w:r>
      <w:r w:rsidR="00502D05" w:rsidRPr="001B3715">
        <w:rPr>
          <w:lang w:val="fr-FR"/>
        </w:rPr>
        <w:t>La Haye</w:t>
      </w:r>
      <w:r w:rsidR="00A94D3A" w:rsidRPr="001B3715">
        <w:rPr>
          <w:lang w:val="fr-FR"/>
        </w:rPr>
        <w:t xml:space="preserve">, portant le nombre de parties contractantes de cet Acte </w:t>
      </w:r>
      <w:r w:rsidR="00A94D3A" w:rsidRPr="001B3715">
        <w:rPr>
          <w:lang w:val="fr-FR"/>
        </w:rPr>
        <w:lastRenderedPageBreak/>
        <w:t>à</w:t>
      </w:r>
      <w:r w:rsidR="008860D0">
        <w:rPr>
          <w:lang w:val="fr-FR"/>
        </w:rPr>
        <w:t> </w:t>
      </w:r>
      <w:r w:rsidR="00A94D3A" w:rsidRPr="001B3715">
        <w:rPr>
          <w:lang w:val="fr-FR"/>
        </w:rPr>
        <w:t xml:space="preserve">51.  Comme pour le système de Madrid, de nombreux pays ont fait part de leur intérêt pour adhérer au système de </w:t>
      </w:r>
      <w:r w:rsidR="00502D05" w:rsidRPr="001B3715">
        <w:rPr>
          <w:lang w:val="fr-FR"/>
        </w:rPr>
        <w:t>La Haye</w:t>
      </w:r>
      <w:r w:rsidR="00A94D3A" w:rsidRPr="001B3715">
        <w:rPr>
          <w:lang w:val="fr-FR"/>
        </w:rPr>
        <w:t>, dont le Canada, la Chine, la Fédération de Russie et les pays de l</w:t>
      </w:r>
      <w:r w:rsidR="00502D05" w:rsidRPr="001B3715">
        <w:rPr>
          <w:lang w:val="fr-FR"/>
        </w:rPr>
        <w:t>’</w:t>
      </w:r>
      <w:r w:rsidR="00A94D3A" w:rsidRPr="001B3715">
        <w:rPr>
          <w:lang w:val="fr-FR"/>
        </w:rPr>
        <w:t>ASEAN qui ne sont pas encore parties au système.</w:t>
      </w:r>
    </w:p>
    <w:p w14:paraId="2DEE29DC" w14:textId="795D4FCB" w:rsidR="00A94D3A" w:rsidRPr="001B3715" w:rsidRDefault="00A94D3A" w:rsidP="003C1469">
      <w:pPr>
        <w:pStyle w:val="ONUMFS"/>
        <w:rPr>
          <w:lang w:val="fr-FR"/>
        </w:rPr>
      </w:pPr>
      <w:r w:rsidRPr="001B3715">
        <w:rPr>
          <w:lang w:val="fr-FR"/>
        </w:rPr>
        <w:t xml:space="preserve">Les récentes adhésions de trois des principaux utilisateurs de la protection des dessins et modèles industriels, </w:t>
      </w:r>
      <w:r w:rsidR="00502D05" w:rsidRPr="001B3715">
        <w:rPr>
          <w:lang w:val="fr-FR"/>
        </w:rPr>
        <w:t>à savoir</w:t>
      </w:r>
      <w:r w:rsidRPr="001B3715">
        <w:rPr>
          <w:lang w:val="fr-FR"/>
        </w:rPr>
        <w:t xml:space="preserve"> la République de Corée, le Japon et les États</w:t>
      </w:r>
      <w:r w:rsidR="00E3770C">
        <w:rPr>
          <w:lang w:val="fr-FR"/>
        </w:rPr>
        <w:noBreakHyphen/>
      </w:r>
      <w:r w:rsidRPr="001B3715">
        <w:rPr>
          <w:lang w:val="fr-FR"/>
        </w:rPr>
        <w:t>Unis d</w:t>
      </w:r>
      <w:r w:rsidR="00502D05" w:rsidRPr="001B3715">
        <w:rPr>
          <w:lang w:val="fr-FR"/>
        </w:rPr>
        <w:t>’</w:t>
      </w:r>
      <w:r w:rsidRPr="001B3715">
        <w:rPr>
          <w:lang w:val="fr-FR"/>
        </w:rPr>
        <w:t xml:space="preserve">Amérique, par ordre chronologique, transforment le système de </w:t>
      </w:r>
      <w:r w:rsidR="00502D05" w:rsidRPr="001B3715">
        <w:rPr>
          <w:lang w:val="fr-FR"/>
        </w:rPr>
        <w:t>La Haye</w:t>
      </w:r>
      <w:r w:rsidRPr="001B3715">
        <w:rPr>
          <w:lang w:val="fr-FR"/>
        </w:rPr>
        <w:t>, qui peut aujourd</w:t>
      </w:r>
      <w:r w:rsidR="00502D05" w:rsidRPr="001B3715">
        <w:rPr>
          <w:lang w:val="fr-FR"/>
        </w:rPr>
        <w:t>’</w:t>
      </w:r>
      <w:r w:rsidRPr="001B3715">
        <w:rPr>
          <w:lang w:val="fr-FR"/>
        </w:rPr>
        <w:t xml:space="preserve">hui devenir une composante </w:t>
      </w:r>
      <w:r w:rsidR="003C1469" w:rsidRPr="001B3715">
        <w:rPr>
          <w:lang w:val="fr-FR"/>
        </w:rPr>
        <w:t>majeure</w:t>
      </w:r>
      <w:r w:rsidRPr="001B3715">
        <w:rPr>
          <w:lang w:val="fr-FR"/>
        </w:rPr>
        <w:t xml:space="preserve"> de l</w:t>
      </w:r>
      <w:r w:rsidR="00502D05" w:rsidRPr="001B3715">
        <w:rPr>
          <w:lang w:val="fr-FR"/>
        </w:rPr>
        <w:t>’</w:t>
      </w:r>
      <w:r w:rsidRPr="001B3715">
        <w:rPr>
          <w:lang w:val="fr-FR"/>
        </w:rPr>
        <w:t>architecture internationale de la propriété intellectuel</w:t>
      </w:r>
      <w:r w:rsidR="001B3715" w:rsidRPr="001B3715">
        <w:rPr>
          <w:lang w:val="fr-FR"/>
        </w:rPr>
        <w:t>le.  Le</w:t>
      </w:r>
      <w:r w:rsidRPr="001B3715">
        <w:rPr>
          <w:lang w:val="fr-FR"/>
        </w:rPr>
        <w:t>s demandes ont progressé de 40,6% en 2015 et, au vu des dépôts enregistrés jusqu</w:t>
      </w:r>
      <w:r w:rsidR="00502D05" w:rsidRPr="001B3715">
        <w:rPr>
          <w:lang w:val="fr-FR"/>
        </w:rPr>
        <w:t>’</w:t>
      </w:r>
      <w:r w:rsidRPr="001B3715">
        <w:rPr>
          <w:lang w:val="fr-FR"/>
        </w:rPr>
        <w:t>ici en 2016, un accroissement d</w:t>
      </w:r>
      <w:r w:rsidR="00502D05" w:rsidRPr="001B3715">
        <w:rPr>
          <w:lang w:val="fr-FR"/>
        </w:rPr>
        <w:t>’</w:t>
      </w:r>
      <w:r w:rsidRPr="001B3715">
        <w:rPr>
          <w:lang w:val="fr-FR"/>
        </w:rPr>
        <w:t>une ampleur similaire est à prévoir pour cette ann</w:t>
      </w:r>
      <w:r w:rsidR="001B3715" w:rsidRPr="001B3715">
        <w:rPr>
          <w:lang w:val="fr-FR"/>
        </w:rPr>
        <w:t>ée.  Ce</w:t>
      </w:r>
      <w:r w:rsidRPr="001B3715">
        <w:rPr>
          <w:lang w:val="fr-FR"/>
        </w:rPr>
        <w:t>tte augmentation de la demande est due non seulement aux nouveaux pays membres mais également à des utilisateurs de membres de longue date, compte tenu de l</w:t>
      </w:r>
      <w:r w:rsidR="00502D05" w:rsidRPr="001B3715">
        <w:rPr>
          <w:lang w:val="fr-FR"/>
        </w:rPr>
        <w:t>’</w:t>
      </w:r>
      <w:r w:rsidRPr="001B3715">
        <w:rPr>
          <w:lang w:val="fr-FR"/>
        </w:rPr>
        <w:t>intérêt accru que présente désormais le système du fait de l</w:t>
      </w:r>
      <w:r w:rsidR="00502D05" w:rsidRPr="001B3715">
        <w:rPr>
          <w:lang w:val="fr-FR"/>
        </w:rPr>
        <w:t>’</w:t>
      </w:r>
      <w:r w:rsidRPr="001B3715">
        <w:rPr>
          <w:lang w:val="fr-FR"/>
        </w:rPr>
        <w:t>extension de sa couverture géographique.</w:t>
      </w:r>
    </w:p>
    <w:p w14:paraId="3F2735E8" w14:textId="5314DF45" w:rsidR="00A94D3A" w:rsidRPr="001B3715" w:rsidRDefault="00A94D3A" w:rsidP="003C1469">
      <w:pPr>
        <w:pStyle w:val="ONUMFS"/>
        <w:rPr>
          <w:lang w:val="fr-FR"/>
        </w:rPr>
      </w:pPr>
      <w:r w:rsidRPr="001B3715">
        <w:rPr>
          <w:lang w:val="fr-FR"/>
        </w:rPr>
        <w:t>En 2015, les demandes provenaient principalement de la Suisse, l</w:t>
      </w:r>
      <w:r w:rsidR="00502D05" w:rsidRPr="001B3715">
        <w:rPr>
          <w:lang w:val="fr-FR"/>
        </w:rPr>
        <w:t>’</w:t>
      </w:r>
      <w:r w:rsidRPr="001B3715">
        <w:rPr>
          <w:lang w:val="fr-FR"/>
        </w:rPr>
        <w:t>Allemagne, la République de Corée, la France et l</w:t>
      </w:r>
      <w:r w:rsidR="00502D05" w:rsidRPr="001B3715">
        <w:rPr>
          <w:lang w:val="fr-FR"/>
        </w:rPr>
        <w:t>’</w:t>
      </w:r>
      <w:r w:rsidRPr="001B3715">
        <w:rPr>
          <w:lang w:val="fr-FR"/>
        </w:rPr>
        <w:t>Ital</w:t>
      </w:r>
      <w:r w:rsidR="001B3715" w:rsidRPr="001B3715">
        <w:rPr>
          <w:lang w:val="fr-FR"/>
        </w:rPr>
        <w:t>ie.  Le</w:t>
      </w:r>
      <w:r w:rsidRPr="001B3715">
        <w:rPr>
          <w:lang w:val="fr-FR"/>
        </w:rPr>
        <w:t xml:space="preserve">s principaux déposants étaient Samsung Electronics, Swatch, </w:t>
      </w:r>
      <w:proofErr w:type="spellStart"/>
      <w:r w:rsidRPr="001B3715">
        <w:rPr>
          <w:lang w:val="fr-FR"/>
        </w:rPr>
        <w:t>Fonkel</w:t>
      </w:r>
      <w:proofErr w:type="spellEnd"/>
      <w:r w:rsidRPr="001B3715">
        <w:rPr>
          <w:lang w:val="fr-FR"/>
        </w:rPr>
        <w:t xml:space="preserve"> </w:t>
      </w:r>
      <w:proofErr w:type="spellStart"/>
      <w:r w:rsidRPr="001B3715">
        <w:rPr>
          <w:lang w:val="fr-FR"/>
        </w:rPr>
        <w:t>Meubelmarketing</w:t>
      </w:r>
      <w:proofErr w:type="spellEnd"/>
      <w:r w:rsidRPr="001B3715">
        <w:rPr>
          <w:lang w:val="fr-FR"/>
        </w:rPr>
        <w:t>, Volkswagen et Procter &amp; Gamble.</w:t>
      </w:r>
    </w:p>
    <w:p w14:paraId="5E4BD35B" w14:textId="418F7A1D" w:rsidR="00A94D3A" w:rsidRPr="001B3715" w:rsidRDefault="00A94D3A" w:rsidP="003C1469">
      <w:pPr>
        <w:pStyle w:val="ONUMFS"/>
        <w:rPr>
          <w:lang w:val="fr-FR"/>
        </w:rPr>
      </w:pPr>
      <w:r w:rsidRPr="001B3715">
        <w:rPr>
          <w:lang w:val="fr-FR"/>
        </w:rPr>
        <w:t>L</w:t>
      </w:r>
      <w:r w:rsidR="00502D05" w:rsidRPr="001B3715">
        <w:rPr>
          <w:lang w:val="fr-FR"/>
        </w:rPr>
        <w:t>’</w:t>
      </w:r>
      <w:r w:rsidRPr="001B3715">
        <w:rPr>
          <w:lang w:val="fr-FR"/>
        </w:rPr>
        <w:t>une des conséquences attendues de l</w:t>
      </w:r>
      <w:r w:rsidR="00502D05" w:rsidRPr="001B3715">
        <w:rPr>
          <w:lang w:val="fr-FR"/>
        </w:rPr>
        <w:t>’</w:t>
      </w:r>
      <w:r w:rsidRPr="001B3715">
        <w:rPr>
          <w:lang w:val="fr-FR"/>
        </w:rPr>
        <w:t>adhésion de pays dotés de systèmes prévoyant l</w:t>
      </w:r>
      <w:r w:rsidR="00502D05" w:rsidRPr="001B3715">
        <w:rPr>
          <w:lang w:val="fr-FR"/>
        </w:rPr>
        <w:t>’</w:t>
      </w:r>
      <w:r w:rsidRPr="001B3715">
        <w:rPr>
          <w:lang w:val="fr-FR"/>
        </w:rPr>
        <w:t>examen quant au fond des demandes d</w:t>
      </w:r>
      <w:r w:rsidR="00502D05" w:rsidRPr="001B3715">
        <w:rPr>
          <w:lang w:val="fr-FR"/>
        </w:rPr>
        <w:t>’</w:t>
      </w:r>
      <w:r w:rsidRPr="001B3715">
        <w:rPr>
          <w:lang w:val="fr-FR"/>
        </w:rPr>
        <w:t xml:space="preserve">enregistrement de dessins et modèles est une complexité accrue du fonctionnement du système de </w:t>
      </w:r>
      <w:r w:rsidR="00502D05" w:rsidRPr="001B3715">
        <w:rPr>
          <w:lang w:val="fr-FR"/>
        </w:rPr>
        <w:t>La Ha</w:t>
      </w:r>
      <w:r w:rsidR="001B3715" w:rsidRPr="001B3715">
        <w:rPr>
          <w:lang w:val="fr-FR"/>
        </w:rPr>
        <w:t>ye.  L’é</w:t>
      </w:r>
      <w:r w:rsidRPr="001B3715">
        <w:rPr>
          <w:lang w:val="fr-FR"/>
        </w:rPr>
        <w:t>laboration de processus et outils informatiques peut dans une certaine mesure limiter les effets de cette complexité accrue tant pour le Secrétariat, dans ses tâches d</w:t>
      </w:r>
      <w:r w:rsidR="00502D05" w:rsidRPr="001B3715">
        <w:rPr>
          <w:lang w:val="fr-FR"/>
        </w:rPr>
        <w:t>’</w:t>
      </w:r>
      <w:r w:rsidRPr="001B3715">
        <w:rPr>
          <w:lang w:val="fr-FR"/>
        </w:rPr>
        <w:t>administration du système, que pour les utilisateu</w:t>
      </w:r>
      <w:r w:rsidR="001B3715" w:rsidRPr="001B3715">
        <w:rPr>
          <w:lang w:val="fr-FR"/>
        </w:rPr>
        <w:t>rs.  L’é</w:t>
      </w:r>
      <w:r w:rsidRPr="001B3715">
        <w:rPr>
          <w:lang w:val="fr-FR"/>
        </w:rPr>
        <w:t>volution des services numériques de l</w:t>
      </w:r>
      <w:r w:rsidR="00502D05" w:rsidRPr="001B3715">
        <w:rPr>
          <w:lang w:val="fr-FR"/>
        </w:rPr>
        <w:t>’</w:t>
      </w:r>
      <w:r w:rsidRPr="001B3715">
        <w:rPr>
          <w:lang w:val="fr-FR"/>
        </w:rPr>
        <w:t xml:space="preserve">OMPI se poursuit afin de fournir à tous les utilisateurs du système de </w:t>
      </w:r>
      <w:r w:rsidR="00502D05" w:rsidRPr="001B3715">
        <w:rPr>
          <w:lang w:val="fr-FR"/>
        </w:rPr>
        <w:t>La Haye</w:t>
      </w:r>
      <w:r w:rsidRPr="001B3715">
        <w:rPr>
          <w:lang w:val="fr-FR"/>
        </w:rPr>
        <w:t xml:space="preserve"> un environnement intégré, interactif et convivial pour le dépôt des demandes internationales et le maintien en vigueur des enregistremen</w:t>
      </w:r>
      <w:r w:rsidR="001B3715" w:rsidRPr="001B3715">
        <w:rPr>
          <w:lang w:val="fr-FR"/>
        </w:rPr>
        <w:t xml:space="preserve">ts.  À </w:t>
      </w:r>
      <w:r w:rsidRPr="001B3715">
        <w:rPr>
          <w:lang w:val="fr-FR"/>
        </w:rPr>
        <w:t>cet égard, un grand pas en avant a été réalisé en mars 2016 avec le lancement d</w:t>
      </w:r>
      <w:r w:rsidR="00502D05" w:rsidRPr="001B3715">
        <w:rPr>
          <w:lang w:val="fr-FR"/>
        </w:rPr>
        <w:t>’</w:t>
      </w:r>
      <w:r w:rsidRPr="001B3715">
        <w:rPr>
          <w:lang w:val="fr-FR"/>
        </w:rPr>
        <w:t xml:space="preserve">une nouvelle interface permettant aux utilisateurs de consulter en ligne la situation juridique de leurs demandes et de </w:t>
      </w:r>
      <w:r w:rsidR="003C1469" w:rsidRPr="001B3715">
        <w:rPr>
          <w:lang w:val="fr-FR"/>
        </w:rPr>
        <w:t>soumettre</w:t>
      </w:r>
      <w:r w:rsidRPr="001B3715">
        <w:rPr>
          <w:lang w:val="fr-FR"/>
        </w:rPr>
        <w:t xml:space="preserve"> des corrections en cas de vices de for</w:t>
      </w:r>
      <w:r w:rsidR="001B3715" w:rsidRPr="001B3715">
        <w:rPr>
          <w:lang w:val="fr-FR"/>
        </w:rPr>
        <w:t>me.  Da</w:t>
      </w:r>
      <w:r w:rsidRPr="001B3715">
        <w:rPr>
          <w:lang w:val="fr-FR"/>
        </w:rPr>
        <w:t xml:space="preserve">ns la mesure où le système de </w:t>
      </w:r>
      <w:r w:rsidR="00502D05" w:rsidRPr="001B3715">
        <w:rPr>
          <w:lang w:val="fr-FR"/>
        </w:rPr>
        <w:t>La Haye</w:t>
      </w:r>
      <w:r w:rsidRPr="001B3715">
        <w:rPr>
          <w:lang w:val="fr-FR"/>
        </w:rPr>
        <w:t xml:space="preserve"> continue de s</w:t>
      </w:r>
      <w:r w:rsidR="00502D05" w:rsidRPr="001B3715">
        <w:rPr>
          <w:lang w:val="fr-FR"/>
        </w:rPr>
        <w:t>’</w:t>
      </w:r>
      <w:r w:rsidRPr="001B3715">
        <w:rPr>
          <w:lang w:val="fr-FR"/>
        </w:rPr>
        <w:t>étendre, il sera important de mettre en place un environnement informatique global et intégré pour le traitement des demandes par le Bureau international et pour les interactions avec les utilisateurs et les offices des États contractants.</w:t>
      </w:r>
    </w:p>
    <w:p w14:paraId="1DF82E3D" w14:textId="4DAE143A" w:rsidR="00A94D3A" w:rsidRPr="001B3715" w:rsidRDefault="00A94D3A" w:rsidP="003C1469">
      <w:pPr>
        <w:pStyle w:val="ONUMFS"/>
        <w:rPr>
          <w:lang w:val="fr-FR"/>
        </w:rPr>
      </w:pPr>
      <w:r w:rsidRPr="001B3715">
        <w:rPr>
          <w:lang w:val="fr-FR"/>
        </w:rPr>
        <w:t xml:space="preserve">Le système de </w:t>
      </w:r>
      <w:r w:rsidR="00502D05" w:rsidRPr="001B3715">
        <w:rPr>
          <w:lang w:val="fr-FR"/>
        </w:rPr>
        <w:t>La Haye</w:t>
      </w:r>
      <w:r w:rsidRPr="001B3715">
        <w:rPr>
          <w:lang w:val="fr-FR"/>
        </w:rPr>
        <w:t xml:space="preserve"> s</w:t>
      </w:r>
      <w:r w:rsidR="00502D05" w:rsidRPr="001B3715">
        <w:rPr>
          <w:lang w:val="fr-FR"/>
        </w:rPr>
        <w:t>’</w:t>
      </w:r>
      <w:r w:rsidRPr="001B3715">
        <w:rPr>
          <w:lang w:val="fr-FR"/>
        </w:rPr>
        <w:t>étant étoffé au cours de ses 90 années d</w:t>
      </w:r>
      <w:r w:rsidR="00502D05" w:rsidRPr="001B3715">
        <w:rPr>
          <w:lang w:val="fr-FR"/>
        </w:rPr>
        <w:t>’</w:t>
      </w:r>
      <w:r w:rsidRPr="001B3715">
        <w:rPr>
          <w:lang w:val="fr-FR"/>
        </w:rPr>
        <w:t>existence, il reste à en faire un système unifié et à supprimer les complexités découlant de l</w:t>
      </w:r>
      <w:r w:rsidR="00502D05" w:rsidRPr="001B3715">
        <w:rPr>
          <w:lang w:val="fr-FR"/>
        </w:rPr>
        <w:t>’</w:t>
      </w:r>
      <w:r w:rsidRPr="001B3715">
        <w:rPr>
          <w:lang w:val="fr-FR"/>
        </w:rPr>
        <w:t>application concomitante de plusieurs actes de l</w:t>
      </w:r>
      <w:r w:rsidR="00502D05" w:rsidRPr="001B3715">
        <w:rPr>
          <w:lang w:val="fr-FR"/>
        </w:rPr>
        <w:t>’</w:t>
      </w:r>
      <w:r w:rsidRPr="001B3715">
        <w:rPr>
          <w:lang w:val="fr-FR"/>
        </w:rPr>
        <w:t xml:space="preserve">Arrangement de </w:t>
      </w:r>
      <w:r w:rsidR="00502D05" w:rsidRPr="001B3715">
        <w:rPr>
          <w:lang w:val="fr-FR"/>
        </w:rPr>
        <w:t>La Ha</w:t>
      </w:r>
      <w:r w:rsidR="001B3715" w:rsidRPr="001B3715">
        <w:rPr>
          <w:lang w:val="fr-FR"/>
        </w:rPr>
        <w:t>ye.  De</w:t>
      </w:r>
      <w:r w:rsidRPr="001B3715">
        <w:rPr>
          <w:lang w:val="fr-FR"/>
        </w:rPr>
        <w:t>s progrès importants ont été réalisés à cette fin depuis les dernières assemblé</w:t>
      </w:r>
      <w:r w:rsidR="001B3715" w:rsidRPr="001B3715">
        <w:rPr>
          <w:lang w:val="fr-FR"/>
        </w:rPr>
        <w:t>es.  Le</w:t>
      </w:r>
      <w:r w:rsidRPr="001B3715">
        <w:rPr>
          <w:lang w:val="fr-FR"/>
        </w:rPr>
        <w:t>s deux derniers pays (Suriname et Égypte) ont donné leur consentement pour l</w:t>
      </w:r>
      <w:r w:rsidR="00502D05" w:rsidRPr="001B3715">
        <w:rPr>
          <w:lang w:val="fr-FR"/>
        </w:rPr>
        <w:t>’</w:t>
      </w:r>
      <w:r w:rsidRPr="001B3715">
        <w:rPr>
          <w:lang w:val="fr-FR"/>
        </w:rPr>
        <w:t>extinction de l</w:t>
      </w:r>
      <w:r w:rsidR="00502D05" w:rsidRPr="001B3715">
        <w:rPr>
          <w:lang w:val="fr-FR"/>
        </w:rPr>
        <w:t>’</w:t>
      </w:r>
      <w:r w:rsidRPr="001B3715">
        <w:rPr>
          <w:lang w:val="fr-FR"/>
        </w:rPr>
        <w:t>Acte de Londres (1934), ce qui va permettre de donner effet à la décision de l</w:t>
      </w:r>
      <w:r w:rsidR="00502D05" w:rsidRPr="001B3715">
        <w:rPr>
          <w:lang w:val="fr-FR"/>
        </w:rPr>
        <w:t>’</w:t>
      </w:r>
      <w:r w:rsidRPr="001B3715">
        <w:rPr>
          <w:lang w:val="fr-FR"/>
        </w:rPr>
        <w:t xml:space="preserve">Union de </w:t>
      </w:r>
      <w:r w:rsidR="00502D05" w:rsidRPr="001B3715">
        <w:rPr>
          <w:lang w:val="fr-FR"/>
        </w:rPr>
        <w:t>La Haye</w:t>
      </w:r>
      <w:r w:rsidRPr="001B3715">
        <w:rPr>
          <w:lang w:val="fr-FR"/>
        </w:rPr>
        <w:t xml:space="preserve"> à ce suj</w:t>
      </w:r>
      <w:r w:rsidR="001B3715" w:rsidRPr="001B3715">
        <w:rPr>
          <w:lang w:val="fr-FR"/>
        </w:rPr>
        <w:t>et.  En</w:t>
      </w:r>
      <w:r w:rsidRPr="001B3715">
        <w:rPr>
          <w:lang w:val="fr-FR"/>
        </w:rPr>
        <w:t xml:space="preserve"> outre, à la suite de l</w:t>
      </w:r>
      <w:r w:rsidR="00502D05" w:rsidRPr="001B3715">
        <w:rPr>
          <w:lang w:val="fr-FR"/>
        </w:rPr>
        <w:t>’</w:t>
      </w:r>
      <w:r w:rsidRPr="001B3715">
        <w:rPr>
          <w:lang w:val="fr-FR"/>
        </w:rPr>
        <w:t>adhésion de la République populaire démocratique de Corée à l</w:t>
      </w:r>
      <w:r w:rsidR="00502D05" w:rsidRPr="001B3715">
        <w:rPr>
          <w:lang w:val="fr-FR"/>
        </w:rPr>
        <w:t>’</w:t>
      </w:r>
      <w:r w:rsidRPr="001B3715">
        <w:rPr>
          <w:lang w:val="fr-FR"/>
        </w:rPr>
        <w:t xml:space="preserve">Acte de Genève, </w:t>
      </w:r>
      <w:r w:rsidR="003C1469" w:rsidRPr="001B3715">
        <w:rPr>
          <w:lang w:val="fr-FR"/>
        </w:rPr>
        <w:t>il ne reste que</w:t>
      </w:r>
      <w:r w:rsidRPr="001B3715">
        <w:rPr>
          <w:lang w:val="fr-FR"/>
        </w:rPr>
        <w:t xml:space="preserve"> trois pays</w:t>
      </w:r>
      <w:r w:rsidR="003C1469" w:rsidRPr="001B3715">
        <w:rPr>
          <w:lang w:val="fr-FR"/>
        </w:rPr>
        <w:t xml:space="preserve"> qui</w:t>
      </w:r>
      <w:r w:rsidRPr="001B3715">
        <w:rPr>
          <w:lang w:val="fr-FR"/>
        </w:rPr>
        <w:t xml:space="preserve"> sont parties à l</w:t>
      </w:r>
      <w:r w:rsidR="00502D05" w:rsidRPr="001B3715">
        <w:rPr>
          <w:lang w:val="fr-FR"/>
        </w:rPr>
        <w:t>’</w:t>
      </w:r>
      <w:r w:rsidRPr="001B3715">
        <w:rPr>
          <w:lang w:val="fr-FR"/>
        </w:rPr>
        <w:t xml:space="preserve">Acte de </w:t>
      </w:r>
      <w:r w:rsidR="00502D05" w:rsidRPr="001B3715">
        <w:rPr>
          <w:lang w:val="fr-FR"/>
        </w:rPr>
        <w:t>La Haye</w:t>
      </w:r>
      <w:r w:rsidRPr="001B3715">
        <w:rPr>
          <w:lang w:val="fr-FR"/>
        </w:rPr>
        <w:t xml:space="preserve"> (1960)</w:t>
      </w:r>
      <w:r w:rsidR="003C1469" w:rsidRPr="001B3715">
        <w:rPr>
          <w:lang w:val="fr-FR"/>
        </w:rPr>
        <w:t xml:space="preserve"> seulement</w:t>
      </w:r>
      <w:r w:rsidRPr="001B3715">
        <w:rPr>
          <w:lang w:val="fr-FR"/>
        </w:rPr>
        <w:t xml:space="preserve">, </w:t>
      </w:r>
      <w:r w:rsidR="00502D05" w:rsidRPr="001B3715">
        <w:rPr>
          <w:lang w:val="fr-FR"/>
        </w:rPr>
        <w:t>à savoir</w:t>
      </w:r>
      <w:r w:rsidRPr="001B3715">
        <w:rPr>
          <w:lang w:val="fr-FR"/>
        </w:rPr>
        <w:t xml:space="preserve"> le Belize, le Maroc et le Surina</w:t>
      </w:r>
      <w:r w:rsidR="001B3715" w:rsidRPr="001B3715">
        <w:rPr>
          <w:lang w:val="fr-FR"/>
        </w:rPr>
        <w:t>me.  L’o</w:t>
      </w:r>
      <w:r w:rsidRPr="001B3715">
        <w:rPr>
          <w:lang w:val="fr-FR"/>
        </w:rPr>
        <w:t>bjectif est de faire en sorte que tous les membres de l</w:t>
      </w:r>
      <w:r w:rsidR="00502D05" w:rsidRPr="001B3715">
        <w:rPr>
          <w:lang w:val="fr-FR"/>
        </w:rPr>
        <w:t>’</w:t>
      </w:r>
      <w:r w:rsidRPr="001B3715">
        <w:rPr>
          <w:lang w:val="fr-FR"/>
        </w:rPr>
        <w:t xml:space="preserve">Union de </w:t>
      </w:r>
      <w:r w:rsidR="00502D05" w:rsidRPr="001B3715">
        <w:rPr>
          <w:lang w:val="fr-FR"/>
        </w:rPr>
        <w:t>La Haye</w:t>
      </w:r>
      <w:r w:rsidRPr="001B3715">
        <w:rPr>
          <w:lang w:val="fr-FR"/>
        </w:rPr>
        <w:t xml:space="preserve"> soient </w:t>
      </w:r>
      <w:proofErr w:type="gramStart"/>
      <w:r w:rsidRPr="001B3715">
        <w:rPr>
          <w:lang w:val="fr-FR"/>
        </w:rPr>
        <w:t>parties</w:t>
      </w:r>
      <w:proofErr w:type="gramEnd"/>
      <w:r w:rsidRPr="001B3715">
        <w:rPr>
          <w:lang w:val="fr-FR"/>
        </w:rPr>
        <w:t xml:space="preserve"> à l</w:t>
      </w:r>
      <w:r w:rsidR="00502D05" w:rsidRPr="001B3715">
        <w:rPr>
          <w:lang w:val="fr-FR"/>
        </w:rPr>
        <w:t>’</w:t>
      </w:r>
      <w:r w:rsidRPr="001B3715">
        <w:rPr>
          <w:lang w:val="fr-FR"/>
        </w:rPr>
        <w:t>Acte de Genève (1999).</w:t>
      </w:r>
    </w:p>
    <w:p w14:paraId="56A3F6D4" w14:textId="2808DEB6" w:rsidR="00767D08" w:rsidRPr="001B3715" w:rsidRDefault="003056BB" w:rsidP="00596BE3">
      <w:pPr>
        <w:pStyle w:val="ONUMFS"/>
        <w:rPr>
          <w:lang w:val="fr-FR"/>
        </w:rPr>
      </w:pPr>
      <w:r w:rsidRPr="001B3715">
        <w:rPr>
          <w:b/>
          <w:lang w:val="fr-FR"/>
        </w:rPr>
        <w:t>S</w:t>
      </w:r>
      <w:r w:rsidR="00A94D3A" w:rsidRPr="001B3715">
        <w:rPr>
          <w:b/>
          <w:lang w:val="fr-FR"/>
        </w:rPr>
        <w:t>ystème de Lisbon</w:t>
      </w:r>
      <w:r w:rsidR="001B3715" w:rsidRPr="001B3715">
        <w:rPr>
          <w:b/>
          <w:lang w:val="fr-FR"/>
        </w:rPr>
        <w:t xml:space="preserve">ne.  </w:t>
      </w:r>
      <w:r w:rsidR="001B3715" w:rsidRPr="001B3715">
        <w:rPr>
          <w:lang w:val="fr-FR"/>
        </w:rPr>
        <w:t>Il</w:t>
      </w:r>
      <w:r w:rsidR="00A94D3A" w:rsidRPr="001B3715">
        <w:rPr>
          <w:lang w:val="fr-FR"/>
        </w:rPr>
        <w:t xml:space="preserve"> y a 28 parties contractantes à l</w:t>
      </w:r>
      <w:r w:rsidR="00502D05" w:rsidRPr="001B3715">
        <w:rPr>
          <w:lang w:val="fr-FR"/>
        </w:rPr>
        <w:t>’</w:t>
      </w:r>
      <w:r w:rsidR="00A94D3A" w:rsidRPr="001B3715">
        <w:rPr>
          <w:lang w:val="fr-FR"/>
        </w:rPr>
        <w:t>Arrangement de Lisbonne concernant la protection des appellations d</w:t>
      </w:r>
      <w:r w:rsidR="00502D05" w:rsidRPr="001B3715">
        <w:rPr>
          <w:lang w:val="fr-FR"/>
        </w:rPr>
        <w:t>’</w:t>
      </w:r>
      <w:r w:rsidR="00A94D3A" w:rsidRPr="001B3715">
        <w:rPr>
          <w:lang w:val="fr-FR"/>
        </w:rPr>
        <w:t>origine et leur enregistrement internation</w:t>
      </w:r>
      <w:r w:rsidR="001B3715" w:rsidRPr="001B3715">
        <w:rPr>
          <w:lang w:val="fr-FR"/>
        </w:rPr>
        <w:t>al.  De</w:t>
      </w:r>
      <w:r w:rsidR="00A94D3A" w:rsidRPr="001B3715">
        <w:rPr>
          <w:lang w:val="fr-FR"/>
        </w:rPr>
        <w:t>puis les dernières assemblées, 50 nouvelles demandes internationales ont été reçues au titre du système de Lisbonne, dont 34 provenant d</w:t>
      </w:r>
      <w:r w:rsidR="00502D05" w:rsidRPr="001B3715">
        <w:rPr>
          <w:lang w:val="fr-FR"/>
        </w:rPr>
        <w:t>’</w:t>
      </w:r>
      <w:r w:rsidR="00A94D3A" w:rsidRPr="001B3715">
        <w:rPr>
          <w:lang w:val="fr-FR"/>
        </w:rPr>
        <w:t>Italie et 16 de la République islamique d</w:t>
      </w:r>
      <w:r w:rsidR="00502D05" w:rsidRPr="001B3715">
        <w:rPr>
          <w:lang w:val="fr-FR"/>
        </w:rPr>
        <w:t>’</w:t>
      </w:r>
      <w:r w:rsidR="00A94D3A" w:rsidRPr="001B3715">
        <w:rPr>
          <w:lang w:val="fr-FR"/>
        </w:rPr>
        <w:t>Iran, ce qui porte le nombre total d</w:t>
      </w:r>
      <w:r w:rsidR="00502D05" w:rsidRPr="001B3715">
        <w:rPr>
          <w:lang w:val="fr-FR"/>
        </w:rPr>
        <w:t>’</w:t>
      </w:r>
      <w:r w:rsidR="00A94D3A" w:rsidRPr="001B3715">
        <w:rPr>
          <w:lang w:val="fr-FR"/>
        </w:rPr>
        <w:t>enregistrements internationaux selon le système de Lisbonne à 1060, desquelles 955 sont en vigue</w:t>
      </w:r>
      <w:r w:rsidR="001B3715" w:rsidRPr="001B3715">
        <w:rPr>
          <w:lang w:val="fr-FR"/>
        </w:rPr>
        <w:t>ur.  Le</w:t>
      </w:r>
      <w:r w:rsidR="00A94D3A" w:rsidRPr="001B3715">
        <w:rPr>
          <w:lang w:val="fr-FR"/>
        </w:rPr>
        <w:t>s questions relatives à l</w:t>
      </w:r>
      <w:r w:rsidR="00502D05" w:rsidRPr="001B3715">
        <w:rPr>
          <w:lang w:val="fr-FR"/>
        </w:rPr>
        <w:t>’</w:t>
      </w:r>
      <w:r w:rsidR="00A94D3A" w:rsidRPr="001B3715">
        <w:rPr>
          <w:lang w:val="fr-FR"/>
        </w:rPr>
        <w:t>Acte de Genève de l</w:t>
      </w:r>
      <w:r w:rsidR="00502D05" w:rsidRPr="001B3715">
        <w:rPr>
          <w:lang w:val="fr-FR"/>
        </w:rPr>
        <w:t>’</w:t>
      </w:r>
      <w:r w:rsidR="00A94D3A" w:rsidRPr="001B3715">
        <w:rPr>
          <w:lang w:val="fr-FR"/>
        </w:rPr>
        <w:t>Arrangement de Lisbonne s</w:t>
      </w:r>
      <w:r w:rsidR="003C1469" w:rsidRPr="001B3715">
        <w:rPr>
          <w:lang w:val="fr-FR"/>
        </w:rPr>
        <w:t>er</w:t>
      </w:r>
      <w:r w:rsidR="00A94D3A" w:rsidRPr="001B3715">
        <w:rPr>
          <w:lang w:val="fr-FR"/>
        </w:rPr>
        <w:t xml:space="preserve">ont traitées </w:t>
      </w:r>
      <w:r w:rsidR="003C1469" w:rsidRPr="001B3715">
        <w:rPr>
          <w:lang w:val="fr-FR"/>
        </w:rPr>
        <w:t>plus loin</w:t>
      </w:r>
      <w:r w:rsidR="00A94D3A" w:rsidRPr="001B3715">
        <w:rPr>
          <w:lang w:val="fr-FR"/>
        </w:rPr>
        <w:t>.</w:t>
      </w:r>
    </w:p>
    <w:p w14:paraId="523D704A" w14:textId="52C971AC" w:rsidR="00596BE3" w:rsidRPr="001B3715" w:rsidRDefault="00596BE3" w:rsidP="00596BE3">
      <w:pPr>
        <w:pStyle w:val="ONUMFS"/>
        <w:rPr>
          <w:lang w:val="fr-FR"/>
        </w:rPr>
      </w:pPr>
      <w:r w:rsidRPr="001B3715">
        <w:rPr>
          <w:lang w:val="fr-FR"/>
        </w:rPr>
        <w:t>Quatre nouveaux États ont signé l</w:t>
      </w:r>
      <w:r w:rsidR="00502D05" w:rsidRPr="001B3715">
        <w:rPr>
          <w:lang w:val="fr-FR"/>
        </w:rPr>
        <w:t>’</w:t>
      </w:r>
      <w:r w:rsidRPr="001B3715">
        <w:rPr>
          <w:lang w:val="fr-FR"/>
        </w:rPr>
        <w:t>Acte de Genève de l</w:t>
      </w:r>
      <w:r w:rsidR="00502D05" w:rsidRPr="001B3715">
        <w:rPr>
          <w:lang w:val="fr-FR"/>
        </w:rPr>
        <w:t>’</w:t>
      </w:r>
      <w:r w:rsidRPr="001B3715">
        <w:rPr>
          <w:lang w:val="fr-FR"/>
        </w:rPr>
        <w:t>Arrangement de Lisbonne depuis la fin de la conférence diplomatique de 2015, portant à 15 le nombre total de pays signatair</w:t>
      </w:r>
      <w:r w:rsidR="001B3715" w:rsidRPr="001B3715">
        <w:rPr>
          <w:lang w:val="fr-FR"/>
        </w:rPr>
        <w:t>es.  Le</w:t>
      </w:r>
      <w:r w:rsidRPr="001B3715">
        <w:rPr>
          <w:lang w:val="fr-FR"/>
        </w:rPr>
        <w:t xml:space="preserve"> nouvel acte entrera en vigueur dès que cinq parties contractantes l</w:t>
      </w:r>
      <w:r w:rsidR="00502D05" w:rsidRPr="001B3715">
        <w:rPr>
          <w:lang w:val="fr-FR"/>
        </w:rPr>
        <w:t>’</w:t>
      </w:r>
      <w:r w:rsidRPr="001B3715">
        <w:rPr>
          <w:lang w:val="fr-FR"/>
        </w:rPr>
        <w:t>auront ratifié ou y auront adhéré.</w:t>
      </w:r>
    </w:p>
    <w:p w14:paraId="1A09B541" w14:textId="0C2CAE0F" w:rsidR="00596BE3" w:rsidRPr="001B3715" w:rsidRDefault="00596BE3" w:rsidP="00596BE3">
      <w:pPr>
        <w:pStyle w:val="ONUMFS"/>
        <w:rPr>
          <w:lang w:val="fr-FR"/>
        </w:rPr>
      </w:pPr>
      <w:r w:rsidRPr="001B3715">
        <w:rPr>
          <w:lang w:val="fr-FR"/>
        </w:rPr>
        <w:lastRenderedPageBreak/>
        <w:t>Lors des réunions des assemblées des États membres de l</w:t>
      </w:r>
      <w:r w:rsidR="00502D05" w:rsidRPr="001B3715">
        <w:rPr>
          <w:lang w:val="fr-FR"/>
        </w:rPr>
        <w:t>’</w:t>
      </w:r>
      <w:r w:rsidRPr="001B3715">
        <w:rPr>
          <w:lang w:val="fr-FR"/>
        </w:rPr>
        <w:t>OMPI de 2015, l</w:t>
      </w:r>
      <w:r w:rsidR="00502D05" w:rsidRPr="001B3715">
        <w:rPr>
          <w:lang w:val="fr-FR"/>
        </w:rPr>
        <w:t>’</w:t>
      </w:r>
      <w:r w:rsidRPr="001B3715">
        <w:rPr>
          <w:lang w:val="fr-FR"/>
        </w:rPr>
        <w:t>Assemblée de l</w:t>
      </w:r>
      <w:r w:rsidR="00502D05" w:rsidRPr="001B3715">
        <w:rPr>
          <w:lang w:val="fr-FR"/>
        </w:rPr>
        <w:t>’</w:t>
      </w:r>
      <w:r w:rsidRPr="001B3715">
        <w:rPr>
          <w:lang w:val="fr-FR"/>
        </w:rPr>
        <w:t>Union de Lisbonne a créé un groupe de travail chargé d</w:t>
      </w:r>
      <w:r w:rsidR="00502D05" w:rsidRPr="001B3715">
        <w:rPr>
          <w:lang w:val="fr-FR"/>
        </w:rPr>
        <w:t>’</w:t>
      </w:r>
      <w:r w:rsidRPr="001B3715">
        <w:rPr>
          <w:lang w:val="fr-FR"/>
        </w:rPr>
        <w:t>élaborer un règlement d</w:t>
      </w:r>
      <w:r w:rsidR="00502D05" w:rsidRPr="001B3715">
        <w:rPr>
          <w:lang w:val="fr-FR"/>
        </w:rPr>
        <w:t>’</w:t>
      </w:r>
      <w:r w:rsidRPr="001B3715">
        <w:rPr>
          <w:lang w:val="fr-FR"/>
        </w:rPr>
        <w:t>exécution commun à l</w:t>
      </w:r>
      <w:r w:rsidR="00502D05" w:rsidRPr="001B3715">
        <w:rPr>
          <w:lang w:val="fr-FR"/>
        </w:rPr>
        <w:t>’</w:t>
      </w:r>
      <w:r w:rsidRPr="001B3715">
        <w:rPr>
          <w:lang w:val="fr-FR"/>
        </w:rPr>
        <w:t>Arrangement de Lisbonne et à l</w:t>
      </w:r>
      <w:r w:rsidR="00502D05" w:rsidRPr="001B3715">
        <w:rPr>
          <w:lang w:val="fr-FR"/>
        </w:rPr>
        <w:t>’</w:t>
      </w:r>
      <w:r w:rsidRPr="001B3715">
        <w:rPr>
          <w:lang w:val="fr-FR"/>
        </w:rPr>
        <w:t>Acte de Genève de l</w:t>
      </w:r>
      <w:r w:rsidR="00502D05" w:rsidRPr="001B3715">
        <w:rPr>
          <w:lang w:val="fr-FR"/>
        </w:rPr>
        <w:t>’</w:t>
      </w:r>
      <w:r w:rsidRPr="001B3715">
        <w:rPr>
          <w:lang w:val="fr-FR"/>
        </w:rPr>
        <w:t>Arrangement de Lisbon</w:t>
      </w:r>
      <w:r w:rsidR="001B3715" w:rsidRPr="001B3715">
        <w:rPr>
          <w:lang w:val="fr-FR"/>
        </w:rPr>
        <w:t>ne.  En</w:t>
      </w:r>
      <w:r w:rsidRPr="001B3715">
        <w:rPr>
          <w:lang w:val="fr-FR"/>
        </w:rPr>
        <w:t xml:space="preserve"> juin 2016, ce groupe de travail a tenu sa première réunion, durant laquelle les délégations ont examiné un avant</w:t>
      </w:r>
      <w:r w:rsidR="00E3770C">
        <w:rPr>
          <w:lang w:val="fr-FR"/>
        </w:rPr>
        <w:noBreakHyphen/>
      </w:r>
      <w:r w:rsidRPr="001B3715">
        <w:rPr>
          <w:lang w:val="fr-FR"/>
        </w:rPr>
        <w:t>projet du règlement d</w:t>
      </w:r>
      <w:r w:rsidR="00502D05" w:rsidRPr="001B3715">
        <w:rPr>
          <w:lang w:val="fr-FR"/>
        </w:rPr>
        <w:t>’</w:t>
      </w:r>
      <w:r w:rsidRPr="001B3715">
        <w:rPr>
          <w:lang w:val="fr-FR"/>
        </w:rPr>
        <w:t>exécution commun et des mesures visant à combler le déficit biennal prévu de l</w:t>
      </w:r>
      <w:r w:rsidR="00502D05" w:rsidRPr="001B3715">
        <w:rPr>
          <w:lang w:val="fr-FR"/>
        </w:rPr>
        <w:t>’</w:t>
      </w:r>
      <w:r w:rsidRPr="001B3715">
        <w:rPr>
          <w:lang w:val="fr-FR"/>
        </w:rPr>
        <w:t>Union de Lisbonne, ainsi que des options relatives à la viabilité financière de l</w:t>
      </w:r>
      <w:r w:rsidR="00502D05" w:rsidRPr="001B3715">
        <w:rPr>
          <w:lang w:val="fr-FR"/>
        </w:rPr>
        <w:t>’</w:t>
      </w:r>
      <w:r w:rsidRPr="001B3715">
        <w:rPr>
          <w:lang w:val="fr-FR"/>
        </w:rPr>
        <w:t>Union de Lisbonne.</w:t>
      </w:r>
    </w:p>
    <w:p w14:paraId="48B89F5F" w14:textId="67868FF8" w:rsidR="00A94D3A" w:rsidRPr="001B3715" w:rsidRDefault="00A94D3A" w:rsidP="003C1469">
      <w:pPr>
        <w:pStyle w:val="ONUMFS"/>
        <w:rPr>
          <w:lang w:val="fr-FR"/>
        </w:rPr>
      </w:pPr>
      <w:r w:rsidRPr="001B3715">
        <w:rPr>
          <w:b/>
          <w:lang w:val="fr-FR"/>
        </w:rPr>
        <w:t>Centre d</w:t>
      </w:r>
      <w:r w:rsidR="00502D05" w:rsidRPr="001B3715">
        <w:rPr>
          <w:b/>
          <w:lang w:val="fr-FR"/>
        </w:rPr>
        <w:t>’</w:t>
      </w:r>
      <w:r w:rsidRPr="001B3715">
        <w:rPr>
          <w:b/>
          <w:lang w:val="fr-FR"/>
        </w:rPr>
        <w:t>arbitrage et de médiation de l</w:t>
      </w:r>
      <w:r w:rsidR="00502D05" w:rsidRPr="001B3715">
        <w:rPr>
          <w:b/>
          <w:lang w:val="fr-FR"/>
        </w:rPr>
        <w:t>’</w:t>
      </w:r>
      <w:r w:rsidRPr="001B3715">
        <w:rPr>
          <w:b/>
          <w:lang w:val="fr-FR"/>
        </w:rPr>
        <w:t>O</w:t>
      </w:r>
      <w:r w:rsidR="001B3715" w:rsidRPr="001B3715">
        <w:rPr>
          <w:b/>
          <w:lang w:val="fr-FR"/>
        </w:rPr>
        <w:t xml:space="preserve">MPI.  </w:t>
      </w:r>
      <w:r w:rsidR="001B3715" w:rsidRPr="001B3715">
        <w:rPr>
          <w:lang w:val="fr-FR"/>
        </w:rPr>
        <w:t>Le</w:t>
      </w:r>
      <w:r w:rsidRPr="001B3715">
        <w:rPr>
          <w:lang w:val="fr-FR"/>
        </w:rPr>
        <w:t xml:space="preserve"> Centre d</w:t>
      </w:r>
      <w:r w:rsidR="00502D05" w:rsidRPr="001B3715">
        <w:rPr>
          <w:lang w:val="fr-FR"/>
        </w:rPr>
        <w:t>’</w:t>
      </w:r>
      <w:r w:rsidRPr="001B3715">
        <w:rPr>
          <w:lang w:val="fr-FR"/>
        </w:rPr>
        <w:t>arbitrage et de médiation propose des procédures rapides et économiques de règlement des litiges de propriété intellectuelle qui permettent d</w:t>
      </w:r>
      <w:r w:rsidR="00502D05" w:rsidRPr="001B3715">
        <w:rPr>
          <w:lang w:val="fr-FR"/>
        </w:rPr>
        <w:t>’</w:t>
      </w:r>
      <w:r w:rsidRPr="001B3715">
        <w:rPr>
          <w:lang w:val="fr-FR"/>
        </w:rPr>
        <w:t>éviter le recours aux tribuna</w:t>
      </w:r>
      <w:r w:rsidR="001B3715" w:rsidRPr="001B3715">
        <w:rPr>
          <w:lang w:val="fr-FR"/>
        </w:rPr>
        <w:t>ux.  Il</w:t>
      </w:r>
      <w:r w:rsidRPr="001B3715">
        <w:rPr>
          <w:lang w:val="fr-FR"/>
        </w:rPr>
        <w:t xml:space="preserve"> administre les litiges et fournit des services d</w:t>
      </w:r>
      <w:r w:rsidR="00502D05" w:rsidRPr="001B3715">
        <w:rPr>
          <w:lang w:val="fr-FR"/>
        </w:rPr>
        <w:t>’</w:t>
      </w:r>
      <w:r w:rsidRPr="001B3715">
        <w:rPr>
          <w:lang w:val="fr-FR"/>
        </w:rPr>
        <w:t>expert en matière de mécanismes extrajudiciaires de règlement des litiges.</w:t>
      </w:r>
    </w:p>
    <w:p w14:paraId="6DC6DB12" w14:textId="2D512D6F" w:rsidR="00A94D3A" w:rsidRPr="001B3715" w:rsidRDefault="00A94D3A" w:rsidP="003C1469">
      <w:pPr>
        <w:pStyle w:val="ONUMFS"/>
        <w:rPr>
          <w:lang w:val="fr-FR"/>
        </w:rPr>
      </w:pPr>
      <w:r w:rsidRPr="001B3715">
        <w:rPr>
          <w:b/>
          <w:lang w:val="fr-FR"/>
        </w:rPr>
        <w:t>Noms de domai</w:t>
      </w:r>
      <w:r w:rsidR="001B3715" w:rsidRPr="001B3715">
        <w:rPr>
          <w:b/>
          <w:lang w:val="fr-FR"/>
        </w:rPr>
        <w:t xml:space="preserve">ne.  </w:t>
      </w:r>
      <w:r w:rsidR="001B3715" w:rsidRPr="001B3715">
        <w:rPr>
          <w:lang w:val="fr-FR"/>
        </w:rPr>
        <w:t>Al</w:t>
      </w:r>
      <w:r w:rsidRPr="001B3715">
        <w:rPr>
          <w:lang w:val="fr-FR"/>
        </w:rPr>
        <w:t>ors que les propriétaires de marques sont confrontés au risque d</w:t>
      </w:r>
      <w:r w:rsidR="00502D05" w:rsidRPr="001B3715">
        <w:rPr>
          <w:lang w:val="fr-FR"/>
        </w:rPr>
        <w:t>’</w:t>
      </w:r>
      <w:r w:rsidRPr="001B3715">
        <w:rPr>
          <w:lang w:val="fr-FR"/>
        </w:rPr>
        <w:t>un accroissement de l</w:t>
      </w:r>
      <w:r w:rsidR="00502D05" w:rsidRPr="001B3715">
        <w:rPr>
          <w:lang w:val="fr-FR"/>
        </w:rPr>
        <w:t>’</w:t>
      </w:r>
      <w:r w:rsidRPr="001B3715">
        <w:rPr>
          <w:lang w:val="fr-FR"/>
        </w:rPr>
        <w:t xml:space="preserve">utilisation abusive de leurs marques dans </w:t>
      </w:r>
      <w:r w:rsidR="003C1469" w:rsidRPr="001B3715">
        <w:rPr>
          <w:lang w:val="fr-FR"/>
        </w:rPr>
        <w:t>l</w:t>
      </w:r>
      <w:r w:rsidRPr="001B3715">
        <w:rPr>
          <w:lang w:val="fr-FR"/>
        </w:rPr>
        <w:t xml:space="preserve">es domaines, </w:t>
      </w:r>
      <w:r w:rsidR="003C1469" w:rsidRPr="001B3715">
        <w:rPr>
          <w:lang w:val="fr-FR"/>
        </w:rPr>
        <w:t xml:space="preserve">traditionnels ou </w:t>
      </w:r>
      <w:r w:rsidRPr="001B3715">
        <w:rPr>
          <w:lang w:val="fr-FR"/>
        </w:rPr>
        <w:t>nouveaux</w:t>
      </w:r>
      <w:r w:rsidR="004B1344" w:rsidRPr="001B3715">
        <w:rPr>
          <w:lang w:val="fr-FR"/>
        </w:rPr>
        <w:t>,</w:t>
      </w:r>
      <w:r w:rsidR="003C1469" w:rsidRPr="001B3715">
        <w:rPr>
          <w:lang w:val="fr-FR"/>
        </w:rPr>
        <w:t xml:space="preserve"> du cyberespace</w:t>
      </w:r>
      <w:r w:rsidRPr="001B3715">
        <w:rPr>
          <w:lang w:val="fr-FR"/>
        </w:rPr>
        <w:t xml:space="preserve">, ils </w:t>
      </w:r>
      <w:r w:rsidR="003C1469" w:rsidRPr="001B3715">
        <w:rPr>
          <w:lang w:val="fr-FR"/>
        </w:rPr>
        <w:t xml:space="preserve">continuent de se fier </w:t>
      </w:r>
      <w:r w:rsidRPr="001B3715">
        <w:rPr>
          <w:lang w:val="fr-FR"/>
        </w:rPr>
        <w:t xml:space="preserve">aux procédures de règlement des litiges en matière de </w:t>
      </w:r>
      <w:proofErr w:type="spellStart"/>
      <w:r w:rsidRPr="001B3715">
        <w:rPr>
          <w:lang w:val="fr-FR"/>
        </w:rPr>
        <w:t>cybersquattage</w:t>
      </w:r>
      <w:proofErr w:type="spellEnd"/>
      <w:r w:rsidRPr="001B3715">
        <w:rPr>
          <w:lang w:val="fr-FR"/>
        </w:rPr>
        <w:t xml:space="preserve"> administrées par l</w:t>
      </w:r>
      <w:r w:rsidR="00502D05" w:rsidRPr="001B3715">
        <w:rPr>
          <w:lang w:val="fr-FR"/>
        </w:rPr>
        <w:t>’</w:t>
      </w:r>
      <w:r w:rsidRPr="001B3715">
        <w:rPr>
          <w:lang w:val="fr-FR"/>
        </w:rPr>
        <w:t>O</w:t>
      </w:r>
      <w:r w:rsidR="001B3715" w:rsidRPr="001B3715">
        <w:rPr>
          <w:lang w:val="fr-FR"/>
        </w:rPr>
        <w:t>MPI.  En</w:t>
      </w:r>
      <w:r w:rsidRPr="001B3715">
        <w:rPr>
          <w:lang w:val="fr-FR"/>
        </w:rPr>
        <w:t xml:space="preserve"> luttant contre les pratiques d</w:t>
      </w:r>
      <w:r w:rsidR="00502D05" w:rsidRPr="001B3715">
        <w:rPr>
          <w:lang w:val="fr-FR"/>
        </w:rPr>
        <w:t>’</w:t>
      </w:r>
      <w:r w:rsidRPr="001B3715">
        <w:rPr>
          <w:lang w:val="fr-FR"/>
        </w:rPr>
        <w:t>enregistrement de noms de domaine opportunistes, les services de l</w:t>
      </w:r>
      <w:r w:rsidR="00502D05" w:rsidRPr="001B3715">
        <w:rPr>
          <w:lang w:val="fr-FR"/>
        </w:rPr>
        <w:t>’</w:t>
      </w:r>
      <w:r w:rsidRPr="001B3715">
        <w:rPr>
          <w:lang w:val="fr-FR"/>
        </w:rPr>
        <w:t>OMPI aident les consommateurs à accéder à des contenus authentiques sur le Web et renforcent la fiabilité du système mondial des noms de domaine.</w:t>
      </w:r>
    </w:p>
    <w:p w14:paraId="00CF4066" w14:textId="4A7D427B" w:rsidR="00A94D3A" w:rsidRPr="001B3715" w:rsidRDefault="00A94D3A" w:rsidP="003C1469">
      <w:pPr>
        <w:pStyle w:val="ONUMFS"/>
        <w:rPr>
          <w:lang w:val="fr-FR"/>
        </w:rPr>
      </w:pPr>
      <w:r w:rsidRPr="001B3715">
        <w:rPr>
          <w:lang w:val="fr-FR"/>
        </w:rPr>
        <w:t>Depuis que le Centre a administré le premier litige en vertu des Principes directeurs concernant le règlement uniforme des litiges relatifs aux noms de domaine (principes UDRP) établis par l</w:t>
      </w:r>
      <w:r w:rsidR="00502D05" w:rsidRPr="001B3715">
        <w:rPr>
          <w:lang w:val="fr-FR"/>
        </w:rPr>
        <w:t>’</w:t>
      </w:r>
      <w:r w:rsidRPr="001B3715">
        <w:rPr>
          <w:lang w:val="fr-FR"/>
        </w:rPr>
        <w:t>OMPI, en 1999, plus de 35 000 plaintes au total ont été soumises à l</w:t>
      </w:r>
      <w:r w:rsidR="00502D05" w:rsidRPr="001B3715">
        <w:rPr>
          <w:lang w:val="fr-FR"/>
        </w:rPr>
        <w:t>’</w:t>
      </w:r>
      <w:r w:rsidRPr="001B3715">
        <w:rPr>
          <w:lang w:val="fr-FR"/>
        </w:rPr>
        <w:t>OMPI concernant plus de 65 000 noms de domaine.</w:t>
      </w:r>
    </w:p>
    <w:p w14:paraId="29E62A1A" w14:textId="6DE190F9" w:rsidR="00A94D3A" w:rsidRPr="001B3715" w:rsidRDefault="00A94D3A" w:rsidP="003C1469">
      <w:pPr>
        <w:pStyle w:val="ONUMFS"/>
        <w:rPr>
          <w:lang w:val="fr-FR"/>
        </w:rPr>
      </w:pPr>
      <w:r w:rsidRPr="001B3715">
        <w:rPr>
          <w:lang w:val="fr-FR"/>
        </w:rPr>
        <w:t xml:space="preserve">En 2015, le nombre total de litiges pour </w:t>
      </w:r>
      <w:proofErr w:type="spellStart"/>
      <w:r w:rsidRPr="001B3715">
        <w:rPr>
          <w:lang w:val="fr-FR"/>
        </w:rPr>
        <w:t>cybersquattage</w:t>
      </w:r>
      <w:proofErr w:type="spellEnd"/>
      <w:r w:rsidRPr="001B3715">
        <w:rPr>
          <w:lang w:val="fr-FR"/>
        </w:rPr>
        <w:t xml:space="preserve"> soumis à l</w:t>
      </w:r>
      <w:r w:rsidR="00502D05" w:rsidRPr="001B3715">
        <w:rPr>
          <w:lang w:val="fr-FR"/>
        </w:rPr>
        <w:t>’</w:t>
      </w:r>
      <w:r w:rsidRPr="001B3715">
        <w:rPr>
          <w:lang w:val="fr-FR"/>
        </w:rPr>
        <w:t>OMPI a augmenté de 4,6% par rapport à 2014, avec 2754 plaintes déposées par des propriétaires de marques invoquant une atteinte à leurs droi</w:t>
      </w:r>
      <w:r w:rsidR="001B3715" w:rsidRPr="001B3715">
        <w:rPr>
          <w:lang w:val="fr-FR"/>
        </w:rPr>
        <w:t>ts.  Au</w:t>
      </w:r>
      <w:r w:rsidRPr="001B3715">
        <w:rPr>
          <w:lang w:val="fr-FR"/>
        </w:rPr>
        <w:t xml:space="preserve"> 31 août 2016, l</w:t>
      </w:r>
      <w:r w:rsidR="00502D05" w:rsidRPr="001B3715">
        <w:rPr>
          <w:lang w:val="fr-FR"/>
        </w:rPr>
        <w:t>’</w:t>
      </w:r>
      <w:r w:rsidRPr="001B3715">
        <w:rPr>
          <w:lang w:val="fr-FR"/>
        </w:rPr>
        <w:t>OMPI avait reçu 2021 plaintes de ce type, soit une hausse de 11,9% par rapport à la même période en 2015.</w:t>
      </w:r>
    </w:p>
    <w:p w14:paraId="1018C60F" w14:textId="404EB968" w:rsidR="00A94D3A" w:rsidRPr="001B3715" w:rsidRDefault="00A94D3A" w:rsidP="003C1469">
      <w:pPr>
        <w:pStyle w:val="ONUMFS"/>
        <w:rPr>
          <w:lang w:val="fr-FR"/>
        </w:rPr>
      </w:pPr>
      <w:r w:rsidRPr="001B3715">
        <w:rPr>
          <w:lang w:val="fr-FR"/>
        </w:rPr>
        <w:t>En 2015, les parties aux litiges administrés par l</w:t>
      </w:r>
      <w:r w:rsidR="00502D05" w:rsidRPr="001B3715">
        <w:rPr>
          <w:lang w:val="fr-FR"/>
        </w:rPr>
        <w:t>’</w:t>
      </w:r>
      <w:r w:rsidRPr="001B3715">
        <w:rPr>
          <w:lang w:val="fr-FR"/>
        </w:rPr>
        <w:t xml:space="preserve">OMPI en vertu des principes UDRP venaient de 177 pays, </w:t>
      </w:r>
      <w:r w:rsidR="003C1469" w:rsidRPr="001B3715">
        <w:rPr>
          <w:lang w:val="fr-FR"/>
        </w:rPr>
        <w:t>soulignan</w:t>
      </w:r>
      <w:r w:rsidRPr="001B3715">
        <w:rPr>
          <w:lang w:val="fr-FR"/>
        </w:rPr>
        <w:t>t la nature planétaire de l</w:t>
      </w:r>
      <w:r w:rsidR="00502D05" w:rsidRPr="001B3715">
        <w:rPr>
          <w:lang w:val="fr-FR"/>
        </w:rPr>
        <w:t>’</w:t>
      </w:r>
      <w:r w:rsidRPr="001B3715">
        <w:rPr>
          <w:lang w:val="fr-FR"/>
        </w:rPr>
        <w:t>Internet et la participation mondiale à la procédure administrée par l</w:t>
      </w:r>
      <w:r w:rsidR="00502D05" w:rsidRPr="001B3715">
        <w:rPr>
          <w:lang w:val="fr-FR"/>
        </w:rPr>
        <w:t>’</w:t>
      </w:r>
      <w:r w:rsidRPr="001B3715">
        <w:rPr>
          <w:lang w:val="fr-FR"/>
        </w:rPr>
        <w:t>O</w:t>
      </w:r>
      <w:r w:rsidR="001B3715" w:rsidRPr="001B3715">
        <w:rPr>
          <w:lang w:val="fr-FR"/>
        </w:rPr>
        <w:t>MPI.  Le</w:t>
      </w:r>
      <w:r w:rsidRPr="001B3715">
        <w:rPr>
          <w:lang w:val="fr-FR"/>
        </w:rPr>
        <w:t>s trois principaux secteurs d</w:t>
      </w:r>
      <w:r w:rsidR="00502D05" w:rsidRPr="001B3715">
        <w:rPr>
          <w:lang w:val="fr-FR"/>
        </w:rPr>
        <w:t>’</w:t>
      </w:r>
      <w:r w:rsidRPr="001B3715">
        <w:rPr>
          <w:lang w:val="fr-FR"/>
        </w:rPr>
        <w:t>activité des requérants étaient la mode (10% des litiges), la banque et la finance (9%), ainsi que l</w:t>
      </w:r>
      <w:r w:rsidR="00502D05" w:rsidRPr="001B3715">
        <w:rPr>
          <w:lang w:val="fr-FR"/>
        </w:rPr>
        <w:t>’</w:t>
      </w:r>
      <w:r w:rsidRPr="001B3715">
        <w:rPr>
          <w:lang w:val="fr-FR"/>
        </w:rPr>
        <w:t>Internet et les technologies de l</w:t>
      </w:r>
      <w:r w:rsidR="00502D05" w:rsidRPr="001B3715">
        <w:rPr>
          <w:lang w:val="fr-FR"/>
        </w:rPr>
        <w:t>’</w:t>
      </w:r>
      <w:r w:rsidRPr="001B3715">
        <w:rPr>
          <w:lang w:val="fr-FR"/>
        </w:rPr>
        <w:t>information (9%).  Les procédures étaient instruites par 313 experts de l</w:t>
      </w:r>
      <w:r w:rsidR="00502D05" w:rsidRPr="001B3715">
        <w:rPr>
          <w:lang w:val="fr-FR"/>
        </w:rPr>
        <w:t>’</w:t>
      </w:r>
      <w:r w:rsidRPr="001B3715">
        <w:rPr>
          <w:lang w:val="fr-FR"/>
        </w:rPr>
        <w:t>OMPI issus de 45 pays, dans 15 langues différentes.</w:t>
      </w:r>
    </w:p>
    <w:p w14:paraId="4D4E8B3D" w14:textId="6497FB91" w:rsidR="00A94D3A" w:rsidRPr="001B3715" w:rsidRDefault="00A94D3A" w:rsidP="003C1469">
      <w:pPr>
        <w:pStyle w:val="ONUMFS"/>
        <w:rPr>
          <w:lang w:val="fr-FR"/>
        </w:rPr>
      </w:pPr>
      <w:r w:rsidRPr="001B3715">
        <w:rPr>
          <w:lang w:val="fr-FR"/>
        </w:rPr>
        <w:t>Les noms de domaine de premier niveau qui sont des codes de pays (</w:t>
      </w:r>
      <w:proofErr w:type="spellStart"/>
      <w:r w:rsidRPr="001B3715">
        <w:rPr>
          <w:lang w:val="fr-FR"/>
        </w:rPr>
        <w:t>ccTLD</w:t>
      </w:r>
      <w:proofErr w:type="spellEnd"/>
      <w:r w:rsidRPr="001B3715">
        <w:rPr>
          <w:lang w:val="fr-FR"/>
        </w:rPr>
        <w:t xml:space="preserve">) </w:t>
      </w:r>
      <w:r w:rsidR="003C1469" w:rsidRPr="001B3715">
        <w:rPr>
          <w:lang w:val="fr-FR"/>
        </w:rPr>
        <w:t xml:space="preserve">ont </w:t>
      </w:r>
      <w:r w:rsidRPr="001B3715">
        <w:rPr>
          <w:lang w:val="fr-FR"/>
        </w:rPr>
        <w:t>représent</w:t>
      </w:r>
      <w:r w:rsidR="003C1469" w:rsidRPr="001B3715">
        <w:rPr>
          <w:lang w:val="fr-FR"/>
        </w:rPr>
        <w:t>é</w:t>
      </w:r>
      <w:r w:rsidRPr="001B3715">
        <w:rPr>
          <w:lang w:val="fr-FR"/>
        </w:rPr>
        <w:t xml:space="preserve"> 14% des plaintes en 2015, 75</w:t>
      </w:r>
      <w:r w:rsidR="003C1469" w:rsidRPr="001B3715">
        <w:rPr>
          <w:lang w:val="fr-FR"/>
        </w:rPr>
        <w:t> </w:t>
      </w:r>
      <w:r w:rsidRPr="001B3715">
        <w:rPr>
          <w:lang w:val="fr-FR"/>
        </w:rPr>
        <w:t>services d</w:t>
      </w:r>
      <w:r w:rsidR="00502D05" w:rsidRPr="001B3715">
        <w:rPr>
          <w:lang w:val="fr-FR"/>
        </w:rPr>
        <w:t>’</w:t>
      </w:r>
      <w:r w:rsidRPr="001B3715">
        <w:rPr>
          <w:lang w:val="fr-FR"/>
        </w:rPr>
        <w:t>enregistrement dans ces domaines faisant désormais appel aux services de l</w:t>
      </w:r>
      <w:r w:rsidR="00502D05" w:rsidRPr="001B3715">
        <w:rPr>
          <w:lang w:val="fr-FR"/>
        </w:rPr>
        <w:t>’</w:t>
      </w:r>
      <w:r w:rsidRPr="001B3715">
        <w:rPr>
          <w:lang w:val="fr-FR"/>
        </w:rPr>
        <w:t>OMPI.</w:t>
      </w:r>
    </w:p>
    <w:p w14:paraId="5940761B" w14:textId="46A4B9B4" w:rsidR="00A94D3A" w:rsidRPr="001B3715" w:rsidRDefault="00A94D3A" w:rsidP="003C1469">
      <w:pPr>
        <w:pStyle w:val="ONUMFS"/>
        <w:rPr>
          <w:lang w:val="fr-FR"/>
        </w:rPr>
      </w:pPr>
      <w:r w:rsidRPr="001B3715">
        <w:rPr>
          <w:lang w:val="fr-FR"/>
        </w:rPr>
        <w:t>L</w:t>
      </w:r>
      <w:r w:rsidR="00502D05" w:rsidRPr="001B3715">
        <w:rPr>
          <w:lang w:val="fr-FR"/>
        </w:rPr>
        <w:t>’</w:t>
      </w:r>
      <w:r w:rsidRPr="001B3715">
        <w:rPr>
          <w:lang w:val="fr-FR"/>
        </w:rPr>
        <w:t>enregistrement des noms de domaine dans les domaines génériques de premier niveau (</w:t>
      </w:r>
      <w:proofErr w:type="spellStart"/>
      <w:r w:rsidRPr="001B3715">
        <w:rPr>
          <w:lang w:val="fr-FR"/>
        </w:rPr>
        <w:t>gTLD</w:t>
      </w:r>
      <w:proofErr w:type="spellEnd"/>
      <w:r w:rsidRPr="001B3715">
        <w:rPr>
          <w:lang w:val="fr-FR"/>
        </w:rPr>
        <w:t>) nouvellement créés fait maintenant partie des litiges courants administrés conformément aux principes U</w:t>
      </w:r>
      <w:r w:rsidR="001B3715" w:rsidRPr="001B3715">
        <w:rPr>
          <w:lang w:val="fr-FR"/>
        </w:rPr>
        <w:t>DRP.  Av</w:t>
      </w:r>
      <w:r w:rsidRPr="001B3715">
        <w:rPr>
          <w:lang w:val="fr-FR"/>
        </w:rPr>
        <w:t xml:space="preserve">ec près de 1000 nouveaux </w:t>
      </w:r>
      <w:proofErr w:type="spellStart"/>
      <w:r w:rsidRPr="001B3715">
        <w:rPr>
          <w:lang w:val="fr-FR"/>
        </w:rPr>
        <w:t>gTLD</w:t>
      </w:r>
      <w:proofErr w:type="spellEnd"/>
      <w:r w:rsidRPr="001B3715">
        <w:rPr>
          <w:lang w:val="fr-FR"/>
        </w:rPr>
        <w:t xml:space="preserve"> opérationnels sur les 1400 prévus, les litiges correspondants représentent à ce jour quelque 15% des dossiers instruits par l</w:t>
      </w:r>
      <w:r w:rsidR="00502D05" w:rsidRPr="001B3715">
        <w:rPr>
          <w:lang w:val="fr-FR"/>
        </w:rPr>
        <w:t>’</w:t>
      </w:r>
      <w:r w:rsidRPr="001B3715">
        <w:rPr>
          <w:lang w:val="fr-FR"/>
        </w:rPr>
        <w:t>OMPI en 2016.</w:t>
      </w:r>
    </w:p>
    <w:p w14:paraId="18FFC693" w14:textId="11092C99" w:rsidR="00A94D3A" w:rsidRPr="001B3715" w:rsidRDefault="00A94D3A" w:rsidP="003C1469">
      <w:pPr>
        <w:pStyle w:val="ONUMFS"/>
        <w:rPr>
          <w:lang w:val="fr-FR"/>
        </w:rPr>
      </w:pPr>
      <w:r w:rsidRPr="001B3715">
        <w:rPr>
          <w:lang w:val="fr-FR"/>
        </w:rPr>
        <w:t>L</w:t>
      </w:r>
      <w:r w:rsidR="00502D05" w:rsidRPr="001B3715">
        <w:rPr>
          <w:lang w:val="fr-FR"/>
        </w:rPr>
        <w:t>’</w:t>
      </w:r>
      <w:r w:rsidRPr="001B3715">
        <w:rPr>
          <w:lang w:val="fr-FR"/>
        </w:rPr>
        <w:t xml:space="preserve">OMPI </w:t>
      </w:r>
      <w:r w:rsidR="003C1469" w:rsidRPr="001B3715">
        <w:rPr>
          <w:lang w:val="fr-FR"/>
        </w:rPr>
        <w:t>suit</w:t>
      </w:r>
      <w:r w:rsidRPr="001B3715">
        <w:rPr>
          <w:lang w:val="fr-FR"/>
        </w:rPr>
        <w:t xml:space="preserve"> de près un processus </w:t>
      </w:r>
      <w:r w:rsidR="003C1469" w:rsidRPr="001B3715">
        <w:rPr>
          <w:lang w:val="fr-FR"/>
        </w:rPr>
        <w:t xml:space="preserve">lancé </w:t>
      </w:r>
      <w:r w:rsidRPr="001B3715">
        <w:rPr>
          <w:lang w:val="fr-FR"/>
        </w:rPr>
        <w:t>par l</w:t>
      </w:r>
      <w:r w:rsidR="00502D05" w:rsidRPr="001B3715">
        <w:rPr>
          <w:lang w:val="fr-FR"/>
        </w:rPr>
        <w:t>’</w:t>
      </w:r>
      <w:r w:rsidRPr="001B3715">
        <w:rPr>
          <w:lang w:val="fr-FR"/>
        </w:rPr>
        <w:t xml:space="preserve">Internet Corporation for </w:t>
      </w:r>
      <w:proofErr w:type="spellStart"/>
      <w:r w:rsidRPr="001B3715">
        <w:rPr>
          <w:lang w:val="fr-FR"/>
        </w:rPr>
        <w:t>Assigned</w:t>
      </w:r>
      <w:proofErr w:type="spellEnd"/>
      <w:r w:rsidRPr="001B3715">
        <w:rPr>
          <w:lang w:val="fr-FR"/>
        </w:rPr>
        <w:t xml:space="preserve"> </w:t>
      </w:r>
      <w:proofErr w:type="spellStart"/>
      <w:r w:rsidRPr="001B3715">
        <w:rPr>
          <w:lang w:val="fr-FR"/>
        </w:rPr>
        <w:t>Names</w:t>
      </w:r>
      <w:proofErr w:type="spellEnd"/>
      <w:r w:rsidRPr="001B3715">
        <w:rPr>
          <w:lang w:val="fr-FR"/>
        </w:rPr>
        <w:t xml:space="preserve"> and </w:t>
      </w:r>
      <w:proofErr w:type="spellStart"/>
      <w:r w:rsidRPr="001B3715">
        <w:rPr>
          <w:lang w:val="fr-FR"/>
        </w:rPr>
        <w:t>Numbers</w:t>
      </w:r>
      <w:proofErr w:type="spellEnd"/>
      <w:r w:rsidRPr="001B3715">
        <w:rPr>
          <w:lang w:val="fr-FR"/>
        </w:rPr>
        <w:t xml:space="preserve"> (ICANN) afin de réviser les principes UDRP et d</w:t>
      </w:r>
      <w:r w:rsidR="00502D05" w:rsidRPr="001B3715">
        <w:rPr>
          <w:lang w:val="fr-FR"/>
        </w:rPr>
        <w:t>’</w:t>
      </w:r>
      <w:r w:rsidRPr="001B3715">
        <w:rPr>
          <w:lang w:val="fr-FR"/>
        </w:rPr>
        <w:t>autres mécanismes de protection des droits.</w:t>
      </w:r>
    </w:p>
    <w:p w14:paraId="2771A3EF" w14:textId="531EA843" w:rsidR="00A94D3A" w:rsidRPr="001B3715" w:rsidRDefault="00A94D3A" w:rsidP="003C1469">
      <w:pPr>
        <w:pStyle w:val="ONUMFS"/>
        <w:rPr>
          <w:lang w:val="fr-FR"/>
        </w:rPr>
      </w:pPr>
      <w:r w:rsidRPr="001B3715">
        <w:rPr>
          <w:b/>
          <w:lang w:val="fr-FR"/>
        </w:rPr>
        <w:t>Litiges de propriété intellectuel</w:t>
      </w:r>
      <w:r w:rsidR="001B3715" w:rsidRPr="001B3715">
        <w:rPr>
          <w:b/>
          <w:lang w:val="fr-FR"/>
        </w:rPr>
        <w:t xml:space="preserve">le.  </w:t>
      </w:r>
      <w:r w:rsidR="001B3715" w:rsidRPr="001B3715">
        <w:rPr>
          <w:lang w:val="fr-FR"/>
        </w:rPr>
        <w:t>Le</w:t>
      </w:r>
      <w:r w:rsidRPr="001B3715">
        <w:rPr>
          <w:lang w:val="fr-FR"/>
        </w:rPr>
        <w:t>s procédures prévues par le</w:t>
      </w:r>
      <w:r w:rsidR="003C1469" w:rsidRPr="001B3715">
        <w:rPr>
          <w:lang w:val="fr-FR"/>
        </w:rPr>
        <w:t>s</w:t>
      </w:r>
      <w:r w:rsidRPr="001B3715">
        <w:rPr>
          <w:lang w:val="fr-FR"/>
        </w:rPr>
        <w:t xml:space="preserve"> règlement</w:t>
      </w:r>
      <w:r w:rsidR="003C1469" w:rsidRPr="001B3715">
        <w:rPr>
          <w:lang w:val="fr-FR"/>
        </w:rPr>
        <w:t>s</w:t>
      </w:r>
      <w:r w:rsidRPr="001B3715">
        <w:rPr>
          <w:lang w:val="fr-FR"/>
        </w:rPr>
        <w:t xml:space="preserve"> d</w:t>
      </w:r>
      <w:r w:rsidR="00502D05" w:rsidRPr="001B3715">
        <w:rPr>
          <w:lang w:val="fr-FR"/>
        </w:rPr>
        <w:t>’</w:t>
      </w:r>
      <w:r w:rsidRPr="001B3715">
        <w:rPr>
          <w:lang w:val="fr-FR"/>
        </w:rPr>
        <w:t>arbitrage, de médiation et de procédure d</w:t>
      </w:r>
      <w:r w:rsidR="00502D05" w:rsidRPr="001B3715">
        <w:rPr>
          <w:lang w:val="fr-FR"/>
        </w:rPr>
        <w:t>’</w:t>
      </w:r>
      <w:r w:rsidRPr="001B3715">
        <w:rPr>
          <w:lang w:val="fr-FR"/>
        </w:rPr>
        <w:t>expertise de l</w:t>
      </w:r>
      <w:r w:rsidR="00502D05" w:rsidRPr="001B3715">
        <w:rPr>
          <w:lang w:val="fr-FR"/>
        </w:rPr>
        <w:t>’</w:t>
      </w:r>
      <w:r w:rsidRPr="001B3715">
        <w:rPr>
          <w:lang w:val="fr-FR"/>
        </w:rPr>
        <w:t>OMPI visent à faciliter l</w:t>
      </w:r>
      <w:r w:rsidR="00502D05" w:rsidRPr="001B3715">
        <w:rPr>
          <w:lang w:val="fr-FR"/>
        </w:rPr>
        <w:t>’</w:t>
      </w:r>
      <w:r w:rsidRPr="001B3715">
        <w:rPr>
          <w:lang w:val="fr-FR"/>
        </w:rPr>
        <w:t>usage de la propriété intellectuelle en permettant d</w:t>
      </w:r>
      <w:r w:rsidR="00502D05" w:rsidRPr="001B3715">
        <w:rPr>
          <w:lang w:val="fr-FR"/>
        </w:rPr>
        <w:t>’</w:t>
      </w:r>
      <w:r w:rsidRPr="001B3715">
        <w:rPr>
          <w:lang w:val="fr-FR"/>
        </w:rPr>
        <w:t>éviter les perturbations excessives qu</w:t>
      </w:r>
      <w:r w:rsidR="00502D05" w:rsidRPr="001B3715">
        <w:rPr>
          <w:lang w:val="fr-FR"/>
        </w:rPr>
        <w:t>’</w:t>
      </w:r>
      <w:r w:rsidRPr="001B3715">
        <w:rPr>
          <w:lang w:val="fr-FR"/>
        </w:rPr>
        <w:t>entraîneraient des procédures judiciaires longues et coûteuses.</w:t>
      </w:r>
    </w:p>
    <w:p w14:paraId="4DAAD9F2" w14:textId="12784135" w:rsidR="00A94D3A" w:rsidRPr="001B3715" w:rsidRDefault="00A94D3A" w:rsidP="003C1469">
      <w:pPr>
        <w:pStyle w:val="ONUMFS"/>
        <w:rPr>
          <w:lang w:val="fr-FR"/>
        </w:rPr>
      </w:pPr>
      <w:r w:rsidRPr="001B3715">
        <w:rPr>
          <w:lang w:val="fr-FR"/>
        </w:rPr>
        <w:lastRenderedPageBreak/>
        <w:t>Des plaintes ont été déposées dans le</w:t>
      </w:r>
      <w:r w:rsidR="003C1469" w:rsidRPr="001B3715">
        <w:rPr>
          <w:lang w:val="fr-FR"/>
        </w:rPr>
        <w:t>s</w:t>
      </w:r>
      <w:r w:rsidRPr="001B3715">
        <w:rPr>
          <w:lang w:val="fr-FR"/>
        </w:rPr>
        <w:t xml:space="preserve"> domaine</w:t>
      </w:r>
      <w:r w:rsidR="003C1469" w:rsidRPr="001B3715">
        <w:rPr>
          <w:lang w:val="fr-FR"/>
        </w:rPr>
        <w:t>s</w:t>
      </w:r>
      <w:r w:rsidRPr="001B3715">
        <w:rPr>
          <w:lang w:val="fr-FR"/>
        </w:rPr>
        <w:t xml:space="preserve"> des brevets, des marques, des logiciels, des activités de R</w:t>
      </w:r>
      <w:r w:rsidR="00E3770C">
        <w:rPr>
          <w:lang w:val="fr-FR"/>
        </w:rPr>
        <w:noBreakHyphen/>
      </w:r>
      <w:r w:rsidRPr="001B3715">
        <w:rPr>
          <w:lang w:val="fr-FR"/>
        </w:rPr>
        <w:t>D, du cinéma et des médias, et du franchisa</w:t>
      </w:r>
      <w:r w:rsidR="001B3715" w:rsidRPr="001B3715">
        <w:rPr>
          <w:lang w:val="fr-FR"/>
        </w:rPr>
        <w:t xml:space="preserve">ge.  À </w:t>
      </w:r>
      <w:r w:rsidRPr="001B3715">
        <w:rPr>
          <w:lang w:val="fr-FR"/>
        </w:rPr>
        <w:t>ce jour, le Centre a administré plus de 460 litiges en vertu des règlements de médiation, d</w:t>
      </w:r>
      <w:r w:rsidR="00502D05" w:rsidRPr="001B3715">
        <w:rPr>
          <w:lang w:val="fr-FR"/>
        </w:rPr>
        <w:t>’</w:t>
      </w:r>
      <w:r w:rsidRPr="001B3715">
        <w:rPr>
          <w:lang w:val="fr-FR"/>
        </w:rPr>
        <w:t>arbitrage et de procédure d</w:t>
      </w:r>
      <w:r w:rsidR="00502D05" w:rsidRPr="001B3715">
        <w:rPr>
          <w:lang w:val="fr-FR"/>
        </w:rPr>
        <w:t>’</w:t>
      </w:r>
      <w:r w:rsidRPr="001B3715">
        <w:rPr>
          <w:lang w:val="fr-FR"/>
        </w:rPr>
        <w:t>expertise depuis la première plainte en 1999, pour des montants allant de 20 000 à 1 milliard de dollars É.</w:t>
      </w:r>
      <w:r w:rsidR="00E3770C">
        <w:rPr>
          <w:rFonts w:eastAsia="MS Gothic"/>
          <w:lang w:val="fr-FR"/>
        </w:rPr>
        <w:noBreakHyphen/>
      </w:r>
      <w:r w:rsidRPr="001B3715">
        <w:rPr>
          <w:lang w:val="fr-FR"/>
        </w:rPr>
        <w:t>U.</w:t>
      </w:r>
    </w:p>
    <w:p w14:paraId="2E77F5C0" w14:textId="4D4DE7BB" w:rsidR="00A94D3A" w:rsidRPr="001B3715" w:rsidRDefault="00A94D3A" w:rsidP="003C1469">
      <w:pPr>
        <w:pStyle w:val="ONUMFS"/>
        <w:rPr>
          <w:lang w:val="fr-FR"/>
        </w:rPr>
      </w:pPr>
      <w:r w:rsidRPr="001B3715">
        <w:rPr>
          <w:lang w:val="fr-FR"/>
        </w:rPr>
        <w:t>En collaboration avec les offices de propriété intellectuelle et les bureaux de droit d</w:t>
      </w:r>
      <w:r w:rsidR="00502D05" w:rsidRPr="001B3715">
        <w:rPr>
          <w:lang w:val="fr-FR"/>
        </w:rPr>
        <w:t>’</w:t>
      </w:r>
      <w:r w:rsidRPr="001B3715">
        <w:rPr>
          <w:lang w:val="fr-FR"/>
        </w:rPr>
        <w:t>auteur intéressés, l</w:t>
      </w:r>
      <w:r w:rsidR="00502D05" w:rsidRPr="001B3715">
        <w:rPr>
          <w:lang w:val="fr-FR"/>
        </w:rPr>
        <w:t>’</w:t>
      </w:r>
      <w:r w:rsidRPr="001B3715">
        <w:rPr>
          <w:lang w:val="fr-FR"/>
        </w:rPr>
        <w:t>OMPI met à disposition des ressources qui peuvent aider les parties à régler les litiges relatifs aux atteintes à leurs droits en instance</w:t>
      </w:r>
      <w:r w:rsidR="003C1469" w:rsidRPr="001B3715">
        <w:rPr>
          <w:lang w:val="fr-FR"/>
        </w:rPr>
        <w:t xml:space="preserve"> devant ces offic</w:t>
      </w:r>
      <w:r w:rsidR="001B3715" w:rsidRPr="001B3715">
        <w:rPr>
          <w:lang w:val="fr-FR"/>
        </w:rPr>
        <w:t>es.  Un</w:t>
      </w:r>
      <w:r w:rsidRPr="001B3715">
        <w:rPr>
          <w:lang w:val="fr-FR"/>
        </w:rPr>
        <w:t>e collaboration est en cours avec les offices du Brésil, de la Colombie, de l</w:t>
      </w:r>
      <w:r w:rsidR="00502D05" w:rsidRPr="001B3715">
        <w:rPr>
          <w:lang w:val="fr-FR"/>
        </w:rPr>
        <w:t>’</w:t>
      </w:r>
      <w:r w:rsidRPr="001B3715">
        <w:rPr>
          <w:lang w:val="fr-FR"/>
        </w:rPr>
        <w:t>Indonésie, du Mexique, des Philippines et de Singapour, ainsi qu</w:t>
      </w:r>
      <w:r w:rsidR="00502D05" w:rsidRPr="001B3715">
        <w:rPr>
          <w:lang w:val="fr-FR"/>
        </w:rPr>
        <w:t>’</w:t>
      </w:r>
      <w:r w:rsidRPr="001B3715">
        <w:rPr>
          <w:lang w:val="fr-FR"/>
        </w:rPr>
        <w:t xml:space="preserve">avec des </w:t>
      </w:r>
      <w:r w:rsidR="003C1469" w:rsidRPr="001B3715">
        <w:rPr>
          <w:lang w:val="fr-FR"/>
        </w:rPr>
        <w:t>instituts</w:t>
      </w:r>
      <w:r w:rsidRPr="001B3715">
        <w:rPr>
          <w:lang w:val="fr-FR"/>
        </w:rPr>
        <w:t xml:space="preserve"> de propriété intellectuelle en République de Cor</w:t>
      </w:r>
      <w:r w:rsidR="001B3715" w:rsidRPr="001B3715">
        <w:rPr>
          <w:lang w:val="fr-FR"/>
        </w:rPr>
        <w:t>ée.  Le</w:t>
      </w:r>
      <w:r w:rsidRPr="001B3715">
        <w:rPr>
          <w:lang w:val="fr-FR"/>
        </w:rPr>
        <w:t xml:space="preserve"> Centre a rassemblé </w:t>
      </w:r>
      <w:r w:rsidR="00E842B3" w:rsidRPr="001B3715">
        <w:rPr>
          <w:lang w:val="fr-FR"/>
        </w:rPr>
        <w:t xml:space="preserve">des </w:t>
      </w:r>
      <w:r w:rsidR="003C1469" w:rsidRPr="001B3715">
        <w:rPr>
          <w:lang w:val="fr-FR"/>
        </w:rPr>
        <w:t>données d</w:t>
      </w:r>
      <w:r w:rsidR="00502D05" w:rsidRPr="001B3715">
        <w:rPr>
          <w:lang w:val="fr-FR"/>
        </w:rPr>
        <w:t>’</w:t>
      </w:r>
      <w:r w:rsidR="003C1469" w:rsidRPr="001B3715">
        <w:rPr>
          <w:lang w:val="fr-FR"/>
        </w:rPr>
        <w:t>expérience</w:t>
      </w:r>
      <w:r w:rsidRPr="001B3715">
        <w:rPr>
          <w:lang w:val="fr-FR"/>
        </w:rPr>
        <w:t xml:space="preserve"> pertinentes dans le Guide de l</w:t>
      </w:r>
      <w:r w:rsidR="00502D05" w:rsidRPr="001B3715">
        <w:rPr>
          <w:lang w:val="fr-FR"/>
        </w:rPr>
        <w:t>’</w:t>
      </w:r>
      <w:r w:rsidRPr="001B3715">
        <w:rPr>
          <w:lang w:val="fr-FR"/>
        </w:rPr>
        <w:t>OMPI sur les modes extrajudiciaires de règlement des litiges pour les offices de propriété intellectuelle et les tribunaux, publié en 2015.  Depuis janvier 2016, le Centre figure aussi sur la liste des fournisseurs de services de règlement extrajudiciaire des litiges qui peuvent être choisis pour les procédures devant la Commission des audiences et recours en matière de marques (TTAB) et la Commission des audiences et recours en matière de brevets (PTAB) de l</w:t>
      </w:r>
      <w:r w:rsidR="00502D05" w:rsidRPr="001B3715">
        <w:rPr>
          <w:lang w:val="fr-FR"/>
        </w:rPr>
        <w:t>’</w:t>
      </w:r>
      <w:r w:rsidRPr="001B3715">
        <w:rPr>
          <w:lang w:val="fr-FR"/>
        </w:rPr>
        <w:t>Office des brevets et des marques des États</w:t>
      </w:r>
      <w:r w:rsidR="00E3770C">
        <w:rPr>
          <w:lang w:val="fr-FR"/>
        </w:rPr>
        <w:noBreakHyphen/>
      </w:r>
      <w:r w:rsidRPr="001B3715">
        <w:rPr>
          <w:lang w:val="fr-FR"/>
        </w:rPr>
        <w:t>Unis d</w:t>
      </w:r>
      <w:r w:rsidR="00502D05" w:rsidRPr="001B3715">
        <w:rPr>
          <w:lang w:val="fr-FR"/>
        </w:rPr>
        <w:t>’</w:t>
      </w:r>
      <w:r w:rsidRPr="001B3715">
        <w:rPr>
          <w:lang w:val="fr-FR"/>
        </w:rPr>
        <w:t>Amérique (USPTO).</w:t>
      </w:r>
    </w:p>
    <w:p w14:paraId="65567778" w14:textId="77777777" w:rsidR="00F24FC6" w:rsidRPr="001B3715" w:rsidRDefault="00F24FC6" w:rsidP="00F24FC6">
      <w:pPr>
        <w:pStyle w:val="Heading3"/>
        <w:rPr>
          <w:lang w:val="fr-FR"/>
        </w:rPr>
      </w:pPr>
      <w:r w:rsidRPr="001B3715">
        <w:rPr>
          <w:lang w:val="fr-FR"/>
        </w:rPr>
        <w:t>Cadre juridique international</w:t>
      </w:r>
    </w:p>
    <w:p w14:paraId="4132360C" w14:textId="77777777" w:rsidR="00F24FC6" w:rsidRPr="001B3715" w:rsidRDefault="00F24FC6" w:rsidP="00F24FC6">
      <w:pPr>
        <w:rPr>
          <w:szCs w:val="22"/>
          <w:lang w:val="fr-FR"/>
        </w:rPr>
      </w:pPr>
    </w:p>
    <w:p w14:paraId="3E504313" w14:textId="6B7BE162" w:rsidR="00F24FC6" w:rsidRPr="001B3715" w:rsidRDefault="00F24FC6" w:rsidP="00F24FC6">
      <w:pPr>
        <w:pStyle w:val="ONUMFS"/>
        <w:rPr>
          <w:szCs w:val="22"/>
          <w:lang w:val="fr-FR"/>
        </w:rPr>
      </w:pPr>
      <w:r w:rsidRPr="001B3715">
        <w:rPr>
          <w:b/>
          <w:szCs w:val="22"/>
          <w:lang w:val="fr-FR"/>
        </w:rPr>
        <w:t>Traités existan</w:t>
      </w:r>
      <w:r w:rsidR="001B3715" w:rsidRPr="001B3715">
        <w:rPr>
          <w:b/>
          <w:szCs w:val="22"/>
          <w:lang w:val="fr-FR"/>
        </w:rPr>
        <w:t xml:space="preserve">ts.  </w:t>
      </w:r>
      <w:r w:rsidR="001B3715" w:rsidRPr="001B3715">
        <w:rPr>
          <w:szCs w:val="22"/>
          <w:lang w:val="fr-FR"/>
        </w:rPr>
        <w:t>L’a</w:t>
      </w:r>
      <w:r w:rsidRPr="001B3715">
        <w:rPr>
          <w:szCs w:val="22"/>
          <w:lang w:val="fr-FR"/>
        </w:rPr>
        <w:t>nnée 2016 a été marquée par un grand nombre d</w:t>
      </w:r>
      <w:r w:rsidR="00502D05" w:rsidRPr="001B3715">
        <w:rPr>
          <w:szCs w:val="22"/>
          <w:lang w:val="fr-FR"/>
        </w:rPr>
        <w:t>’</w:t>
      </w:r>
      <w:r w:rsidRPr="001B3715">
        <w:rPr>
          <w:szCs w:val="22"/>
          <w:lang w:val="fr-FR"/>
        </w:rPr>
        <w:t>adhésions aux traités administrés par l</w:t>
      </w:r>
      <w:r w:rsidR="00502D05" w:rsidRPr="001B3715">
        <w:rPr>
          <w:szCs w:val="22"/>
          <w:lang w:val="fr-FR"/>
        </w:rPr>
        <w:t>’</w:t>
      </w:r>
      <w:r w:rsidRPr="001B3715">
        <w:rPr>
          <w:szCs w:val="22"/>
          <w:lang w:val="fr-FR"/>
        </w:rPr>
        <w:t xml:space="preserve">OMPI, avec </w:t>
      </w:r>
      <w:r w:rsidR="003E0A7D" w:rsidRPr="001B3715">
        <w:rPr>
          <w:szCs w:val="22"/>
          <w:lang w:val="fr-FR"/>
        </w:rPr>
        <w:t>42</w:t>
      </w:r>
      <w:r w:rsidR="00406F33" w:rsidRPr="001B3715">
        <w:rPr>
          <w:szCs w:val="22"/>
          <w:lang w:val="fr-FR"/>
        </w:rPr>
        <w:t> </w:t>
      </w:r>
      <w:r w:rsidRPr="001B3715">
        <w:rPr>
          <w:szCs w:val="22"/>
          <w:lang w:val="fr-FR"/>
        </w:rPr>
        <w:t>nouvelles adhésions depuis septembre 2015, soit près du double par rapport à l</w:t>
      </w:r>
      <w:r w:rsidR="00502D05" w:rsidRPr="001B3715">
        <w:rPr>
          <w:szCs w:val="22"/>
          <w:lang w:val="fr-FR"/>
        </w:rPr>
        <w:t>’</w:t>
      </w:r>
      <w:r w:rsidRPr="001B3715">
        <w:rPr>
          <w:szCs w:val="22"/>
          <w:lang w:val="fr-FR"/>
        </w:rPr>
        <w:t>année précéden</w:t>
      </w:r>
      <w:r w:rsidR="001B3715" w:rsidRPr="001B3715">
        <w:rPr>
          <w:szCs w:val="22"/>
          <w:lang w:val="fr-FR"/>
        </w:rPr>
        <w:t>te.  Po</w:t>
      </w:r>
      <w:r w:rsidRPr="001B3715">
        <w:rPr>
          <w:szCs w:val="22"/>
          <w:lang w:val="fr-FR"/>
        </w:rPr>
        <w:t>ur la deuxième année consécutive, ces adhésions concernent des pays en développeme</w:t>
      </w:r>
      <w:r w:rsidR="001B3715" w:rsidRPr="001B3715">
        <w:rPr>
          <w:szCs w:val="22"/>
          <w:lang w:val="fr-FR"/>
        </w:rPr>
        <w:t>nt.  Qu</w:t>
      </w:r>
      <w:r w:rsidRPr="001B3715">
        <w:rPr>
          <w:szCs w:val="22"/>
          <w:lang w:val="fr-FR"/>
        </w:rPr>
        <w:t>atre traités comptent désormais plus de 100 d</w:t>
      </w:r>
      <w:r w:rsidR="00502D05" w:rsidRPr="001B3715">
        <w:rPr>
          <w:szCs w:val="22"/>
          <w:lang w:val="fr-FR"/>
        </w:rPr>
        <w:t>’</w:t>
      </w:r>
      <w:r w:rsidRPr="001B3715">
        <w:rPr>
          <w:szCs w:val="22"/>
          <w:lang w:val="fr-FR"/>
        </w:rPr>
        <w:t>États contractan</w:t>
      </w:r>
      <w:r w:rsidR="001B3715" w:rsidRPr="001B3715">
        <w:rPr>
          <w:szCs w:val="22"/>
          <w:lang w:val="fr-FR"/>
        </w:rPr>
        <w:t>ts.  Si</w:t>
      </w:r>
      <w:r w:rsidRPr="001B3715">
        <w:rPr>
          <w:szCs w:val="22"/>
          <w:lang w:val="fr-FR"/>
        </w:rPr>
        <w:t xml:space="preserve"> l</w:t>
      </w:r>
      <w:r w:rsidR="00502D05" w:rsidRPr="001B3715">
        <w:rPr>
          <w:szCs w:val="22"/>
          <w:lang w:val="fr-FR"/>
        </w:rPr>
        <w:t>’</w:t>
      </w:r>
      <w:r w:rsidRPr="001B3715">
        <w:rPr>
          <w:szCs w:val="22"/>
          <w:lang w:val="fr-FR"/>
        </w:rPr>
        <w:t>on se fie au rythme des adhésions ces cinq dernières années, cinq autres traités au moins peuvent atteindre les 100</w:t>
      </w:r>
      <w:r w:rsidR="00406F33" w:rsidRPr="001B3715">
        <w:rPr>
          <w:szCs w:val="22"/>
          <w:lang w:val="fr-FR"/>
        </w:rPr>
        <w:t> </w:t>
      </w:r>
      <w:r w:rsidRPr="001B3715">
        <w:rPr>
          <w:szCs w:val="22"/>
          <w:lang w:val="fr-FR"/>
        </w:rPr>
        <w:t>États contractants d</w:t>
      </w:r>
      <w:r w:rsidR="00502D05" w:rsidRPr="001B3715">
        <w:rPr>
          <w:szCs w:val="22"/>
          <w:lang w:val="fr-FR"/>
        </w:rPr>
        <w:t>’</w:t>
      </w:r>
      <w:r w:rsidRPr="001B3715">
        <w:rPr>
          <w:szCs w:val="22"/>
          <w:lang w:val="fr-FR"/>
        </w:rPr>
        <w:t>ici 2020.</w:t>
      </w:r>
    </w:p>
    <w:p w14:paraId="4FBFE2E0" w14:textId="113683BA" w:rsidR="00F24FC6" w:rsidRPr="001B3715" w:rsidRDefault="00F24FC6" w:rsidP="00F24FC6">
      <w:pPr>
        <w:pStyle w:val="ONUMFS"/>
        <w:rPr>
          <w:szCs w:val="22"/>
          <w:lang w:val="fr-FR"/>
        </w:rPr>
      </w:pPr>
      <w:r w:rsidRPr="001B3715">
        <w:rPr>
          <w:szCs w:val="22"/>
          <w:lang w:val="fr-FR"/>
        </w:rPr>
        <w:t>Une étape majeure a été franchie en juin de cette année avec le dépôt du vingtième instrument d</w:t>
      </w:r>
      <w:r w:rsidR="00502D05" w:rsidRPr="001B3715">
        <w:rPr>
          <w:szCs w:val="22"/>
          <w:lang w:val="fr-FR"/>
        </w:rPr>
        <w:t>’</w:t>
      </w:r>
      <w:r w:rsidRPr="001B3715">
        <w:rPr>
          <w:szCs w:val="22"/>
          <w:lang w:val="fr-FR"/>
        </w:rPr>
        <w:t>adhésion au Traité de Marrakech visant à faciliter l</w:t>
      </w:r>
      <w:r w:rsidR="00502D05" w:rsidRPr="001B3715">
        <w:rPr>
          <w:szCs w:val="22"/>
          <w:lang w:val="fr-FR"/>
        </w:rPr>
        <w:t>’</w:t>
      </w:r>
      <w:r w:rsidRPr="001B3715">
        <w:rPr>
          <w:szCs w:val="22"/>
          <w:lang w:val="fr-FR"/>
        </w:rPr>
        <w:t>accès des aveugles, des déficients visuels et des personnes ayant d</w:t>
      </w:r>
      <w:r w:rsidR="00502D05" w:rsidRPr="001B3715">
        <w:rPr>
          <w:szCs w:val="22"/>
          <w:lang w:val="fr-FR"/>
        </w:rPr>
        <w:t>’</w:t>
      </w:r>
      <w:r w:rsidRPr="001B3715">
        <w:rPr>
          <w:szCs w:val="22"/>
          <w:lang w:val="fr-FR"/>
        </w:rPr>
        <w:t>autres difficultés de lecture des textes imprimés aux œuvres publiées, grâce auquel le traité entrera en vigueur le 30 septembre 2016.  La première Assemblée du Traité de Marrakech se tiendra durant les assemblées actuelles de 2016.</w:t>
      </w:r>
    </w:p>
    <w:p w14:paraId="0F6F807F" w14:textId="69928FD5" w:rsidR="00F24FC6" w:rsidRPr="001B3715" w:rsidRDefault="00F24FC6" w:rsidP="00F24FC6">
      <w:pPr>
        <w:pStyle w:val="ONUMFS"/>
        <w:rPr>
          <w:szCs w:val="22"/>
          <w:lang w:val="fr-FR"/>
        </w:rPr>
      </w:pPr>
      <w:r w:rsidRPr="001B3715">
        <w:rPr>
          <w:szCs w:val="22"/>
          <w:lang w:val="fr-FR"/>
        </w:rPr>
        <w:t>Le Traité de Beijing sur les interprétations et exécutions audiovisuelles adopté en 2012 devrait également, à la suite de 13</w:t>
      </w:r>
      <w:r w:rsidR="00406F33" w:rsidRPr="001B3715">
        <w:rPr>
          <w:szCs w:val="22"/>
          <w:lang w:val="fr-FR"/>
        </w:rPr>
        <w:t> </w:t>
      </w:r>
      <w:r w:rsidRPr="001B3715">
        <w:rPr>
          <w:szCs w:val="22"/>
          <w:lang w:val="fr-FR"/>
        </w:rPr>
        <w:t>nouvelles adhésions, entrer en vigueur prochaineme</w:t>
      </w:r>
      <w:r w:rsidR="001B3715" w:rsidRPr="001B3715">
        <w:rPr>
          <w:szCs w:val="22"/>
          <w:lang w:val="fr-FR"/>
        </w:rPr>
        <w:t>nt.  No</w:t>
      </w:r>
      <w:r w:rsidRPr="001B3715">
        <w:rPr>
          <w:szCs w:val="22"/>
          <w:lang w:val="fr-FR"/>
        </w:rPr>
        <w:t>us espérons que le seuil des 30</w:t>
      </w:r>
      <w:r w:rsidR="00406F33" w:rsidRPr="001B3715">
        <w:rPr>
          <w:szCs w:val="22"/>
          <w:lang w:val="fr-FR"/>
        </w:rPr>
        <w:t> </w:t>
      </w:r>
      <w:r w:rsidRPr="001B3715">
        <w:rPr>
          <w:szCs w:val="22"/>
          <w:lang w:val="fr-FR"/>
        </w:rPr>
        <w:t>adhésions nécessaires à l</w:t>
      </w:r>
      <w:r w:rsidR="00502D05" w:rsidRPr="001B3715">
        <w:rPr>
          <w:szCs w:val="22"/>
          <w:lang w:val="fr-FR"/>
        </w:rPr>
        <w:t>’</w:t>
      </w:r>
      <w:r w:rsidRPr="001B3715">
        <w:rPr>
          <w:szCs w:val="22"/>
          <w:lang w:val="fr-FR"/>
        </w:rPr>
        <w:t>entrée en vigueur du traité sera atteint dans les deux années à venir.</w:t>
      </w:r>
    </w:p>
    <w:p w14:paraId="43A148CD" w14:textId="0702AA01" w:rsidR="00F24FC6" w:rsidRPr="001B3715" w:rsidRDefault="00F24FC6" w:rsidP="00F24FC6">
      <w:pPr>
        <w:pStyle w:val="ONUMFS"/>
        <w:rPr>
          <w:szCs w:val="22"/>
          <w:lang w:val="fr-FR"/>
        </w:rPr>
      </w:pPr>
      <w:r w:rsidRPr="001B3715">
        <w:rPr>
          <w:szCs w:val="22"/>
          <w:lang w:val="fr-FR"/>
        </w:rPr>
        <w:t xml:space="preserve">Les travaux au sein des différents </w:t>
      </w:r>
      <w:r w:rsidRPr="001B3715">
        <w:rPr>
          <w:b/>
          <w:szCs w:val="22"/>
          <w:lang w:val="fr-FR"/>
        </w:rPr>
        <w:t>comités permanents</w:t>
      </w:r>
      <w:r w:rsidRPr="001B3715">
        <w:rPr>
          <w:szCs w:val="22"/>
          <w:lang w:val="fr-FR"/>
        </w:rPr>
        <w:t xml:space="preserve"> ont progressé au cours de l</w:t>
      </w:r>
      <w:r w:rsidR="00502D05" w:rsidRPr="001B3715">
        <w:rPr>
          <w:szCs w:val="22"/>
          <w:lang w:val="fr-FR"/>
        </w:rPr>
        <w:t>’</w:t>
      </w:r>
      <w:r w:rsidRPr="001B3715">
        <w:rPr>
          <w:szCs w:val="22"/>
          <w:lang w:val="fr-FR"/>
        </w:rPr>
        <w:t>année écoul</w:t>
      </w:r>
      <w:r w:rsidR="001B3715" w:rsidRPr="001B3715">
        <w:rPr>
          <w:szCs w:val="22"/>
          <w:lang w:val="fr-FR"/>
        </w:rPr>
        <w:t>ée.  Le</w:t>
      </w:r>
      <w:r w:rsidRPr="001B3715">
        <w:rPr>
          <w:szCs w:val="22"/>
          <w:lang w:val="fr-FR"/>
        </w:rPr>
        <w:t>s rapports de chacun des comités seront présentés aux assemblées, il n</w:t>
      </w:r>
      <w:r w:rsidR="00502D05" w:rsidRPr="001B3715">
        <w:rPr>
          <w:szCs w:val="22"/>
          <w:lang w:val="fr-FR"/>
        </w:rPr>
        <w:t>’</w:t>
      </w:r>
      <w:r w:rsidRPr="001B3715">
        <w:rPr>
          <w:szCs w:val="22"/>
          <w:lang w:val="fr-FR"/>
        </w:rPr>
        <w:t>est donc pas nécessaire de les reprendre point par point i</w:t>
      </w:r>
      <w:r w:rsidR="001B3715" w:rsidRPr="001B3715">
        <w:rPr>
          <w:szCs w:val="22"/>
          <w:lang w:val="fr-FR"/>
        </w:rPr>
        <w:t>ci.  Né</w:t>
      </w:r>
      <w:r w:rsidRPr="001B3715">
        <w:rPr>
          <w:szCs w:val="22"/>
          <w:lang w:val="fr-FR"/>
        </w:rPr>
        <w:t>anmoins, pour certains points, des décisions devront être prises prochainement quant à la façon de procéder à l</w:t>
      </w:r>
      <w:r w:rsidR="00502D05" w:rsidRPr="001B3715">
        <w:rPr>
          <w:szCs w:val="22"/>
          <w:lang w:val="fr-FR"/>
        </w:rPr>
        <w:t>’</w:t>
      </w:r>
      <w:r w:rsidRPr="001B3715">
        <w:rPr>
          <w:szCs w:val="22"/>
          <w:lang w:val="fr-FR"/>
        </w:rPr>
        <w:t>aven</w:t>
      </w:r>
      <w:r w:rsidR="001B3715" w:rsidRPr="001B3715">
        <w:rPr>
          <w:szCs w:val="22"/>
          <w:lang w:val="fr-FR"/>
        </w:rPr>
        <w:t>ir.  Le</w:t>
      </w:r>
      <w:r w:rsidRPr="001B3715">
        <w:rPr>
          <w:szCs w:val="22"/>
          <w:lang w:val="fr-FR"/>
        </w:rPr>
        <w:t xml:space="preserve"> traité sur le droit des dessins et modèles (DLT) proposé avait fait l</w:t>
      </w:r>
      <w:r w:rsidR="00502D05" w:rsidRPr="001B3715">
        <w:rPr>
          <w:szCs w:val="22"/>
          <w:lang w:val="fr-FR"/>
        </w:rPr>
        <w:t>’</w:t>
      </w:r>
      <w:r w:rsidRPr="001B3715">
        <w:rPr>
          <w:szCs w:val="22"/>
          <w:lang w:val="fr-FR"/>
        </w:rPr>
        <w:t>objet d</w:t>
      </w:r>
      <w:r w:rsidR="00502D05" w:rsidRPr="001B3715">
        <w:rPr>
          <w:szCs w:val="22"/>
          <w:lang w:val="fr-FR"/>
        </w:rPr>
        <w:t>’</w:t>
      </w:r>
      <w:r w:rsidRPr="001B3715">
        <w:rPr>
          <w:szCs w:val="22"/>
          <w:lang w:val="fr-FR"/>
        </w:rPr>
        <w:t>une décision lors des assemblées de 2015, selon laquelle la convocation d</w:t>
      </w:r>
      <w:r w:rsidR="00502D05" w:rsidRPr="001B3715">
        <w:rPr>
          <w:szCs w:val="22"/>
          <w:lang w:val="fr-FR"/>
        </w:rPr>
        <w:t>’</w:t>
      </w:r>
      <w:r w:rsidRPr="001B3715">
        <w:rPr>
          <w:szCs w:val="22"/>
          <w:lang w:val="fr-FR"/>
        </w:rPr>
        <w:t>une conférence diplomatique pour l</w:t>
      </w:r>
      <w:r w:rsidR="00502D05" w:rsidRPr="001B3715">
        <w:rPr>
          <w:szCs w:val="22"/>
          <w:lang w:val="fr-FR"/>
        </w:rPr>
        <w:t>’</w:t>
      </w:r>
      <w:r w:rsidRPr="001B3715">
        <w:rPr>
          <w:szCs w:val="22"/>
          <w:lang w:val="fr-FR"/>
        </w:rPr>
        <w:t>adoption du traité dépendait d</w:t>
      </w:r>
      <w:r w:rsidR="00502D05" w:rsidRPr="001B3715">
        <w:rPr>
          <w:szCs w:val="22"/>
          <w:lang w:val="fr-FR"/>
        </w:rPr>
        <w:t>’</w:t>
      </w:r>
      <w:r w:rsidRPr="001B3715">
        <w:rPr>
          <w:szCs w:val="22"/>
          <w:lang w:val="fr-FR"/>
        </w:rPr>
        <w:t>un accord sur deux questions en suspe</w:t>
      </w:r>
      <w:r w:rsidR="001B3715" w:rsidRPr="001B3715">
        <w:rPr>
          <w:szCs w:val="22"/>
          <w:lang w:val="fr-FR"/>
        </w:rPr>
        <w:t>ns.  Le</w:t>
      </w:r>
      <w:r w:rsidRPr="001B3715">
        <w:rPr>
          <w:szCs w:val="22"/>
          <w:lang w:val="fr-FR"/>
        </w:rPr>
        <w:t xml:space="preserve"> Comité permanent du droit des marques, des dessins et modèles industriels et des indications géographiques était presque parvenu à un accord sur ces deux questio</w:t>
      </w:r>
      <w:r w:rsidR="001B3715" w:rsidRPr="001B3715">
        <w:rPr>
          <w:szCs w:val="22"/>
          <w:lang w:val="fr-FR"/>
        </w:rPr>
        <w:t>ns.  Le</w:t>
      </w:r>
      <w:r w:rsidRPr="001B3715">
        <w:rPr>
          <w:szCs w:val="22"/>
          <w:lang w:val="fr-FR"/>
        </w:rPr>
        <w:t>s assemblées actuelles offrent la possibilité aux États membres de combler les différences qui subsistent et d</w:t>
      </w:r>
      <w:r w:rsidR="00502D05" w:rsidRPr="001B3715">
        <w:rPr>
          <w:szCs w:val="22"/>
          <w:lang w:val="fr-FR"/>
        </w:rPr>
        <w:t>’</w:t>
      </w:r>
      <w:r w:rsidRPr="001B3715">
        <w:rPr>
          <w:szCs w:val="22"/>
          <w:lang w:val="fr-FR"/>
        </w:rPr>
        <w:t>ouvrir la voie à la tenue d</w:t>
      </w:r>
      <w:r w:rsidR="00502D05" w:rsidRPr="001B3715">
        <w:rPr>
          <w:szCs w:val="22"/>
          <w:lang w:val="fr-FR"/>
        </w:rPr>
        <w:t>’</w:t>
      </w:r>
      <w:r w:rsidRPr="001B3715">
        <w:rPr>
          <w:szCs w:val="22"/>
          <w:lang w:val="fr-FR"/>
        </w:rPr>
        <w:t>une conférence diplomatique en 2017.  Le programme de travail intensif adopté pour l</w:t>
      </w:r>
      <w:r w:rsidR="00502D05" w:rsidRPr="001B3715">
        <w:rPr>
          <w:szCs w:val="22"/>
          <w:lang w:val="fr-FR"/>
        </w:rPr>
        <w:t>’</w:t>
      </w:r>
      <w:r w:rsidRPr="001B3715">
        <w:rPr>
          <w:szCs w:val="22"/>
          <w:lang w:val="fr-FR"/>
        </w:rPr>
        <w:t>exercice biennal en cours par les assemblées de 2016 en ce qui concerne le Comité intergouvernemental de la propriété intellectuelle relative aux ressources génétiques, aux savoirs traditionnels et au folklore (IGC) est en bonne vo</w:t>
      </w:r>
      <w:r w:rsidR="001B3715" w:rsidRPr="001B3715">
        <w:rPr>
          <w:szCs w:val="22"/>
          <w:lang w:val="fr-FR"/>
        </w:rPr>
        <w:t>ie.  L’a</w:t>
      </w:r>
      <w:r w:rsidRPr="001B3715">
        <w:rPr>
          <w:szCs w:val="22"/>
          <w:lang w:val="fr-FR"/>
        </w:rPr>
        <w:t>nnée à venir sera capitale pour l</w:t>
      </w:r>
      <w:r w:rsidR="00502D05" w:rsidRPr="001B3715">
        <w:rPr>
          <w:szCs w:val="22"/>
          <w:lang w:val="fr-FR"/>
        </w:rPr>
        <w:t>’</w:t>
      </w:r>
      <w:r w:rsidRPr="001B3715">
        <w:rPr>
          <w:szCs w:val="22"/>
          <w:lang w:val="fr-FR"/>
        </w:rPr>
        <w:t>IGC, qui devra présenter des résultats positifs aux assemblées de 2017.  Enfin, cela fait maintenant 20</w:t>
      </w:r>
      <w:r w:rsidR="00406F33" w:rsidRPr="001B3715">
        <w:rPr>
          <w:szCs w:val="22"/>
          <w:lang w:val="fr-FR"/>
        </w:rPr>
        <w:t> </w:t>
      </w:r>
      <w:r w:rsidRPr="001B3715">
        <w:rPr>
          <w:szCs w:val="22"/>
          <w:lang w:val="fr-FR"/>
        </w:rPr>
        <w:t>ans que la question de la radiodiffusion figure au programme de l</w:t>
      </w:r>
      <w:r w:rsidR="00502D05" w:rsidRPr="001B3715">
        <w:rPr>
          <w:szCs w:val="22"/>
          <w:lang w:val="fr-FR"/>
        </w:rPr>
        <w:t>’</w:t>
      </w:r>
      <w:r w:rsidRPr="001B3715">
        <w:rPr>
          <w:szCs w:val="22"/>
          <w:lang w:val="fr-FR"/>
        </w:rPr>
        <w:t>Organisation en matière d</w:t>
      </w:r>
      <w:r w:rsidR="00502D05" w:rsidRPr="001B3715">
        <w:rPr>
          <w:szCs w:val="22"/>
          <w:lang w:val="fr-FR"/>
        </w:rPr>
        <w:t>’</w:t>
      </w:r>
      <w:r w:rsidRPr="001B3715">
        <w:rPr>
          <w:szCs w:val="22"/>
          <w:lang w:val="fr-FR"/>
        </w:rPr>
        <w:t>établissement de norm</w:t>
      </w:r>
      <w:r w:rsidR="001B3715" w:rsidRPr="001B3715">
        <w:rPr>
          <w:szCs w:val="22"/>
          <w:lang w:val="fr-FR"/>
        </w:rPr>
        <w:t>es.  Le</w:t>
      </w:r>
      <w:r w:rsidRPr="001B3715">
        <w:rPr>
          <w:szCs w:val="22"/>
          <w:lang w:val="fr-FR"/>
        </w:rPr>
        <w:t xml:space="preserve">s États membres ont accompli des progrès </w:t>
      </w:r>
      <w:r w:rsidRPr="001B3715">
        <w:rPr>
          <w:szCs w:val="22"/>
          <w:lang w:val="fr-FR"/>
        </w:rPr>
        <w:lastRenderedPageBreak/>
        <w:t>appréciables au sein du Comité permanent du droit d</w:t>
      </w:r>
      <w:r w:rsidR="00502D05" w:rsidRPr="001B3715">
        <w:rPr>
          <w:szCs w:val="22"/>
          <w:lang w:val="fr-FR"/>
        </w:rPr>
        <w:t>’</w:t>
      </w:r>
      <w:r w:rsidRPr="001B3715">
        <w:rPr>
          <w:szCs w:val="22"/>
          <w:lang w:val="fr-FR"/>
        </w:rPr>
        <w:t>auteur et des droits connexes, mais ils devront très prochainement décider de façon définitive s</w:t>
      </w:r>
      <w:r w:rsidR="00502D05" w:rsidRPr="001B3715">
        <w:rPr>
          <w:szCs w:val="22"/>
          <w:lang w:val="fr-FR"/>
        </w:rPr>
        <w:t>’</w:t>
      </w:r>
      <w:r w:rsidRPr="001B3715">
        <w:rPr>
          <w:szCs w:val="22"/>
          <w:lang w:val="fr-FR"/>
        </w:rPr>
        <w:t xml:space="preserve">ils souhaitent continuer de traiter cette question et, dans </w:t>
      </w:r>
      <w:r w:rsidR="00E842B3" w:rsidRPr="001B3715">
        <w:rPr>
          <w:szCs w:val="22"/>
          <w:lang w:val="fr-FR"/>
        </w:rPr>
        <w:t>l</w:t>
      </w:r>
      <w:r w:rsidR="00502D05" w:rsidRPr="001B3715">
        <w:rPr>
          <w:szCs w:val="22"/>
          <w:lang w:val="fr-FR"/>
        </w:rPr>
        <w:t>’</w:t>
      </w:r>
      <w:r w:rsidR="00E842B3" w:rsidRPr="001B3715">
        <w:rPr>
          <w:szCs w:val="22"/>
          <w:lang w:val="fr-FR"/>
        </w:rPr>
        <w:t>affirmative</w:t>
      </w:r>
      <w:r w:rsidRPr="001B3715">
        <w:rPr>
          <w:szCs w:val="22"/>
          <w:lang w:val="fr-FR"/>
        </w:rPr>
        <w:t>, comment procéder.</w:t>
      </w:r>
    </w:p>
    <w:p w14:paraId="1D72B0F3" w14:textId="172C529E" w:rsidR="00F24FC6" w:rsidRPr="001B3715" w:rsidRDefault="00F24FC6" w:rsidP="00F24FC6">
      <w:pPr>
        <w:pStyle w:val="ONUMFS"/>
        <w:rPr>
          <w:szCs w:val="22"/>
          <w:lang w:val="fr-FR"/>
        </w:rPr>
      </w:pPr>
      <w:r w:rsidRPr="001B3715">
        <w:rPr>
          <w:szCs w:val="22"/>
          <w:lang w:val="fr-FR"/>
        </w:rPr>
        <w:t>L</w:t>
      </w:r>
      <w:r w:rsidR="00502D05" w:rsidRPr="001B3715">
        <w:rPr>
          <w:szCs w:val="22"/>
          <w:lang w:val="fr-FR"/>
        </w:rPr>
        <w:t>’</w:t>
      </w:r>
      <w:r w:rsidRPr="001B3715">
        <w:rPr>
          <w:szCs w:val="22"/>
          <w:lang w:val="fr-FR"/>
        </w:rPr>
        <w:t>OMPI a accueilli une conférence internationale sur le marché mondial des contenus numérique, qui s</w:t>
      </w:r>
      <w:r w:rsidR="00502D05" w:rsidRPr="001B3715">
        <w:rPr>
          <w:szCs w:val="22"/>
          <w:lang w:val="fr-FR"/>
        </w:rPr>
        <w:t>’</w:t>
      </w:r>
      <w:r w:rsidRPr="001B3715">
        <w:rPr>
          <w:szCs w:val="22"/>
          <w:lang w:val="fr-FR"/>
        </w:rPr>
        <w:t>est tenue en avril 2016, visant à déterminer l</w:t>
      </w:r>
      <w:r w:rsidR="00502D05" w:rsidRPr="001B3715">
        <w:rPr>
          <w:szCs w:val="22"/>
          <w:lang w:val="fr-FR"/>
        </w:rPr>
        <w:t>’</w:t>
      </w:r>
      <w:r w:rsidRPr="001B3715">
        <w:rPr>
          <w:szCs w:val="22"/>
          <w:lang w:val="fr-FR"/>
        </w:rPr>
        <w:t>incidence de la transformation numérique sur le monde de la créati</w:t>
      </w:r>
      <w:r w:rsidR="001B3715" w:rsidRPr="001B3715">
        <w:rPr>
          <w:szCs w:val="22"/>
          <w:lang w:val="fr-FR"/>
        </w:rPr>
        <w:t>on.  No</w:t>
      </w:r>
      <w:r w:rsidRPr="001B3715">
        <w:rPr>
          <w:szCs w:val="22"/>
          <w:lang w:val="fr-FR"/>
        </w:rPr>
        <w:t>us vivons une incroyable transformation de la manière dont notre culture, et les œuvre</w:t>
      </w:r>
      <w:r w:rsidR="00406F33" w:rsidRPr="001B3715">
        <w:rPr>
          <w:szCs w:val="22"/>
          <w:lang w:val="fr-FR"/>
        </w:rPr>
        <w:t xml:space="preserve">s </w:t>
      </w:r>
      <w:r w:rsidRPr="001B3715">
        <w:rPr>
          <w:szCs w:val="22"/>
          <w:lang w:val="fr-FR"/>
        </w:rPr>
        <w:t>de création qui la définissent, est exprimée et communiqu</w:t>
      </w:r>
      <w:r w:rsidR="001B3715" w:rsidRPr="001B3715">
        <w:rPr>
          <w:szCs w:val="22"/>
          <w:lang w:val="fr-FR"/>
        </w:rPr>
        <w:t>ée.  La</w:t>
      </w:r>
      <w:r w:rsidRPr="001B3715">
        <w:rPr>
          <w:szCs w:val="22"/>
          <w:lang w:val="fr-FR"/>
        </w:rPr>
        <w:t xml:space="preserve"> technologie, notamment le numérique et l</w:t>
      </w:r>
      <w:r w:rsidR="00502D05" w:rsidRPr="001B3715">
        <w:rPr>
          <w:szCs w:val="22"/>
          <w:lang w:val="fr-FR"/>
        </w:rPr>
        <w:t>’</w:t>
      </w:r>
      <w:r w:rsidRPr="001B3715">
        <w:rPr>
          <w:szCs w:val="22"/>
          <w:lang w:val="fr-FR"/>
        </w:rPr>
        <w:t>Internet, est au cœur de cette transformation, car elle a facilité le stockage, la reproduction et la distribution des œuvres de création, permettant ainsi d</w:t>
      </w:r>
      <w:r w:rsidR="00502D05" w:rsidRPr="001B3715">
        <w:rPr>
          <w:szCs w:val="22"/>
          <w:lang w:val="fr-FR"/>
        </w:rPr>
        <w:t>’</w:t>
      </w:r>
      <w:r w:rsidRPr="001B3715">
        <w:rPr>
          <w:szCs w:val="22"/>
          <w:lang w:val="fr-FR"/>
        </w:rPr>
        <w:t>accéder à des répertoires d</w:t>
      </w:r>
      <w:r w:rsidR="00502D05" w:rsidRPr="001B3715">
        <w:rPr>
          <w:szCs w:val="22"/>
          <w:lang w:val="fr-FR"/>
        </w:rPr>
        <w:t>’</w:t>
      </w:r>
      <w:r w:rsidRPr="001B3715">
        <w:rPr>
          <w:szCs w:val="22"/>
          <w:lang w:val="fr-FR"/>
        </w:rPr>
        <w:t>œuvres sans précédent, de toucher un public mondial et de réduire considérablement les coûts d</w:t>
      </w:r>
      <w:r w:rsidR="00502D05" w:rsidRPr="001B3715">
        <w:rPr>
          <w:szCs w:val="22"/>
          <w:lang w:val="fr-FR"/>
        </w:rPr>
        <w:t>’</w:t>
      </w:r>
      <w:r w:rsidRPr="001B3715">
        <w:rPr>
          <w:szCs w:val="22"/>
          <w:lang w:val="fr-FR"/>
        </w:rPr>
        <w:t>acc</w:t>
      </w:r>
      <w:r w:rsidR="001B3715" w:rsidRPr="001B3715">
        <w:rPr>
          <w:szCs w:val="22"/>
          <w:lang w:val="fr-FR"/>
        </w:rPr>
        <w:t>ès.  To</w:t>
      </w:r>
      <w:r w:rsidRPr="001B3715">
        <w:rPr>
          <w:szCs w:val="22"/>
          <w:lang w:val="fr-FR"/>
        </w:rPr>
        <w:t>utefois, cette profonde transformation a provoqué d</w:t>
      </w:r>
      <w:r w:rsidR="00502D05" w:rsidRPr="001B3715">
        <w:rPr>
          <w:szCs w:val="22"/>
          <w:lang w:val="fr-FR"/>
        </w:rPr>
        <w:t>’</w:t>
      </w:r>
      <w:r w:rsidRPr="001B3715">
        <w:rPr>
          <w:szCs w:val="22"/>
          <w:lang w:val="fr-FR"/>
        </w:rPr>
        <w:t>importants bouleversements, non seulement dans les modes de stockage et de diffusion des œuvres, mais aussi dans l</w:t>
      </w:r>
      <w:r w:rsidR="00502D05" w:rsidRPr="001B3715">
        <w:rPr>
          <w:szCs w:val="22"/>
          <w:lang w:val="fr-FR"/>
        </w:rPr>
        <w:t>’</w:t>
      </w:r>
      <w:r w:rsidRPr="001B3715">
        <w:rPr>
          <w:szCs w:val="22"/>
          <w:lang w:val="fr-FR"/>
        </w:rPr>
        <w:t>architecture commerciale qui sous</w:t>
      </w:r>
      <w:r w:rsidR="00E3770C">
        <w:rPr>
          <w:szCs w:val="22"/>
          <w:lang w:val="fr-FR"/>
        </w:rPr>
        <w:noBreakHyphen/>
      </w:r>
      <w:r w:rsidRPr="001B3715">
        <w:rPr>
          <w:szCs w:val="22"/>
          <w:lang w:val="fr-FR"/>
        </w:rPr>
        <w:t>tend ou accompagne la production, la distribution et la consommation de ces œuvr</w:t>
      </w:r>
      <w:r w:rsidR="001B3715" w:rsidRPr="001B3715">
        <w:rPr>
          <w:szCs w:val="22"/>
          <w:lang w:val="fr-FR"/>
        </w:rPr>
        <w:t>es.  La</w:t>
      </w:r>
      <w:r w:rsidRPr="001B3715">
        <w:rPr>
          <w:szCs w:val="22"/>
          <w:lang w:val="fr-FR"/>
        </w:rPr>
        <w:t xml:space="preserve"> conférence a permis à nombreux praticiens et experts provenant de pays membres de l</w:t>
      </w:r>
      <w:r w:rsidR="00502D05" w:rsidRPr="001B3715">
        <w:rPr>
          <w:szCs w:val="22"/>
          <w:lang w:val="fr-FR"/>
        </w:rPr>
        <w:t>’</w:t>
      </w:r>
      <w:r w:rsidRPr="001B3715">
        <w:rPr>
          <w:szCs w:val="22"/>
          <w:lang w:val="fr-FR"/>
        </w:rPr>
        <w:t>OMPI de se rencontrer et de débattre des nombreuses possibilités qu</w:t>
      </w:r>
      <w:r w:rsidR="00502D05" w:rsidRPr="001B3715">
        <w:rPr>
          <w:szCs w:val="22"/>
          <w:lang w:val="fr-FR"/>
        </w:rPr>
        <w:t>’</w:t>
      </w:r>
      <w:r w:rsidRPr="001B3715">
        <w:rPr>
          <w:szCs w:val="22"/>
          <w:lang w:val="fr-FR"/>
        </w:rPr>
        <w:t>offrent les technologies numériques dans le domaine de la vente et de la distribution de contenu et des enjeux liés à ce bouleverseme</w:t>
      </w:r>
      <w:r w:rsidR="001B3715" w:rsidRPr="001B3715">
        <w:rPr>
          <w:szCs w:val="22"/>
          <w:lang w:val="fr-FR"/>
        </w:rPr>
        <w:t>nt.  Pl</w:t>
      </w:r>
      <w:r w:rsidRPr="001B3715">
        <w:rPr>
          <w:szCs w:val="22"/>
          <w:lang w:val="fr-FR"/>
        </w:rPr>
        <w:t>us de</w:t>
      </w:r>
      <w:r w:rsidR="005A42E7" w:rsidRPr="001B3715">
        <w:rPr>
          <w:szCs w:val="22"/>
          <w:lang w:val="fr-FR"/>
        </w:rPr>
        <w:t> </w:t>
      </w:r>
      <w:r w:rsidRPr="001B3715">
        <w:rPr>
          <w:szCs w:val="22"/>
          <w:lang w:val="fr-FR"/>
        </w:rPr>
        <w:t>1000 participants ont assisté à la conférence, ce qui témoigne de l</w:t>
      </w:r>
      <w:r w:rsidR="00502D05" w:rsidRPr="001B3715">
        <w:rPr>
          <w:szCs w:val="22"/>
          <w:lang w:val="fr-FR"/>
        </w:rPr>
        <w:t>’</w:t>
      </w:r>
      <w:r w:rsidRPr="001B3715">
        <w:rPr>
          <w:szCs w:val="22"/>
          <w:lang w:val="fr-FR"/>
        </w:rPr>
        <w:t>opportunité d</w:t>
      </w:r>
      <w:r w:rsidR="00502D05" w:rsidRPr="001B3715">
        <w:rPr>
          <w:szCs w:val="22"/>
          <w:lang w:val="fr-FR"/>
        </w:rPr>
        <w:t>’</w:t>
      </w:r>
      <w:r w:rsidRPr="001B3715">
        <w:rPr>
          <w:szCs w:val="22"/>
          <w:lang w:val="fr-FR"/>
        </w:rPr>
        <w:t>un tel débat international.</w:t>
      </w:r>
    </w:p>
    <w:p w14:paraId="53FB10E6" w14:textId="77777777" w:rsidR="00F24FC6" w:rsidRPr="001B3715" w:rsidRDefault="00F24FC6" w:rsidP="00F24FC6">
      <w:pPr>
        <w:pStyle w:val="Heading3"/>
        <w:rPr>
          <w:lang w:val="fr-FR"/>
        </w:rPr>
      </w:pPr>
      <w:r w:rsidRPr="001B3715">
        <w:rPr>
          <w:lang w:val="fr-FR"/>
        </w:rPr>
        <w:t>Bases de données mondiales, outils et plateformes</w:t>
      </w:r>
    </w:p>
    <w:p w14:paraId="61C4315A" w14:textId="77777777" w:rsidR="00F24FC6" w:rsidRPr="001B3715" w:rsidRDefault="00F24FC6" w:rsidP="00F24FC6">
      <w:pPr>
        <w:rPr>
          <w:szCs w:val="22"/>
          <w:lang w:val="fr-FR"/>
        </w:rPr>
      </w:pPr>
    </w:p>
    <w:p w14:paraId="3EA635D1" w14:textId="5968B0FF" w:rsidR="00F24FC6" w:rsidRPr="001B3715" w:rsidRDefault="00F24FC6" w:rsidP="00F24FC6">
      <w:pPr>
        <w:pStyle w:val="ONUMFS"/>
        <w:rPr>
          <w:szCs w:val="22"/>
          <w:lang w:val="fr-FR"/>
        </w:rPr>
      </w:pPr>
      <w:r w:rsidRPr="001B3715">
        <w:rPr>
          <w:b/>
          <w:szCs w:val="22"/>
          <w:lang w:val="fr-FR"/>
        </w:rPr>
        <w:t>Bases de données mondiales, outils de recherche et classifications internationales.</w:t>
      </w:r>
      <w:r w:rsidRPr="001B3715">
        <w:rPr>
          <w:b/>
          <w:lang w:val="fr-FR"/>
        </w:rPr>
        <w:t xml:space="preserve">  </w:t>
      </w:r>
      <w:r w:rsidRPr="001B3715">
        <w:rPr>
          <w:szCs w:val="22"/>
          <w:lang w:val="fr-FR"/>
        </w:rPr>
        <w:t>L</w:t>
      </w:r>
      <w:r w:rsidR="00502D05" w:rsidRPr="001B3715">
        <w:rPr>
          <w:szCs w:val="22"/>
          <w:lang w:val="fr-FR"/>
        </w:rPr>
        <w:t>’</w:t>
      </w:r>
      <w:r w:rsidRPr="001B3715">
        <w:rPr>
          <w:szCs w:val="22"/>
          <w:lang w:val="fr-FR"/>
        </w:rPr>
        <w:t>OMPI est la principale source mondiale d</w:t>
      </w:r>
      <w:r w:rsidR="00502D05" w:rsidRPr="001B3715">
        <w:rPr>
          <w:szCs w:val="22"/>
          <w:lang w:val="fr-FR"/>
        </w:rPr>
        <w:t>’</w:t>
      </w:r>
      <w:r w:rsidRPr="001B3715">
        <w:rPr>
          <w:szCs w:val="22"/>
          <w:lang w:val="fr-FR"/>
        </w:rPr>
        <w:t>informations sur la propriété intellectuelle de par ses bases de données mondiales et ses outils de recherche correspondants qui permettent d</w:t>
      </w:r>
      <w:r w:rsidR="00502D05" w:rsidRPr="001B3715">
        <w:rPr>
          <w:szCs w:val="22"/>
          <w:lang w:val="fr-FR"/>
        </w:rPr>
        <w:t>’</w:t>
      </w:r>
      <w:r w:rsidRPr="001B3715">
        <w:rPr>
          <w:szCs w:val="22"/>
          <w:lang w:val="fr-FR"/>
        </w:rPr>
        <w:t>effectuer des recherches dans le domaine technique ou linguistiq</w:t>
      </w:r>
      <w:r w:rsidR="001B3715" w:rsidRPr="001B3715">
        <w:rPr>
          <w:szCs w:val="22"/>
          <w:lang w:val="fr-FR"/>
        </w:rPr>
        <w:t>ue.  Ce</w:t>
      </w:r>
      <w:r w:rsidRPr="001B3715">
        <w:rPr>
          <w:szCs w:val="22"/>
          <w:lang w:val="fr-FR"/>
        </w:rPr>
        <w:t>s services permettent aux décideurs, aux parties prenantes dans le domaine de l</w:t>
      </w:r>
      <w:r w:rsidR="00502D05" w:rsidRPr="001B3715">
        <w:rPr>
          <w:szCs w:val="22"/>
          <w:lang w:val="fr-FR"/>
        </w:rPr>
        <w:t>’</w:t>
      </w:r>
      <w:r w:rsidRPr="001B3715">
        <w:rPr>
          <w:szCs w:val="22"/>
          <w:lang w:val="fr-FR"/>
        </w:rPr>
        <w:t>innovation et aux universitaires d</w:t>
      </w:r>
      <w:r w:rsidR="00502D05" w:rsidRPr="001B3715">
        <w:rPr>
          <w:szCs w:val="22"/>
          <w:lang w:val="fr-FR"/>
        </w:rPr>
        <w:t>’</w:t>
      </w:r>
      <w:r w:rsidRPr="001B3715">
        <w:rPr>
          <w:szCs w:val="22"/>
          <w:lang w:val="fr-FR"/>
        </w:rPr>
        <w:t>utiliser l</w:t>
      </w:r>
      <w:r w:rsidR="00502D05" w:rsidRPr="001B3715">
        <w:rPr>
          <w:szCs w:val="22"/>
          <w:lang w:val="fr-FR"/>
        </w:rPr>
        <w:t>’</w:t>
      </w:r>
      <w:r w:rsidRPr="001B3715">
        <w:rPr>
          <w:szCs w:val="22"/>
          <w:lang w:val="fr-FR"/>
        </w:rPr>
        <w:t>information économique et commerciale produite par le système de la propriété intellectuelle pour faciliter l</w:t>
      </w:r>
      <w:r w:rsidR="00502D05" w:rsidRPr="001B3715">
        <w:rPr>
          <w:szCs w:val="22"/>
          <w:lang w:val="fr-FR"/>
        </w:rPr>
        <w:t>’</w:t>
      </w:r>
      <w:r w:rsidRPr="001B3715">
        <w:rPr>
          <w:szCs w:val="22"/>
          <w:lang w:val="fr-FR"/>
        </w:rPr>
        <w:t>analyse et la décision, ainsi que l</w:t>
      </w:r>
      <w:r w:rsidR="00502D05" w:rsidRPr="001B3715">
        <w:rPr>
          <w:szCs w:val="22"/>
          <w:lang w:val="fr-FR"/>
        </w:rPr>
        <w:t>’</w:t>
      </w:r>
      <w:r w:rsidRPr="001B3715">
        <w:rPr>
          <w:szCs w:val="22"/>
          <w:lang w:val="fr-FR"/>
        </w:rPr>
        <w:t>accès à la technologie et au savoir, et la mise en place de systèmes permettant de favoriser l</w:t>
      </w:r>
      <w:r w:rsidR="00502D05" w:rsidRPr="001B3715">
        <w:rPr>
          <w:szCs w:val="22"/>
          <w:lang w:val="fr-FR"/>
        </w:rPr>
        <w:t>’</w:t>
      </w:r>
      <w:r w:rsidRPr="001B3715">
        <w:rPr>
          <w:szCs w:val="22"/>
          <w:lang w:val="fr-FR"/>
        </w:rPr>
        <w:t>innovati</w:t>
      </w:r>
      <w:r w:rsidR="001B3715" w:rsidRPr="001B3715">
        <w:rPr>
          <w:szCs w:val="22"/>
          <w:lang w:val="fr-FR"/>
        </w:rPr>
        <w:t>on.  Au</w:t>
      </w:r>
      <w:r w:rsidRPr="001B3715">
        <w:rPr>
          <w:szCs w:val="22"/>
          <w:lang w:val="fr-FR"/>
        </w:rPr>
        <w:t xml:space="preserve"> cours de l</w:t>
      </w:r>
      <w:r w:rsidR="00502D05" w:rsidRPr="001B3715">
        <w:rPr>
          <w:szCs w:val="22"/>
          <w:lang w:val="fr-FR"/>
        </w:rPr>
        <w:t>’</w:t>
      </w:r>
      <w:r w:rsidRPr="001B3715">
        <w:rPr>
          <w:szCs w:val="22"/>
          <w:lang w:val="fr-FR"/>
        </w:rPr>
        <w:t>année écoulée, l</w:t>
      </w:r>
      <w:r w:rsidR="00502D05" w:rsidRPr="001B3715">
        <w:rPr>
          <w:szCs w:val="22"/>
          <w:lang w:val="fr-FR"/>
        </w:rPr>
        <w:t>’</w:t>
      </w:r>
      <w:r w:rsidRPr="001B3715">
        <w:rPr>
          <w:szCs w:val="22"/>
          <w:lang w:val="fr-FR"/>
        </w:rPr>
        <w:t>Organisation a fait des progrès remarquables dans le développement de ces bases de données mondiales et de ces outils.</w:t>
      </w:r>
    </w:p>
    <w:p w14:paraId="096B70E4" w14:textId="73F709CB" w:rsidR="00F24FC6" w:rsidRPr="001B3715" w:rsidRDefault="00F24FC6" w:rsidP="00F24FC6">
      <w:pPr>
        <w:pStyle w:val="ONUMFS"/>
        <w:rPr>
          <w:szCs w:val="22"/>
          <w:lang w:val="fr-FR"/>
        </w:rPr>
      </w:pPr>
      <w:r w:rsidRPr="001B3715">
        <w:rPr>
          <w:szCs w:val="22"/>
          <w:lang w:val="fr-FR"/>
        </w:rPr>
        <w:t>Cinq bases de données mondiales donnent accès à plusieurs dizaines de millions de données anciennes ou actuelles en matière de propriété intellectuelle qui sont le fruit du savoir et de l</w:t>
      </w:r>
      <w:r w:rsidR="00502D05" w:rsidRPr="001B3715">
        <w:rPr>
          <w:szCs w:val="22"/>
          <w:lang w:val="fr-FR"/>
        </w:rPr>
        <w:t>’</w:t>
      </w:r>
      <w:r w:rsidRPr="001B3715">
        <w:rPr>
          <w:szCs w:val="22"/>
          <w:lang w:val="fr-FR"/>
        </w:rPr>
        <w:t>intelligence mis à la disposition des décideurs, des parties prenantes dans le domaine de la propriété intellectuelle, des chercheurs et du grand publ</w:t>
      </w:r>
      <w:r w:rsidR="001B3715" w:rsidRPr="001B3715">
        <w:rPr>
          <w:szCs w:val="22"/>
          <w:lang w:val="fr-FR"/>
        </w:rPr>
        <w:t>ic.  Ce</w:t>
      </w:r>
      <w:r w:rsidRPr="001B3715">
        <w:rPr>
          <w:szCs w:val="22"/>
          <w:lang w:val="fr-FR"/>
        </w:rPr>
        <w:t>s bases de données de l</w:t>
      </w:r>
      <w:r w:rsidR="00502D05" w:rsidRPr="001B3715">
        <w:rPr>
          <w:szCs w:val="22"/>
          <w:lang w:val="fr-FR"/>
        </w:rPr>
        <w:t>’</w:t>
      </w:r>
      <w:r w:rsidRPr="001B3715">
        <w:rPr>
          <w:szCs w:val="22"/>
          <w:lang w:val="fr-FR"/>
        </w:rPr>
        <w:t xml:space="preserve">OMPI contiennent au total près de 100 millions </w:t>
      </w:r>
      <w:r w:rsidR="00656BBF" w:rsidRPr="001B3715">
        <w:rPr>
          <w:szCs w:val="22"/>
          <w:lang w:val="fr-FR"/>
        </w:rPr>
        <w:t>d</w:t>
      </w:r>
      <w:r w:rsidR="00502D05" w:rsidRPr="001B3715">
        <w:rPr>
          <w:szCs w:val="22"/>
          <w:lang w:val="fr-FR"/>
        </w:rPr>
        <w:t>’</w:t>
      </w:r>
      <w:r w:rsidR="00656BBF" w:rsidRPr="001B3715">
        <w:rPr>
          <w:szCs w:val="22"/>
          <w:lang w:val="fr-FR"/>
        </w:rPr>
        <w:t>enregistremen</w:t>
      </w:r>
      <w:r w:rsidR="001B3715" w:rsidRPr="001B3715">
        <w:rPr>
          <w:szCs w:val="22"/>
          <w:lang w:val="fr-FR"/>
        </w:rPr>
        <w:t>ts.  El</w:t>
      </w:r>
      <w:r w:rsidRPr="001B3715">
        <w:rPr>
          <w:szCs w:val="22"/>
          <w:lang w:val="fr-FR"/>
        </w:rPr>
        <w:t xml:space="preserve">les constituent un ensemble unique de </w:t>
      </w:r>
      <w:proofErr w:type="spellStart"/>
      <w:r w:rsidRPr="001B3715">
        <w:rPr>
          <w:szCs w:val="22"/>
          <w:lang w:val="fr-FR"/>
        </w:rPr>
        <w:t>mégadonnées</w:t>
      </w:r>
      <w:proofErr w:type="spellEnd"/>
      <w:r w:rsidRPr="001B3715">
        <w:rPr>
          <w:szCs w:val="22"/>
          <w:lang w:val="fr-FR"/>
        </w:rPr>
        <w:t xml:space="preserve"> de propriété intellectuelle qui permettent à l</w:t>
      </w:r>
      <w:r w:rsidR="00502D05" w:rsidRPr="001B3715">
        <w:rPr>
          <w:szCs w:val="22"/>
          <w:lang w:val="fr-FR"/>
        </w:rPr>
        <w:t>’</w:t>
      </w:r>
      <w:r w:rsidRPr="001B3715">
        <w:rPr>
          <w:szCs w:val="22"/>
          <w:lang w:val="fr-FR"/>
        </w:rPr>
        <w:t>OMPI et à ses parties prenantes d</w:t>
      </w:r>
      <w:r w:rsidR="00502D05" w:rsidRPr="001B3715">
        <w:rPr>
          <w:szCs w:val="22"/>
          <w:lang w:val="fr-FR"/>
        </w:rPr>
        <w:t>’</w:t>
      </w:r>
      <w:r w:rsidRPr="001B3715">
        <w:rPr>
          <w:szCs w:val="22"/>
          <w:lang w:val="fr-FR"/>
        </w:rPr>
        <w:t>exploiter de puissantes technologies en réseau et d</w:t>
      </w:r>
      <w:r w:rsidR="00502D05" w:rsidRPr="001B3715">
        <w:rPr>
          <w:szCs w:val="22"/>
          <w:lang w:val="fr-FR"/>
        </w:rPr>
        <w:t>’</w:t>
      </w:r>
      <w:r w:rsidRPr="001B3715">
        <w:rPr>
          <w:szCs w:val="22"/>
          <w:lang w:val="fr-FR"/>
        </w:rPr>
        <w:t>apprentissage machine, telles que la traduction automatique et la reconnaissance d</w:t>
      </w:r>
      <w:r w:rsidR="00502D05" w:rsidRPr="001B3715">
        <w:rPr>
          <w:szCs w:val="22"/>
          <w:lang w:val="fr-FR"/>
        </w:rPr>
        <w:t>’</w:t>
      </w:r>
      <w:r w:rsidRPr="001B3715">
        <w:rPr>
          <w:szCs w:val="22"/>
          <w:lang w:val="fr-FR"/>
        </w:rPr>
        <w:t>images, et d</w:t>
      </w:r>
      <w:r w:rsidR="00502D05" w:rsidRPr="001B3715">
        <w:rPr>
          <w:szCs w:val="22"/>
          <w:lang w:val="fr-FR"/>
        </w:rPr>
        <w:t>’</w:t>
      </w:r>
      <w:r w:rsidRPr="001B3715">
        <w:rPr>
          <w:szCs w:val="22"/>
          <w:lang w:val="fr-FR"/>
        </w:rPr>
        <w:t>en tirer parti.</w:t>
      </w:r>
    </w:p>
    <w:p w14:paraId="7D30B694" w14:textId="67638B3C" w:rsidR="00F24FC6" w:rsidRPr="001B3715" w:rsidRDefault="00F24FC6" w:rsidP="00F24FC6">
      <w:pPr>
        <w:pStyle w:val="ONUMFS"/>
        <w:rPr>
          <w:szCs w:val="22"/>
          <w:lang w:val="fr-FR"/>
        </w:rPr>
      </w:pPr>
      <w:r w:rsidRPr="001B3715">
        <w:rPr>
          <w:b/>
          <w:szCs w:val="22"/>
          <w:lang w:val="fr-FR"/>
        </w:rPr>
        <w:t>PATENTSC</w:t>
      </w:r>
      <w:r w:rsidR="00E87A3F" w:rsidRPr="001B3715">
        <w:rPr>
          <w:b/>
          <w:szCs w:val="22"/>
          <w:lang w:val="fr-FR"/>
        </w:rPr>
        <w:t>OPE.</w:t>
      </w:r>
      <w:r w:rsidR="00E87A3F" w:rsidRPr="001B3715">
        <w:rPr>
          <w:b/>
          <w:lang w:val="fr-FR"/>
        </w:rPr>
        <w:t xml:space="preserve">  </w:t>
      </w:r>
      <w:r w:rsidR="003836E4" w:rsidRPr="001B3715">
        <w:rPr>
          <w:szCs w:val="22"/>
          <w:lang w:val="fr-FR"/>
        </w:rPr>
        <w:t>P</w:t>
      </w:r>
      <w:r w:rsidR="0013521E">
        <w:rPr>
          <w:szCs w:val="22"/>
          <w:lang w:val="fr-FR"/>
        </w:rPr>
        <w:t>ATENTSCOPE</w:t>
      </w:r>
      <w:r w:rsidR="003836E4" w:rsidRPr="001B3715">
        <w:rPr>
          <w:szCs w:val="22"/>
          <w:lang w:val="fr-FR"/>
        </w:rPr>
        <w:t xml:space="preserve"> </w:t>
      </w:r>
      <w:r w:rsidRPr="001B3715">
        <w:rPr>
          <w:szCs w:val="22"/>
          <w:lang w:val="fr-FR"/>
        </w:rPr>
        <w:t>est désormais une base de données sur les brevets à la fois précieuse et de portée mondiale, grâce au nombre croissant d</w:t>
      </w:r>
      <w:r w:rsidR="00502D05" w:rsidRPr="001B3715">
        <w:rPr>
          <w:szCs w:val="22"/>
          <w:lang w:val="fr-FR"/>
        </w:rPr>
        <w:t>’</w:t>
      </w:r>
      <w:r w:rsidRPr="001B3715">
        <w:rPr>
          <w:szCs w:val="22"/>
          <w:lang w:val="fr-FR"/>
        </w:rPr>
        <w:t xml:space="preserve">offices nationaux de propriété intellectuelle qui communiquent leurs données de brevet (36 offices nationaux et trois offices régionaux, </w:t>
      </w:r>
      <w:r w:rsidR="00502D05" w:rsidRPr="001B3715">
        <w:rPr>
          <w:szCs w:val="22"/>
          <w:lang w:val="fr-FR"/>
        </w:rPr>
        <w:t>à savoir</w:t>
      </w:r>
      <w:r w:rsidRPr="001B3715">
        <w:rPr>
          <w:szCs w:val="22"/>
          <w:lang w:val="fr-FR"/>
        </w:rPr>
        <w:t xml:space="preserve"> l</w:t>
      </w:r>
      <w:r w:rsidR="00502D05" w:rsidRPr="001B3715">
        <w:rPr>
          <w:szCs w:val="22"/>
          <w:lang w:val="fr-FR"/>
        </w:rPr>
        <w:t>’</w:t>
      </w:r>
      <w:r w:rsidRPr="001B3715">
        <w:rPr>
          <w:szCs w:val="22"/>
          <w:lang w:val="fr-FR"/>
        </w:rPr>
        <w:t>ARIPO, l</w:t>
      </w:r>
      <w:r w:rsidR="00502D05" w:rsidRPr="001B3715">
        <w:rPr>
          <w:szCs w:val="22"/>
          <w:lang w:val="fr-FR"/>
        </w:rPr>
        <w:t>’</w:t>
      </w:r>
      <w:r w:rsidRPr="001B3715">
        <w:rPr>
          <w:szCs w:val="22"/>
          <w:lang w:val="fr-FR"/>
        </w:rPr>
        <w:t>OEAB et l</w:t>
      </w:r>
      <w:r w:rsidR="00502D05" w:rsidRPr="001B3715">
        <w:rPr>
          <w:szCs w:val="22"/>
          <w:lang w:val="fr-FR"/>
        </w:rPr>
        <w:t>’</w:t>
      </w:r>
      <w:r w:rsidRPr="001B3715">
        <w:rPr>
          <w:szCs w:val="22"/>
          <w:lang w:val="fr-FR"/>
        </w:rPr>
        <w:t>OEB).  La couverture géographique continue de s</w:t>
      </w:r>
      <w:r w:rsidR="00502D05" w:rsidRPr="001B3715">
        <w:rPr>
          <w:szCs w:val="22"/>
          <w:lang w:val="fr-FR"/>
        </w:rPr>
        <w:t>’</w:t>
      </w:r>
      <w:r w:rsidRPr="001B3715">
        <w:rPr>
          <w:szCs w:val="22"/>
          <w:lang w:val="fr-FR"/>
        </w:rPr>
        <w:t>étendre et, depuis l</w:t>
      </w:r>
      <w:r w:rsidR="00502D05" w:rsidRPr="001B3715">
        <w:rPr>
          <w:szCs w:val="22"/>
          <w:lang w:val="fr-FR"/>
        </w:rPr>
        <w:t>’</w:t>
      </w:r>
      <w:r w:rsidRPr="001B3715">
        <w:rPr>
          <w:szCs w:val="22"/>
          <w:lang w:val="fr-FR"/>
        </w:rPr>
        <w:t>année dernière, la collection de brevets de la Tunisie et la collection de modèles d</w:t>
      </w:r>
      <w:r w:rsidR="00502D05" w:rsidRPr="001B3715">
        <w:rPr>
          <w:szCs w:val="22"/>
          <w:lang w:val="fr-FR"/>
        </w:rPr>
        <w:t>’</w:t>
      </w:r>
      <w:r w:rsidRPr="001B3715">
        <w:rPr>
          <w:szCs w:val="22"/>
          <w:lang w:val="fr-FR"/>
        </w:rPr>
        <w:t xml:space="preserve">utilité de la Chine (représentant quatre millions </w:t>
      </w:r>
      <w:r w:rsidR="00AD3ACF" w:rsidRPr="001B3715">
        <w:rPr>
          <w:szCs w:val="22"/>
          <w:lang w:val="fr-FR"/>
        </w:rPr>
        <w:t>d</w:t>
      </w:r>
      <w:r w:rsidR="00502D05" w:rsidRPr="001B3715">
        <w:rPr>
          <w:szCs w:val="22"/>
          <w:lang w:val="fr-FR"/>
        </w:rPr>
        <w:t>’</w:t>
      </w:r>
      <w:r w:rsidR="00AD3ACF" w:rsidRPr="001B3715">
        <w:rPr>
          <w:szCs w:val="22"/>
          <w:lang w:val="fr-FR"/>
        </w:rPr>
        <w:t>enregistrements</w:t>
      </w:r>
      <w:r w:rsidRPr="001B3715">
        <w:rPr>
          <w:szCs w:val="22"/>
          <w:lang w:val="fr-FR"/>
        </w:rPr>
        <w:t>) ont été ajoutées à la base de données, de même que les descriptions et les revendications des collections de brevets de la République de Corée et du Royaume</w:t>
      </w:r>
      <w:r w:rsidR="00E3770C">
        <w:rPr>
          <w:szCs w:val="22"/>
          <w:lang w:val="fr-FR"/>
        </w:rPr>
        <w:noBreakHyphen/>
      </w:r>
      <w:r w:rsidRPr="001B3715">
        <w:rPr>
          <w:szCs w:val="22"/>
          <w:lang w:val="fr-FR"/>
        </w:rPr>
        <w:t>Uni, ce qui représente plus de cinq millions de documents supplémentaires pouvant faire l</w:t>
      </w:r>
      <w:r w:rsidR="00502D05" w:rsidRPr="001B3715">
        <w:rPr>
          <w:szCs w:val="22"/>
          <w:lang w:val="fr-FR"/>
        </w:rPr>
        <w:t>’</w:t>
      </w:r>
      <w:r w:rsidRPr="001B3715">
        <w:rPr>
          <w:szCs w:val="22"/>
          <w:lang w:val="fr-FR"/>
        </w:rPr>
        <w:t>objet de recherches en texte intégral dans la base de données.</w:t>
      </w:r>
    </w:p>
    <w:p w14:paraId="50D93C02" w14:textId="75F57D78" w:rsidR="00F24FC6" w:rsidRPr="001B3715" w:rsidRDefault="00F24FC6" w:rsidP="00F24FC6">
      <w:pPr>
        <w:pStyle w:val="ONUMFS"/>
        <w:rPr>
          <w:szCs w:val="22"/>
          <w:lang w:val="fr-FR"/>
        </w:rPr>
      </w:pPr>
      <w:r w:rsidRPr="001B3715">
        <w:rPr>
          <w:b/>
          <w:szCs w:val="22"/>
          <w:lang w:val="fr-FR"/>
        </w:rPr>
        <w:t>Base de données mondiale sur les marques et base de données mondiale sur les dessins et modèl</w:t>
      </w:r>
      <w:r w:rsidR="001B3715" w:rsidRPr="001B3715">
        <w:rPr>
          <w:b/>
          <w:szCs w:val="22"/>
          <w:lang w:val="fr-FR"/>
        </w:rPr>
        <w:t xml:space="preserve">es.  </w:t>
      </w:r>
      <w:r w:rsidR="001B3715" w:rsidRPr="001B3715">
        <w:rPr>
          <w:szCs w:val="22"/>
          <w:lang w:val="fr-FR"/>
        </w:rPr>
        <w:t>La</w:t>
      </w:r>
      <w:r w:rsidRPr="001B3715">
        <w:rPr>
          <w:szCs w:val="22"/>
          <w:lang w:val="fr-FR"/>
        </w:rPr>
        <w:t xml:space="preserve"> base de données mondiale sur les marques répertorie les données </w:t>
      </w:r>
      <w:r w:rsidRPr="001B3715">
        <w:rPr>
          <w:szCs w:val="22"/>
          <w:lang w:val="fr-FR"/>
        </w:rPr>
        <w:lastRenderedPageBreak/>
        <w:t>sur les marques du système de Madrid, les données relatives aux appellations d</w:t>
      </w:r>
      <w:r w:rsidR="00502D05" w:rsidRPr="001B3715">
        <w:rPr>
          <w:szCs w:val="22"/>
          <w:lang w:val="fr-FR"/>
        </w:rPr>
        <w:t>’</w:t>
      </w:r>
      <w:r w:rsidRPr="001B3715">
        <w:rPr>
          <w:szCs w:val="22"/>
          <w:lang w:val="fr-FR"/>
        </w:rPr>
        <w:t>origine du système de Lisbonne, les emblèmes protégés en vertu de l</w:t>
      </w:r>
      <w:r w:rsidR="00502D05" w:rsidRPr="001B3715">
        <w:rPr>
          <w:szCs w:val="22"/>
          <w:lang w:val="fr-FR"/>
        </w:rPr>
        <w:t>’</w:t>
      </w:r>
      <w:r w:rsidRPr="001B3715">
        <w:rPr>
          <w:szCs w:val="22"/>
          <w:lang w:val="fr-FR"/>
        </w:rPr>
        <w:t>article 6</w:t>
      </w:r>
      <w:r w:rsidRPr="001B3715">
        <w:rPr>
          <w:i/>
          <w:szCs w:val="22"/>
          <w:lang w:val="fr-FR"/>
        </w:rPr>
        <w:t>ter</w:t>
      </w:r>
      <w:r w:rsidRPr="001B3715">
        <w:rPr>
          <w:szCs w:val="22"/>
          <w:lang w:val="fr-FR"/>
        </w:rPr>
        <w:t xml:space="preserve"> de la Convention de Paris et les collections de données nationales sur les marques enregistrées de 30</w:t>
      </w:r>
      <w:r w:rsidR="00406F33" w:rsidRPr="001B3715">
        <w:rPr>
          <w:szCs w:val="22"/>
          <w:lang w:val="fr-FR"/>
        </w:rPr>
        <w:t> </w:t>
      </w:r>
      <w:r w:rsidRPr="001B3715">
        <w:rPr>
          <w:szCs w:val="22"/>
          <w:lang w:val="fr-FR"/>
        </w:rPr>
        <w:t>pa</w:t>
      </w:r>
      <w:r w:rsidR="001B3715" w:rsidRPr="001B3715">
        <w:rPr>
          <w:szCs w:val="22"/>
          <w:lang w:val="fr-FR"/>
        </w:rPr>
        <w:t>ys.  La</w:t>
      </w:r>
      <w:r w:rsidRPr="001B3715">
        <w:rPr>
          <w:szCs w:val="22"/>
          <w:lang w:val="fr-FR"/>
        </w:rPr>
        <w:t xml:space="preserve"> fonction novatrice de recherche par image de la base de données mondiale sur les marques, qui permet aux utilisateurs d</w:t>
      </w:r>
      <w:r w:rsidR="00502D05" w:rsidRPr="001B3715">
        <w:rPr>
          <w:szCs w:val="22"/>
          <w:lang w:val="fr-FR"/>
        </w:rPr>
        <w:t>’</w:t>
      </w:r>
      <w:r w:rsidRPr="001B3715">
        <w:rPr>
          <w:szCs w:val="22"/>
          <w:lang w:val="fr-FR"/>
        </w:rPr>
        <w:t>effectuer des recherches par similitude d</w:t>
      </w:r>
      <w:r w:rsidR="00502D05" w:rsidRPr="001B3715">
        <w:rPr>
          <w:szCs w:val="22"/>
          <w:lang w:val="fr-FR"/>
        </w:rPr>
        <w:t>’</w:t>
      </w:r>
      <w:r w:rsidRPr="001B3715">
        <w:rPr>
          <w:szCs w:val="22"/>
          <w:lang w:val="fr-FR"/>
        </w:rPr>
        <w:t>images et d</w:t>
      </w:r>
      <w:r w:rsidR="00502D05" w:rsidRPr="001B3715">
        <w:rPr>
          <w:szCs w:val="22"/>
          <w:lang w:val="fr-FR"/>
        </w:rPr>
        <w:t>’</w:t>
      </w:r>
      <w:r w:rsidRPr="001B3715">
        <w:rPr>
          <w:szCs w:val="22"/>
          <w:lang w:val="fr-FR"/>
        </w:rPr>
        <w:t>éléments figuratifs de marques dans le monde entier, est vivement appréciée des offices de propriété intellectuelle comme des utilisateurs, et les travaux se poursuivent en vue de la perfectionn</w:t>
      </w:r>
      <w:r w:rsidR="001B3715" w:rsidRPr="001B3715">
        <w:rPr>
          <w:szCs w:val="22"/>
          <w:lang w:val="fr-FR"/>
        </w:rPr>
        <w:t>er.  La</w:t>
      </w:r>
      <w:r w:rsidRPr="001B3715">
        <w:rPr>
          <w:szCs w:val="22"/>
          <w:lang w:val="fr-FR"/>
        </w:rPr>
        <w:t xml:space="preserve"> base de données mondiale sur les dessins et modèles a été lancée en janvier 2015 et contient désormais quelque 1,6 million de données provenant de collections nationales de dessins et modèles et du système de </w:t>
      </w:r>
      <w:r w:rsidR="00502D05" w:rsidRPr="001B3715">
        <w:rPr>
          <w:szCs w:val="22"/>
          <w:lang w:val="fr-FR"/>
        </w:rPr>
        <w:t>La Ha</w:t>
      </w:r>
      <w:r w:rsidR="001B3715" w:rsidRPr="001B3715">
        <w:rPr>
          <w:szCs w:val="22"/>
          <w:lang w:val="fr-FR"/>
        </w:rPr>
        <w:t>ye.  Le</w:t>
      </w:r>
      <w:r w:rsidRPr="001B3715">
        <w:rPr>
          <w:szCs w:val="22"/>
          <w:lang w:val="fr-FR"/>
        </w:rPr>
        <w:t>s collections de marques de l</w:t>
      </w:r>
      <w:r w:rsidR="00502D05" w:rsidRPr="001B3715">
        <w:rPr>
          <w:szCs w:val="22"/>
          <w:lang w:val="fr-FR"/>
        </w:rPr>
        <w:t>’</w:t>
      </w:r>
      <w:r w:rsidRPr="001B3715">
        <w:rPr>
          <w:szCs w:val="22"/>
          <w:lang w:val="fr-FR"/>
        </w:rPr>
        <w:t>Allemagne, de la Géorgie, de la Jordanie, de la Malaisie, de la Papouasie</w:t>
      </w:r>
      <w:r w:rsidR="00E3770C">
        <w:rPr>
          <w:szCs w:val="22"/>
          <w:lang w:val="fr-FR"/>
        </w:rPr>
        <w:noBreakHyphen/>
      </w:r>
      <w:r w:rsidRPr="001B3715">
        <w:rPr>
          <w:szCs w:val="22"/>
          <w:lang w:val="fr-FR"/>
        </w:rPr>
        <w:t>Nouvelle</w:t>
      </w:r>
      <w:r w:rsidR="00E3770C">
        <w:rPr>
          <w:szCs w:val="22"/>
          <w:lang w:val="fr-FR"/>
        </w:rPr>
        <w:noBreakHyphen/>
      </w:r>
      <w:r w:rsidRPr="001B3715">
        <w:rPr>
          <w:szCs w:val="22"/>
          <w:lang w:val="fr-FR"/>
        </w:rPr>
        <w:t>Guinée, de la République de Corée et de la République de Moldova ont été ajoutées à la base de données mondiale sur les marques, et les collections de l</w:t>
      </w:r>
      <w:r w:rsidR="00502D05" w:rsidRPr="001B3715">
        <w:rPr>
          <w:szCs w:val="22"/>
          <w:lang w:val="fr-FR"/>
        </w:rPr>
        <w:t>’</w:t>
      </w:r>
      <w:r w:rsidRPr="001B3715">
        <w:rPr>
          <w:szCs w:val="22"/>
          <w:lang w:val="fr-FR"/>
        </w:rPr>
        <w:t>Espagne, des États</w:t>
      </w:r>
      <w:r w:rsidR="00E3770C">
        <w:rPr>
          <w:szCs w:val="22"/>
          <w:lang w:val="fr-FR"/>
        </w:rPr>
        <w:noBreakHyphen/>
      </w:r>
      <w:r w:rsidRPr="001B3715">
        <w:rPr>
          <w:szCs w:val="22"/>
          <w:lang w:val="fr-FR"/>
        </w:rPr>
        <w:t>Unis d</w:t>
      </w:r>
      <w:r w:rsidR="00502D05" w:rsidRPr="001B3715">
        <w:rPr>
          <w:szCs w:val="22"/>
          <w:lang w:val="fr-FR"/>
        </w:rPr>
        <w:t>’</w:t>
      </w:r>
      <w:r w:rsidRPr="001B3715">
        <w:rPr>
          <w:szCs w:val="22"/>
          <w:lang w:val="fr-FR"/>
        </w:rPr>
        <w:t>Amérique et du Japon ont été ajoutées à la base de données mondiale sur les dessins et modèl</w:t>
      </w:r>
      <w:r w:rsidR="001B3715" w:rsidRPr="001B3715">
        <w:rPr>
          <w:szCs w:val="22"/>
          <w:lang w:val="fr-FR"/>
        </w:rPr>
        <w:t>es.  Le</w:t>
      </w:r>
      <w:r w:rsidRPr="001B3715">
        <w:rPr>
          <w:szCs w:val="22"/>
          <w:lang w:val="fr-FR"/>
        </w:rPr>
        <w:t>s rapports dans la base de données mondiale sur les marques ont été enrichis d</w:t>
      </w:r>
      <w:r w:rsidR="00502D05" w:rsidRPr="001B3715">
        <w:rPr>
          <w:szCs w:val="22"/>
          <w:lang w:val="fr-FR"/>
        </w:rPr>
        <w:t>’</w:t>
      </w:r>
      <w:r w:rsidRPr="001B3715">
        <w:rPr>
          <w:szCs w:val="22"/>
          <w:lang w:val="fr-FR"/>
        </w:rPr>
        <w:t>images incrustées des marques correspondantes.</w:t>
      </w:r>
    </w:p>
    <w:p w14:paraId="38DFF650" w14:textId="72F164C3" w:rsidR="00F24FC6" w:rsidRPr="001B3715" w:rsidRDefault="00F24FC6" w:rsidP="00F24FC6">
      <w:pPr>
        <w:pStyle w:val="ONUMFS"/>
        <w:rPr>
          <w:szCs w:val="22"/>
          <w:lang w:val="fr-FR"/>
        </w:rPr>
      </w:pPr>
      <w:r w:rsidRPr="001B3715">
        <w:rPr>
          <w:b/>
          <w:szCs w:val="22"/>
          <w:lang w:val="fr-FR"/>
        </w:rPr>
        <w:t>WIPO</w:t>
      </w:r>
      <w:r w:rsidR="0013521E">
        <w:rPr>
          <w:b/>
          <w:szCs w:val="22"/>
          <w:lang w:val="fr-FR"/>
        </w:rPr>
        <w:t> </w:t>
      </w:r>
      <w:proofErr w:type="spellStart"/>
      <w:r w:rsidRPr="001B3715">
        <w:rPr>
          <w:b/>
          <w:szCs w:val="22"/>
          <w:lang w:val="fr-FR"/>
        </w:rPr>
        <w:t>L</w:t>
      </w:r>
      <w:r w:rsidR="001B3715" w:rsidRPr="001B3715">
        <w:rPr>
          <w:b/>
          <w:szCs w:val="22"/>
          <w:lang w:val="fr-FR"/>
        </w:rPr>
        <w:t>ex</w:t>
      </w:r>
      <w:proofErr w:type="spellEnd"/>
      <w:r w:rsidR="001B3715" w:rsidRPr="001B3715">
        <w:rPr>
          <w:b/>
          <w:szCs w:val="22"/>
          <w:lang w:val="fr-FR"/>
        </w:rPr>
        <w:t xml:space="preserve">.  </w:t>
      </w:r>
      <w:r w:rsidR="001B3715" w:rsidRPr="001B3715">
        <w:rPr>
          <w:szCs w:val="22"/>
          <w:lang w:val="fr-FR"/>
        </w:rPr>
        <w:t>La</w:t>
      </w:r>
      <w:r w:rsidRPr="001B3715">
        <w:rPr>
          <w:szCs w:val="22"/>
          <w:lang w:val="fr-FR"/>
        </w:rPr>
        <w:t xml:space="preserve"> base WIPO</w:t>
      </w:r>
      <w:r w:rsidR="0013521E">
        <w:rPr>
          <w:szCs w:val="22"/>
          <w:lang w:val="fr-FR"/>
        </w:rPr>
        <w:t> </w:t>
      </w:r>
      <w:proofErr w:type="spellStart"/>
      <w:r w:rsidRPr="001B3715">
        <w:rPr>
          <w:szCs w:val="22"/>
          <w:lang w:val="fr-FR"/>
        </w:rPr>
        <w:t>Lex</w:t>
      </w:r>
      <w:proofErr w:type="spellEnd"/>
      <w:r w:rsidRPr="001B3715">
        <w:rPr>
          <w:szCs w:val="22"/>
          <w:lang w:val="fr-FR"/>
        </w:rPr>
        <w:t xml:space="preserve"> est une entreprise collective des États membres et du Secrétariat qui donne libre accès à la collection de lois et de traités de propriété intellectuelle la plus complète au mon</w:t>
      </w:r>
      <w:r w:rsidR="001B3715" w:rsidRPr="001B3715">
        <w:rPr>
          <w:szCs w:val="22"/>
          <w:lang w:val="fr-FR"/>
        </w:rPr>
        <w:t>de.  El</w:t>
      </w:r>
      <w:r w:rsidRPr="001B3715">
        <w:rPr>
          <w:szCs w:val="22"/>
          <w:lang w:val="fr-FR"/>
        </w:rPr>
        <w:t>le contient 12 935</w:t>
      </w:r>
      <w:r w:rsidR="00406F33" w:rsidRPr="001B3715">
        <w:rPr>
          <w:szCs w:val="22"/>
          <w:lang w:val="fr-FR"/>
        </w:rPr>
        <w:t> </w:t>
      </w:r>
      <w:r w:rsidRPr="001B3715">
        <w:rPr>
          <w:szCs w:val="22"/>
          <w:lang w:val="fr-FR"/>
        </w:rPr>
        <w:t>documents juridiques sur les lois et règlements nationaux de propriété intellectuelle de quelque 200</w:t>
      </w:r>
      <w:r w:rsidR="00406F33" w:rsidRPr="001B3715">
        <w:rPr>
          <w:szCs w:val="22"/>
          <w:lang w:val="fr-FR"/>
        </w:rPr>
        <w:t> </w:t>
      </w:r>
      <w:r w:rsidRPr="001B3715">
        <w:rPr>
          <w:szCs w:val="22"/>
          <w:lang w:val="fr-FR"/>
        </w:rPr>
        <w:t>pays, et 770</w:t>
      </w:r>
      <w:r w:rsidR="00406F33" w:rsidRPr="001B3715">
        <w:rPr>
          <w:szCs w:val="22"/>
          <w:lang w:val="fr-FR"/>
        </w:rPr>
        <w:t> </w:t>
      </w:r>
      <w:r w:rsidRPr="001B3715">
        <w:rPr>
          <w:szCs w:val="22"/>
          <w:lang w:val="fr-FR"/>
        </w:rPr>
        <w:t>traités internationaux relatifs à la propriété intellectuel</w:t>
      </w:r>
      <w:r w:rsidR="001B3715" w:rsidRPr="001B3715">
        <w:rPr>
          <w:szCs w:val="22"/>
          <w:lang w:val="fr-FR"/>
        </w:rPr>
        <w:t>le.  En</w:t>
      </w:r>
      <w:r w:rsidRPr="001B3715">
        <w:rPr>
          <w:szCs w:val="22"/>
          <w:lang w:val="fr-FR"/>
        </w:rPr>
        <w:t>viron 40% de ces documents ont été ajoutés au cours de ces cinq dernières anné</w:t>
      </w:r>
      <w:r w:rsidR="001B3715" w:rsidRPr="001B3715">
        <w:rPr>
          <w:szCs w:val="22"/>
          <w:lang w:val="fr-FR"/>
        </w:rPr>
        <w:t>es.  La</w:t>
      </w:r>
      <w:r w:rsidRPr="001B3715">
        <w:rPr>
          <w:szCs w:val="22"/>
          <w:lang w:val="fr-FR"/>
        </w:rPr>
        <w:t xml:space="preserve"> base WIPO</w:t>
      </w:r>
      <w:r w:rsidR="0013521E">
        <w:rPr>
          <w:szCs w:val="22"/>
          <w:lang w:val="fr-FR"/>
        </w:rPr>
        <w:t> </w:t>
      </w:r>
      <w:proofErr w:type="spellStart"/>
      <w:r w:rsidRPr="001B3715">
        <w:rPr>
          <w:szCs w:val="22"/>
          <w:lang w:val="fr-FR"/>
        </w:rPr>
        <w:t>Lex</w:t>
      </w:r>
      <w:proofErr w:type="spellEnd"/>
      <w:r w:rsidRPr="001B3715">
        <w:rPr>
          <w:szCs w:val="22"/>
          <w:lang w:val="fr-FR"/>
        </w:rPr>
        <w:t xml:space="preserve"> attire toujours plus d</w:t>
      </w:r>
      <w:r w:rsidR="00502D05" w:rsidRPr="001B3715">
        <w:rPr>
          <w:szCs w:val="22"/>
          <w:lang w:val="fr-FR"/>
        </w:rPr>
        <w:t>’</w:t>
      </w:r>
      <w:r w:rsidRPr="001B3715">
        <w:rPr>
          <w:szCs w:val="22"/>
          <w:lang w:val="fr-FR"/>
        </w:rPr>
        <w:t>utilisateurs du monde enti</w:t>
      </w:r>
      <w:r w:rsidR="001B3715" w:rsidRPr="001B3715">
        <w:rPr>
          <w:szCs w:val="22"/>
          <w:lang w:val="fr-FR"/>
        </w:rPr>
        <w:t>er.  Ce</w:t>
      </w:r>
      <w:r w:rsidRPr="001B3715">
        <w:rPr>
          <w:szCs w:val="22"/>
          <w:lang w:val="fr-FR"/>
        </w:rPr>
        <w:t>tte année, elle a dépassé le seuil impressionnant des 20 millions de consultatio</w:t>
      </w:r>
      <w:r w:rsidR="001B3715" w:rsidRPr="001B3715">
        <w:rPr>
          <w:szCs w:val="22"/>
          <w:lang w:val="fr-FR"/>
        </w:rPr>
        <w:t>ns.  Au</w:t>
      </w:r>
      <w:r w:rsidRPr="001B3715">
        <w:rPr>
          <w:szCs w:val="22"/>
          <w:lang w:val="fr-FR"/>
        </w:rPr>
        <w:t xml:space="preserve"> total, depuis son lancement en 2010, plus de sept millions d</w:t>
      </w:r>
      <w:r w:rsidR="00502D05" w:rsidRPr="001B3715">
        <w:rPr>
          <w:szCs w:val="22"/>
          <w:lang w:val="fr-FR"/>
        </w:rPr>
        <w:t>’</w:t>
      </w:r>
      <w:r w:rsidRPr="001B3715">
        <w:rPr>
          <w:szCs w:val="22"/>
          <w:lang w:val="fr-FR"/>
        </w:rPr>
        <w:t>utilisateurs ont accédé à la base WIPO</w:t>
      </w:r>
      <w:r w:rsidR="00406F33" w:rsidRPr="001B3715">
        <w:rPr>
          <w:szCs w:val="22"/>
          <w:lang w:val="fr-FR"/>
        </w:rPr>
        <w:t> </w:t>
      </w:r>
      <w:proofErr w:type="spellStart"/>
      <w:r w:rsidRPr="001B3715">
        <w:rPr>
          <w:szCs w:val="22"/>
          <w:lang w:val="fr-FR"/>
        </w:rPr>
        <w:t>Lex</w:t>
      </w:r>
      <w:proofErr w:type="spellEnd"/>
      <w:r w:rsidRPr="001B3715">
        <w:rPr>
          <w:szCs w:val="22"/>
          <w:lang w:val="fr-FR"/>
        </w:rPr>
        <w:t xml:space="preserve"> et plus de 21 millions de pages ont été consulté</w:t>
      </w:r>
      <w:r w:rsidR="001B3715" w:rsidRPr="001B3715">
        <w:rPr>
          <w:szCs w:val="22"/>
          <w:lang w:val="fr-FR"/>
        </w:rPr>
        <w:t>es.  Le</w:t>
      </w:r>
      <w:r w:rsidRPr="001B3715">
        <w:rPr>
          <w:szCs w:val="22"/>
          <w:lang w:val="fr-FR"/>
        </w:rPr>
        <w:t>s utilisateurs proviennent de nombreux pays, comme on peut le voir dans le tableau des 25</w:t>
      </w:r>
      <w:r w:rsidR="00406F33" w:rsidRPr="001B3715">
        <w:rPr>
          <w:szCs w:val="22"/>
          <w:lang w:val="fr-FR"/>
        </w:rPr>
        <w:t> </w:t>
      </w:r>
      <w:r w:rsidRPr="001B3715">
        <w:rPr>
          <w:szCs w:val="22"/>
          <w:lang w:val="fr-FR"/>
        </w:rPr>
        <w:t>premiers pays utilisateurs.</w:t>
      </w:r>
    </w:p>
    <w:p w14:paraId="51CB8ADC" w14:textId="2907E247" w:rsidR="00F24FC6" w:rsidRPr="001B3715" w:rsidRDefault="00F24FC6" w:rsidP="00F24FC6">
      <w:pPr>
        <w:pStyle w:val="ONUMFS"/>
        <w:rPr>
          <w:lang w:val="fr-FR"/>
        </w:rPr>
      </w:pPr>
      <w:r w:rsidRPr="001B3715">
        <w:rPr>
          <w:b/>
          <w:lang w:val="fr-FR"/>
        </w:rPr>
        <w:t xml:space="preserve">Technologies et outils de recherche multilingues.  </w:t>
      </w:r>
      <w:r w:rsidRPr="001B3715">
        <w:rPr>
          <w:lang w:val="fr-FR"/>
        </w:rPr>
        <w:t>L</w:t>
      </w:r>
      <w:r w:rsidR="00502D05" w:rsidRPr="001B3715">
        <w:rPr>
          <w:lang w:val="fr-FR"/>
        </w:rPr>
        <w:t>’</w:t>
      </w:r>
      <w:r w:rsidRPr="001B3715">
        <w:rPr>
          <w:lang w:val="fr-FR"/>
        </w:rPr>
        <w:t>OMPI continue de développer ses outils uniques afin d</w:t>
      </w:r>
      <w:r w:rsidR="00502D05" w:rsidRPr="001B3715">
        <w:rPr>
          <w:lang w:val="fr-FR"/>
        </w:rPr>
        <w:t>’</w:t>
      </w:r>
      <w:r w:rsidRPr="001B3715">
        <w:rPr>
          <w:lang w:val="fr-FR"/>
        </w:rPr>
        <w:t>améliorer la recherche, la consultation et l</w:t>
      </w:r>
      <w:r w:rsidR="00502D05" w:rsidRPr="001B3715">
        <w:rPr>
          <w:lang w:val="fr-FR"/>
        </w:rPr>
        <w:t>’</w:t>
      </w:r>
      <w:r w:rsidRPr="001B3715">
        <w:rPr>
          <w:lang w:val="fr-FR"/>
        </w:rPr>
        <w:t xml:space="preserve">analyse des </w:t>
      </w:r>
      <w:proofErr w:type="spellStart"/>
      <w:r w:rsidRPr="001B3715">
        <w:rPr>
          <w:lang w:val="fr-FR"/>
        </w:rPr>
        <w:t>mégadonnées</w:t>
      </w:r>
      <w:proofErr w:type="spellEnd"/>
      <w:r w:rsidRPr="001B3715">
        <w:rPr>
          <w:lang w:val="fr-FR"/>
        </w:rPr>
        <w:t xml:space="preserve"> de propriété intellectuel</w:t>
      </w:r>
      <w:r w:rsidR="001B3715" w:rsidRPr="001B3715">
        <w:rPr>
          <w:lang w:val="fr-FR"/>
        </w:rPr>
        <w:t>le.  Au</w:t>
      </w:r>
      <w:r w:rsidRPr="001B3715">
        <w:rPr>
          <w:lang w:val="fr-FR"/>
        </w:rPr>
        <w:t xml:space="preserve"> cours de l</w:t>
      </w:r>
      <w:r w:rsidR="00502D05" w:rsidRPr="001B3715">
        <w:rPr>
          <w:lang w:val="fr-FR"/>
        </w:rPr>
        <w:t>’</w:t>
      </w:r>
      <w:r w:rsidRPr="001B3715">
        <w:rPr>
          <w:lang w:val="fr-FR"/>
        </w:rPr>
        <w:t>année écoulée, les fonctions de l</w:t>
      </w:r>
      <w:r w:rsidR="00502D05" w:rsidRPr="001B3715">
        <w:rPr>
          <w:lang w:val="fr-FR"/>
        </w:rPr>
        <w:t>’</w:t>
      </w:r>
      <w:r w:rsidRPr="001B3715">
        <w:rPr>
          <w:lang w:val="fr-FR"/>
        </w:rPr>
        <w:t>outil de traduction automatique de l</w:t>
      </w:r>
      <w:r w:rsidR="00502D05" w:rsidRPr="001B3715">
        <w:rPr>
          <w:lang w:val="fr-FR"/>
        </w:rPr>
        <w:t>’</w:t>
      </w:r>
      <w:r w:rsidRPr="001B3715">
        <w:rPr>
          <w:lang w:val="fr-FR"/>
        </w:rPr>
        <w:t>OMPI, WIPO Translate, qui est intégré dans PATENTSCOPE, ont continué d</w:t>
      </w:r>
      <w:r w:rsidR="00502D05" w:rsidRPr="001B3715">
        <w:rPr>
          <w:lang w:val="fr-FR"/>
        </w:rPr>
        <w:t>’</w:t>
      </w:r>
      <w:r w:rsidRPr="001B3715">
        <w:rPr>
          <w:lang w:val="fr-FR"/>
        </w:rPr>
        <w:t>être développées pour prendre en charge la traduction des abrégés et des titres à partir de l</w:t>
      </w:r>
      <w:r w:rsidR="00502D05" w:rsidRPr="001B3715">
        <w:rPr>
          <w:lang w:val="fr-FR"/>
        </w:rPr>
        <w:t>’</w:t>
      </w:r>
      <w:r w:rsidRPr="001B3715">
        <w:rPr>
          <w:lang w:val="fr-FR"/>
        </w:rPr>
        <w:t>anglais et de sept autres langues et vers ces langu</w:t>
      </w:r>
      <w:r w:rsidR="001B3715" w:rsidRPr="001B3715">
        <w:rPr>
          <w:lang w:val="fr-FR"/>
        </w:rPr>
        <w:t>es.  La</w:t>
      </w:r>
      <w:r w:rsidRPr="001B3715">
        <w:rPr>
          <w:lang w:val="fr-FR"/>
        </w:rPr>
        <w:t xml:space="preserve"> vitesse du moteur de traduction a également été améliorée afin de permettre la traduction intégrale des descriptions et des revendications du </w:t>
      </w:r>
      <w:r w:rsidR="00406F33" w:rsidRPr="001B3715">
        <w:rPr>
          <w:lang w:val="fr-FR"/>
        </w:rPr>
        <w:t>c</w:t>
      </w:r>
      <w:r w:rsidRPr="001B3715">
        <w:rPr>
          <w:lang w:val="fr-FR"/>
        </w:rPr>
        <w:t>hinois vers l</w:t>
      </w:r>
      <w:r w:rsidR="00502D05" w:rsidRPr="001B3715">
        <w:rPr>
          <w:lang w:val="fr-FR"/>
        </w:rPr>
        <w:t>’</w:t>
      </w:r>
      <w:r w:rsidRPr="001B3715">
        <w:rPr>
          <w:lang w:val="fr-FR"/>
        </w:rPr>
        <w:t>anglais et inverseme</w:t>
      </w:r>
      <w:r w:rsidR="001B3715" w:rsidRPr="001B3715">
        <w:rPr>
          <w:lang w:val="fr-FR"/>
        </w:rPr>
        <w:t>nt.  Se</w:t>
      </w:r>
      <w:r w:rsidRPr="001B3715">
        <w:rPr>
          <w:lang w:val="fr-FR"/>
        </w:rPr>
        <w:t>s performances en matière de traduction de brevets dépassent systématiquement celles des autres outils de traduction automatique les plus fréquemment utilisés et sa qualité a été reconnue par d</w:t>
      </w:r>
      <w:r w:rsidR="00502D05" w:rsidRPr="001B3715">
        <w:rPr>
          <w:lang w:val="fr-FR"/>
        </w:rPr>
        <w:t>’</w:t>
      </w:r>
      <w:r w:rsidRPr="001B3715">
        <w:rPr>
          <w:lang w:val="fr-FR"/>
        </w:rPr>
        <w:t xml:space="preserve">autres organisations du système des </w:t>
      </w:r>
      <w:r w:rsidR="00502D05" w:rsidRPr="001B3715">
        <w:rPr>
          <w:lang w:val="fr-FR"/>
        </w:rPr>
        <w:t>Nations Uni</w:t>
      </w:r>
      <w:r w:rsidR="001B3715" w:rsidRPr="001B3715">
        <w:rPr>
          <w:lang w:val="fr-FR"/>
        </w:rPr>
        <w:t>es.  No</w:t>
      </w:r>
      <w:r w:rsidRPr="001B3715">
        <w:rPr>
          <w:lang w:val="fr-FR"/>
        </w:rPr>
        <w:t>us avons installé des variantes sur mesure de WIPO Translate au siège de l</w:t>
      </w:r>
      <w:r w:rsidR="00502D05" w:rsidRPr="001B3715">
        <w:rPr>
          <w:lang w:val="fr-FR"/>
        </w:rPr>
        <w:t>’</w:t>
      </w:r>
      <w:r w:rsidRPr="001B3715">
        <w:rPr>
          <w:lang w:val="fr-FR"/>
        </w:rPr>
        <w:t xml:space="preserve">Organisation des </w:t>
      </w:r>
      <w:r w:rsidR="00502D05" w:rsidRPr="001B3715">
        <w:rPr>
          <w:lang w:val="fr-FR"/>
        </w:rPr>
        <w:t>Nations Unies</w:t>
      </w:r>
      <w:r w:rsidRPr="001B3715">
        <w:rPr>
          <w:lang w:val="fr-FR"/>
        </w:rPr>
        <w:t xml:space="preserve"> à New York et dans plusieurs institutions spécialisées à la demande de celles</w:t>
      </w:r>
      <w:r w:rsidR="00E3770C">
        <w:rPr>
          <w:lang w:val="fr-FR"/>
        </w:rPr>
        <w:noBreakHyphen/>
      </w:r>
      <w:r w:rsidR="001B3715" w:rsidRPr="001B3715">
        <w:rPr>
          <w:lang w:val="fr-FR"/>
        </w:rPr>
        <w:t>ci.  Ce</w:t>
      </w:r>
      <w:r w:rsidRPr="001B3715">
        <w:rPr>
          <w:lang w:val="fr-FR"/>
        </w:rPr>
        <w:t>s organisations utilisent activement WIPO Translate pour faciliter leur travail de traduction.</w:t>
      </w:r>
    </w:p>
    <w:p w14:paraId="089B0C91" w14:textId="12D93AF9" w:rsidR="00F24FC6" w:rsidRPr="001B3715" w:rsidRDefault="00F24FC6" w:rsidP="00F24FC6">
      <w:pPr>
        <w:pStyle w:val="ONUMFS"/>
        <w:rPr>
          <w:szCs w:val="22"/>
          <w:lang w:val="fr-FR"/>
        </w:rPr>
      </w:pPr>
      <w:r w:rsidRPr="001B3715">
        <w:rPr>
          <w:szCs w:val="22"/>
          <w:lang w:val="fr-FR"/>
        </w:rPr>
        <w:t>La fonction de recherche multilingue de PATENTSCOPE a été améliorée de plusieurs faço</w:t>
      </w:r>
      <w:r w:rsidR="001B3715" w:rsidRPr="001B3715">
        <w:rPr>
          <w:szCs w:val="22"/>
          <w:lang w:val="fr-FR"/>
        </w:rPr>
        <w:t>ns.  Le</w:t>
      </w:r>
      <w:r w:rsidRPr="001B3715">
        <w:rPr>
          <w:szCs w:val="22"/>
          <w:lang w:val="fr-FR"/>
        </w:rPr>
        <w:t xml:space="preserve"> danois et le polonais ont été ajoutés dans l</w:t>
      </w:r>
      <w:r w:rsidR="00502D05" w:rsidRPr="001B3715">
        <w:rPr>
          <w:szCs w:val="22"/>
          <w:lang w:val="fr-FR"/>
        </w:rPr>
        <w:t>’</w:t>
      </w:r>
      <w:r w:rsidRPr="001B3715">
        <w:rPr>
          <w:szCs w:val="22"/>
          <w:lang w:val="fr-FR"/>
        </w:rPr>
        <w:t>outil de recherche par expansion de requête multilingue (CLIR) de PATENTSCOPE, portant à 14 au total le nombre de langues prises en charge dans les requêtes multilingu</w:t>
      </w:r>
      <w:r w:rsidR="001B3715" w:rsidRPr="001B3715">
        <w:rPr>
          <w:szCs w:val="22"/>
          <w:lang w:val="fr-FR"/>
        </w:rPr>
        <w:t>es.  Un</w:t>
      </w:r>
      <w:r w:rsidRPr="001B3715">
        <w:rPr>
          <w:szCs w:val="22"/>
          <w:lang w:val="fr-FR"/>
        </w:rPr>
        <w:t>e nouvelle fonction innovante (</w:t>
      </w:r>
      <w:proofErr w:type="spellStart"/>
      <w:r w:rsidRPr="001B3715">
        <w:rPr>
          <w:szCs w:val="22"/>
          <w:lang w:val="fr-FR"/>
        </w:rPr>
        <w:t>ChemiSearch</w:t>
      </w:r>
      <w:proofErr w:type="spellEnd"/>
      <w:r w:rsidRPr="001B3715">
        <w:rPr>
          <w:szCs w:val="22"/>
          <w:lang w:val="fr-FR"/>
        </w:rPr>
        <w:t>), qui permet aux utilisateurs d</w:t>
      </w:r>
      <w:r w:rsidR="00502D05" w:rsidRPr="001B3715">
        <w:rPr>
          <w:szCs w:val="22"/>
          <w:lang w:val="fr-FR"/>
        </w:rPr>
        <w:t>’</w:t>
      </w:r>
      <w:r w:rsidRPr="001B3715">
        <w:rPr>
          <w:szCs w:val="22"/>
          <w:lang w:val="fr-FR"/>
        </w:rPr>
        <w:t>effectuer des recherches sur des formules chimiques par nom et, notamment par dénomination commune internationale (DCI), a été lancée pour les demandes PCT publiées et pour les demandes de brevet et les titres délivrés aux États</w:t>
      </w:r>
      <w:r w:rsidR="00E3770C">
        <w:rPr>
          <w:szCs w:val="22"/>
          <w:lang w:val="fr-FR"/>
        </w:rPr>
        <w:noBreakHyphen/>
      </w:r>
      <w:r w:rsidRPr="001B3715">
        <w:rPr>
          <w:szCs w:val="22"/>
          <w:lang w:val="fr-FR"/>
        </w:rPr>
        <w:t>Unis d</w:t>
      </w:r>
      <w:r w:rsidR="00502D05" w:rsidRPr="001B3715">
        <w:rPr>
          <w:szCs w:val="22"/>
          <w:lang w:val="fr-FR"/>
        </w:rPr>
        <w:t>’</w:t>
      </w:r>
      <w:r w:rsidRPr="001B3715">
        <w:rPr>
          <w:szCs w:val="22"/>
          <w:lang w:val="fr-FR"/>
        </w:rPr>
        <w:t>Amériq</w:t>
      </w:r>
      <w:r w:rsidR="001B3715" w:rsidRPr="001B3715">
        <w:rPr>
          <w:szCs w:val="22"/>
          <w:lang w:val="fr-FR"/>
        </w:rPr>
        <w:t>ue.  Le</w:t>
      </w:r>
      <w:r w:rsidRPr="001B3715">
        <w:rPr>
          <w:szCs w:val="22"/>
          <w:lang w:val="fr-FR"/>
        </w:rPr>
        <w:t>s recherches peuvent être effectuées dans les titres, les abrégés, les descriptions ou les revendications et les formules chimiques peuvent être représentées par un nom, par une formule ou par un dessin incrusté.</w:t>
      </w:r>
    </w:p>
    <w:p w14:paraId="3F3DC6B5" w14:textId="3E96F49D" w:rsidR="00F24FC6" w:rsidRPr="001B3715" w:rsidRDefault="00F24FC6" w:rsidP="00F24FC6">
      <w:pPr>
        <w:pStyle w:val="ONUMFS"/>
        <w:rPr>
          <w:szCs w:val="22"/>
          <w:lang w:val="fr-FR"/>
        </w:rPr>
      </w:pPr>
      <w:r w:rsidRPr="001B3715">
        <w:rPr>
          <w:b/>
          <w:szCs w:val="22"/>
          <w:lang w:val="fr-FR"/>
        </w:rPr>
        <w:t>Normes de l</w:t>
      </w:r>
      <w:r w:rsidR="00502D05" w:rsidRPr="001B3715">
        <w:rPr>
          <w:b/>
          <w:szCs w:val="22"/>
          <w:lang w:val="fr-FR"/>
        </w:rPr>
        <w:t>’</w:t>
      </w:r>
      <w:r w:rsidRPr="001B3715">
        <w:rPr>
          <w:b/>
          <w:szCs w:val="22"/>
          <w:lang w:val="fr-FR"/>
        </w:rPr>
        <w:t>O</w:t>
      </w:r>
      <w:r w:rsidR="001B3715" w:rsidRPr="001B3715">
        <w:rPr>
          <w:b/>
          <w:szCs w:val="22"/>
          <w:lang w:val="fr-FR"/>
        </w:rPr>
        <w:t xml:space="preserve">MPI.  </w:t>
      </w:r>
      <w:r w:rsidR="001B3715" w:rsidRPr="001B3715">
        <w:rPr>
          <w:szCs w:val="22"/>
          <w:lang w:val="fr-FR"/>
        </w:rPr>
        <w:t>Po</w:t>
      </w:r>
      <w:r w:rsidRPr="001B3715">
        <w:rPr>
          <w:szCs w:val="22"/>
          <w:lang w:val="fr-FR"/>
        </w:rPr>
        <w:t>ur pouvoir faire l</w:t>
      </w:r>
      <w:r w:rsidR="00502D05" w:rsidRPr="001B3715">
        <w:rPr>
          <w:szCs w:val="22"/>
          <w:lang w:val="fr-FR"/>
        </w:rPr>
        <w:t>’</w:t>
      </w:r>
      <w:r w:rsidRPr="001B3715">
        <w:rPr>
          <w:szCs w:val="22"/>
          <w:lang w:val="fr-FR"/>
        </w:rPr>
        <w:t>objet de recherches au moyen d</w:t>
      </w:r>
      <w:r w:rsidR="00502D05" w:rsidRPr="001B3715">
        <w:rPr>
          <w:szCs w:val="22"/>
          <w:lang w:val="fr-FR"/>
        </w:rPr>
        <w:t>’</w:t>
      </w:r>
      <w:r w:rsidRPr="001B3715">
        <w:rPr>
          <w:szCs w:val="22"/>
          <w:lang w:val="fr-FR"/>
        </w:rPr>
        <w:t xml:space="preserve">outils de recherche assistée par ordinateur, les données de propriété intellectuelle doivent être </w:t>
      </w:r>
      <w:r w:rsidRPr="001B3715">
        <w:rPr>
          <w:szCs w:val="22"/>
          <w:lang w:val="fr-FR"/>
        </w:rPr>
        <w:lastRenderedPageBreak/>
        <w:t>enregistrées selon des normes techniques communes en matière de format et de structure qui sont recommandées en tant que normes de l</w:t>
      </w:r>
      <w:r w:rsidR="00502D05" w:rsidRPr="001B3715">
        <w:rPr>
          <w:szCs w:val="22"/>
          <w:lang w:val="fr-FR"/>
        </w:rPr>
        <w:t>’</w:t>
      </w:r>
      <w:r w:rsidRPr="001B3715">
        <w:rPr>
          <w:szCs w:val="22"/>
          <w:lang w:val="fr-FR"/>
        </w:rPr>
        <w:t>O</w:t>
      </w:r>
      <w:r w:rsidR="001B3715" w:rsidRPr="001B3715">
        <w:rPr>
          <w:szCs w:val="22"/>
          <w:lang w:val="fr-FR"/>
        </w:rPr>
        <w:t>MPI.  Le</w:t>
      </w:r>
      <w:r w:rsidRPr="001B3715">
        <w:rPr>
          <w:szCs w:val="22"/>
          <w:lang w:val="fr-FR"/>
        </w:rPr>
        <w:t>s États membres ont repris les travaux sur les normes de l</w:t>
      </w:r>
      <w:r w:rsidR="00502D05" w:rsidRPr="001B3715">
        <w:rPr>
          <w:szCs w:val="22"/>
          <w:lang w:val="fr-FR"/>
        </w:rPr>
        <w:t>’</w:t>
      </w:r>
      <w:r w:rsidRPr="001B3715">
        <w:rPr>
          <w:szCs w:val="22"/>
          <w:lang w:val="fr-FR"/>
        </w:rPr>
        <w:t>OMPI en mars 2016 et adopté plusieurs normes nouvelles ou révisé</w:t>
      </w:r>
      <w:r w:rsidR="001B3715" w:rsidRPr="001B3715">
        <w:rPr>
          <w:szCs w:val="22"/>
          <w:lang w:val="fr-FR"/>
        </w:rPr>
        <w:t>es.  On</w:t>
      </w:r>
      <w:r w:rsidRPr="001B3715">
        <w:rPr>
          <w:szCs w:val="22"/>
          <w:lang w:val="fr-FR"/>
        </w:rPr>
        <w:t xml:space="preserve"> peut notamment citer les normes qui présentent un intérêt pour les outils de recherche, telles que les normes de l</w:t>
      </w:r>
      <w:r w:rsidR="00502D05" w:rsidRPr="001B3715">
        <w:rPr>
          <w:szCs w:val="22"/>
          <w:lang w:val="fr-FR"/>
        </w:rPr>
        <w:t>’</w:t>
      </w:r>
      <w:r w:rsidRPr="001B3715">
        <w:rPr>
          <w:szCs w:val="22"/>
          <w:lang w:val="fr-FR"/>
        </w:rPr>
        <w:t>OMPI sur le listage des séquences de nucléotides et d</w:t>
      </w:r>
      <w:r w:rsidR="00502D05" w:rsidRPr="001B3715">
        <w:rPr>
          <w:szCs w:val="22"/>
          <w:lang w:val="fr-FR"/>
        </w:rPr>
        <w:t>’</w:t>
      </w:r>
      <w:r w:rsidRPr="001B3715">
        <w:rPr>
          <w:szCs w:val="22"/>
          <w:lang w:val="fr-FR"/>
        </w:rPr>
        <w:t>acides aminés, sur le format des données des marques sonores, sur la citation électronique de références telles que les articles de revues scientifiques dans les documents de brevet, ainsi que sur le traitement des informations en matière de propriété industrielle dans un format et une structure déchiffrables par machine, également connu sous le nom XML.</w:t>
      </w:r>
    </w:p>
    <w:p w14:paraId="3FFCD1CA" w14:textId="3616C295" w:rsidR="00F24FC6" w:rsidRPr="001B3715" w:rsidRDefault="00F24FC6" w:rsidP="00F24FC6">
      <w:pPr>
        <w:pStyle w:val="ONUMFS"/>
        <w:rPr>
          <w:szCs w:val="22"/>
          <w:lang w:val="fr-FR"/>
        </w:rPr>
      </w:pPr>
      <w:r w:rsidRPr="001B3715">
        <w:rPr>
          <w:b/>
          <w:szCs w:val="22"/>
          <w:lang w:val="fr-FR"/>
        </w:rPr>
        <w:t>Classifications internationales.</w:t>
      </w:r>
      <w:r w:rsidRPr="001B3715">
        <w:rPr>
          <w:b/>
          <w:lang w:val="fr-FR"/>
        </w:rPr>
        <w:t xml:space="preserve">  </w:t>
      </w:r>
      <w:r w:rsidRPr="001B3715">
        <w:rPr>
          <w:szCs w:val="22"/>
          <w:lang w:val="fr-FR"/>
        </w:rPr>
        <w:t>L</w:t>
      </w:r>
      <w:r w:rsidR="00502D05" w:rsidRPr="001B3715">
        <w:rPr>
          <w:szCs w:val="22"/>
          <w:lang w:val="fr-FR"/>
        </w:rPr>
        <w:t>’</w:t>
      </w:r>
      <w:r w:rsidRPr="001B3715">
        <w:rPr>
          <w:szCs w:val="22"/>
          <w:lang w:val="fr-FR"/>
        </w:rPr>
        <w:t>OMPI administre quatre systèmes internationaux de classement établis par des traités de l</w:t>
      </w:r>
      <w:r w:rsidR="00502D05" w:rsidRPr="001B3715">
        <w:rPr>
          <w:szCs w:val="22"/>
          <w:lang w:val="fr-FR"/>
        </w:rPr>
        <w:t>’</w:t>
      </w:r>
      <w:r w:rsidRPr="001B3715">
        <w:rPr>
          <w:szCs w:val="22"/>
          <w:lang w:val="fr-FR"/>
        </w:rPr>
        <w:t>OMPI : la classification internationale des brevets (CIB), la classification de Nice, relative à la classification internationale des produits et des services aux fins de l</w:t>
      </w:r>
      <w:r w:rsidR="00502D05" w:rsidRPr="001B3715">
        <w:rPr>
          <w:szCs w:val="22"/>
          <w:lang w:val="fr-FR"/>
        </w:rPr>
        <w:t>’</w:t>
      </w:r>
      <w:r w:rsidRPr="001B3715">
        <w:rPr>
          <w:szCs w:val="22"/>
          <w:lang w:val="fr-FR"/>
        </w:rPr>
        <w:t>enregistrement des marques, la classification de Vienne, relative aux éléments figuratifs des marques et la classification de Locarno relative aux dessins et modèles industrie</w:t>
      </w:r>
      <w:r w:rsidR="001B3715" w:rsidRPr="001B3715">
        <w:rPr>
          <w:szCs w:val="22"/>
          <w:lang w:val="fr-FR"/>
        </w:rPr>
        <w:t>ls.  La</w:t>
      </w:r>
      <w:r w:rsidRPr="001B3715">
        <w:rPr>
          <w:szCs w:val="22"/>
          <w:lang w:val="fr-FR"/>
        </w:rPr>
        <w:t> CIB et la classification de Nice sont actualisées et révisées régulièrement compte tenu du rythme accéléré de l</w:t>
      </w:r>
      <w:r w:rsidR="00502D05" w:rsidRPr="001B3715">
        <w:rPr>
          <w:szCs w:val="22"/>
          <w:lang w:val="fr-FR"/>
        </w:rPr>
        <w:t>’</w:t>
      </w:r>
      <w:r w:rsidRPr="001B3715">
        <w:rPr>
          <w:szCs w:val="22"/>
          <w:lang w:val="fr-FR"/>
        </w:rPr>
        <w:t>innovation et du raccourcissement du cycle de vie des produi</w:t>
      </w:r>
      <w:r w:rsidR="001B3715" w:rsidRPr="001B3715">
        <w:rPr>
          <w:szCs w:val="22"/>
          <w:lang w:val="fr-FR"/>
        </w:rPr>
        <w:t>ts.  Le</w:t>
      </w:r>
      <w:r w:rsidRPr="001B3715">
        <w:rPr>
          <w:szCs w:val="22"/>
          <w:lang w:val="fr-FR"/>
        </w:rPr>
        <w:t xml:space="preserve"> nombre de nouvelles subdivisions de la CIB a également augmenté, passant de 480 en 2015 à 684 en 2016.  Cette évolution témoigne d</w:t>
      </w:r>
      <w:r w:rsidR="00502D05" w:rsidRPr="001B3715">
        <w:rPr>
          <w:szCs w:val="22"/>
          <w:lang w:val="fr-FR"/>
        </w:rPr>
        <w:t>’</w:t>
      </w:r>
      <w:r w:rsidRPr="001B3715">
        <w:rPr>
          <w:szCs w:val="22"/>
          <w:lang w:val="fr-FR"/>
        </w:rPr>
        <w:t>une intensification de l</w:t>
      </w:r>
      <w:r w:rsidR="00502D05" w:rsidRPr="001B3715">
        <w:rPr>
          <w:szCs w:val="22"/>
          <w:lang w:val="fr-FR"/>
        </w:rPr>
        <w:t>’</w:t>
      </w:r>
      <w:r w:rsidRPr="001B3715">
        <w:rPr>
          <w:szCs w:val="22"/>
          <w:lang w:val="fr-FR"/>
        </w:rPr>
        <w:t>innovation, notamment dans le domaine de l</w:t>
      </w:r>
      <w:r w:rsidR="00502D05" w:rsidRPr="001B3715">
        <w:rPr>
          <w:szCs w:val="22"/>
          <w:lang w:val="fr-FR"/>
        </w:rPr>
        <w:t>’</w:t>
      </w:r>
      <w:r w:rsidRPr="001B3715">
        <w:rPr>
          <w:szCs w:val="22"/>
          <w:lang w:val="fr-FR"/>
        </w:rPr>
        <w:t>électricité (section H).  La publication anticipée de la version 2017.01 de la CIB a été réalisée pour la première fois sur un nouveau système de gestion de la révision de la CIB (IPCRMS), ce qui a permis de renforcer l</w:t>
      </w:r>
      <w:r w:rsidR="00502D05" w:rsidRPr="001B3715">
        <w:rPr>
          <w:szCs w:val="22"/>
          <w:lang w:val="fr-FR"/>
        </w:rPr>
        <w:t>’</w:t>
      </w:r>
      <w:r w:rsidRPr="001B3715">
        <w:rPr>
          <w:szCs w:val="22"/>
          <w:lang w:val="fr-FR"/>
        </w:rPr>
        <w:t>efficacité sur le plan des coûts et des délais de publicati</w:t>
      </w:r>
      <w:r w:rsidR="001B3715" w:rsidRPr="001B3715">
        <w:rPr>
          <w:szCs w:val="22"/>
          <w:lang w:val="fr-FR"/>
        </w:rPr>
        <w:t>on.  Ce</w:t>
      </w:r>
      <w:r w:rsidRPr="001B3715">
        <w:rPr>
          <w:szCs w:val="22"/>
          <w:lang w:val="fr-FR"/>
        </w:rPr>
        <w:t xml:space="preserve"> système a été utilisé depuis son lancement le 13 octobre 2015 et a été mis à la disposition des membres de l</w:t>
      </w:r>
      <w:r w:rsidR="00502D05" w:rsidRPr="001B3715">
        <w:rPr>
          <w:szCs w:val="22"/>
          <w:lang w:val="fr-FR"/>
        </w:rPr>
        <w:t>’</w:t>
      </w:r>
      <w:r w:rsidRPr="001B3715">
        <w:rPr>
          <w:szCs w:val="22"/>
          <w:lang w:val="fr-FR"/>
        </w:rPr>
        <w:t>Union de l</w:t>
      </w:r>
      <w:r w:rsidR="00502D05" w:rsidRPr="001B3715">
        <w:rPr>
          <w:szCs w:val="22"/>
          <w:lang w:val="fr-FR"/>
        </w:rPr>
        <w:t>’</w:t>
      </w:r>
      <w:r w:rsidRPr="001B3715">
        <w:rPr>
          <w:szCs w:val="22"/>
          <w:lang w:val="fr-FR"/>
        </w:rPr>
        <w:t>IPC et des offices de propriété intellectuelle qui contribuent ou qui participent activement à la révision de la CIB.</w:t>
      </w:r>
    </w:p>
    <w:p w14:paraId="6D955690" w14:textId="5CBECD1C" w:rsidR="00F24FC6" w:rsidRPr="001B3715" w:rsidRDefault="00F24FC6" w:rsidP="00F24FC6">
      <w:pPr>
        <w:pStyle w:val="ONUMFS"/>
        <w:rPr>
          <w:szCs w:val="22"/>
          <w:lang w:val="fr-FR"/>
        </w:rPr>
      </w:pPr>
      <w:r w:rsidRPr="001B3715">
        <w:rPr>
          <w:szCs w:val="22"/>
          <w:lang w:val="fr-FR"/>
        </w:rPr>
        <w:t>Les États parties à l</w:t>
      </w:r>
      <w:r w:rsidR="00502D05" w:rsidRPr="001B3715">
        <w:rPr>
          <w:szCs w:val="22"/>
          <w:lang w:val="fr-FR"/>
        </w:rPr>
        <w:t>’</w:t>
      </w:r>
      <w:r w:rsidRPr="001B3715">
        <w:rPr>
          <w:szCs w:val="22"/>
          <w:lang w:val="fr-FR"/>
        </w:rPr>
        <w:t xml:space="preserve">Arrangement de Nice (qui institue une classification internationale des </w:t>
      </w:r>
      <w:r w:rsidR="00406F33" w:rsidRPr="001B3715">
        <w:rPr>
          <w:szCs w:val="22"/>
          <w:lang w:val="fr-FR"/>
        </w:rPr>
        <w:t>produits</w:t>
      </w:r>
      <w:r w:rsidRPr="001B3715">
        <w:rPr>
          <w:szCs w:val="22"/>
          <w:lang w:val="fr-FR"/>
        </w:rPr>
        <w:t xml:space="preserve"> et des services aux fins de l</w:t>
      </w:r>
      <w:r w:rsidR="00502D05" w:rsidRPr="001B3715">
        <w:rPr>
          <w:szCs w:val="22"/>
          <w:lang w:val="fr-FR"/>
        </w:rPr>
        <w:t>’</w:t>
      </w:r>
      <w:r w:rsidRPr="001B3715">
        <w:rPr>
          <w:szCs w:val="22"/>
          <w:lang w:val="fr-FR"/>
        </w:rPr>
        <w:t>enregistrement des marques, la classification de Nice) ont adopté 300</w:t>
      </w:r>
      <w:r w:rsidR="00406F33" w:rsidRPr="001B3715">
        <w:rPr>
          <w:szCs w:val="22"/>
          <w:lang w:val="fr-FR"/>
        </w:rPr>
        <w:t> </w:t>
      </w:r>
      <w:r w:rsidRPr="001B3715">
        <w:rPr>
          <w:szCs w:val="22"/>
          <w:lang w:val="fr-FR"/>
        </w:rPr>
        <w:t>nouvelles entrées, 469</w:t>
      </w:r>
      <w:r w:rsidR="00406F33" w:rsidRPr="001B3715">
        <w:rPr>
          <w:szCs w:val="22"/>
          <w:lang w:val="fr-FR"/>
        </w:rPr>
        <w:t> </w:t>
      </w:r>
      <w:r w:rsidRPr="001B3715">
        <w:rPr>
          <w:szCs w:val="22"/>
          <w:lang w:val="fr-FR"/>
        </w:rPr>
        <w:t>changements et sept modifications visant à améliorer et à clarifier la liste des produits et servic</w:t>
      </w:r>
      <w:r w:rsidR="001B3715" w:rsidRPr="001B3715">
        <w:rPr>
          <w:szCs w:val="22"/>
          <w:lang w:val="fr-FR"/>
        </w:rPr>
        <w:t>es.  Le</w:t>
      </w:r>
      <w:r w:rsidRPr="001B3715">
        <w:rPr>
          <w:szCs w:val="22"/>
          <w:lang w:val="fr-FR"/>
        </w:rPr>
        <w:t>s travaux portant sur la révision des intitulés des classes, qui ont débuté en 2015, ont été prolongés et devraient simplifier le travail de classement car ils donnent des orientations plus claires aux utilisateurs.</w:t>
      </w:r>
    </w:p>
    <w:p w14:paraId="1526B96B" w14:textId="248135C6" w:rsidR="00F24FC6" w:rsidRPr="001B3715" w:rsidRDefault="00F24FC6" w:rsidP="00F24FC6">
      <w:pPr>
        <w:pStyle w:val="ONUMFS"/>
        <w:rPr>
          <w:szCs w:val="22"/>
          <w:lang w:val="fr-FR"/>
        </w:rPr>
      </w:pPr>
      <w:r w:rsidRPr="001B3715">
        <w:rPr>
          <w:szCs w:val="22"/>
          <w:lang w:val="fr-FR"/>
        </w:rPr>
        <w:t>Les États parties à l</w:t>
      </w:r>
      <w:r w:rsidR="00502D05" w:rsidRPr="001B3715">
        <w:rPr>
          <w:szCs w:val="22"/>
          <w:lang w:val="fr-FR"/>
        </w:rPr>
        <w:t>’</w:t>
      </w:r>
      <w:r w:rsidRPr="001B3715">
        <w:rPr>
          <w:szCs w:val="22"/>
          <w:lang w:val="fr-FR"/>
        </w:rPr>
        <w:t>Arrangement de Locarno (qui institue une classification pour les dessins et modèles industriels, la classification de Locarno) ont adopté, en 2016, 141</w:t>
      </w:r>
      <w:r w:rsidR="00406F33" w:rsidRPr="001B3715">
        <w:rPr>
          <w:szCs w:val="22"/>
          <w:lang w:val="fr-FR"/>
        </w:rPr>
        <w:t> </w:t>
      </w:r>
      <w:r w:rsidRPr="001B3715">
        <w:rPr>
          <w:szCs w:val="22"/>
          <w:lang w:val="fr-FR"/>
        </w:rPr>
        <w:t>nouvelles entrées et 82</w:t>
      </w:r>
      <w:r w:rsidR="00406F33" w:rsidRPr="001B3715">
        <w:rPr>
          <w:szCs w:val="22"/>
          <w:lang w:val="fr-FR"/>
        </w:rPr>
        <w:t> </w:t>
      </w:r>
      <w:r w:rsidRPr="001B3715">
        <w:rPr>
          <w:szCs w:val="22"/>
          <w:lang w:val="fr-FR"/>
        </w:rPr>
        <w:t>modifications qui figureront dans la 11</w:t>
      </w:r>
      <w:r w:rsidRPr="001B3715">
        <w:rPr>
          <w:szCs w:val="22"/>
          <w:vertAlign w:val="superscript"/>
          <w:lang w:val="fr-FR"/>
        </w:rPr>
        <w:t>e</w:t>
      </w:r>
      <w:r w:rsidRPr="001B3715">
        <w:rPr>
          <w:szCs w:val="22"/>
          <w:lang w:val="fr-FR"/>
        </w:rPr>
        <w:t> édition de la classification qui entrera en vigueur le</w:t>
      </w:r>
      <w:r w:rsidR="00502D05" w:rsidRPr="001B3715">
        <w:rPr>
          <w:szCs w:val="22"/>
          <w:lang w:val="fr-FR"/>
        </w:rPr>
        <w:t xml:space="preserve"> 1</w:t>
      </w:r>
      <w:r w:rsidR="00502D05" w:rsidRPr="001B3715">
        <w:rPr>
          <w:szCs w:val="22"/>
          <w:vertAlign w:val="superscript"/>
          <w:lang w:val="fr-FR"/>
        </w:rPr>
        <w:t>er</w:t>
      </w:r>
      <w:r w:rsidR="00502D05" w:rsidRPr="001B3715">
        <w:rPr>
          <w:szCs w:val="22"/>
          <w:lang w:val="fr-FR"/>
        </w:rPr>
        <w:t> </w:t>
      </w:r>
      <w:r w:rsidRPr="001B3715">
        <w:rPr>
          <w:szCs w:val="22"/>
          <w:lang w:val="fr-FR"/>
        </w:rPr>
        <w:t>janvier 2017.</w:t>
      </w:r>
    </w:p>
    <w:p w14:paraId="09A3EEF4" w14:textId="23975A53" w:rsidR="00F24FC6" w:rsidRPr="001B3715" w:rsidRDefault="00F24FC6" w:rsidP="00F24FC6">
      <w:pPr>
        <w:pStyle w:val="ONUMFS"/>
        <w:rPr>
          <w:szCs w:val="22"/>
          <w:lang w:val="fr-FR"/>
        </w:rPr>
      </w:pPr>
      <w:r w:rsidRPr="001B3715">
        <w:rPr>
          <w:b/>
          <w:szCs w:val="22"/>
          <w:lang w:val="fr-FR"/>
        </w:rPr>
        <w:t xml:space="preserve">Plateformes mondiales de propriété intellectuelle – WIPO DAS et </w:t>
      </w:r>
      <w:r w:rsidR="00502D05" w:rsidRPr="001B3715">
        <w:rPr>
          <w:b/>
          <w:szCs w:val="22"/>
          <w:lang w:val="fr-FR"/>
        </w:rPr>
        <w:t>WIPO CASE</w:t>
      </w:r>
      <w:r w:rsidRPr="001B3715">
        <w:rPr>
          <w:b/>
          <w:szCs w:val="22"/>
          <w:lang w:val="fr-FR"/>
        </w:rPr>
        <w:t>.</w:t>
      </w:r>
      <w:r w:rsidRPr="001B3715">
        <w:rPr>
          <w:b/>
          <w:lang w:val="fr-FR"/>
        </w:rPr>
        <w:t xml:space="preserve">  </w:t>
      </w:r>
      <w:r w:rsidRPr="001B3715">
        <w:rPr>
          <w:szCs w:val="22"/>
          <w:lang w:val="fr-FR"/>
        </w:rPr>
        <w:t>L</w:t>
      </w:r>
      <w:r w:rsidR="00502D05" w:rsidRPr="001B3715">
        <w:rPr>
          <w:szCs w:val="22"/>
          <w:lang w:val="fr-FR"/>
        </w:rPr>
        <w:t>’</w:t>
      </w:r>
      <w:r w:rsidRPr="001B3715">
        <w:rPr>
          <w:szCs w:val="22"/>
          <w:lang w:val="fr-FR"/>
        </w:rPr>
        <w:t>OMPI a créé des plateformes mondiales de propriété intellectuelle visant à faciliter certains processus opérationnels dans le cadre desquels les offices de propriété intellectuelle doivent se coordonner ou partager des informations et de la documentation aux fins du dépôt ou du traitement des demandes internationales de titres de propriété intellectuel</w:t>
      </w:r>
      <w:r w:rsidR="001B3715" w:rsidRPr="001B3715">
        <w:rPr>
          <w:szCs w:val="22"/>
          <w:lang w:val="fr-FR"/>
        </w:rPr>
        <w:t>le.  Ce</w:t>
      </w:r>
      <w:r w:rsidRPr="001B3715">
        <w:rPr>
          <w:szCs w:val="22"/>
          <w:lang w:val="fr-FR"/>
        </w:rPr>
        <w:t>s plateformes tiennent compte des spécificités des différents offices de propriété intellectuelle et s</w:t>
      </w:r>
      <w:r w:rsidR="00502D05" w:rsidRPr="001B3715">
        <w:rPr>
          <w:szCs w:val="22"/>
          <w:lang w:val="fr-FR"/>
        </w:rPr>
        <w:t>’</w:t>
      </w:r>
      <w:r w:rsidRPr="001B3715">
        <w:rPr>
          <w:szCs w:val="22"/>
          <w:lang w:val="fr-FR"/>
        </w:rPr>
        <w:t>appuient sur les normes de l</w:t>
      </w:r>
      <w:r w:rsidR="00502D05" w:rsidRPr="001B3715">
        <w:rPr>
          <w:szCs w:val="22"/>
          <w:lang w:val="fr-FR"/>
        </w:rPr>
        <w:t>’</w:t>
      </w:r>
      <w:r w:rsidRPr="001B3715">
        <w:rPr>
          <w:szCs w:val="22"/>
          <w:lang w:val="fr-FR"/>
        </w:rPr>
        <w:t>OMPI pour que les offices puissent facilement intégrer les plateformes dans leurs propres systèmes opérationnels.</w:t>
      </w:r>
    </w:p>
    <w:p w14:paraId="7112B924" w14:textId="23FE3E0F" w:rsidR="00F24FC6" w:rsidRPr="001B3715" w:rsidRDefault="00F24FC6" w:rsidP="00F24FC6">
      <w:pPr>
        <w:pStyle w:val="ONUMFS"/>
        <w:rPr>
          <w:szCs w:val="22"/>
          <w:lang w:val="fr-FR"/>
        </w:rPr>
      </w:pPr>
      <w:r w:rsidRPr="001B3715">
        <w:rPr>
          <w:b/>
          <w:szCs w:val="22"/>
          <w:lang w:val="fr-FR"/>
        </w:rPr>
        <w:t>WIPO DAS (service d</w:t>
      </w:r>
      <w:r w:rsidR="00502D05" w:rsidRPr="001B3715">
        <w:rPr>
          <w:b/>
          <w:szCs w:val="22"/>
          <w:lang w:val="fr-FR"/>
        </w:rPr>
        <w:t>’</w:t>
      </w:r>
      <w:r w:rsidRPr="001B3715">
        <w:rPr>
          <w:b/>
          <w:szCs w:val="22"/>
          <w:lang w:val="fr-FR"/>
        </w:rPr>
        <w:t>accès numérique)</w:t>
      </w:r>
      <w:r w:rsidRPr="001B3715">
        <w:rPr>
          <w:szCs w:val="22"/>
          <w:lang w:val="fr-FR"/>
        </w:rPr>
        <w:t xml:space="preserve"> est actuellement utilisé par 11</w:t>
      </w:r>
      <w:r w:rsidR="00406F33" w:rsidRPr="001B3715">
        <w:rPr>
          <w:szCs w:val="22"/>
          <w:lang w:val="fr-FR"/>
        </w:rPr>
        <w:t> </w:t>
      </w:r>
      <w:r w:rsidRPr="001B3715">
        <w:rPr>
          <w:szCs w:val="22"/>
          <w:lang w:val="fr-FR"/>
        </w:rPr>
        <w:t>offices de propriété intellectuelle participants, ainsi que par le Bureau international, pour échanger de façon sécurisée les documents de priorité relatifs aux breve</w:t>
      </w:r>
      <w:r w:rsidR="001B3715" w:rsidRPr="001B3715">
        <w:rPr>
          <w:szCs w:val="22"/>
          <w:lang w:val="fr-FR"/>
        </w:rPr>
        <w:t>ts.  Ap</w:t>
      </w:r>
      <w:r w:rsidRPr="001B3715">
        <w:rPr>
          <w:szCs w:val="22"/>
          <w:lang w:val="fr-FR"/>
        </w:rPr>
        <w:t>rès une période de stabilisation en ce qui concerne le nombre de participants au cours du précédent exercice biennal, on constate un regain d</w:t>
      </w:r>
      <w:r w:rsidR="00502D05" w:rsidRPr="001B3715">
        <w:rPr>
          <w:szCs w:val="22"/>
          <w:lang w:val="fr-FR"/>
        </w:rPr>
        <w:t>’</w:t>
      </w:r>
      <w:r w:rsidRPr="001B3715">
        <w:rPr>
          <w:szCs w:val="22"/>
          <w:lang w:val="fr-FR"/>
        </w:rPr>
        <w:t>intérêt pour le système parmi les offices de propriété intellectuelle, qui souhaitent prendre part au système et en étendre l</w:t>
      </w:r>
      <w:r w:rsidR="00502D05" w:rsidRPr="001B3715">
        <w:rPr>
          <w:szCs w:val="22"/>
          <w:lang w:val="fr-FR"/>
        </w:rPr>
        <w:t>’</w:t>
      </w:r>
      <w:r w:rsidRPr="001B3715">
        <w:rPr>
          <w:szCs w:val="22"/>
          <w:lang w:val="fr-FR"/>
        </w:rPr>
        <w:t>utilisation à l</w:t>
      </w:r>
      <w:r w:rsidR="00502D05" w:rsidRPr="001B3715">
        <w:rPr>
          <w:szCs w:val="22"/>
          <w:lang w:val="fr-FR"/>
        </w:rPr>
        <w:t>’</w:t>
      </w:r>
      <w:r w:rsidRPr="001B3715">
        <w:rPr>
          <w:szCs w:val="22"/>
          <w:lang w:val="fr-FR"/>
        </w:rPr>
        <w:t>échange des documents de priorité relatifs aux demandes d</w:t>
      </w:r>
      <w:r w:rsidR="00502D05" w:rsidRPr="001B3715">
        <w:rPr>
          <w:szCs w:val="22"/>
          <w:lang w:val="fr-FR"/>
        </w:rPr>
        <w:t>’</w:t>
      </w:r>
      <w:r w:rsidRPr="001B3715">
        <w:rPr>
          <w:szCs w:val="22"/>
          <w:lang w:val="fr-FR"/>
        </w:rPr>
        <w:t>enregistrement de dessins et modèles industriels.</w:t>
      </w:r>
    </w:p>
    <w:p w14:paraId="76558440" w14:textId="77256D05" w:rsidR="00F24FC6" w:rsidRPr="001B3715" w:rsidRDefault="00F24FC6" w:rsidP="00F24FC6">
      <w:pPr>
        <w:pStyle w:val="ONUMFS"/>
        <w:rPr>
          <w:szCs w:val="22"/>
          <w:lang w:val="fr-FR"/>
        </w:rPr>
      </w:pPr>
      <w:r w:rsidRPr="001B3715">
        <w:rPr>
          <w:szCs w:val="22"/>
          <w:lang w:val="fr-FR"/>
        </w:rPr>
        <w:lastRenderedPageBreak/>
        <w:t xml:space="preserve">La plateforme </w:t>
      </w:r>
      <w:r w:rsidR="00502D05" w:rsidRPr="001B3715">
        <w:rPr>
          <w:b/>
          <w:szCs w:val="22"/>
          <w:lang w:val="fr-FR"/>
        </w:rPr>
        <w:t>WIPO CASE</w:t>
      </w:r>
      <w:r w:rsidRPr="001B3715">
        <w:rPr>
          <w:szCs w:val="22"/>
          <w:lang w:val="fr-FR"/>
        </w:rPr>
        <w:t xml:space="preserve"> est une solution complète qui permet aux examinateurs de brevets d</w:t>
      </w:r>
      <w:r w:rsidR="00502D05" w:rsidRPr="001B3715">
        <w:rPr>
          <w:szCs w:val="22"/>
          <w:lang w:val="fr-FR"/>
        </w:rPr>
        <w:t>’</w:t>
      </w:r>
      <w:r w:rsidRPr="001B3715">
        <w:rPr>
          <w:szCs w:val="22"/>
          <w:lang w:val="fr-FR"/>
        </w:rPr>
        <w:t>échanger des résultats de recherche et d</w:t>
      </w:r>
      <w:r w:rsidR="00502D05" w:rsidRPr="001B3715">
        <w:rPr>
          <w:szCs w:val="22"/>
          <w:lang w:val="fr-FR"/>
        </w:rPr>
        <w:t>’</w:t>
      </w:r>
      <w:r w:rsidRPr="001B3715">
        <w:rPr>
          <w:szCs w:val="22"/>
          <w:lang w:val="fr-FR"/>
        </w:rPr>
        <w:t>examen dans un but d</w:t>
      </w:r>
      <w:r w:rsidR="00502D05" w:rsidRPr="001B3715">
        <w:rPr>
          <w:szCs w:val="22"/>
          <w:lang w:val="fr-FR"/>
        </w:rPr>
        <w:t>’</w:t>
      </w:r>
      <w:r w:rsidRPr="001B3715">
        <w:rPr>
          <w:szCs w:val="22"/>
          <w:lang w:val="fr-FR"/>
        </w:rPr>
        <w:t>amélioration de la qualité et de la productivi</w:t>
      </w:r>
      <w:r w:rsidR="001B3715" w:rsidRPr="001B3715">
        <w:rPr>
          <w:szCs w:val="22"/>
          <w:lang w:val="fr-FR"/>
        </w:rPr>
        <w:t>té.  Ce</w:t>
      </w:r>
      <w:r w:rsidRPr="001B3715">
        <w:rPr>
          <w:szCs w:val="22"/>
          <w:lang w:val="fr-FR"/>
        </w:rPr>
        <w:t>tte plateforme compte actuellement 24</w:t>
      </w:r>
      <w:r w:rsidR="00406F33" w:rsidRPr="001B3715">
        <w:rPr>
          <w:szCs w:val="22"/>
          <w:lang w:val="fr-FR"/>
        </w:rPr>
        <w:t> </w:t>
      </w:r>
      <w:r w:rsidRPr="001B3715">
        <w:rPr>
          <w:szCs w:val="22"/>
          <w:lang w:val="fr-FR"/>
        </w:rPr>
        <w:t>offices participants, dont 10</w:t>
      </w:r>
      <w:r w:rsidR="00406F33" w:rsidRPr="001B3715">
        <w:rPr>
          <w:szCs w:val="22"/>
          <w:lang w:val="fr-FR"/>
        </w:rPr>
        <w:t> </w:t>
      </w:r>
      <w:r w:rsidRPr="001B3715">
        <w:rPr>
          <w:szCs w:val="22"/>
          <w:lang w:val="fr-FR"/>
        </w:rPr>
        <w:t>offices fournisseurs qui mettent leurs documents de recherche et d</w:t>
      </w:r>
      <w:r w:rsidR="00502D05" w:rsidRPr="001B3715">
        <w:rPr>
          <w:szCs w:val="22"/>
          <w:lang w:val="fr-FR"/>
        </w:rPr>
        <w:t>’</w:t>
      </w:r>
      <w:r w:rsidRPr="001B3715">
        <w:rPr>
          <w:szCs w:val="22"/>
          <w:lang w:val="fr-FR"/>
        </w:rPr>
        <w:t>examen relatifs à des demandes de brevet à la disposition des autres offic</w:t>
      </w:r>
      <w:r w:rsidR="001B3715" w:rsidRPr="001B3715">
        <w:rPr>
          <w:szCs w:val="22"/>
          <w:lang w:val="fr-FR"/>
        </w:rPr>
        <w:t>es.  To</w:t>
      </w:r>
      <w:r w:rsidRPr="001B3715">
        <w:rPr>
          <w:szCs w:val="22"/>
          <w:lang w:val="fr-FR"/>
        </w:rPr>
        <w:t>us les offices de l</w:t>
      </w:r>
      <w:r w:rsidR="00502D05" w:rsidRPr="001B3715">
        <w:rPr>
          <w:szCs w:val="22"/>
          <w:lang w:val="fr-FR"/>
        </w:rPr>
        <w:t>’</w:t>
      </w:r>
      <w:r w:rsidRPr="001B3715">
        <w:rPr>
          <w:szCs w:val="22"/>
          <w:lang w:val="fr-FR"/>
        </w:rPr>
        <w:t>IP5 participent actuellement à cette plateforme en tant qu</w:t>
      </w:r>
      <w:r w:rsidR="00502D05" w:rsidRPr="001B3715">
        <w:rPr>
          <w:szCs w:val="22"/>
          <w:lang w:val="fr-FR"/>
        </w:rPr>
        <w:t>’</w:t>
      </w:r>
      <w:r w:rsidRPr="001B3715">
        <w:rPr>
          <w:szCs w:val="22"/>
          <w:lang w:val="fr-FR"/>
        </w:rPr>
        <w:t>offices fournisseurs et devraient être suivis très prochainement par plusieurs autres offices fournisseurs.</w:t>
      </w:r>
    </w:p>
    <w:p w14:paraId="54A0A16C" w14:textId="77777777" w:rsidR="00734D51" w:rsidRPr="001B3715" w:rsidRDefault="00734D51" w:rsidP="003056BB">
      <w:pPr>
        <w:pStyle w:val="Heading3"/>
        <w:rPr>
          <w:caps/>
          <w:lang w:val="fr-FR"/>
        </w:rPr>
      </w:pPr>
      <w:r w:rsidRPr="001B3715">
        <w:rPr>
          <w:lang w:val="fr-FR"/>
        </w:rPr>
        <w:t>Coopération en matière de développement et renforcement des capacités</w:t>
      </w:r>
    </w:p>
    <w:p w14:paraId="315D870C" w14:textId="77777777" w:rsidR="00734D51" w:rsidRPr="001B3715" w:rsidRDefault="00734D51" w:rsidP="003056BB">
      <w:pPr>
        <w:keepNext/>
        <w:rPr>
          <w:szCs w:val="22"/>
          <w:lang w:val="fr-FR"/>
        </w:rPr>
      </w:pPr>
    </w:p>
    <w:p w14:paraId="6C12B6E4" w14:textId="4E697A81" w:rsidR="00734D51" w:rsidRPr="001B3715" w:rsidRDefault="00734D51" w:rsidP="00734D51">
      <w:pPr>
        <w:pStyle w:val="ONUMFS"/>
        <w:rPr>
          <w:lang w:val="fr-FR"/>
        </w:rPr>
      </w:pPr>
      <w:r w:rsidRPr="001B3715">
        <w:rPr>
          <w:b/>
          <w:lang w:val="fr-FR"/>
        </w:rPr>
        <w:t>Plans et stratégies de propriété intellectuelle à l</w:t>
      </w:r>
      <w:r w:rsidR="00502D05" w:rsidRPr="001B3715">
        <w:rPr>
          <w:b/>
          <w:lang w:val="fr-FR"/>
        </w:rPr>
        <w:t>’</w:t>
      </w:r>
      <w:r w:rsidRPr="001B3715">
        <w:rPr>
          <w:b/>
          <w:lang w:val="fr-FR"/>
        </w:rPr>
        <w:t xml:space="preserve">échelle nationale.  </w:t>
      </w:r>
      <w:r w:rsidRPr="001B3715">
        <w:rPr>
          <w:lang w:val="fr-FR"/>
        </w:rPr>
        <w:t>L</w:t>
      </w:r>
      <w:r w:rsidR="00502D05" w:rsidRPr="001B3715">
        <w:rPr>
          <w:lang w:val="fr-FR"/>
        </w:rPr>
        <w:t>’</w:t>
      </w:r>
      <w:r w:rsidRPr="001B3715">
        <w:rPr>
          <w:lang w:val="fr-FR"/>
        </w:rPr>
        <w:t>OMPI a continué d</w:t>
      </w:r>
      <w:r w:rsidR="00502D05" w:rsidRPr="001B3715">
        <w:rPr>
          <w:lang w:val="fr-FR"/>
        </w:rPr>
        <w:t>’</w:t>
      </w:r>
      <w:r w:rsidRPr="001B3715">
        <w:rPr>
          <w:lang w:val="fr-FR"/>
        </w:rPr>
        <w:t>apporter son aide et son assistance aux pays en transition, aux pays en développement et aux PMA pour la conception, l</w:t>
      </w:r>
      <w:r w:rsidR="00502D05" w:rsidRPr="001B3715">
        <w:rPr>
          <w:lang w:val="fr-FR"/>
        </w:rPr>
        <w:t>’</w:t>
      </w:r>
      <w:r w:rsidRPr="001B3715">
        <w:rPr>
          <w:lang w:val="fr-FR"/>
        </w:rPr>
        <w:t>élaboration et la mise en œuvre de stratégies nationales de propriété intellectuelle qui soient à la fois cohérentes avec leurs plans de développement généraux et capables de stimuler l</w:t>
      </w:r>
      <w:r w:rsidR="00502D05" w:rsidRPr="001B3715">
        <w:rPr>
          <w:lang w:val="fr-FR"/>
        </w:rPr>
        <w:t>’</w:t>
      </w:r>
      <w:r w:rsidRPr="001B3715">
        <w:rPr>
          <w:lang w:val="fr-FR"/>
        </w:rPr>
        <w:t>innovation et la créativi</w:t>
      </w:r>
      <w:r w:rsidR="001B3715" w:rsidRPr="001B3715">
        <w:rPr>
          <w:lang w:val="fr-FR"/>
        </w:rPr>
        <w:t xml:space="preserve">té.  À </w:t>
      </w:r>
      <w:r w:rsidRPr="001B3715">
        <w:rPr>
          <w:lang w:val="fr-FR"/>
        </w:rPr>
        <w:t>la fin de 2015, des stratégies de propriété intellectuelle à l</w:t>
      </w:r>
      <w:r w:rsidR="00502D05" w:rsidRPr="001B3715">
        <w:rPr>
          <w:lang w:val="fr-FR"/>
        </w:rPr>
        <w:t>’</w:t>
      </w:r>
      <w:r w:rsidRPr="001B3715">
        <w:rPr>
          <w:lang w:val="fr-FR"/>
        </w:rPr>
        <w:t xml:space="preserve">échelle nationale avaient été adoptées ou étaient en cours de mise en œuvre dans </w:t>
      </w:r>
      <w:r w:rsidR="005F0333" w:rsidRPr="001B3715">
        <w:rPr>
          <w:lang w:val="fr-FR"/>
        </w:rPr>
        <w:t>62</w:t>
      </w:r>
      <w:r w:rsidRPr="001B3715">
        <w:rPr>
          <w:lang w:val="fr-FR"/>
        </w:rPr>
        <w:t xml:space="preserve"> pays au total (26 en Afrique, </w:t>
      </w:r>
      <w:r w:rsidR="00E87A3F" w:rsidRPr="001B3715">
        <w:rPr>
          <w:lang w:val="fr-FR"/>
        </w:rPr>
        <w:t>2</w:t>
      </w:r>
      <w:r w:rsidRPr="001B3715">
        <w:rPr>
          <w:lang w:val="fr-FR"/>
        </w:rPr>
        <w:t xml:space="preserve"> dans les pays arabes, </w:t>
      </w:r>
      <w:r w:rsidR="00E87A3F" w:rsidRPr="001B3715">
        <w:rPr>
          <w:lang w:val="fr-FR"/>
        </w:rPr>
        <w:t>8</w:t>
      </w:r>
      <w:r w:rsidR="005A42E7" w:rsidRPr="001B3715">
        <w:rPr>
          <w:lang w:val="fr-FR"/>
        </w:rPr>
        <w:t> </w:t>
      </w:r>
      <w:r w:rsidRPr="001B3715">
        <w:rPr>
          <w:lang w:val="fr-FR"/>
        </w:rPr>
        <w:t>dans la région Asie et Pacifique</w:t>
      </w:r>
      <w:r w:rsidR="005F0333" w:rsidRPr="001B3715">
        <w:rPr>
          <w:lang w:val="fr-FR"/>
        </w:rPr>
        <w:t>,</w:t>
      </w:r>
      <w:r w:rsidRPr="001B3715">
        <w:rPr>
          <w:lang w:val="fr-FR"/>
        </w:rPr>
        <w:t xml:space="preserve"> </w:t>
      </w:r>
      <w:r w:rsidR="00E87A3F" w:rsidRPr="001B3715">
        <w:rPr>
          <w:lang w:val="fr-FR"/>
        </w:rPr>
        <w:t>8</w:t>
      </w:r>
      <w:r w:rsidR="005A42E7" w:rsidRPr="001B3715">
        <w:rPr>
          <w:lang w:val="fr-FR"/>
        </w:rPr>
        <w:t> </w:t>
      </w:r>
      <w:r w:rsidRPr="001B3715">
        <w:rPr>
          <w:lang w:val="fr-FR"/>
        </w:rPr>
        <w:t>dans la région Amérique latine et Caraïbes</w:t>
      </w:r>
      <w:r w:rsidR="005F0333" w:rsidRPr="001B3715">
        <w:rPr>
          <w:lang w:val="fr-FR"/>
        </w:rPr>
        <w:t xml:space="preserve"> et 18 dans des pays en transition</w:t>
      </w:r>
      <w:r w:rsidRPr="001B3715">
        <w:rPr>
          <w:lang w:val="fr-FR"/>
        </w:rPr>
        <w:t>), 19 d</w:t>
      </w:r>
      <w:r w:rsidR="00502D05" w:rsidRPr="001B3715">
        <w:rPr>
          <w:lang w:val="fr-FR"/>
        </w:rPr>
        <w:t>’</w:t>
      </w:r>
      <w:r w:rsidRPr="001B3715">
        <w:rPr>
          <w:lang w:val="fr-FR"/>
        </w:rPr>
        <w:t>entre eux étant des PMA.</w:t>
      </w:r>
    </w:p>
    <w:p w14:paraId="6E48C49B" w14:textId="3A4AD9D7" w:rsidR="00734D51" w:rsidRPr="001B3715" w:rsidRDefault="00734D51" w:rsidP="00734D51">
      <w:pPr>
        <w:pStyle w:val="ONUMFS"/>
        <w:rPr>
          <w:lang w:val="fr-FR"/>
        </w:rPr>
      </w:pPr>
      <w:r w:rsidRPr="001B3715">
        <w:rPr>
          <w:b/>
          <w:lang w:val="fr-FR"/>
        </w:rPr>
        <w:t>Infrastructure techniq</w:t>
      </w:r>
      <w:r w:rsidR="001B3715" w:rsidRPr="001B3715">
        <w:rPr>
          <w:b/>
          <w:lang w:val="fr-FR"/>
        </w:rPr>
        <w:t xml:space="preserve">ue.  </w:t>
      </w:r>
      <w:r w:rsidR="001B3715" w:rsidRPr="001B3715">
        <w:rPr>
          <w:lang w:val="fr-FR"/>
        </w:rPr>
        <w:t>De</w:t>
      </w:r>
      <w:r w:rsidRPr="001B3715">
        <w:rPr>
          <w:lang w:val="fr-FR"/>
        </w:rPr>
        <w:t>puis de nombreuses années, l</w:t>
      </w:r>
      <w:r w:rsidR="00502D05" w:rsidRPr="001B3715">
        <w:rPr>
          <w:lang w:val="fr-FR"/>
        </w:rPr>
        <w:t>’</w:t>
      </w:r>
      <w:r w:rsidRPr="001B3715">
        <w:rPr>
          <w:lang w:val="fr-FR"/>
        </w:rPr>
        <w:t>OMPI apporte une assistance technique aux offices de propriété intellectuelle pour les aider à fournir des services de meilleure qualité à leurs utilisateurs, notamment aux déposants et aux titulaires de droits de propriété intellectuel</w:t>
      </w:r>
      <w:r w:rsidR="001B3715" w:rsidRPr="001B3715">
        <w:rPr>
          <w:lang w:val="fr-FR"/>
        </w:rPr>
        <w:t>le.  Le</w:t>
      </w:r>
      <w:r w:rsidRPr="001B3715">
        <w:rPr>
          <w:lang w:val="fr-FR"/>
        </w:rPr>
        <w:t xml:space="preserve"> système d</w:t>
      </w:r>
      <w:r w:rsidR="00502D05" w:rsidRPr="001B3715">
        <w:rPr>
          <w:lang w:val="fr-FR"/>
        </w:rPr>
        <w:t>’</w:t>
      </w:r>
      <w:r w:rsidRPr="001B3715">
        <w:rPr>
          <w:lang w:val="fr-FR"/>
        </w:rPr>
        <w:t>automatisation de la propriété industrielle (IPAS), qui est à la base de cette assistance, est désormais utilisé dans 77 pays du monde enti</w:t>
      </w:r>
      <w:r w:rsidR="001B3715" w:rsidRPr="001B3715">
        <w:rPr>
          <w:lang w:val="fr-FR"/>
        </w:rPr>
        <w:t>er.  Le</w:t>
      </w:r>
      <w:r w:rsidRPr="001B3715">
        <w:rPr>
          <w:lang w:val="fr-FR"/>
        </w:rPr>
        <w:t xml:space="preserve"> système IPAS est aujourd</w:t>
      </w:r>
      <w:r w:rsidR="00502D05" w:rsidRPr="001B3715">
        <w:rPr>
          <w:lang w:val="fr-FR"/>
        </w:rPr>
        <w:t>’</w:t>
      </w:r>
      <w:r w:rsidRPr="001B3715">
        <w:rPr>
          <w:lang w:val="fr-FR"/>
        </w:rPr>
        <w:t>hui complété par des modules permettant le traitement électronique des documents (WIPO Scan et EDMS), la publication et la diffusion en ligne de l</w:t>
      </w:r>
      <w:r w:rsidR="00502D05" w:rsidRPr="001B3715">
        <w:rPr>
          <w:lang w:val="fr-FR"/>
        </w:rPr>
        <w:t>’</w:t>
      </w:r>
      <w:r w:rsidRPr="001B3715">
        <w:rPr>
          <w:lang w:val="fr-FR"/>
        </w:rPr>
        <w:t xml:space="preserve">information en matière de propriété intellectuelle (WIPO </w:t>
      </w:r>
      <w:proofErr w:type="spellStart"/>
      <w:r w:rsidRPr="001B3715">
        <w:rPr>
          <w:lang w:val="fr-FR"/>
        </w:rPr>
        <w:t>Publish</w:t>
      </w:r>
      <w:proofErr w:type="spellEnd"/>
      <w:r w:rsidRPr="001B3715">
        <w:rPr>
          <w:lang w:val="fr-FR"/>
        </w:rPr>
        <w:t>), le dépôt en ligne des demandes et la réalisation en ligne de transactions ultérieures (WIPO Fi</w:t>
      </w:r>
      <w:r w:rsidR="001B3715" w:rsidRPr="001B3715">
        <w:rPr>
          <w:lang w:val="fr-FR"/>
        </w:rPr>
        <w:t>le).  Co</w:t>
      </w:r>
      <w:r w:rsidRPr="001B3715">
        <w:rPr>
          <w:lang w:val="fr-FR"/>
        </w:rPr>
        <w:t>mplémentaires, ces systèmes offrent désormais aux offices de propriété intellectuelle une solution complète leur permettant de mener leurs activités dans un environnement opérationnel qui est accessible en ligne et totalement numériq</w:t>
      </w:r>
      <w:r w:rsidR="001B3715" w:rsidRPr="001B3715">
        <w:rPr>
          <w:lang w:val="fr-FR"/>
        </w:rPr>
        <w:t>ue.  Af</w:t>
      </w:r>
      <w:r w:rsidRPr="001B3715">
        <w:rPr>
          <w:lang w:val="fr-FR"/>
        </w:rPr>
        <w:t>in d</w:t>
      </w:r>
      <w:r w:rsidR="00502D05" w:rsidRPr="001B3715">
        <w:rPr>
          <w:lang w:val="fr-FR"/>
        </w:rPr>
        <w:t>’</w:t>
      </w:r>
      <w:r w:rsidRPr="001B3715">
        <w:rPr>
          <w:lang w:val="fr-FR"/>
        </w:rPr>
        <w:t>aider les offices de propriété intellectuelle à utiliser ces systèmes, l</w:t>
      </w:r>
      <w:r w:rsidR="00502D05" w:rsidRPr="001B3715">
        <w:rPr>
          <w:lang w:val="fr-FR"/>
        </w:rPr>
        <w:t>’</w:t>
      </w:r>
      <w:r w:rsidRPr="001B3715">
        <w:rPr>
          <w:lang w:val="fr-FR"/>
        </w:rPr>
        <w:t>OMPI a renforcé ses activités pour fournir une assistance dans les domaines suivants : évaluation des besoins opérationnels et organisation des tâches, numérisation des données de propriété intellectuelle, formation et transfert de connaissances, assistance et suivi continus.</w:t>
      </w:r>
    </w:p>
    <w:p w14:paraId="779533A2" w14:textId="2D4AD166" w:rsidR="00734D51" w:rsidRPr="001B3715" w:rsidRDefault="00734D51" w:rsidP="00734D51">
      <w:pPr>
        <w:pStyle w:val="ONUMFS"/>
        <w:rPr>
          <w:lang w:val="fr-FR"/>
        </w:rPr>
      </w:pPr>
      <w:r w:rsidRPr="001B3715">
        <w:rPr>
          <w:lang w:val="fr-FR"/>
        </w:rPr>
        <w:t>Dans le domaine de la gestion collective du droit d</w:t>
      </w:r>
      <w:r w:rsidR="00502D05" w:rsidRPr="001B3715">
        <w:rPr>
          <w:lang w:val="fr-FR"/>
        </w:rPr>
        <w:t>’</w:t>
      </w:r>
      <w:r w:rsidRPr="001B3715">
        <w:rPr>
          <w:lang w:val="fr-FR"/>
        </w:rPr>
        <w:t>auteur et des droits voisins, l</w:t>
      </w:r>
      <w:r w:rsidR="00502D05" w:rsidRPr="001B3715">
        <w:rPr>
          <w:lang w:val="fr-FR"/>
        </w:rPr>
        <w:t>’</w:t>
      </w:r>
      <w:r w:rsidRPr="001B3715">
        <w:rPr>
          <w:lang w:val="fr-FR"/>
        </w:rPr>
        <w:t>OMPI a achevé l</w:t>
      </w:r>
      <w:r w:rsidR="00502D05" w:rsidRPr="001B3715">
        <w:rPr>
          <w:lang w:val="fr-FR"/>
        </w:rPr>
        <w:t>’</w:t>
      </w:r>
      <w:r w:rsidRPr="001B3715">
        <w:rPr>
          <w:lang w:val="fr-FR"/>
        </w:rPr>
        <w:t>élaboration de la première phase du système</w:t>
      </w:r>
      <w:r w:rsidR="00F13D36" w:rsidRPr="001B3715">
        <w:rPr>
          <w:lang w:val="fr-FR"/>
        </w:rPr>
        <w:t xml:space="preserve"> WIPO </w:t>
      </w:r>
      <w:proofErr w:type="spellStart"/>
      <w:r w:rsidRPr="001B3715">
        <w:rPr>
          <w:lang w:val="fr-FR"/>
        </w:rPr>
        <w:t>Conne</w:t>
      </w:r>
      <w:r w:rsidR="001B3715" w:rsidRPr="001B3715">
        <w:rPr>
          <w:lang w:val="fr-FR"/>
        </w:rPr>
        <w:t>ct</w:t>
      </w:r>
      <w:proofErr w:type="spellEnd"/>
      <w:r w:rsidR="001B3715" w:rsidRPr="001B3715">
        <w:rPr>
          <w:lang w:val="fr-FR"/>
        </w:rPr>
        <w:t>.  Il</w:t>
      </w:r>
      <w:r w:rsidRPr="001B3715">
        <w:rPr>
          <w:lang w:val="fr-FR"/>
        </w:rPr>
        <w:t xml:space="preserve"> s</w:t>
      </w:r>
      <w:r w:rsidR="00502D05" w:rsidRPr="001B3715">
        <w:rPr>
          <w:lang w:val="fr-FR"/>
        </w:rPr>
        <w:t>’</w:t>
      </w:r>
      <w:r w:rsidRPr="001B3715">
        <w:rPr>
          <w:lang w:val="fr-FR"/>
        </w:rPr>
        <w:t>agit d</w:t>
      </w:r>
      <w:r w:rsidR="00502D05" w:rsidRPr="001B3715">
        <w:rPr>
          <w:lang w:val="fr-FR"/>
        </w:rPr>
        <w:t>’</w:t>
      </w:r>
      <w:r w:rsidRPr="001B3715">
        <w:rPr>
          <w:lang w:val="fr-FR"/>
        </w:rPr>
        <w:t>une solution interconnectée destinée aux organismes de gestion collective pour les aider à gérer les droits et les redevances dans un environnement opérationnel qui évolue rapideme</w:t>
      </w:r>
      <w:r w:rsidR="001B3715" w:rsidRPr="001B3715">
        <w:rPr>
          <w:lang w:val="fr-FR"/>
        </w:rPr>
        <w:t>nt.  Le</w:t>
      </w:r>
      <w:r w:rsidRPr="001B3715">
        <w:rPr>
          <w:lang w:val="fr-FR"/>
        </w:rPr>
        <w:t xml:space="preserve"> projet de deux ans a été achevé avec succès au milieu de l</w:t>
      </w:r>
      <w:r w:rsidR="00502D05" w:rsidRPr="001B3715">
        <w:rPr>
          <w:lang w:val="fr-FR"/>
        </w:rPr>
        <w:t>’</w:t>
      </w:r>
      <w:r w:rsidRPr="001B3715">
        <w:rPr>
          <w:lang w:val="fr-FR"/>
        </w:rPr>
        <w:t>année 2016 et le système va être installé lors d</w:t>
      </w:r>
      <w:r w:rsidR="00502D05" w:rsidRPr="001B3715">
        <w:rPr>
          <w:lang w:val="fr-FR"/>
        </w:rPr>
        <w:t>’</w:t>
      </w:r>
      <w:r w:rsidRPr="001B3715">
        <w:rPr>
          <w:lang w:val="fr-FR"/>
        </w:rPr>
        <w:t>une phase pilote dans deux organismes de gestion collective de pays en développeme</w:t>
      </w:r>
      <w:r w:rsidR="001B3715" w:rsidRPr="001B3715">
        <w:rPr>
          <w:lang w:val="fr-FR"/>
        </w:rPr>
        <w:t>nt.  Dè</w:t>
      </w:r>
      <w:r w:rsidRPr="001B3715">
        <w:rPr>
          <w:lang w:val="fr-FR"/>
        </w:rPr>
        <w:t xml:space="preserve">s 2017, </w:t>
      </w:r>
      <w:r w:rsidR="00F13D36" w:rsidRPr="001B3715">
        <w:rPr>
          <w:lang w:val="fr-FR"/>
        </w:rPr>
        <w:t>WIPO </w:t>
      </w:r>
      <w:proofErr w:type="spellStart"/>
      <w:r w:rsidRPr="001B3715">
        <w:rPr>
          <w:lang w:val="fr-FR"/>
        </w:rPr>
        <w:t>Connect</w:t>
      </w:r>
      <w:proofErr w:type="spellEnd"/>
      <w:r w:rsidRPr="001B3715">
        <w:rPr>
          <w:lang w:val="fr-FR"/>
        </w:rPr>
        <w:t xml:space="preserve"> sera installé plus largement et commencera à remplacer l</w:t>
      </w:r>
      <w:r w:rsidR="00502D05" w:rsidRPr="001B3715">
        <w:rPr>
          <w:lang w:val="fr-FR"/>
        </w:rPr>
        <w:t>’</w:t>
      </w:r>
      <w:r w:rsidRPr="001B3715">
        <w:rPr>
          <w:lang w:val="fr-FR"/>
        </w:rPr>
        <w:t>ancien système WIPO</w:t>
      </w:r>
      <w:r w:rsidR="001B3715" w:rsidRPr="001B3715">
        <w:rPr>
          <w:lang w:val="fr-FR"/>
        </w:rPr>
        <w:t>COS.  La</w:t>
      </w:r>
      <w:r w:rsidRPr="001B3715">
        <w:rPr>
          <w:lang w:val="fr-FR"/>
        </w:rPr>
        <w:t xml:space="preserve"> deuxième phase du projet sera lancée prochainement pour fournir une aide concernant les droits des artistes interprètes ou exécutants en sus de l</w:t>
      </w:r>
      <w:r w:rsidR="00502D05" w:rsidRPr="001B3715">
        <w:rPr>
          <w:lang w:val="fr-FR"/>
        </w:rPr>
        <w:t>’</w:t>
      </w:r>
      <w:r w:rsidRPr="001B3715">
        <w:rPr>
          <w:lang w:val="fr-FR"/>
        </w:rPr>
        <w:t>aide actuellement fournie pour le droit d</w:t>
      </w:r>
      <w:r w:rsidR="00502D05" w:rsidRPr="001B3715">
        <w:rPr>
          <w:lang w:val="fr-FR"/>
        </w:rPr>
        <w:t>’</w:t>
      </w:r>
      <w:r w:rsidRPr="001B3715">
        <w:rPr>
          <w:lang w:val="fr-FR"/>
        </w:rPr>
        <w:t>auteur sur les œuvres musicales.</w:t>
      </w:r>
    </w:p>
    <w:p w14:paraId="2A411F12" w14:textId="59C133EB" w:rsidR="00596BE3" w:rsidRPr="001B3715" w:rsidRDefault="00734D51" w:rsidP="00596BE3">
      <w:pPr>
        <w:pStyle w:val="ONUMFS"/>
        <w:rPr>
          <w:lang w:val="fr-FR"/>
        </w:rPr>
      </w:pPr>
      <w:r w:rsidRPr="001B3715">
        <w:rPr>
          <w:lang w:val="fr-FR"/>
        </w:rPr>
        <w:t>Les centres d</w:t>
      </w:r>
      <w:r w:rsidR="00502D05" w:rsidRPr="001B3715">
        <w:rPr>
          <w:lang w:val="fr-FR"/>
        </w:rPr>
        <w:t>’</w:t>
      </w:r>
      <w:r w:rsidRPr="001B3715">
        <w:rPr>
          <w:lang w:val="fr-FR"/>
        </w:rPr>
        <w:t>appui à la technologie et à l</w:t>
      </w:r>
      <w:r w:rsidR="00502D05" w:rsidRPr="001B3715">
        <w:rPr>
          <w:lang w:val="fr-FR"/>
        </w:rPr>
        <w:t>’</w:t>
      </w:r>
      <w:r w:rsidRPr="001B3715">
        <w:rPr>
          <w:lang w:val="fr-FR"/>
        </w:rPr>
        <w:t>innovation (CATI) sont devenus l</w:t>
      </w:r>
      <w:r w:rsidR="00502D05" w:rsidRPr="001B3715">
        <w:rPr>
          <w:lang w:val="fr-FR"/>
        </w:rPr>
        <w:t>’</w:t>
      </w:r>
      <w:r w:rsidRPr="001B3715">
        <w:rPr>
          <w:lang w:val="fr-FR"/>
        </w:rPr>
        <w:t>un des programmes les plus populaires de l</w:t>
      </w:r>
      <w:r w:rsidR="00502D05" w:rsidRPr="001B3715">
        <w:rPr>
          <w:lang w:val="fr-FR"/>
        </w:rPr>
        <w:t>’</w:t>
      </w:r>
      <w:r w:rsidRPr="001B3715">
        <w:rPr>
          <w:lang w:val="fr-FR"/>
        </w:rPr>
        <w:t>Organisation et forment désormais un réseau national et mondial grandissant d</w:t>
      </w:r>
      <w:r w:rsidR="00502D05" w:rsidRPr="001B3715">
        <w:rPr>
          <w:lang w:val="fr-FR"/>
        </w:rPr>
        <w:t>’</w:t>
      </w:r>
      <w:r w:rsidRPr="001B3715">
        <w:rPr>
          <w:lang w:val="fr-FR"/>
        </w:rPr>
        <w:t>institutions favorisant l</w:t>
      </w:r>
      <w:r w:rsidR="00502D05" w:rsidRPr="001B3715">
        <w:rPr>
          <w:lang w:val="fr-FR"/>
        </w:rPr>
        <w:t>’</w:t>
      </w:r>
      <w:r w:rsidRPr="001B3715">
        <w:rPr>
          <w:lang w:val="fr-FR"/>
        </w:rPr>
        <w:t>innovati</w:t>
      </w:r>
      <w:r w:rsidR="001B3715" w:rsidRPr="001B3715">
        <w:rPr>
          <w:lang w:val="fr-FR"/>
        </w:rPr>
        <w:t>on.  Gr</w:t>
      </w:r>
      <w:r w:rsidRPr="001B3715">
        <w:rPr>
          <w:lang w:val="fr-FR"/>
        </w:rPr>
        <w:t>âce à une collaboration nationale et internationale, le programme permet de renforcer les capacités en formant le personnel et en aidant les utilisateurs locaux dans les institutions commerciales, universitaires et de recherche à trouver et à exploiter les données technologiques contenues dans les diverses bases de données d</w:t>
      </w:r>
      <w:r w:rsidR="00502D05" w:rsidRPr="001B3715">
        <w:rPr>
          <w:lang w:val="fr-FR"/>
        </w:rPr>
        <w:t>’</w:t>
      </w:r>
      <w:r w:rsidRPr="001B3715">
        <w:rPr>
          <w:lang w:val="fr-FR"/>
        </w:rPr>
        <w:t>information en matière de brevets et dans les revues scientifiques et techniqu</w:t>
      </w:r>
      <w:r w:rsidR="001B3715" w:rsidRPr="001B3715">
        <w:rPr>
          <w:lang w:val="fr-FR"/>
        </w:rPr>
        <w:t>es.  De</w:t>
      </w:r>
      <w:r w:rsidRPr="001B3715">
        <w:rPr>
          <w:lang w:val="fr-FR"/>
        </w:rPr>
        <w:t>s projets nationaux de CATI sont en cours dans 52 États membres, où plus de 450 centres ont été créés, et l</w:t>
      </w:r>
      <w:r w:rsidR="00502D05" w:rsidRPr="001B3715">
        <w:rPr>
          <w:lang w:val="fr-FR"/>
        </w:rPr>
        <w:t>’</w:t>
      </w:r>
      <w:r w:rsidRPr="001B3715">
        <w:rPr>
          <w:lang w:val="fr-FR"/>
        </w:rPr>
        <w:t xml:space="preserve">OMPI et des institutions partenaires nationales donnent suite à au moins </w:t>
      </w:r>
      <w:r w:rsidRPr="001B3715">
        <w:rPr>
          <w:lang w:val="fr-FR"/>
        </w:rPr>
        <w:lastRenderedPageBreak/>
        <w:t>20 nouvelles demandes émanant d</w:t>
      </w:r>
      <w:r w:rsidR="00502D05" w:rsidRPr="001B3715">
        <w:rPr>
          <w:lang w:val="fr-FR"/>
        </w:rPr>
        <w:t>’</w:t>
      </w:r>
      <w:r w:rsidRPr="001B3715">
        <w:rPr>
          <w:lang w:val="fr-FR"/>
        </w:rPr>
        <w:t>États membr</w:t>
      </w:r>
      <w:r w:rsidR="001B3715" w:rsidRPr="001B3715">
        <w:rPr>
          <w:lang w:val="fr-FR"/>
        </w:rPr>
        <w:t>es.  Au</w:t>
      </w:r>
      <w:r w:rsidRPr="001B3715">
        <w:rPr>
          <w:lang w:val="fr-FR"/>
        </w:rPr>
        <w:t xml:space="preserve"> cours de l</w:t>
      </w:r>
      <w:r w:rsidR="00502D05" w:rsidRPr="001B3715">
        <w:rPr>
          <w:lang w:val="fr-FR"/>
        </w:rPr>
        <w:t>’</w:t>
      </w:r>
      <w:r w:rsidRPr="001B3715">
        <w:rPr>
          <w:lang w:val="fr-FR"/>
        </w:rPr>
        <w:t>année écoulée, 35 activités de formation sur place ont été organisé</w:t>
      </w:r>
      <w:r w:rsidR="001B3715" w:rsidRPr="001B3715">
        <w:rPr>
          <w:lang w:val="fr-FR"/>
        </w:rPr>
        <w:t>es.  De</w:t>
      </w:r>
      <w:r w:rsidRPr="001B3715">
        <w:rPr>
          <w:lang w:val="fr-FR"/>
        </w:rPr>
        <w:t>s ressources complémentaires ont également été proposées en ligne au moyen de didacticiels et de séminaires sur le Web pour renforcer l</w:t>
      </w:r>
      <w:r w:rsidR="00502D05" w:rsidRPr="001B3715">
        <w:rPr>
          <w:lang w:val="fr-FR"/>
        </w:rPr>
        <w:t>’</w:t>
      </w:r>
      <w:r w:rsidRPr="001B3715">
        <w:rPr>
          <w:lang w:val="fr-FR"/>
        </w:rPr>
        <w:t>impact et la viabilité à long terme des projets nationaux de C</w:t>
      </w:r>
      <w:r w:rsidR="001B3715" w:rsidRPr="001B3715">
        <w:rPr>
          <w:lang w:val="fr-FR"/>
        </w:rPr>
        <w:t>ATI.  Gr</w:t>
      </w:r>
      <w:r w:rsidRPr="001B3715">
        <w:rPr>
          <w:lang w:val="fr-FR"/>
        </w:rPr>
        <w:t xml:space="preserve">âce au nouveau service TISC </w:t>
      </w:r>
      <w:proofErr w:type="spellStart"/>
      <w:r w:rsidRPr="001B3715">
        <w:rPr>
          <w:lang w:val="fr-FR"/>
        </w:rPr>
        <w:t>Clinics</w:t>
      </w:r>
      <w:proofErr w:type="spellEnd"/>
      <w:r w:rsidRPr="001B3715">
        <w:rPr>
          <w:lang w:val="fr-FR"/>
        </w:rPr>
        <w:t>, lié au programme d</w:t>
      </w:r>
      <w:r w:rsidR="00502D05" w:rsidRPr="001B3715">
        <w:rPr>
          <w:lang w:val="fr-FR"/>
        </w:rPr>
        <w:t>’</w:t>
      </w:r>
      <w:r w:rsidRPr="001B3715">
        <w:rPr>
          <w:lang w:val="fr-FR"/>
        </w:rPr>
        <w:t>aide aux inventeurs permettant d</w:t>
      </w:r>
      <w:r w:rsidR="00502D05" w:rsidRPr="001B3715">
        <w:rPr>
          <w:lang w:val="fr-FR"/>
        </w:rPr>
        <w:t>’</w:t>
      </w:r>
      <w:r w:rsidRPr="001B3715">
        <w:rPr>
          <w:lang w:val="fr-FR"/>
        </w:rPr>
        <w:t>offrir à titre gracieux une assistance aux inventeurs des pays en développement qui remplissent les conditions requises, les CATI seront en mesure de répondre aux nouvelles demandes de recherches techniques et d</w:t>
      </w:r>
      <w:r w:rsidR="00502D05" w:rsidRPr="001B3715">
        <w:rPr>
          <w:lang w:val="fr-FR"/>
        </w:rPr>
        <w:t>’</w:t>
      </w:r>
      <w:r w:rsidRPr="001B3715">
        <w:rPr>
          <w:lang w:val="fr-FR"/>
        </w:rPr>
        <w:t>élargir leur offre de servic</w:t>
      </w:r>
      <w:r w:rsidR="001B3715" w:rsidRPr="001B3715">
        <w:rPr>
          <w:lang w:val="fr-FR"/>
        </w:rPr>
        <w:t>es.  Se</w:t>
      </w:r>
      <w:r w:rsidRPr="001B3715">
        <w:rPr>
          <w:lang w:val="fr-FR"/>
        </w:rPr>
        <w:t>lon les résultats de l</w:t>
      </w:r>
      <w:r w:rsidR="00502D05" w:rsidRPr="001B3715">
        <w:rPr>
          <w:lang w:val="fr-FR"/>
        </w:rPr>
        <w:t>’</w:t>
      </w:r>
      <w:r w:rsidRPr="001B3715">
        <w:rPr>
          <w:lang w:val="fr-FR"/>
        </w:rPr>
        <w:t>enquête sur les CATI menée en ligne chaque année, les centres d</w:t>
      </w:r>
      <w:r w:rsidR="00502D05" w:rsidRPr="001B3715">
        <w:rPr>
          <w:lang w:val="fr-FR"/>
        </w:rPr>
        <w:t>’</w:t>
      </w:r>
      <w:r w:rsidRPr="001B3715">
        <w:rPr>
          <w:lang w:val="fr-FR"/>
        </w:rPr>
        <w:t>appui à la technologie et à l</w:t>
      </w:r>
      <w:r w:rsidR="00502D05" w:rsidRPr="001B3715">
        <w:rPr>
          <w:lang w:val="fr-FR"/>
        </w:rPr>
        <w:t>’</w:t>
      </w:r>
      <w:r w:rsidRPr="001B3715">
        <w:rPr>
          <w:lang w:val="fr-FR"/>
        </w:rPr>
        <w:t>innovation ont reçu l</w:t>
      </w:r>
      <w:r w:rsidR="00502D05" w:rsidRPr="001B3715">
        <w:rPr>
          <w:lang w:val="fr-FR"/>
        </w:rPr>
        <w:t>’</w:t>
      </w:r>
      <w:r w:rsidRPr="001B3715">
        <w:rPr>
          <w:lang w:val="fr-FR"/>
        </w:rPr>
        <w:t>an dernier plus de 400 000 demandes concernant l</w:t>
      </w:r>
      <w:r w:rsidR="00502D05" w:rsidRPr="001B3715">
        <w:rPr>
          <w:lang w:val="fr-FR"/>
        </w:rPr>
        <w:t>’</w:t>
      </w:r>
      <w:r w:rsidRPr="001B3715">
        <w:rPr>
          <w:lang w:val="fr-FR"/>
        </w:rPr>
        <w:t>accès aux bases de données sur les brevets et la littérature non</w:t>
      </w:r>
      <w:r w:rsidR="00E3770C">
        <w:rPr>
          <w:rFonts w:eastAsia="MS Gothic"/>
          <w:lang w:val="fr-FR"/>
        </w:rPr>
        <w:noBreakHyphen/>
      </w:r>
      <w:r w:rsidRPr="001B3715">
        <w:rPr>
          <w:lang w:val="fr-FR"/>
        </w:rPr>
        <w:t>brevet, l</w:t>
      </w:r>
      <w:r w:rsidR="00502D05" w:rsidRPr="001B3715">
        <w:rPr>
          <w:lang w:val="fr-FR"/>
        </w:rPr>
        <w:t>’</w:t>
      </w:r>
      <w:r w:rsidRPr="001B3715">
        <w:rPr>
          <w:lang w:val="fr-FR"/>
        </w:rPr>
        <w:t>aide à la réalisation de recherches en matière de brevets, l</w:t>
      </w:r>
      <w:r w:rsidR="00502D05" w:rsidRPr="001B3715">
        <w:rPr>
          <w:lang w:val="fr-FR"/>
        </w:rPr>
        <w:t>’</w:t>
      </w:r>
      <w:r w:rsidRPr="001B3715">
        <w:rPr>
          <w:lang w:val="fr-FR"/>
        </w:rPr>
        <w:t>assistance en matière de gestion de la propriété intellectuelle et la formation.</w:t>
      </w:r>
    </w:p>
    <w:p w14:paraId="16B57EC2" w14:textId="0A0DECA7" w:rsidR="00596BE3" w:rsidRPr="001B3715" w:rsidRDefault="00596BE3" w:rsidP="00596BE3">
      <w:pPr>
        <w:pStyle w:val="ONUMFS"/>
        <w:rPr>
          <w:lang w:val="fr-FR"/>
        </w:rPr>
      </w:pPr>
      <w:r w:rsidRPr="001B3715">
        <w:rPr>
          <w:lang w:val="fr-FR"/>
        </w:rPr>
        <w:t>Les partenariats de l</w:t>
      </w:r>
      <w:r w:rsidR="00502D05" w:rsidRPr="001B3715">
        <w:rPr>
          <w:lang w:val="fr-FR"/>
        </w:rPr>
        <w:t>’</w:t>
      </w:r>
      <w:r w:rsidRPr="001B3715">
        <w:rPr>
          <w:lang w:val="fr-FR"/>
        </w:rPr>
        <w:t xml:space="preserve">Organisation avec les CATI ont été renforcés </w:t>
      </w:r>
      <w:r w:rsidR="00843487" w:rsidRPr="001B3715">
        <w:rPr>
          <w:lang w:val="fr-FR"/>
        </w:rPr>
        <w:t>du</w:t>
      </w:r>
      <w:r w:rsidRPr="001B3715">
        <w:rPr>
          <w:lang w:val="fr-FR"/>
        </w:rPr>
        <w:t xml:space="preserve"> fait </w:t>
      </w:r>
      <w:r w:rsidR="00843487" w:rsidRPr="001B3715">
        <w:rPr>
          <w:lang w:val="fr-FR"/>
        </w:rPr>
        <w:t>de sa connaissance des moyens de</w:t>
      </w:r>
      <w:r w:rsidRPr="001B3715">
        <w:rPr>
          <w:lang w:val="fr-FR"/>
        </w:rPr>
        <w:t xml:space="preserve"> créer de la valeur à partir d</w:t>
      </w:r>
      <w:r w:rsidR="00843487" w:rsidRPr="001B3715">
        <w:rPr>
          <w:lang w:val="fr-FR"/>
        </w:rPr>
        <w:t>e l</w:t>
      </w:r>
      <w:r w:rsidR="00502D05" w:rsidRPr="001B3715">
        <w:rPr>
          <w:lang w:val="fr-FR"/>
        </w:rPr>
        <w:t>’</w:t>
      </w:r>
      <w:r w:rsidRPr="001B3715">
        <w:rPr>
          <w:lang w:val="fr-FR"/>
        </w:rPr>
        <w:t>information en matière de breve</w:t>
      </w:r>
      <w:r w:rsidR="001B3715" w:rsidRPr="001B3715">
        <w:rPr>
          <w:lang w:val="fr-FR"/>
        </w:rPr>
        <w:t>ts.  De</w:t>
      </w:r>
      <w:r w:rsidRPr="001B3715">
        <w:rPr>
          <w:lang w:val="fr-FR"/>
        </w:rPr>
        <w:t>ux projets d</w:t>
      </w:r>
      <w:r w:rsidR="00502D05" w:rsidRPr="001B3715">
        <w:rPr>
          <w:lang w:val="fr-FR"/>
        </w:rPr>
        <w:t>’</w:t>
      </w:r>
      <w:r w:rsidRPr="001B3715">
        <w:rPr>
          <w:lang w:val="fr-FR"/>
        </w:rPr>
        <w:t>analyses de brevets ont reçu un appui sans réserve de la part des États membres : les rapports panoramiques sur les brevets établis par l</w:t>
      </w:r>
      <w:r w:rsidR="00502D05" w:rsidRPr="001B3715">
        <w:rPr>
          <w:lang w:val="fr-FR"/>
        </w:rPr>
        <w:t>’</w:t>
      </w:r>
      <w:r w:rsidRPr="001B3715">
        <w:rPr>
          <w:lang w:val="fr-FR"/>
        </w:rPr>
        <w:t>OMPI et le portail d</w:t>
      </w:r>
      <w:r w:rsidR="00502D05" w:rsidRPr="001B3715">
        <w:rPr>
          <w:lang w:val="fr-FR"/>
        </w:rPr>
        <w:t>’</w:t>
      </w:r>
      <w:r w:rsidRPr="001B3715">
        <w:rPr>
          <w:lang w:val="fr-FR"/>
        </w:rPr>
        <w:t>accès aux registres de breve</w:t>
      </w:r>
      <w:r w:rsidR="001B3715" w:rsidRPr="001B3715">
        <w:rPr>
          <w:lang w:val="fr-FR"/>
        </w:rPr>
        <w:t>ts.  De</w:t>
      </w:r>
      <w:r w:rsidRPr="001B3715">
        <w:rPr>
          <w:lang w:val="fr-FR"/>
        </w:rPr>
        <w:t>ux rapports panoramiques sur les brevets ont été établis au cours de l</w:t>
      </w:r>
      <w:r w:rsidR="00502D05" w:rsidRPr="001B3715">
        <w:rPr>
          <w:lang w:val="fr-FR"/>
        </w:rPr>
        <w:t>’</w:t>
      </w:r>
      <w:r w:rsidRPr="001B3715">
        <w:rPr>
          <w:lang w:val="fr-FR"/>
        </w:rPr>
        <w:t>année écoulée, l</w:t>
      </w:r>
      <w:r w:rsidR="00502D05" w:rsidRPr="001B3715">
        <w:rPr>
          <w:lang w:val="fr-FR"/>
        </w:rPr>
        <w:t>’</w:t>
      </w:r>
      <w:r w:rsidRPr="001B3715">
        <w:rPr>
          <w:lang w:val="fr-FR"/>
        </w:rPr>
        <w:t>un sur les technologies de production, d</w:t>
      </w:r>
      <w:r w:rsidR="00502D05" w:rsidRPr="001B3715">
        <w:rPr>
          <w:lang w:val="fr-FR"/>
        </w:rPr>
        <w:t>’</w:t>
      </w:r>
      <w:r w:rsidRPr="001B3715">
        <w:rPr>
          <w:lang w:val="fr-FR"/>
        </w:rPr>
        <w:t>exploitation et de traitement des déchets d</w:t>
      </w:r>
      <w:r w:rsidR="00502D05" w:rsidRPr="001B3715">
        <w:rPr>
          <w:lang w:val="fr-FR"/>
        </w:rPr>
        <w:t>’</w:t>
      </w:r>
      <w:r w:rsidRPr="001B3715">
        <w:rPr>
          <w:lang w:val="fr-FR"/>
        </w:rPr>
        <w:t>huile de palme, et l</w:t>
      </w:r>
      <w:r w:rsidR="00502D05" w:rsidRPr="001B3715">
        <w:rPr>
          <w:lang w:val="fr-FR"/>
        </w:rPr>
        <w:t>’</w:t>
      </w:r>
      <w:r w:rsidRPr="001B3715">
        <w:rPr>
          <w:lang w:val="fr-FR"/>
        </w:rPr>
        <w:t xml:space="preserve">autre sur les technologies relatives aux </w:t>
      </w:r>
      <w:proofErr w:type="spellStart"/>
      <w:r w:rsidRPr="001B3715">
        <w:rPr>
          <w:lang w:val="fr-FR"/>
        </w:rPr>
        <w:t>microalgu</w:t>
      </w:r>
      <w:r w:rsidR="001B3715" w:rsidRPr="001B3715">
        <w:rPr>
          <w:lang w:val="fr-FR"/>
        </w:rPr>
        <w:t>es</w:t>
      </w:r>
      <w:proofErr w:type="spellEnd"/>
      <w:r w:rsidR="001B3715" w:rsidRPr="001B3715">
        <w:rPr>
          <w:lang w:val="fr-FR"/>
        </w:rPr>
        <w:t>.  Le</w:t>
      </w:r>
      <w:r w:rsidRPr="001B3715">
        <w:rPr>
          <w:lang w:val="fr-FR"/>
        </w:rPr>
        <w:t>s deux rapports ont été préparés et publiés pour répondre aux demandes et besoins spécifiques de pays en développement et pays moins avancés travaillant avec ces technologi</w:t>
      </w:r>
      <w:r w:rsidR="001B3715" w:rsidRPr="001B3715">
        <w:rPr>
          <w:lang w:val="fr-FR"/>
        </w:rPr>
        <w:t>es.  Ce</w:t>
      </w:r>
      <w:r w:rsidRPr="001B3715">
        <w:rPr>
          <w:lang w:val="fr-FR"/>
        </w:rPr>
        <w:t>s rapports s</w:t>
      </w:r>
      <w:r w:rsidR="00502D05" w:rsidRPr="001B3715">
        <w:rPr>
          <w:lang w:val="fr-FR"/>
        </w:rPr>
        <w:t>’</w:t>
      </w:r>
      <w:r w:rsidRPr="001B3715">
        <w:rPr>
          <w:lang w:val="fr-FR"/>
        </w:rPr>
        <w:t>ajoutent aux 11 autres rapports panoramiques sur les brevets établis jusqu</w:t>
      </w:r>
      <w:r w:rsidR="00502D05" w:rsidRPr="001B3715">
        <w:rPr>
          <w:lang w:val="fr-FR"/>
        </w:rPr>
        <w:t>’</w:t>
      </w:r>
      <w:r w:rsidRPr="001B3715">
        <w:rPr>
          <w:lang w:val="fr-FR"/>
        </w:rPr>
        <w:t>ici par l</w:t>
      </w:r>
      <w:r w:rsidR="00502D05" w:rsidRPr="001B3715">
        <w:rPr>
          <w:lang w:val="fr-FR"/>
        </w:rPr>
        <w:t>’</w:t>
      </w:r>
      <w:r w:rsidRPr="001B3715">
        <w:rPr>
          <w:lang w:val="fr-FR"/>
        </w:rPr>
        <w:t>OMPI dans les domaines de la santé publique, de l</w:t>
      </w:r>
      <w:r w:rsidR="00502D05" w:rsidRPr="001B3715">
        <w:rPr>
          <w:lang w:val="fr-FR"/>
        </w:rPr>
        <w:t>’</w:t>
      </w:r>
      <w:r w:rsidRPr="001B3715">
        <w:rPr>
          <w:lang w:val="fr-FR"/>
        </w:rPr>
        <w:t>agriculture et de l</w:t>
      </w:r>
      <w:r w:rsidR="00502D05" w:rsidRPr="001B3715">
        <w:rPr>
          <w:lang w:val="fr-FR"/>
        </w:rPr>
        <w:t>’</w:t>
      </w:r>
      <w:r w:rsidRPr="001B3715">
        <w:rPr>
          <w:lang w:val="fr-FR"/>
        </w:rPr>
        <w:t>environnement, ainsi qu</w:t>
      </w:r>
      <w:r w:rsidR="00502D05" w:rsidRPr="001B3715">
        <w:rPr>
          <w:lang w:val="fr-FR"/>
        </w:rPr>
        <w:t>’</w:t>
      </w:r>
      <w:r w:rsidRPr="001B3715">
        <w:rPr>
          <w:lang w:val="fr-FR"/>
        </w:rPr>
        <w:t>à l</w:t>
      </w:r>
      <w:r w:rsidR="00502D05" w:rsidRPr="001B3715">
        <w:rPr>
          <w:lang w:val="fr-FR"/>
        </w:rPr>
        <w:t>’</w:t>
      </w:r>
      <w:r w:rsidRPr="001B3715">
        <w:rPr>
          <w:lang w:val="fr-FR"/>
        </w:rPr>
        <w:t>ensemble de 170 rapports panoramiques sur les brevets publiés par d</w:t>
      </w:r>
      <w:r w:rsidR="00502D05" w:rsidRPr="001B3715">
        <w:rPr>
          <w:lang w:val="fr-FR"/>
        </w:rPr>
        <w:t>’</w:t>
      </w:r>
      <w:r w:rsidRPr="001B3715">
        <w:rPr>
          <w:lang w:val="fr-FR"/>
        </w:rPr>
        <w:t>autres organisations et mis à disposition sur le site de l</w:t>
      </w:r>
      <w:r w:rsidR="00502D05" w:rsidRPr="001B3715">
        <w:rPr>
          <w:lang w:val="fr-FR"/>
        </w:rPr>
        <w:t>’</w:t>
      </w:r>
      <w:r w:rsidRPr="001B3715">
        <w:rPr>
          <w:lang w:val="fr-FR"/>
        </w:rPr>
        <w:t>O</w:t>
      </w:r>
      <w:r w:rsidR="001B3715" w:rsidRPr="001B3715">
        <w:rPr>
          <w:lang w:val="fr-FR"/>
        </w:rPr>
        <w:t>MPI.  Da</w:t>
      </w:r>
      <w:r w:rsidRPr="001B3715">
        <w:rPr>
          <w:lang w:val="fr-FR"/>
        </w:rPr>
        <w:t>ns le but de favoriser le transfert de connaissances relatives à l</w:t>
      </w:r>
      <w:r w:rsidR="00502D05" w:rsidRPr="001B3715">
        <w:rPr>
          <w:lang w:val="fr-FR"/>
        </w:rPr>
        <w:t>’</w:t>
      </w:r>
      <w:r w:rsidRPr="001B3715">
        <w:rPr>
          <w:lang w:val="fr-FR"/>
        </w:rPr>
        <w:t>analyse des brevets et de soutenir la durabilité à long terme des CATI, des orientations pour l</w:t>
      </w:r>
      <w:r w:rsidR="00502D05" w:rsidRPr="001B3715">
        <w:rPr>
          <w:lang w:val="fr-FR"/>
        </w:rPr>
        <w:t>’</w:t>
      </w:r>
      <w:r w:rsidRPr="001B3715">
        <w:rPr>
          <w:lang w:val="fr-FR"/>
        </w:rPr>
        <w:t>élaboration de rapports panoramiques sur les brevets ont été publiées, et un manuel concernant l</w:t>
      </w:r>
      <w:r w:rsidR="00502D05" w:rsidRPr="001B3715">
        <w:rPr>
          <w:lang w:val="fr-FR"/>
        </w:rPr>
        <w:t>’</w:t>
      </w:r>
      <w:r w:rsidRPr="001B3715">
        <w:rPr>
          <w:lang w:val="fr-FR"/>
        </w:rPr>
        <w:t>utilisation de logiciels libres et gratuits pour la rédaction des rapports panoramiques sur les brevets paraîtra sous p</w:t>
      </w:r>
      <w:r w:rsidR="001B3715" w:rsidRPr="001B3715">
        <w:rPr>
          <w:lang w:val="fr-FR"/>
        </w:rPr>
        <w:t>eu.  Ce</w:t>
      </w:r>
      <w:r w:rsidRPr="001B3715">
        <w:rPr>
          <w:lang w:val="fr-FR"/>
        </w:rPr>
        <w:t>s publications serviront de base à la formation des CATI en matière d</w:t>
      </w:r>
      <w:r w:rsidR="00502D05" w:rsidRPr="001B3715">
        <w:rPr>
          <w:lang w:val="fr-FR"/>
        </w:rPr>
        <w:t>’</w:t>
      </w:r>
      <w:r w:rsidRPr="001B3715">
        <w:rPr>
          <w:lang w:val="fr-FR"/>
        </w:rPr>
        <w:t xml:space="preserve">analyse de brevets et viseront à accroître la capacité </w:t>
      </w:r>
      <w:r w:rsidR="00084483" w:rsidRPr="001B3715">
        <w:rPr>
          <w:lang w:val="fr-FR"/>
        </w:rPr>
        <w:t>de</w:t>
      </w:r>
      <w:r w:rsidRPr="001B3715">
        <w:rPr>
          <w:lang w:val="fr-FR"/>
        </w:rPr>
        <w:t xml:space="preserve"> produire des rapports panoramiques sur les brevets.</w:t>
      </w:r>
    </w:p>
    <w:p w14:paraId="010AE25A" w14:textId="60FF113A" w:rsidR="00596BE3" w:rsidRPr="001B3715" w:rsidRDefault="00596BE3" w:rsidP="00596BE3">
      <w:pPr>
        <w:pStyle w:val="ONUMFS"/>
        <w:rPr>
          <w:lang w:val="fr-FR"/>
        </w:rPr>
      </w:pPr>
      <w:r w:rsidRPr="001B3715">
        <w:rPr>
          <w:b/>
          <w:lang w:val="fr-FR"/>
        </w:rPr>
        <w:t>Plan d</w:t>
      </w:r>
      <w:r w:rsidR="00502D05" w:rsidRPr="001B3715">
        <w:rPr>
          <w:b/>
          <w:lang w:val="fr-FR"/>
        </w:rPr>
        <w:t>’</w:t>
      </w:r>
      <w:r w:rsidRPr="001B3715">
        <w:rPr>
          <w:b/>
          <w:lang w:val="fr-FR"/>
        </w:rPr>
        <w:t>action pour le développeme</w:t>
      </w:r>
      <w:r w:rsidR="001B3715" w:rsidRPr="001B3715">
        <w:rPr>
          <w:b/>
          <w:lang w:val="fr-FR"/>
        </w:rPr>
        <w:t xml:space="preserve">nt.  </w:t>
      </w:r>
      <w:r w:rsidR="001B3715" w:rsidRPr="001B3715">
        <w:rPr>
          <w:lang w:val="fr-FR"/>
        </w:rPr>
        <w:t>Le</w:t>
      </w:r>
      <w:r w:rsidRPr="001B3715">
        <w:rPr>
          <w:lang w:val="fr-FR"/>
        </w:rPr>
        <w:t xml:space="preserve">s </w:t>
      </w:r>
      <w:r w:rsidR="001B3399" w:rsidRPr="001B3715">
        <w:rPr>
          <w:lang w:val="fr-FR"/>
        </w:rPr>
        <w:t>activités</w:t>
      </w:r>
      <w:r w:rsidRPr="001B3715">
        <w:rPr>
          <w:lang w:val="fr-FR"/>
        </w:rPr>
        <w:t xml:space="preserve"> de développement de l</w:t>
      </w:r>
      <w:r w:rsidR="00502D05" w:rsidRPr="001B3715">
        <w:rPr>
          <w:lang w:val="fr-FR"/>
        </w:rPr>
        <w:t>’</w:t>
      </w:r>
      <w:r w:rsidRPr="001B3715">
        <w:rPr>
          <w:lang w:val="fr-FR"/>
        </w:rPr>
        <w:t>OMPI font partie intégrante des programmes de l</w:t>
      </w:r>
      <w:r w:rsidR="00502D05" w:rsidRPr="001B3715">
        <w:rPr>
          <w:lang w:val="fr-FR"/>
        </w:rPr>
        <w:t>’</w:t>
      </w:r>
      <w:r w:rsidRPr="001B3715">
        <w:rPr>
          <w:lang w:val="fr-FR"/>
        </w:rPr>
        <w:t>Organisation et y figurent en bonne place, conformément aux recommandations du Plan d</w:t>
      </w:r>
      <w:r w:rsidR="00502D05" w:rsidRPr="001B3715">
        <w:rPr>
          <w:lang w:val="fr-FR"/>
        </w:rPr>
        <w:t>’</w:t>
      </w:r>
      <w:r w:rsidRPr="001B3715">
        <w:rPr>
          <w:lang w:val="fr-FR"/>
        </w:rPr>
        <w:t>action pour le développeme</w:t>
      </w:r>
      <w:r w:rsidR="001B3715" w:rsidRPr="001B3715">
        <w:rPr>
          <w:lang w:val="fr-FR"/>
        </w:rPr>
        <w:t>nt.  Le</w:t>
      </w:r>
      <w:r w:rsidRPr="001B3715">
        <w:rPr>
          <w:lang w:val="fr-FR"/>
        </w:rPr>
        <w:t xml:space="preserve"> Comité du développement et de la propriété intellectuelle (CDIP) a approuvé trois nouveaux projets au cours des 12 derniers mois : un projet de renforcement et de développement du secteur audiovisuel au Burkina Faso et dans plusieurs pays africains;  un projet sur l</w:t>
      </w:r>
      <w:r w:rsidR="00502D05" w:rsidRPr="001B3715">
        <w:rPr>
          <w:lang w:val="fr-FR"/>
        </w:rPr>
        <w:t>’</w:t>
      </w:r>
      <w:r w:rsidRPr="001B3715">
        <w:rPr>
          <w:lang w:val="fr-FR"/>
        </w:rPr>
        <w:t>utilisation de l</w:t>
      </w:r>
      <w:r w:rsidR="00502D05" w:rsidRPr="001B3715">
        <w:rPr>
          <w:lang w:val="fr-FR"/>
        </w:rPr>
        <w:t>’</w:t>
      </w:r>
      <w:r w:rsidRPr="001B3715">
        <w:rPr>
          <w:lang w:val="fr-FR"/>
        </w:rPr>
        <w:t>information figurant dans le domaine public aux fins du développement économique;  et un projet de coopération avec les instituts de formation judiciaires des pays en développement et des pays les moins avancés dans le domaine de l</w:t>
      </w:r>
      <w:r w:rsidR="00502D05" w:rsidRPr="001B3715">
        <w:rPr>
          <w:lang w:val="fr-FR"/>
        </w:rPr>
        <w:t>’</w:t>
      </w:r>
      <w:r w:rsidRPr="001B3715">
        <w:rPr>
          <w:lang w:val="fr-FR"/>
        </w:rPr>
        <w:t>enseignement et de la formation professionnelle en matière de droits de propriété intellectuel</w:t>
      </w:r>
      <w:r w:rsidR="001B3715" w:rsidRPr="001B3715">
        <w:rPr>
          <w:lang w:val="fr-FR"/>
        </w:rPr>
        <w:t>le.  La</w:t>
      </w:r>
      <w:r w:rsidRPr="001B3715">
        <w:rPr>
          <w:lang w:val="fr-FR"/>
        </w:rPr>
        <w:t xml:space="preserve"> mise en œuvre de ces nouveaux projets a débuté en juillet 2016.</w:t>
      </w:r>
    </w:p>
    <w:p w14:paraId="199A4454" w14:textId="1198E2C5" w:rsidR="00596BE3" w:rsidRPr="001B3715" w:rsidRDefault="00596BE3" w:rsidP="00596BE3">
      <w:pPr>
        <w:pStyle w:val="ONUMFS"/>
        <w:rPr>
          <w:lang w:val="fr-FR"/>
        </w:rPr>
      </w:pPr>
      <w:r w:rsidRPr="001B3715">
        <w:rPr>
          <w:lang w:val="fr-FR"/>
        </w:rPr>
        <w:t>Grâce à l</w:t>
      </w:r>
      <w:r w:rsidR="00502D05" w:rsidRPr="001B3715">
        <w:rPr>
          <w:lang w:val="fr-FR"/>
        </w:rPr>
        <w:t>’</w:t>
      </w:r>
      <w:r w:rsidRPr="001B3715">
        <w:rPr>
          <w:lang w:val="fr-FR"/>
        </w:rPr>
        <w:t>évaluation positive par les États membres des résultats concrets de la première phase du projet, la deuxième phase, consacrée au renforcement du secteur de l</w:t>
      </w:r>
      <w:r w:rsidR="00502D05" w:rsidRPr="001B3715">
        <w:rPr>
          <w:lang w:val="fr-FR"/>
        </w:rPr>
        <w:t>’</w:t>
      </w:r>
      <w:r w:rsidRPr="001B3715">
        <w:rPr>
          <w:lang w:val="fr-FR"/>
        </w:rPr>
        <w:t>audiovisuel au Burkina Faso et dans plusieurs pays africains, a aussi été approuvée par le CDIP, en avril 2016.  Le projet compte maintenant cinq pays bénéficiaires : le Burkina Faso, la Côte d</w:t>
      </w:r>
      <w:r w:rsidR="00502D05" w:rsidRPr="001B3715">
        <w:rPr>
          <w:lang w:val="fr-FR"/>
        </w:rPr>
        <w:t>’</w:t>
      </w:r>
      <w:r w:rsidRPr="001B3715">
        <w:rPr>
          <w:lang w:val="fr-FR"/>
        </w:rPr>
        <w:t>Ivoire, le Kenya, le Maroc et le Sénég</w:t>
      </w:r>
      <w:r w:rsidR="001B3715" w:rsidRPr="001B3715">
        <w:rPr>
          <w:lang w:val="fr-FR"/>
        </w:rPr>
        <w:t>al.  Il</w:t>
      </w:r>
      <w:r w:rsidRPr="001B3715">
        <w:rPr>
          <w:lang w:val="fr-FR"/>
        </w:rPr>
        <w:t xml:space="preserve"> offre aux professionnels du cinéma des outils pratiques pour mieux utiliser le cadre du droit d</w:t>
      </w:r>
      <w:r w:rsidR="00502D05" w:rsidRPr="001B3715">
        <w:rPr>
          <w:lang w:val="fr-FR"/>
        </w:rPr>
        <w:t>’</w:t>
      </w:r>
      <w:r w:rsidRPr="001B3715">
        <w:rPr>
          <w:lang w:val="fr-FR"/>
        </w:rPr>
        <w:t>auteur en vue de mobiliser des fonds destinés à la production et de générer des possibilités de recettes grâce à une amélioration des pratiques en matière de contrats, une meilleure gestion des droits et transactions dans le domaine de l</w:t>
      </w:r>
      <w:r w:rsidR="00502D05" w:rsidRPr="001B3715">
        <w:rPr>
          <w:lang w:val="fr-FR"/>
        </w:rPr>
        <w:t>’</w:t>
      </w:r>
      <w:r w:rsidRPr="001B3715">
        <w:rPr>
          <w:lang w:val="fr-FR"/>
        </w:rPr>
        <w:t>audiovisuel, une distribution sécurisée et un apport de recettes par la création de chaînes de valeur attestées sur le plan juridiq</w:t>
      </w:r>
      <w:r w:rsidR="001B3715" w:rsidRPr="001B3715">
        <w:rPr>
          <w:lang w:val="fr-FR"/>
        </w:rPr>
        <w:t>ue.  Il</w:t>
      </w:r>
      <w:r w:rsidRPr="001B3715">
        <w:rPr>
          <w:lang w:val="fr-FR"/>
        </w:rPr>
        <w:t xml:space="preserve"> aide les pays en développement à établir une infrastructure durable </w:t>
      </w:r>
      <w:r w:rsidRPr="001B3715">
        <w:rPr>
          <w:lang w:val="fr-FR"/>
        </w:rPr>
        <w:lastRenderedPageBreak/>
        <w:t>permettant à l</w:t>
      </w:r>
      <w:r w:rsidR="00502D05" w:rsidRPr="001B3715">
        <w:rPr>
          <w:lang w:val="fr-FR"/>
        </w:rPr>
        <w:t>’</w:t>
      </w:r>
      <w:r w:rsidRPr="001B3715">
        <w:rPr>
          <w:lang w:val="fr-FR"/>
        </w:rPr>
        <w:t>industrie audiovisuelle de se développer et d</w:t>
      </w:r>
      <w:r w:rsidR="00502D05" w:rsidRPr="001B3715">
        <w:rPr>
          <w:lang w:val="fr-FR"/>
        </w:rPr>
        <w:t>’</w:t>
      </w:r>
      <w:r w:rsidRPr="001B3715">
        <w:rPr>
          <w:lang w:val="fr-FR"/>
        </w:rPr>
        <w:t>apporter une contribution significative à la croissance, la créativité et la création d</w:t>
      </w:r>
      <w:r w:rsidR="00502D05" w:rsidRPr="001B3715">
        <w:rPr>
          <w:lang w:val="fr-FR"/>
        </w:rPr>
        <w:t>’</w:t>
      </w:r>
      <w:r w:rsidRPr="001B3715">
        <w:rPr>
          <w:lang w:val="fr-FR"/>
        </w:rPr>
        <w:t>emplois.</w:t>
      </w:r>
    </w:p>
    <w:p w14:paraId="4E3C15BF" w14:textId="13D391F2" w:rsidR="00596BE3" w:rsidRPr="001B3715" w:rsidRDefault="00596BE3" w:rsidP="00596BE3">
      <w:pPr>
        <w:pStyle w:val="ONUMFS"/>
        <w:rPr>
          <w:lang w:val="fr-FR"/>
        </w:rPr>
      </w:pPr>
      <w:r w:rsidRPr="001B3715">
        <w:rPr>
          <w:lang w:val="fr-FR"/>
        </w:rPr>
        <w:t>L</w:t>
      </w:r>
      <w:r w:rsidR="00502D05" w:rsidRPr="001B3715">
        <w:rPr>
          <w:lang w:val="fr-FR"/>
        </w:rPr>
        <w:t>’</w:t>
      </w:r>
      <w:r w:rsidRPr="001B3715">
        <w:rPr>
          <w:lang w:val="fr-FR"/>
        </w:rPr>
        <w:t>OMPI a aussi lancé deux nouveaux projets pour la protection et la commercialisation de produits du terroir, au Cambodge (riz) et au Viet Nam (t</w:t>
      </w:r>
      <w:r w:rsidR="001B3715" w:rsidRPr="001B3715">
        <w:rPr>
          <w:lang w:val="fr-FR"/>
        </w:rPr>
        <w:t>hé).  Da</w:t>
      </w:r>
      <w:r w:rsidRPr="001B3715">
        <w:rPr>
          <w:lang w:val="fr-FR"/>
        </w:rPr>
        <w:t>ns le même esprit, l</w:t>
      </w:r>
      <w:r w:rsidR="00502D05" w:rsidRPr="001B3715">
        <w:rPr>
          <w:lang w:val="fr-FR"/>
        </w:rPr>
        <w:t>’</w:t>
      </w:r>
      <w:r w:rsidRPr="001B3715">
        <w:rPr>
          <w:lang w:val="fr-FR"/>
        </w:rPr>
        <w:t>OMPI a apporté une assistance aux pays de la CARICOM dans la mise en œuvre du chapitre sur la propriété intellectuelle de leur accord de partenariat économique avec l</w:t>
      </w:r>
      <w:r w:rsidR="00502D05" w:rsidRPr="001B3715">
        <w:rPr>
          <w:lang w:val="fr-FR"/>
        </w:rPr>
        <w:t>’</w:t>
      </w:r>
      <w:r w:rsidRPr="001B3715">
        <w:rPr>
          <w:lang w:val="fr-FR"/>
        </w:rPr>
        <w:t>Union européenne pour des produits tels que l</w:t>
      </w:r>
      <w:r w:rsidR="00502D05" w:rsidRPr="001B3715">
        <w:rPr>
          <w:lang w:val="fr-FR"/>
        </w:rPr>
        <w:t>’</w:t>
      </w:r>
      <w:r w:rsidRPr="001B3715">
        <w:rPr>
          <w:lang w:val="fr-FR"/>
        </w:rPr>
        <w:t>ananas noir (Antigua</w:t>
      </w:r>
      <w:r w:rsidR="00E3770C">
        <w:rPr>
          <w:lang w:val="fr-FR"/>
        </w:rPr>
        <w:noBreakHyphen/>
      </w:r>
      <w:r w:rsidRPr="001B3715">
        <w:rPr>
          <w:lang w:val="fr-FR"/>
        </w:rPr>
        <w:t>et</w:t>
      </w:r>
      <w:r w:rsidR="00E3770C">
        <w:rPr>
          <w:lang w:val="fr-FR"/>
        </w:rPr>
        <w:noBreakHyphen/>
      </w:r>
      <w:r w:rsidRPr="001B3715">
        <w:rPr>
          <w:lang w:val="fr-FR"/>
        </w:rPr>
        <w:t>Barbuda), le rhum (Barbade), la muscade/les épices (Grenade), la sauce dite “jerk” (Jamaïque) et le cacao fin (Trinité</w:t>
      </w:r>
      <w:r w:rsidR="00E3770C">
        <w:rPr>
          <w:lang w:val="fr-FR"/>
        </w:rPr>
        <w:noBreakHyphen/>
      </w:r>
      <w:r w:rsidRPr="001B3715">
        <w:rPr>
          <w:lang w:val="fr-FR"/>
        </w:rPr>
        <w:t>et</w:t>
      </w:r>
      <w:r w:rsidR="00E3770C">
        <w:rPr>
          <w:lang w:val="fr-FR"/>
        </w:rPr>
        <w:noBreakHyphen/>
      </w:r>
      <w:r w:rsidRPr="001B3715">
        <w:rPr>
          <w:lang w:val="fr-FR"/>
        </w:rPr>
        <w:t>Toba</w:t>
      </w:r>
      <w:r w:rsidR="001B3715" w:rsidRPr="001B3715">
        <w:rPr>
          <w:lang w:val="fr-FR"/>
        </w:rPr>
        <w:t>go).  Ce</w:t>
      </w:r>
      <w:r w:rsidRPr="001B3715">
        <w:rPr>
          <w:lang w:val="fr-FR"/>
        </w:rPr>
        <w:t>s projets devraient aider les membres à appliquer la propriété intellectuelle afin de favoriser le développement durable, permettant ainsi aux communautés de producteurs de tirer des avantages commerciaux de leurs produits de niche.</w:t>
      </w:r>
    </w:p>
    <w:p w14:paraId="12DFDAD5" w14:textId="31FBC6C8" w:rsidR="00596BE3" w:rsidRPr="001B3715" w:rsidRDefault="00596BE3" w:rsidP="00596BE3">
      <w:pPr>
        <w:pStyle w:val="ONUMFS"/>
        <w:rPr>
          <w:lang w:val="fr-FR"/>
        </w:rPr>
      </w:pPr>
      <w:r w:rsidRPr="001B3715">
        <w:rPr>
          <w:lang w:val="fr-FR"/>
        </w:rPr>
        <w:t>L</w:t>
      </w:r>
      <w:r w:rsidR="00502D05" w:rsidRPr="001B3715">
        <w:rPr>
          <w:lang w:val="fr-FR"/>
        </w:rPr>
        <w:t>’</w:t>
      </w:r>
      <w:r w:rsidRPr="001B3715">
        <w:rPr>
          <w:lang w:val="fr-FR"/>
        </w:rPr>
        <w:t>Organisation a accueilli une Conférence internationale sur la propriété intellectuelle et le développement les 7 et 8 avril 2016, laquelle a rassemblé 400 participants afin d</w:t>
      </w:r>
      <w:r w:rsidR="00502D05" w:rsidRPr="001B3715">
        <w:rPr>
          <w:lang w:val="fr-FR"/>
        </w:rPr>
        <w:t>’</w:t>
      </w:r>
      <w:r w:rsidRPr="001B3715">
        <w:rPr>
          <w:lang w:val="fr-FR"/>
        </w:rPr>
        <w:t>examiner le rôle de la propriété intellectuelle dans le développement aux niveaux national, régional et international;  600 autres participants ont suivi l</w:t>
      </w:r>
      <w:r w:rsidR="00502D05" w:rsidRPr="001B3715">
        <w:rPr>
          <w:lang w:val="fr-FR"/>
        </w:rPr>
        <w:t>’</w:t>
      </w:r>
      <w:r w:rsidRPr="001B3715">
        <w:rPr>
          <w:lang w:val="fr-FR"/>
        </w:rPr>
        <w:t>événement grâce à la diffusion sur le W</w:t>
      </w:r>
      <w:r w:rsidR="001B3715" w:rsidRPr="001B3715">
        <w:rPr>
          <w:lang w:val="fr-FR"/>
        </w:rPr>
        <w:t>eb.  Ce</w:t>
      </w:r>
      <w:r w:rsidRPr="001B3715">
        <w:rPr>
          <w:lang w:val="fr-FR"/>
        </w:rPr>
        <w:t>tte conférence était la première manifestation de ce genre organisée par l</w:t>
      </w:r>
      <w:r w:rsidR="00502D05" w:rsidRPr="001B3715">
        <w:rPr>
          <w:lang w:val="fr-FR"/>
        </w:rPr>
        <w:t>’</w:t>
      </w:r>
      <w:r w:rsidRPr="001B3715">
        <w:rPr>
          <w:lang w:val="fr-FR"/>
        </w:rPr>
        <w:t>OMPI, et elle a fourni un cadre pour le partage de données d</w:t>
      </w:r>
      <w:r w:rsidR="00502D05" w:rsidRPr="001B3715">
        <w:rPr>
          <w:lang w:val="fr-FR"/>
        </w:rPr>
        <w:t>’</w:t>
      </w:r>
      <w:r w:rsidRPr="001B3715">
        <w:rPr>
          <w:lang w:val="fr-FR"/>
        </w:rPr>
        <w:t>expérience et l</w:t>
      </w:r>
      <w:r w:rsidR="00502D05" w:rsidRPr="001B3715">
        <w:rPr>
          <w:lang w:val="fr-FR"/>
        </w:rPr>
        <w:t>’</w:t>
      </w:r>
      <w:r w:rsidRPr="001B3715">
        <w:rPr>
          <w:lang w:val="fr-FR"/>
        </w:rPr>
        <w:t xml:space="preserve">étude des liens entre </w:t>
      </w:r>
      <w:r w:rsidR="001B3399" w:rsidRPr="001B3715">
        <w:rPr>
          <w:lang w:val="fr-FR"/>
        </w:rPr>
        <w:t>la prévalence</w:t>
      </w:r>
      <w:r w:rsidRPr="001B3715">
        <w:rPr>
          <w:lang w:val="fr-FR"/>
        </w:rPr>
        <w:t xml:space="preserve"> de la propriété intellectuelle dans l</w:t>
      </w:r>
      <w:r w:rsidR="00502D05" w:rsidRPr="001B3715">
        <w:rPr>
          <w:lang w:val="fr-FR"/>
        </w:rPr>
        <w:t>’</w:t>
      </w:r>
      <w:r w:rsidRPr="001B3715">
        <w:rPr>
          <w:lang w:val="fr-FR"/>
        </w:rPr>
        <w:t>économie mondiale et l</w:t>
      </w:r>
      <w:r w:rsidR="00502D05" w:rsidRPr="001B3715">
        <w:rPr>
          <w:lang w:val="fr-FR"/>
        </w:rPr>
        <w:t>’</w:t>
      </w:r>
      <w:r w:rsidRPr="001B3715">
        <w:rPr>
          <w:lang w:val="fr-FR"/>
        </w:rPr>
        <w:t>impératif que représentait le développeme</w:t>
      </w:r>
      <w:r w:rsidR="001B3715" w:rsidRPr="001B3715">
        <w:rPr>
          <w:lang w:val="fr-FR"/>
        </w:rPr>
        <w:t>nt.  La</w:t>
      </w:r>
      <w:r w:rsidRPr="001B3715">
        <w:rPr>
          <w:lang w:val="fr-FR"/>
        </w:rPr>
        <w:t xml:space="preserve"> conférence internationale guidera les futurs travaux du C</w:t>
      </w:r>
      <w:r w:rsidR="001B3715" w:rsidRPr="001B3715">
        <w:rPr>
          <w:lang w:val="fr-FR"/>
        </w:rPr>
        <w:t>DIP.  Le</w:t>
      </w:r>
      <w:r w:rsidRPr="001B3715">
        <w:rPr>
          <w:lang w:val="fr-FR"/>
        </w:rPr>
        <w:t xml:space="preserve"> rapport de la conférence sera examiné à la prochaine session du CDIP, qui débutera en octobre 2016.</w:t>
      </w:r>
    </w:p>
    <w:p w14:paraId="1E457D68" w14:textId="28199319" w:rsidR="001417CF" w:rsidRPr="001B3715" w:rsidRDefault="001417CF" w:rsidP="001417CF">
      <w:pPr>
        <w:pStyle w:val="ONUMFS"/>
        <w:rPr>
          <w:lang w:val="fr-FR"/>
        </w:rPr>
      </w:pPr>
      <w:r w:rsidRPr="001B3715">
        <w:rPr>
          <w:lang w:val="fr-FR"/>
        </w:rPr>
        <w:t>Une conférence de premier plan, la Conférence ministérielle africaine, s</w:t>
      </w:r>
      <w:r w:rsidR="00502D05" w:rsidRPr="001B3715">
        <w:rPr>
          <w:lang w:val="fr-FR"/>
        </w:rPr>
        <w:t>’</w:t>
      </w:r>
      <w:r w:rsidRPr="001B3715">
        <w:rPr>
          <w:lang w:val="fr-FR"/>
        </w:rPr>
        <w:t>est également tenue à Dakar (Sénégal) en novembre 2015 sur l</w:t>
      </w:r>
      <w:r w:rsidR="00502D05" w:rsidRPr="001B3715">
        <w:rPr>
          <w:lang w:val="fr-FR"/>
        </w:rPr>
        <w:t>’</w:t>
      </w:r>
      <w:r w:rsidRPr="001B3715">
        <w:rPr>
          <w:lang w:val="fr-FR"/>
        </w:rPr>
        <w:t>importance de la propriété intellectuelle dans une Afrique émergen</w:t>
      </w:r>
      <w:r w:rsidR="001B3715" w:rsidRPr="001B3715">
        <w:rPr>
          <w:lang w:val="fr-FR"/>
        </w:rPr>
        <w:t>te.  Ce</w:t>
      </w:r>
      <w:r w:rsidRPr="001B3715">
        <w:rPr>
          <w:lang w:val="fr-FR"/>
        </w:rPr>
        <w:t>tte conférence ministérielle a fourni une excellente occasion de renforcer le dialogue et la concertation en matière de politique généra</w:t>
      </w:r>
      <w:r w:rsidR="001B3715" w:rsidRPr="001B3715">
        <w:rPr>
          <w:lang w:val="fr-FR"/>
        </w:rPr>
        <w:t>le.  Da</w:t>
      </w:r>
      <w:r w:rsidRPr="001B3715">
        <w:rPr>
          <w:lang w:val="fr-FR"/>
        </w:rPr>
        <w:t>ns le cadre du suivi de la conférence, l</w:t>
      </w:r>
      <w:r w:rsidR="00502D05" w:rsidRPr="001B3715">
        <w:rPr>
          <w:lang w:val="fr-FR"/>
        </w:rPr>
        <w:t>’</w:t>
      </w:r>
      <w:r w:rsidRPr="001B3715">
        <w:rPr>
          <w:lang w:val="fr-FR"/>
        </w:rPr>
        <w:t>OMPI s</w:t>
      </w:r>
      <w:r w:rsidR="00502D05" w:rsidRPr="001B3715">
        <w:rPr>
          <w:lang w:val="fr-FR"/>
        </w:rPr>
        <w:t>’</w:t>
      </w:r>
      <w:r w:rsidRPr="001B3715">
        <w:rPr>
          <w:lang w:val="fr-FR"/>
        </w:rPr>
        <w:t>emploiera à consolider les relations établies avec l</w:t>
      </w:r>
      <w:r w:rsidR="00502D05" w:rsidRPr="001B3715">
        <w:rPr>
          <w:lang w:val="fr-FR"/>
        </w:rPr>
        <w:t>’</w:t>
      </w:r>
      <w:r w:rsidRPr="001B3715">
        <w:rPr>
          <w:lang w:val="fr-FR"/>
        </w:rPr>
        <w:t xml:space="preserve">Afrique et à renforcer </w:t>
      </w:r>
      <w:r w:rsidR="001B3399" w:rsidRPr="001B3715">
        <w:rPr>
          <w:lang w:val="fr-FR"/>
        </w:rPr>
        <w:t>la</w:t>
      </w:r>
      <w:r w:rsidRPr="001B3715">
        <w:rPr>
          <w:lang w:val="fr-FR"/>
        </w:rPr>
        <w:t xml:space="preserve"> coopération avec les organes intergouvernementaux et régionaux sur le continent, notamment en effectuant des visites d</w:t>
      </w:r>
      <w:r w:rsidR="00502D05" w:rsidRPr="001B3715">
        <w:rPr>
          <w:lang w:val="fr-FR"/>
        </w:rPr>
        <w:t>’</w:t>
      </w:r>
      <w:r w:rsidRPr="001B3715">
        <w:rPr>
          <w:lang w:val="fr-FR"/>
        </w:rPr>
        <w:t>étude.</w:t>
      </w:r>
    </w:p>
    <w:p w14:paraId="6AE8B04E" w14:textId="2979359D" w:rsidR="001417CF" w:rsidRPr="001B3715" w:rsidRDefault="001417CF" w:rsidP="001417CF">
      <w:pPr>
        <w:pStyle w:val="ONUMFS"/>
        <w:rPr>
          <w:lang w:val="fr-FR"/>
        </w:rPr>
      </w:pPr>
      <w:r w:rsidRPr="001B3715">
        <w:rPr>
          <w:lang w:val="fr-FR"/>
        </w:rPr>
        <w:t>Un coordonnateur pour la coopération Sud</w:t>
      </w:r>
      <w:r w:rsidR="00E3770C">
        <w:rPr>
          <w:lang w:val="fr-FR"/>
        </w:rPr>
        <w:noBreakHyphen/>
      </w:r>
      <w:r w:rsidRPr="001B3715">
        <w:rPr>
          <w:lang w:val="fr-FR"/>
        </w:rPr>
        <w:t>Sud a été désigné au sein du Secteur du développeme</w:t>
      </w:r>
      <w:r w:rsidR="001B3715" w:rsidRPr="001B3715">
        <w:rPr>
          <w:lang w:val="fr-FR"/>
        </w:rPr>
        <w:t>nt.  Il</w:t>
      </w:r>
      <w:r w:rsidRPr="001B3715">
        <w:rPr>
          <w:lang w:val="fr-FR"/>
        </w:rPr>
        <w:t xml:space="preserve"> a pour mission </w:t>
      </w:r>
      <w:r w:rsidR="001B3399" w:rsidRPr="001B3715">
        <w:rPr>
          <w:lang w:val="fr-FR"/>
        </w:rPr>
        <w:t>d</w:t>
      </w:r>
      <w:r w:rsidR="00502D05" w:rsidRPr="001B3715">
        <w:rPr>
          <w:lang w:val="fr-FR"/>
        </w:rPr>
        <w:t>’</w:t>
      </w:r>
      <w:r w:rsidR="001B3399" w:rsidRPr="001B3715">
        <w:rPr>
          <w:lang w:val="fr-FR"/>
        </w:rPr>
        <w:t>attester</w:t>
      </w:r>
      <w:r w:rsidRPr="001B3715">
        <w:rPr>
          <w:lang w:val="fr-FR"/>
        </w:rPr>
        <w:t xml:space="preserve"> l</w:t>
      </w:r>
      <w:r w:rsidR="00502D05" w:rsidRPr="001B3715">
        <w:rPr>
          <w:lang w:val="fr-FR"/>
        </w:rPr>
        <w:t>’</w:t>
      </w:r>
      <w:r w:rsidRPr="001B3715">
        <w:rPr>
          <w:lang w:val="fr-FR"/>
        </w:rPr>
        <w:t>importance et le rôle de la coopération Sud</w:t>
      </w:r>
      <w:r w:rsidR="00E3770C">
        <w:rPr>
          <w:lang w:val="fr-FR"/>
        </w:rPr>
        <w:noBreakHyphen/>
      </w:r>
      <w:r w:rsidRPr="001B3715">
        <w:rPr>
          <w:lang w:val="fr-FR"/>
        </w:rPr>
        <w:t>Sud dans le domaine de la propriété intellectuelle et de renforcer et de coordonner les efforts, les ressources et l</w:t>
      </w:r>
      <w:r w:rsidR="00502D05" w:rsidRPr="001B3715">
        <w:rPr>
          <w:lang w:val="fr-FR"/>
        </w:rPr>
        <w:t>’</w:t>
      </w:r>
      <w:r w:rsidRPr="001B3715">
        <w:rPr>
          <w:lang w:val="fr-FR"/>
        </w:rPr>
        <w:t>établissement de rapports au sein du Secrétari</w:t>
      </w:r>
      <w:r w:rsidR="001B3715" w:rsidRPr="001B3715">
        <w:rPr>
          <w:lang w:val="fr-FR"/>
        </w:rPr>
        <w:t>at.  Un</w:t>
      </w:r>
      <w:r w:rsidRPr="001B3715">
        <w:rPr>
          <w:lang w:val="fr-FR"/>
        </w:rPr>
        <w:t xml:space="preserve"> état des lieux des activités de coopération Sud</w:t>
      </w:r>
      <w:r w:rsidR="00E3770C">
        <w:rPr>
          <w:lang w:val="fr-FR"/>
        </w:rPr>
        <w:noBreakHyphen/>
      </w:r>
      <w:r w:rsidRPr="001B3715">
        <w:rPr>
          <w:lang w:val="fr-FR"/>
        </w:rPr>
        <w:t>Sud publié lors de la dernière session du CDIP faisait état de 109 activités menées par l</w:t>
      </w:r>
      <w:r w:rsidR="00502D05" w:rsidRPr="001B3715">
        <w:rPr>
          <w:lang w:val="fr-FR"/>
        </w:rPr>
        <w:t>’</w:t>
      </w:r>
      <w:r w:rsidRPr="001B3715">
        <w:rPr>
          <w:lang w:val="fr-FR"/>
        </w:rPr>
        <w:t>OMPI au cours de l</w:t>
      </w:r>
      <w:r w:rsidR="00502D05" w:rsidRPr="001B3715">
        <w:rPr>
          <w:lang w:val="fr-FR"/>
        </w:rPr>
        <w:t>’</w:t>
      </w:r>
      <w:r w:rsidRPr="001B3715">
        <w:rPr>
          <w:lang w:val="fr-FR"/>
        </w:rPr>
        <w:t>exercice biennal 2014</w:t>
      </w:r>
      <w:r w:rsidR="00E3770C">
        <w:rPr>
          <w:lang w:val="fr-FR"/>
        </w:rPr>
        <w:noBreakHyphen/>
      </w:r>
      <w:r w:rsidRPr="001B3715">
        <w:rPr>
          <w:lang w:val="fr-FR"/>
        </w:rPr>
        <w:t>2015.</w:t>
      </w:r>
    </w:p>
    <w:p w14:paraId="7BC0A302" w14:textId="28A7F2AE" w:rsidR="001417CF" w:rsidRPr="001B3715" w:rsidRDefault="001417CF" w:rsidP="001417CF">
      <w:pPr>
        <w:pStyle w:val="ONUMFS"/>
        <w:rPr>
          <w:lang w:val="fr-FR"/>
        </w:rPr>
      </w:pPr>
      <w:r w:rsidRPr="001B3715">
        <w:rPr>
          <w:b/>
          <w:lang w:val="fr-FR"/>
        </w:rPr>
        <w:t>Droit d</w:t>
      </w:r>
      <w:r w:rsidR="00502D05" w:rsidRPr="001B3715">
        <w:rPr>
          <w:b/>
          <w:lang w:val="fr-FR"/>
        </w:rPr>
        <w:t>’</w:t>
      </w:r>
      <w:r w:rsidRPr="001B3715">
        <w:rPr>
          <w:b/>
          <w:lang w:val="fr-FR"/>
        </w:rPr>
        <w:t>aute</w:t>
      </w:r>
      <w:r w:rsidR="001B3715" w:rsidRPr="001B3715">
        <w:rPr>
          <w:b/>
          <w:lang w:val="fr-FR"/>
        </w:rPr>
        <w:t xml:space="preserve">ur.  </w:t>
      </w:r>
      <w:r w:rsidR="001B3715" w:rsidRPr="001B3715">
        <w:rPr>
          <w:lang w:val="fr-FR"/>
        </w:rPr>
        <w:t>De</w:t>
      </w:r>
      <w:r w:rsidRPr="001B3715">
        <w:rPr>
          <w:lang w:val="fr-FR"/>
        </w:rPr>
        <w:t>s efforts particuliers ont été déployés pour répondre aux besoins croissants et changeants des pays en développement, des pays les moins avancés et des pays en transition en matière de renforcement des capacités dans le domaine du droit d</w:t>
      </w:r>
      <w:r w:rsidR="00502D05" w:rsidRPr="001B3715">
        <w:rPr>
          <w:lang w:val="fr-FR"/>
        </w:rPr>
        <w:t>’</w:t>
      </w:r>
      <w:r w:rsidRPr="001B3715">
        <w:rPr>
          <w:lang w:val="fr-FR"/>
        </w:rPr>
        <w:t>auteur et des droits connex</w:t>
      </w:r>
      <w:r w:rsidR="001B3715" w:rsidRPr="001B3715">
        <w:rPr>
          <w:lang w:val="fr-FR"/>
        </w:rPr>
        <w:t>es.  L’a</w:t>
      </w:r>
      <w:r w:rsidRPr="001B3715">
        <w:rPr>
          <w:lang w:val="fr-FR"/>
        </w:rPr>
        <w:t>n dernier, quelque 40 projets et programmes d</w:t>
      </w:r>
      <w:r w:rsidR="00502D05" w:rsidRPr="001B3715">
        <w:rPr>
          <w:lang w:val="fr-FR"/>
        </w:rPr>
        <w:t>’</w:t>
      </w:r>
      <w:r w:rsidRPr="001B3715">
        <w:rPr>
          <w:lang w:val="fr-FR"/>
        </w:rPr>
        <w:t>assistance technique et de renforcement des capacités aux niveaux national, régional et interrégional ont été mis en œuvre, touchant plus de 100 pays et une organisation intergouvernementale régionale.</w:t>
      </w:r>
    </w:p>
    <w:p w14:paraId="283A7B8A" w14:textId="70DAAACB" w:rsidR="001417CF" w:rsidRPr="001B3715" w:rsidRDefault="001417CF" w:rsidP="001417CF">
      <w:pPr>
        <w:pStyle w:val="ONUMFS"/>
        <w:rPr>
          <w:lang w:val="fr-FR"/>
        </w:rPr>
      </w:pPr>
      <w:r w:rsidRPr="001B3715">
        <w:rPr>
          <w:lang w:val="fr-FR"/>
        </w:rPr>
        <w:t>Ces programmes et projets d</w:t>
      </w:r>
      <w:r w:rsidR="00502D05" w:rsidRPr="001B3715">
        <w:rPr>
          <w:lang w:val="fr-FR"/>
        </w:rPr>
        <w:t>’</w:t>
      </w:r>
      <w:r w:rsidRPr="001B3715">
        <w:rPr>
          <w:lang w:val="fr-FR"/>
        </w:rPr>
        <w:t>assistance technique et de renforcement des capacités étaient principalement destinés aux bureaux nationaux du droit d</w:t>
      </w:r>
      <w:r w:rsidR="00502D05" w:rsidRPr="001B3715">
        <w:rPr>
          <w:lang w:val="fr-FR"/>
        </w:rPr>
        <w:t>’</w:t>
      </w:r>
      <w:r w:rsidRPr="001B3715">
        <w:rPr>
          <w:lang w:val="fr-FR"/>
        </w:rPr>
        <w:t>auteur et ont contribué : i) au renforcement des capacités en termes de ressources humaines et de compétences en matière d</w:t>
      </w:r>
      <w:r w:rsidR="00502D05" w:rsidRPr="001B3715">
        <w:rPr>
          <w:lang w:val="fr-FR"/>
        </w:rPr>
        <w:t>’</w:t>
      </w:r>
      <w:r w:rsidRPr="001B3715">
        <w:rPr>
          <w:lang w:val="fr-FR"/>
        </w:rPr>
        <w:t>élaboration et de mise en œuvre des politiques et des cadres stratégiques nationaux relatifs au droit d</w:t>
      </w:r>
      <w:r w:rsidR="00502D05" w:rsidRPr="001B3715">
        <w:rPr>
          <w:lang w:val="fr-FR"/>
        </w:rPr>
        <w:t>’</w:t>
      </w:r>
      <w:r w:rsidRPr="001B3715">
        <w:rPr>
          <w:lang w:val="fr-FR"/>
        </w:rPr>
        <w:t>auteur aux fins de l</w:t>
      </w:r>
      <w:r w:rsidR="00502D05" w:rsidRPr="001B3715">
        <w:rPr>
          <w:lang w:val="fr-FR"/>
        </w:rPr>
        <w:t>’</w:t>
      </w:r>
      <w:r w:rsidRPr="001B3715">
        <w:rPr>
          <w:lang w:val="fr-FR"/>
        </w:rPr>
        <w:t>utilisation cohérente et efficace de la propriété intellectuelle au service du développement durable;  ii) au renforcement des capacités institutionnelles en vue de fournir de meilleurs services aux créateurs et aux autres parties prenantes concernées;  et iii) à une meilleure compréhension du rôle du droit d</w:t>
      </w:r>
      <w:r w:rsidR="00502D05" w:rsidRPr="001B3715">
        <w:rPr>
          <w:lang w:val="fr-FR"/>
        </w:rPr>
        <w:t>’</w:t>
      </w:r>
      <w:r w:rsidRPr="001B3715">
        <w:rPr>
          <w:lang w:val="fr-FR"/>
        </w:rPr>
        <w:t>auteur et des droits connexes dans la promotion et la protection de la créativité nationale.</w:t>
      </w:r>
    </w:p>
    <w:p w14:paraId="66A221B1" w14:textId="71984695" w:rsidR="001417CF" w:rsidRPr="001B3715" w:rsidRDefault="001417CF" w:rsidP="001417CF">
      <w:pPr>
        <w:pStyle w:val="ONUMFS"/>
        <w:rPr>
          <w:lang w:val="fr-FR"/>
        </w:rPr>
      </w:pPr>
      <w:r w:rsidRPr="001B3715">
        <w:rPr>
          <w:b/>
          <w:lang w:val="fr-FR"/>
        </w:rPr>
        <w:lastRenderedPageBreak/>
        <w:t>Académie de l</w:t>
      </w:r>
      <w:r w:rsidR="00502D05" w:rsidRPr="001B3715">
        <w:rPr>
          <w:b/>
          <w:lang w:val="fr-FR"/>
        </w:rPr>
        <w:t>’</w:t>
      </w:r>
      <w:r w:rsidRPr="001B3715">
        <w:rPr>
          <w:b/>
          <w:lang w:val="fr-FR"/>
        </w:rPr>
        <w:t xml:space="preserve">OMPI.  </w:t>
      </w:r>
      <w:r w:rsidRPr="001B3715">
        <w:rPr>
          <w:lang w:val="fr-FR"/>
        </w:rPr>
        <w:t>L</w:t>
      </w:r>
      <w:r w:rsidR="00502D05" w:rsidRPr="001B3715">
        <w:rPr>
          <w:lang w:val="fr-FR"/>
        </w:rPr>
        <w:t>’</w:t>
      </w:r>
      <w:r w:rsidRPr="001B3715">
        <w:rPr>
          <w:lang w:val="fr-FR"/>
        </w:rPr>
        <w:t>Académie de l</w:t>
      </w:r>
      <w:r w:rsidR="00502D05" w:rsidRPr="001B3715">
        <w:rPr>
          <w:lang w:val="fr-FR"/>
        </w:rPr>
        <w:t>’</w:t>
      </w:r>
      <w:r w:rsidRPr="001B3715">
        <w:rPr>
          <w:lang w:val="fr-FR"/>
        </w:rPr>
        <w:t>OMPI a connu une nouvelle année couronnée de succès, avec un large programme de formation proposant des cours d</w:t>
      </w:r>
      <w:r w:rsidR="00502D05" w:rsidRPr="001B3715">
        <w:rPr>
          <w:lang w:val="fr-FR"/>
        </w:rPr>
        <w:t>’</w:t>
      </w:r>
      <w:r w:rsidRPr="001B3715">
        <w:rPr>
          <w:lang w:val="fr-FR"/>
        </w:rPr>
        <w:t>enseignement à distance, des cours d</w:t>
      </w:r>
      <w:r w:rsidR="00502D05" w:rsidRPr="001B3715">
        <w:rPr>
          <w:lang w:val="fr-FR"/>
        </w:rPr>
        <w:t>’</w:t>
      </w:r>
      <w:r w:rsidRPr="001B3715">
        <w:rPr>
          <w:lang w:val="fr-FR"/>
        </w:rPr>
        <w:t>été et des collaborations avec les universités dans le cadre des programmes de maste</w:t>
      </w:r>
      <w:r w:rsidR="001B3715" w:rsidRPr="001B3715">
        <w:rPr>
          <w:lang w:val="fr-FR"/>
        </w:rPr>
        <w:t>rs.  La</w:t>
      </w:r>
      <w:r w:rsidRPr="001B3715">
        <w:rPr>
          <w:lang w:val="fr-FR"/>
        </w:rPr>
        <w:t xml:space="preserve"> plateforme d</w:t>
      </w:r>
      <w:r w:rsidR="00502D05" w:rsidRPr="001B3715">
        <w:rPr>
          <w:lang w:val="fr-FR"/>
        </w:rPr>
        <w:t>’</w:t>
      </w:r>
      <w:r w:rsidRPr="001B3715">
        <w:rPr>
          <w:lang w:val="fr-FR"/>
        </w:rPr>
        <w:t>enseignement à distance de l</w:t>
      </w:r>
      <w:r w:rsidR="00502D05" w:rsidRPr="001B3715">
        <w:rPr>
          <w:lang w:val="fr-FR"/>
        </w:rPr>
        <w:t>’</w:t>
      </w:r>
      <w:r w:rsidRPr="001B3715">
        <w:rPr>
          <w:lang w:val="fr-FR"/>
        </w:rPr>
        <w:t>Académie demeure la plateforme la plus diversifiée du monde sur le plan linguistique et la plus abordable du point de vue financier, avec 17 modules de propriété intellectuelle dans 11 langues différent</w:t>
      </w:r>
      <w:r w:rsidR="001B3715" w:rsidRPr="001B3715">
        <w:rPr>
          <w:lang w:val="fr-FR"/>
        </w:rPr>
        <w:t>es.  L’a</w:t>
      </w:r>
      <w:r w:rsidRPr="001B3715">
        <w:rPr>
          <w:lang w:val="fr-FR"/>
        </w:rPr>
        <w:t>n dernier, la participation à nos cours de niveau général et à nos cours de perfectionnement a augmenté, respectivement, de plus de 20% et de plus de 45% et 82% des participants ont fait état d</w:t>
      </w:r>
      <w:r w:rsidR="00502D05" w:rsidRPr="001B3715">
        <w:rPr>
          <w:lang w:val="fr-FR"/>
        </w:rPr>
        <w:t>’</w:t>
      </w:r>
      <w:r w:rsidRPr="001B3715">
        <w:rPr>
          <w:lang w:val="fr-FR"/>
        </w:rPr>
        <w:t>une amélioration directe dans l</w:t>
      </w:r>
      <w:r w:rsidR="00502D05" w:rsidRPr="001B3715">
        <w:rPr>
          <w:lang w:val="fr-FR"/>
        </w:rPr>
        <w:t>’</w:t>
      </w:r>
      <w:r w:rsidRPr="001B3715">
        <w:rPr>
          <w:lang w:val="fr-FR"/>
        </w:rPr>
        <w:t>accomplissement de leur travail ou la poursuite de leurs études après avoir suivi un cours d</w:t>
      </w:r>
      <w:r w:rsidR="00502D05" w:rsidRPr="001B3715">
        <w:rPr>
          <w:lang w:val="fr-FR"/>
        </w:rPr>
        <w:t>’</w:t>
      </w:r>
      <w:r w:rsidRPr="001B3715">
        <w:rPr>
          <w:lang w:val="fr-FR"/>
        </w:rPr>
        <w:t>enseignement à distan</w:t>
      </w:r>
      <w:r w:rsidR="001B3715" w:rsidRPr="001B3715">
        <w:rPr>
          <w:lang w:val="fr-FR"/>
        </w:rPr>
        <w:t>ce.  En</w:t>
      </w:r>
      <w:r w:rsidRPr="001B3715">
        <w:rPr>
          <w:lang w:val="fr-FR"/>
        </w:rPr>
        <w:t xml:space="preserve"> réponse aux demandes formulées par les étudiants, l</w:t>
      </w:r>
      <w:r w:rsidR="00502D05" w:rsidRPr="001B3715">
        <w:rPr>
          <w:lang w:val="fr-FR"/>
        </w:rPr>
        <w:t>’</w:t>
      </w:r>
      <w:r w:rsidRPr="001B3715">
        <w:rPr>
          <w:lang w:val="fr-FR"/>
        </w:rPr>
        <w:t>Académie se prépare à lancer quatre nouveaux modules durant l</w:t>
      </w:r>
      <w:r w:rsidR="00502D05" w:rsidRPr="001B3715">
        <w:rPr>
          <w:lang w:val="fr-FR"/>
        </w:rPr>
        <w:t>’</w:t>
      </w:r>
      <w:r w:rsidRPr="001B3715">
        <w:rPr>
          <w:lang w:val="fr-FR"/>
        </w:rPr>
        <w:t>exercice biennal 2016</w:t>
      </w:r>
      <w:r w:rsidR="00E3770C">
        <w:rPr>
          <w:lang w:val="fr-FR"/>
        </w:rPr>
        <w:noBreakHyphen/>
      </w:r>
      <w:r w:rsidRPr="001B3715">
        <w:rPr>
          <w:lang w:val="fr-FR"/>
        </w:rPr>
        <w:t>2017, qui couvriront les domaines suivants : propriété intellectuelle et santé publique, gestion collective du droit d</w:t>
      </w:r>
      <w:r w:rsidR="00502D05" w:rsidRPr="001B3715">
        <w:rPr>
          <w:lang w:val="fr-FR"/>
        </w:rPr>
        <w:t>’</w:t>
      </w:r>
      <w:r w:rsidRPr="001B3715">
        <w:rPr>
          <w:lang w:val="fr-FR"/>
        </w:rPr>
        <w:t>auteur, licences libres et le droit d</w:t>
      </w:r>
      <w:r w:rsidR="00502D05" w:rsidRPr="001B3715">
        <w:rPr>
          <w:lang w:val="fr-FR"/>
        </w:rPr>
        <w:t>’</w:t>
      </w:r>
      <w:r w:rsidRPr="001B3715">
        <w:rPr>
          <w:lang w:val="fr-FR"/>
        </w:rPr>
        <w:t>auteur dans l</w:t>
      </w:r>
      <w:r w:rsidR="00502D05" w:rsidRPr="001B3715">
        <w:rPr>
          <w:lang w:val="fr-FR"/>
        </w:rPr>
        <w:t>’</w:t>
      </w:r>
      <w:r w:rsidRPr="001B3715">
        <w:rPr>
          <w:lang w:val="fr-FR"/>
        </w:rPr>
        <w:t>industrie cinématographique.</w:t>
      </w:r>
    </w:p>
    <w:p w14:paraId="74F364DB" w14:textId="34F1D4DA" w:rsidR="001417CF" w:rsidRPr="001B3715" w:rsidRDefault="001417CF" w:rsidP="001417CF">
      <w:pPr>
        <w:pStyle w:val="ONUMFS"/>
        <w:rPr>
          <w:lang w:val="fr-FR"/>
        </w:rPr>
      </w:pPr>
      <w:r w:rsidRPr="001B3715">
        <w:rPr>
          <w:lang w:val="fr-FR"/>
        </w:rPr>
        <w:t>En vue d</w:t>
      </w:r>
      <w:r w:rsidR="00502D05" w:rsidRPr="001B3715">
        <w:rPr>
          <w:lang w:val="fr-FR"/>
        </w:rPr>
        <w:t>’</w:t>
      </w:r>
      <w:r w:rsidRPr="001B3715">
        <w:rPr>
          <w:lang w:val="fr-FR"/>
        </w:rPr>
        <w:t>encourager une participation accrue, l</w:t>
      </w:r>
      <w:r w:rsidR="00502D05" w:rsidRPr="001B3715">
        <w:rPr>
          <w:lang w:val="fr-FR"/>
        </w:rPr>
        <w:t>’</w:t>
      </w:r>
      <w:r w:rsidRPr="001B3715">
        <w:rPr>
          <w:lang w:val="fr-FR"/>
        </w:rPr>
        <w:t>OMPI propose une réduction de 50% des frais pour les participants des pays en développement et des pays en transition et de 20% pour les participants issus de pays développés.  L</w:t>
      </w:r>
      <w:r w:rsidR="00502D05" w:rsidRPr="001B3715">
        <w:rPr>
          <w:lang w:val="fr-FR"/>
        </w:rPr>
        <w:t>’</w:t>
      </w:r>
      <w:r w:rsidRPr="001B3715">
        <w:rPr>
          <w:lang w:val="fr-FR"/>
        </w:rPr>
        <w:t>Académie a par ailleurs lancé en avril 2016 une nouvelle version de son cours complet de niveau général sur la propriété intellectuelle, accessible et adaptée aux personnes ayant des déficiences visuell</w:t>
      </w:r>
      <w:r w:rsidR="001B3715" w:rsidRPr="001B3715">
        <w:rPr>
          <w:lang w:val="fr-FR"/>
        </w:rPr>
        <w:t>es.  El</w:t>
      </w:r>
      <w:r w:rsidRPr="001B3715">
        <w:rPr>
          <w:lang w:val="fr-FR"/>
        </w:rPr>
        <w:t>le continue de même à personnaliser et à traduire ses cours pour les adapter à différents publics, à l</w:t>
      </w:r>
      <w:r w:rsidR="00502D05" w:rsidRPr="001B3715">
        <w:rPr>
          <w:lang w:val="fr-FR"/>
        </w:rPr>
        <w:t>’</w:t>
      </w:r>
      <w:r w:rsidRPr="001B3715">
        <w:rPr>
          <w:lang w:val="fr-FR"/>
        </w:rPr>
        <w:t>image des versions proposées en 2016 aux participants en Argentine, au Cambodge, en Égypte, en Éthiopie, en Tunisie et au Viet Nam.</w:t>
      </w:r>
    </w:p>
    <w:p w14:paraId="3871126E" w14:textId="77777777" w:rsidR="001417CF" w:rsidRPr="001B3715" w:rsidRDefault="001417CF" w:rsidP="001417CF">
      <w:pPr>
        <w:pStyle w:val="Heading3"/>
        <w:rPr>
          <w:lang w:val="fr-FR"/>
        </w:rPr>
      </w:pPr>
      <w:r w:rsidRPr="001B3715">
        <w:rPr>
          <w:lang w:val="fr-FR"/>
        </w:rPr>
        <w:t>Partenariats entre le secteur public et le secteur privé</w:t>
      </w:r>
    </w:p>
    <w:p w14:paraId="64DCDCF3" w14:textId="77777777" w:rsidR="001417CF" w:rsidRPr="001B3715" w:rsidRDefault="001417CF" w:rsidP="001417CF">
      <w:pPr>
        <w:rPr>
          <w:lang w:val="fr-FR"/>
        </w:rPr>
      </w:pPr>
    </w:p>
    <w:p w14:paraId="08155210" w14:textId="09D41BD7" w:rsidR="001417CF" w:rsidRPr="001B3715" w:rsidRDefault="001417CF" w:rsidP="001417CF">
      <w:pPr>
        <w:pStyle w:val="ONUMFS"/>
        <w:rPr>
          <w:lang w:val="fr-FR"/>
        </w:rPr>
      </w:pPr>
      <w:r w:rsidRPr="001B3715">
        <w:rPr>
          <w:lang w:val="fr-FR"/>
        </w:rPr>
        <w:t>L</w:t>
      </w:r>
      <w:r w:rsidR="00502D05" w:rsidRPr="001B3715">
        <w:rPr>
          <w:lang w:val="fr-FR"/>
        </w:rPr>
        <w:t>’</w:t>
      </w:r>
      <w:r w:rsidRPr="001B3715">
        <w:rPr>
          <w:lang w:val="fr-FR"/>
        </w:rPr>
        <w:t>Organisation gère plusieurs partenariats qui exploitent avec succès les actifs intellectuels et financiers du secteur privé afin de répondre à certains enjeux mondiaux majeurs.</w:t>
      </w:r>
    </w:p>
    <w:p w14:paraId="34F9E5FD" w14:textId="64E0C521" w:rsidR="001417CF" w:rsidRPr="001B3715" w:rsidRDefault="001417CF" w:rsidP="001417CF">
      <w:pPr>
        <w:pStyle w:val="ONUMFS"/>
        <w:rPr>
          <w:lang w:val="fr-FR"/>
        </w:rPr>
      </w:pPr>
      <w:r w:rsidRPr="001B3715">
        <w:rPr>
          <w:b/>
          <w:lang w:val="fr-FR"/>
        </w:rPr>
        <w:t xml:space="preserve">WIPO </w:t>
      </w:r>
      <w:proofErr w:type="spellStart"/>
      <w:r w:rsidRPr="001B3715">
        <w:rPr>
          <w:b/>
          <w:lang w:val="fr-FR"/>
        </w:rPr>
        <w:t>Re:Search</w:t>
      </w:r>
      <w:proofErr w:type="spellEnd"/>
      <w:r w:rsidRPr="001B3715">
        <w:rPr>
          <w:lang w:val="fr-FR"/>
        </w:rPr>
        <w:t>, qui favorise la mise au point de médicaments contre les maladies tropicales négligées, le paludisme et la tuberculose grâce à des partenariats de recherche novateurs et au partage des connaissances, célèbre cette année ses cinq ans d</w:t>
      </w:r>
      <w:r w:rsidR="00502D05" w:rsidRPr="001B3715">
        <w:rPr>
          <w:lang w:val="fr-FR"/>
        </w:rPr>
        <w:t>’</w:t>
      </w:r>
      <w:r w:rsidRPr="001B3715">
        <w:rPr>
          <w:lang w:val="fr-FR"/>
        </w:rPr>
        <w:t>existen</w:t>
      </w:r>
      <w:r w:rsidR="001B3715" w:rsidRPr="001B3715">
        <w:rPr>
          <w:lang w:val="fr-FR"/>
        </w:rPr>
        <w:t>ce.  De</w:t>
      </w:r>
      <w:r w:rsidRPr="001B3715">
        <w:rPr>
          <w:lang w:val="fr-FR"/>
        </w:rPr>
        <w:t xml:space="preserve">puis sa création en 2011, le programme a donné lieu à plus de 100 collaborations.  WIPO </w:t>
      </w:r>
      <w:proofErr w:type="spellStart"/>
      <w:r w:rsidRPr="001B3715">
        <w:rPr>
          <w:lang w:val="fr-FR"/>
        </w:rPr>
        <w:t>Re:Search</w:t>
      </w:r>
      <w:proofErr w:type="spellEnd"/>
      <w:r w:rsidRPr="001B3715">
        <w:rPr>
          <w:lang w:val="fr-FR"/>
        </w:rPr>
        <w:t xml:space="preserve"> compte aujourd</w:t>
      </w:r>
      <w:r w:rsidR="00502D05" w:rsidRPr="001B3715">
        <w:rPr>
          <w:lang w:val="fr-FR"/>
        </w:rPr>
        <w:t>’</w:t>
      </w:r>
      <w:r w:rsidRPr="001B3715">
        <w:rPr>
          <w:lang w:val="fr-FR"/>
        </w:rPr>
        <w:t xml:space="preserve">hui 105 membres, dont 23 sont des organisations africaines et 38 proviennent de pays en développement.  WIPO </w:t>
      </w:r>
      <w:proofErr w:type="spellStart"/>
      <w:r w:rsidRPr="001B3715">
        <w:rPr>
          <w:lang w:val="fr-FR"/>
        </w:rPr>
        <w:t>Re:Search</w:t>
      </w:r>
      <w:proofErr w:type="spellEnd"/>
      <w:r w:rsidRPr="001B3715">
        <w:rPr>
          <w:lang w:val="fr-FR"/>
        </w:rPr>
        <w:t xml:space="preserve"> renforce également les capacités en matière de recherche dans le domaine de la santé, notamment par le biais de bourses généreusement financées par le Gouvernement australi</w:t>
      </w:r>
      <w:r w:rsidR="001B3715" w:rsidRPr="001B3715">
        <w:rPr>
          <w:lang w:val="fr-FR"/>
        </w:rPr>
        <w:t xml:space="preserve">en.  À </w:t>
      </w:r>
      <w:r w:rsidRPr="001B3715">
        <w:rPr>
          <w:lang w:val="fr-FR"/>
        </w:rPr>
        <w:t>ce jour, six scientifiques africains bénéficient de résidences allant jusqu</w:t>
      </w:r>
      <w:r w:rsidR="00502D05" w:rsidRPr="001B3715">
        <w:rPr>
          <w:lang w:val="fr-FR"/>
        </w:rPr>
        <w:t>’</w:t>
      </w:r>
      <w:r w:rsidRPr="001B3715">
        <w:rPr>
          <w:lang w:val="fr-FR"/>
        </w:rPr>
        <w:t>à un an au sein de laboratoires d</w:t>
      </w:r>
      <w:r w:rsidR="00502D05" w:rsidRPr="001B3715">
        <w:rPr>
          <w:lang w:val="fr-FR"/>
        </w:rPr>
        <w:t>’</w:t>
      </w:r>
      <w:r w:rsidRPr="001B3715">
        <w:rPr>
          <w:lang w:val="fr-FR"/>
        </w:rPr>
        <w:t>entreprises ou d</w:t>
      </w:r>
      <w:r w:rsidR="00502D05" w:rsidRPr="001B3715">
        <w:rPr>
          <w:lang w:val="fr-FR"/>
        </w:rPr>
        <w:t>’</w:t>
      </w:r>
      <w:r w:rsidRPr="001B3715">
        <w:rPr>
          <w:lang w:val="fr-FR"/>
        </w:rPr>
        <w:t>universités, afin de promouvoir leurs recherches et d</w:t>
      </w:r>
      <w:r w:rsidR="00502D05" w:rsidRPr="001B3715">
        <w:rPr>
          <w:lang w:val="fr-FR"/>
        </w:rPr>
        <w:t>’</w:t>
      </w:r>
      <w:r w:rsidRPr="001B3715">
        <w:rPr>
          <w:lang w:val="fr-FR"/>
        </w:rPr>
        <w:t>avoir accès aux nouvelles technologies en la matière.</w:t>
      </w:r>
    </w:p>
    <w:p w14:paraId="2D61356A" w14:textId="0BA408A1" w:rsidR="001417CF" w:rsidRPr="001B3715" w:rsidRDefault="001417CF" w:rsidP="001417CF">
      <w:pPr>
        <w:pStyle w:val="ONUMFS"/>
        <w:rPr>
          <w:lang w:val="fr-FR"/>
        </w:rPr>
      </w:pPr>
      <w:r w:rsidRPr="001B3715">
        <w:rPr>
          <w:b/>
          <w:lang w:val="fr-FR"/>
        </w:rPr>
        <w:t>WIPO GREEN</w:t>
      </w:r>
      <w:r w:rsidRPr="001B3715">
        <w:rPr>
          <w:lang w:val="fr-FR"/>
        </w:rPr>
        <w:t>, qui constitue un marché et une plateforme en ligne pour les technologies durables, a fait de remarquables progrès depuis son lancement en 2013.  Grâce à sa base de données comprenant plus de 2200</w:t>
      </w:r>
      <w:r w:rsidR="00E3770C">
        <w:rPr>
          <w:lang w:val="fr-FR"/>
        </w:rPr>
        <w:t> </w:t>
      </w:r>
      <w:r w:rsidRPr="001B3715">
        <w:rPr>
          <w:lang w:val="fr-FR"/>
        </w:rPr>
        <w:t>offres de technologies et services écologiques et à sa collaboration avec ses 69</w:t>
      </w:r>
      <w:r w:rsidR="00E3770C">
        <w:rPr>
          <w:lang w:val="fr-FR"/>
        </w:rPr>
        <w:t> </w:t>
      </w:r>
      <w:r w:rsidRPr="001B3715">
        <w:rPr>
          <w:lang w:val="fr-FR"/>
        </w:rPr>
        <w:t>partenaires, WIPO GREEN joue un rôle important en mettant en relation des personnes à la recherche de solutions et des fournisseurs potentiels de technologi</w:t>
      </w:r>
      <w:r w:rsidR="001B3715" w:rsidRPr="001B3715">
        <w:rPr>
          <w:lang w:val="fr-FR"/>
        </w:rPr>
        <w:t>es.  Au</w:t>
      </w:r>
      <w:r w:rsidRPr="001B3715">
        <w:rPr>
          <w:lang w:val="fr-FR"/>
        </w:rPr>
        <w:t xml:space="preserve"> cours de l</w:t>
      </w:r>
      <w:r w:rsidR="00502D05" w:rsidRPr="001B3715">
        <w:rPr>
          <w:lang w:val="fr-FR"/>
        </w:rPr>
        <w:t>’</w:t>
      </w:r>
      <w:r w:rsidRPr="001B3715">
        <w:rPr>
          <w:lang w:val="fr-FR"/>
        </w:rPr>
        <w:t>année écoulée, et grâce au financement généreux accordé par le Gouvernement japonais, un séminaire et des rencontres ont été organisés en Asie du Sud</w:t>
      </w:r>
      <w:r w:rsidR="00E3770C">
        <w:rPr>
          <w:lang w:val="fr-FR"/>
        </w:rPr>
        <w:noBreakHyphen/>
      </w:r>
      <w:r w:rsidRPr="001B3715">
        <w:rPr>
          <w:lang w:val="fr-FR"/>
        </w:rPr>
        <w:t>Est et en Afrique de l</w:t>
      </w:r>
      <w:r w:rsidR="00502D05" w:rsidRPr="001B3715">
        <w:rPr>
          <w:lang w:val="fr-FR"/>
        </w:rPr>
        <w:t>’</w:t>
      </w:r>
      <w:r w:rsidRPr="001B3715">
        <w:rPr>
          <w:lang w:val="fr-FR"/>
        </w:rPr>
        <w:t>Est sur les technologies de traitement des eaux usé</w:t>
      </w:r>
      <w:r w:rsidR="001B3715" w:rsidRPr="001B3715">
        <w:rPr>
          <w:lang w:val="fr-FR"/>
        </w:rPr>
        <w:t>es.  Ce</w:t>
      </w:r>
      <w:r w:rsidRPr="001B3715">
        <w:rPr>
          <w:lang w:val="fr-FR"/>
        </w:rPr>
        <w:t>s deux initiatives ont donné lieu à plusieurs partenariats nouveaux convenus dans des conditions mutuellement avantageuses et d</w:t>
      </w:r>
      <w:r w:rsidR="00502D05" w:rsidRPr="001B3715">
        <w:rPr>
          <w:lang w:val="fr-FR"/>
        </w:rPr>
        <w:t>’</w:t>
      </w:r>
      <w:r w:rsidRPr="001B3715">
        <w:rPr>
          <w:lang w:val="fr-FR"/>
        </w:rPr>
        <w:t>un commun accord, qui illustrent la contribution de WIPO GREEN à la création d</w:t>
      </w:r>
      <w:r w:rsidR="00502D05" w:rsidRPr="001B3715">
        <w:rPr>
          <w:lang w:val="fr-FR"/>
        </w:rPr>
        <w:t>’</w:t>
      </w:r>
      <w:r w:rsidRPr="001B3715">
        <w:rPr>
          <w:lang w:val="fr-FR"/>
        </w:rPr>
        <w:t>un écosystème efficace pour l</w:t>
      </w:r>
      <w:r w:rsidR="00502D05" w:rsidRPr="001B3715">
        <w:rPr>
          <w:lang w:val="fr-FR"/>
        </w:rPr>
        <w:t>’</w:t>
      </w:r>
      <w:r w:rsidRPr="001B3715">
        <w:rPr>
          <w:lang w:val="fr-FR"/>
        </w:rPr>
        <w:t>innovation et la diffusion des technologies.</w:t>
      </w:r>
    </w:p>
    <w:p w14:paraId="294D8C5A" w14:textId="75BE3255" w:rsidR="001417CF" w:rsidRPr="001B3715" w:rsidRDefault="001417CF" w:rsidP="001417CF">
      <w:pPr>
        <w:pStyle w:val="ONUMFS"/>
        <w:rPr>
          <w:lang w:val="fr-FR"/>
        </w:rPr>
      </w:pPr>
      <w:r w:rsidRPr="001B3715">
        <w:rPr>
          <w:b/>
          <w:lang w:val="fr-FR"/>
        </w:rPr>
        <w:t>Consortium pour des livres accessibl</w:t>
      </w:r>
      <w:r w:rsidR="001B3715" w:rsidRPr="001B3715">
        <w:rPr>
          <w:b/>
          <w:lang w:val="fr-FR"/>
        </w:rPr>
        <w:t xml:space="preserve">es.  </w:t>
      </w:r>
      <w:r w:rsidR="001B3715" w:rsidRPr="001B3715">
        <w:rPr>
          <w:lang w:val="fr-FR"/>
        </w:rPr>
        <w:t>De</w:t>
      </w:r>
      <w:r w:rsidRPr="001B3715">
        <w:rPr>
          <w:lang w:val="fr-FR"/>
        </w:rPr>
        <w:t>ux</w:t>
      </w:r>
      <w:r w:rsidR="005A42E7" w:rsidRPr="001B3715">
        <w:rPr>
          <w:lang w:val="fr-FR"/>
        </w:rPr>
        <w:t> </w:t>
      </w:r>
      <w:r w:rsidRPr="001B3715">
        <w:rPr>
          <w:lang w:val="fr-FR"/>
        </w:rPr>
        <w:t>ans après son lancement le 30 juin 2014, le Consortium pour des livres accessibles (ABC) enregistre des résultats positifs dans l</w:t>
      </w:r>
      <w:r w:rsidR="00502D05" w:rsidRPr="001B3715">
        <w:rPr>
          <w:lang w:val="fr-FR"/>
        </w:rPr>
        <w:t>’</w:t>
      </w:r>
      <w:r w:rsidRPr="001B3715">
        <w:rPr>
          <w:lang w:val="fr-FR"/>
        </w:rPr>
        <w:t>ensemble de ses trois domaines d</w:t>
      </w:r>
      <w:r w:rsidR="00502D05" w:rsidRPr="001B3715">
        <w:rPr>
          <w:lang w:val="fr-FR"/>
        </w:rPr>
        <w:t>’</w:t>
      </w:r>
      <w:r w:rsidRPr="001B3715">
        <w:rPr>
          <w:lang w:val="fr-FR"/>
        </w:rPr>
        <w:t xml:space="preserve">activité, qui visent à accroître la disponibilité au niveau </w:t>
      </w:r>
      <w:r w:rsidRPr="001B3715">
        <w:rPr>
          <w:lang w:val="fr-FR"/>
        </w:rPr>
        <w:lastRenderedPageBreak/>
        <w:t>mondial des livres dans des formats accessibles pour les personnes aveugles ou qui présentent une déficience visuelle ou un autre handicap de lecture.</w:t>
      </w:r>
    </w:p>
    <w:p w14:paraId="79A7FDA3" w14:textId="2593B906" w:rsidR="001417CF" w:rsidRPr="001B3715" w:rsidRDefault="001417CF" w:rsidP="001417CF">
      <w:pPr>
        <w:pStyle w:val="ONUMFS"/>
        <w:rPr>
          <w:lang w:val="fr-FR"/>
        </w:rPr>
      </w:pPr>
      <w:r w:rsidRPr="001B3715">
        <w:rPr>
          <w:lang w:val="fr-FR"/>
        </w:rPr>
        <w:t>Le Service de livres ABC, un catalogue mondial en ligne de livres disponibles dans des formats accessibles, hébergé par l</w:t>
      </w:r>
      <w:r w:rsidR="00502D05" w:rsidRPr="001B3715">
        <w:rPr>
          <w:lang w:val="fr-FR"/>
        </w:rPr>
        <w:t>’</w:t>
      </w:r>
      <w:r w:rsidRPr="001B3715">
        <w:rPr>
          <w:lang w:val="fr-FR"/>
        </w:rPr>
        <w:t>OMPI, a jusqu</w:t>
      </w:r>
      <w:r w:rsidR="00502D05" w:rsidRPr="001B3715">
        <w:rPr>
          <w:lang w:val="fr-FR"/>
        </w:rPr>
        <w:t>’</w:t>
      </w:r>
      <w:r w:rsidRPr="001B3715">
        <w:rPr>
          <w:lang w:val="fr-FR"/>
        </w:rPr>
        <w:t>à ce jour facilité les prêts de livres accessibles à </w:t>
      </w:r>
      <w:r w:rsidR="003A4AE8" w:rsidRPr="001B3715">
        <w:rPr>
          <w:lang w:val="fr-FR"/>
        </w:rPr>
        <w:t>100 </w:t>
      </w:r>
      <w:r w:rsidRPr="001B3715">
        <w:rPr>
          <w:lang w:val="fr-FR"/>
        </w:rPr>
        <w:t>000</w:t>
      </w:r>
      <w:r w:rsidR="00E3770C">
        <w:rPr>
          <w:lang w:val="fr-FR"/>
        </w:rPr>
        <w:t> </w:t>
      </w:r>
      <w:r w:rsidRPr="001B3715">
        <w:rPr>
          <w:lang w:val="fr-FR"/>
        </w:rPr>
        <w:t>personnes, dans ses</w:t>
      </w:r>
      <w:r w:rsidR="003A4AE8" w:rsidRPr="001B3715">
        <w:rPr>
          <w:lang w:val="fr-FR"/>
        </w:rPr>
        <w:t xml:space="preserve"> </w:t>
      </w:r>
      <w:r w:rsidRPr="001B3715">
        <w:rPr>
          <w:lang w:val="fr-FR"/>
        </w:rPr>
        <w:t>19</w:t>
      </w:r>
      <w:r w:rsidR="003A4AE8" w:rsidRPr="001B3715">
        <w:rPr>
          <w:lang w:val="fr-FR"/>
        </w:rPr>
        <w:t> </w:t>
      </w:r>
      <w:r w:rsidRPr="001B3715">
        <w:rPr>
          <w:lang w:val="fr-FR"/>
        </w:rPr>
        <w:t>bibliothèques participantes réparties dans</w:t>
      </w:r>
      <w:r w:rsidR="003A4AE8" w:rsidRPr="001B3715">
        <w:rPr>
          <w:lang w:val="fr-FR"/>
        </w:rPr>
        <w:t xml:space="preserve"> </w:t>
      </w:r>
      <w:r w:rsidRPr="001B3715">
        <w:rPr>
          <w:lang w:val="fr-FR"/>
        </w:rPr>
        <w:t>16</w:t>
      </w:r>
      <w:r w:rsidR="003A4AE8" w:rsidRPr="001B3715">
        <w:rPr>
          <w:lang w:val="fr-FR"/>
        </w:rPr>
        <w:t> </w:t>
      </w:r>
      <w:r w:rsidRPr="001B3715">
        <w:rPr>
          <w:lang w:val="fr-FR"/>
        </w:rPr>
        <w:t>pa</w:t>
      </w:r>
      <w:r w:rsidR="001B3715" w:rsidRPr="001B3715">
        <w:rPr>
          <w:lang w:val="fr-FR"/>
        </w:rPr>
        <w:t>ys.  Il</w:t>
      </w:r>
      <w:r w:rsidRPr="001B3715">
        <w:rPr>
          <w:lang w:val="fr-FR"/>
        </w:rPr>
        <w:t xml:space="preserve"> contient à ce jour</w:t>
      </w:r>
      <w:r w:rsidR="003A4AE8" w:rsidRPr="001B3715">
        <w:rPr>
          <w:lang w:val="fr-FR"/>
        </w:rPr>
        <w:t xml:space="preserve"> </w:t>
      </w:r>
      <w:r w:rsidRPr="001B3715">
        <w:rPr>
          <w:lang w:val="fr-FR"/>
        </w:rPr>
        <w:t>319 000</w:t>
      </w:r>
      <w:r w:rsidR="00E3770C">
        <w:rPr>
          <w:lang w:val="fr-FR"/>
        </w:rPr>
        <w:t> </w:t>
      </w:r>
      <w:r w:rsidRPr="001B3715">
        <w:rPr>
          <w:lang w:val="fr-FR"/>
        </w:rPr>
        <w:t>titres dans plus de</w:t>
      </w:r>
      <w:r w:rsidR="003A4AE8" w:rsidRPr="001B3715">
        <w:rPr>
          <w:lang w:val="fr-FR"/>
        </w:rPr>
        <w:t xml:space="preserve"> </w:t>
      </w:r>
      <w:r w:rsidRPr="001B3715">
        <w:rPr>
          <w:lang w:val="fr-FR"/>
        </w:rPr>
        <w:t>76</w:t>
      </w:r>
      <w:r w:rsidR="003A4AE8" w:rsidRPr="001B3715">
        <w:rPr>
          <w:lang w:val="fr-FR"/>
        </w:rPr>
        <w:t> </w:t>
      </w:r>
      <w:r w:rsidRPr="001B3715">
        <w:rPr>
          <w:lang w:val="fr-FR"/>
        </w:rPr>
        <w:t>langu</w:t>
      </w:r>
      <w:r w:rsidR="001B3715" w:rsidRPr="001B3715">
        <w:rPr>
          <w:lang w:val="fr-FR"/>
        </w:rPr>
        <w:t>es.  Le</w:t>
      </w:r>
      <w:r w:rsidRPr="001B3715">
        <w:rPr>
          <w:lang w:val="fr-FR"/>
        </w:rPr>
        <w:t>s bibliothèques participantes ont économisé</w:t>
      </w:r>
      <w:r w:rsidR="00717796" w:rsidRPr="001B3715">
        <w:rPr>
          <w:lang w:val="fr-FR"/>
        </w:rPr>
        <w:t xml:space="preserve"> </w:t>
      </w:r>
      <w:r w:rsidRPr="001B3715">
        <w:rPr>
          <w:lang w:val="fr-FR"/>
        </w:rPr>
        <w:t>11 millions de dollars</w:t>
      </w:r>
      <w:r w:rsidR="00D04CDB" w:rsidRPr="001B3715">
        <w:rPr>
          <w:lang w:val="fr-FR"/>
        </w:rPr>
        <w:t> </w:t>
      </w:r>
      <w:r w:rsidRPr="001B3715">
        <w:rPr>
          <w:lang w:val="fr-FR"/>
        </w:rPr>
        <w:t>É.</w:t>
      </w:r>
      <w:r w:rsidR="00E3770C">
        <w:rPr>
          <w:lang w:val="fr-FR"/>
        </w:rPr>
        <w:noBreakHyphen/>
      </w:r>
      <w:r w:rsidRPr="001B3715">
        <w:rPr>
          <w:lang w:val="fr-FR"/>
        </w:rPr>
        <w:t>U. en coûts de production (pour un livre lu à haute voix par une personne) grâce à la possibilité de télécharger 5500</w:t>
      </w:r>
      <w:r w:rsidR="003A4AE8" w:rsidRPr="001B3715">
        <w:rPr>
          <w:lang w:val="fr-FR"/>
        </w:rPr>
        <w:t> </w:t>
      </w:r>
      <w:r w:rsidRPr="001B3715">
        <w:rPr>
          <w:lang w:val="fr-FR"/>
        </w:rPr>
        <w:t>livres électroniques pour leurs collections.</w:t>
      </w:r>
    </w:p>
    <w:p w14:paraId="4FB5451B" w14:textId="5B291746" w:rsidR="001417CF" w:rsidRPr="001B3715" w:rsidRDefault="001417CF" w:rsidP="001417CF">
      <w:pPr>
        <w:pStyle w:val="ONUMFS"/>
        <w:rPr>
          <w:lang w:val="fr-FR"/>
        </w:rPr>
      </w:pPr>
      <w:r w:rsidRPr="001B3715">
        <w:rPr>
          <w:lang w:val="fr-FR"/>
        </w:rPr>
        <w:t>Les activités de renforcement des capacités menées au Bangladesh, en Inde, au Népal et à Sri Lank</w:t>
      </w:r>
      <w:r w:rsidR="003A4AE8" w:rsidRPr="001B3715">
        <w:rPr>
          <w:lang w:val="fr-FR"/>
        </w:rPr>
        <w:t xml:space="preserve">a en 2015 ont profité à plus de </w:t>
      </w:r>
      <w:r w:rsidRPr="001B3715">
        <w:rPr>
          <w:lang w:val="fr-FR"/>
        </w:rPr>
        <w:t>23</w:t>
      </w:r>
      <w:r w:rsidR="003A4AE8" w:rsidRPr="001B3715">
        <w:rPr>
          <w:lang w:val="fr-FR"/>
        </w:rPr>
        <w:t> </w:t>
      </w:r>
      <w:r w:rsidRPr="001B3715">
        <w:rPr>
          <w:lang w:val="fr-FR"/>
        </w:rPr>
        <w:t>500</w:t>
      </w:r>
      <w:r w:rsidR="003A4AE8" w:rsidRPr="001B3715">
        <w:rPr>
          <w:lang w:val="fr-FR"/>
        </w:rPr>
        <w:t> </w:t>
      </w:r>
      <w:r w:rsidRPr="001B3715">
        <w:rPr>
          <w:lang w:val="fr-FR"/>
        </w:rPr>
        <w:t>étudiants présentant une déficience visuel</w:t>
      </w:r>
      <w:r w:rsidR="001B3715" w:rsidRPr="001B3715">
        <w:rPr>
          <w:lang w:val="fr-FR"/>
        </w:rPr>
        <w:t>le.  La</w:t>
      </w:r>
      <w:r w:rsidRPr="001B3715">
        <w:rPr>
          <w:lang w:val="fr-FR"/>
        </w:rPr>
        <w:t xml:space="preserve"> deuxième phase des projets de renforcement des capacités a commencé en juillet 2016 grâce aux fonds mis à disposition par les gouvernements de l</w:t>
      </w:r>
      <w:r w:rsidR="00502D05" w:rsidRPr="001B3715">
        <w:rPr>
          <w:lang w:val="fr-FR"/>
        </w:rPr>
        <w:t>’</w:t>
      </w:r>
      <w:r w:rsidRPr="001B3715">
        <w:rPr>
          <w:lang w:val="fr-FR"/>
        </w:rPr>
        <w:t xml:space="preserve">Australie et de la République de Corée, la Fondation </w:t>
      </w:r>
      <w:proofErr w:type="spellStart"/>
      <w:r w:rsidRPr="001B3715">
        <w:rPr>
          <w:lang w:val="fr-FR"/>
        </w:rPr>
        <w:t>Skoll</w:t>
      </w:r>
      <w:proofErr w:type="spellEnd"/>
      <w:r w:rsidRPr="001B3715">
        <w:rPr>
          <w:lang w:val="fr-FR"/>
        </w:rPr>
        <w:t xml:space="preserve"> et la Fondation des </w:t>
      </w:r>
      <w:r w:rsidR="00502D05" w:rsidRPr="001B3715">
        <w:rPr>
          <w:lang w:val="fr-FR"/>
        </w:rPr>
        <w:t>Nations Unies</w:t>
      </w:r>
      <w:r w:rsidRPr="001B3715">
        <w:rPr>
          <w:lang w:val="fr-FR"/>
        </w:rPr>
        <w:t>, et devrait profiter à quelque</w:t>
      </w:r>
      <w:r w:rsidR="00717796" w:rsidRPr="001B3715">
        <w:rPr>
          <w:lang w:val="fr-FR"/>
        </w:rPr>
        <w:t xml:space="preserve"> </w:t>
      </w:r>
      <w:r w:rsidRPr="001B3715">
        <w:rPr>
          <w:lang w:val="fr-FR"/>
        </w:rPr>
        <w:t>88 500</w:t>
      </w:r>
      <w:r w:rsidR="00E3770C">
        <w:rPr>
          <w:lang w:val="fr-FR"/>
        </w:rPr>
        <w:t> </w:t>
      </w:r>
      <w:r w:rsidRPr="001B3715">
        <w:rPr>
          <w:lang w:val="fr-FR"/>
        </w:rPr>
        <w:t>étudiants présentant une déficience visuelle dans ces quatre pays.</w:t>
      </w:r>
    </w:p>
    <w:p w14:paraId="574027D4" w14:textId="0E717145" w:rsidR="001417CF" w:rsidRPr="001B3715" w:rsidRDefault="001417CF" w:rsidP="001417CF">
      <w:pPr>
        <w:pStyle w:val="ONUMFS"/>
        <w:rPr>
          <w:lang w:val="fr-FR"/>
        </w:rPr>
      </w:pPr>
      <w:r w:rsidRPr="001B3715">
        <w:rPr>
          <w:lang w:val="fr-FR"/>
        </w:rPr>
        <w:t>Des activités visant la publication ouverte ont été mises en œuvre pour promouvoir les techniques de production de livres en format accessible dans le secteur de la publication commerciale, de manière à ce que les livres électroniques soient consultables, au moment de leur publication initiale, aussi bien par les voyants que par les personnes ayant des difficultés à lire les textes imprim</w:t>
      </w:r>
      <w:r w:rsidR="001B3715" w:rsidRPr="001B3715">
        <w:rPr>
          <w:lang w:val="fr-FR"/>
        </w:rPr>
        <w:t>és.  De</w:t>
      </w:r>
      <w:r w:rsidRPr="001B3715">
        <w:rPr>
          <w:lang w:val="fr-FR"/>
        </w:rPr>
        <w:t>ux manuels sur la publication ouverte ont été produits en 2016, intitulés “</w:t>
      </w:r>
      <w:proofErr w:type="spellStart"/>
      <w:r w:rsidRPr="001B3715">
        <w:rPr>
          <w:lang w:val="fr-FR"/>
        </w:rPr>
        <w:t>Accessibility</w:t>
      </w:r>
      <w:proofErr w:type="spellEnd"/>
      <w:r w:rsidRPr="001B3715">
        <w:rPr>
          <w:lang w:val="fr-FR"/>
        </w:rPr>
        <w:t xml:space="preserve"> Guidelines for Self</w:t>
      </w:r>
      <w:r w:rsidR="00E3770C">
        <w:rPr>
          <w:lang w:val="fr-FR"/>
        </w:rPr>
        <w:noBreakHyphen/>
      </w:r>
      <w:proofErr w:type="spellStart"/>
      <w:r w:rsidRPr="001B3715">
        <w:rPr>
          <w:lang w:val="fr-FR"/>
        </w:rPr>
        <w:t>Publishing</w:t>
      </w:r>
      <w:proofErr w:type="spellEnd"/>
      <w:r w:rsidRPr="001B3715">
        <w:rPr>
          <w:lang w:val="fr-FR"/>
        </w:rPr>
        <w:t xml:space="preserve"> </w:t>
      </w:r>
      <w:proofErr w:type="spellStart"/>
      <w:r w:rsidRPr="001B3715">
        <w:rPr>
          <w:lang w:val="fr-FR"/>
        </w:rPr>
        <w:t>Authors</w:t>
      </w:r>
      <w:proofErr w:type="spellEnd"/>
      <w:r w:rsidRPr="001B3715">
        <w:rPr>
          <w:lang w:val="fr-FR"/>
        </w:rPr>
        <w:t xml:space="preserve">” et “Books For All Starter Kit for Accessible </w:t>
      </w:r>
      <w:proofErr w:type="spellStart"/>
      <w:r w:rsidRPr="001B3715">
        <w:rPr>
          <w:lang w:val="fr-FR"/>
        </w:rPr>
        <w:t>Publishing</w:t>
      </w:r>
      <w:proofErr w:type="spellEnd"/>
      <w:r w:rsidRPr="001B3715">
        <w:rPr>
          <w:lang w:val="fr-FR"/>
        </w:rPr>
        <w:t>”.  Le prix international d</w:t>
      </w:r>
      <w:r w:rsidR="00502D05" w:rsidRPr="001B3715">
        <w:rPr>
          <w:lang w:val="fr-FR"/>
        </w:rPr>
        <w:t>’</w:t>
      </w:r>
      <w:r w:rsidRPr="001B3715">
        <w:rPr>
          <w:lang w:val="fr-FR"/>
        </w:rPr>
        <w:t>excellence en matière d</w:t>
      </w:r>
      <w:r w:rsidR="00502D05" w:rsidRPr="001B3715">
        <w:rPr>
          <w:lang w:val="fr-FR"/>
        </w:rPr>
        <w:t>’</w:t>
      </w:r>
      <w:r w:rsidRPr="001B3715">
        <w:rPr>
          <w:lang w:val="fr-FR"/>
        </w:rPr>
        <w:t>édition accessible a été créé en 2015 pour promouvoir l</w:t>
      </w:r>
      <w:r w:rsidR="00502D05" w:rsidRPr="001B3715">
        <w:rPr>
          <w:lang w:val="fr-FR"/>
        </w:rPr>
        <w:t>’</w:t>
      </w:r>
      <w:r w:rsidRPr="001B3715">
        <w:rPr>
          <w:lang w:val="fr-FR"/>
        </w:rPr>
        <w:t>accessibilité des livres électroniques et autres publications numériques disponibles dans le commerce pour les déficients visue</w:t>
      </w:r>
      <w:r w:rsidR="001B3715" w:rsidRPr="001B3715">
        <w:rPr>
          <w:lang w:val="fr-FR"/>
        </w:rPr>
        <w:t>ls.  Le</w:t>
      </w:r>
      <w:r w:rsidRPr="001B3715">
        <w:rPr>
          <w:lang w:val="fr-FR"/>
        </w:rPr>
        <w:t>s lauréats de cette année ont été Elsevier, l</w:t>
      </w:r>
      <w:r w:rsidR="00502D05" w:rsidRPr="001B3715">
        <w:rPr>
          <w:lang w:val="fr-FR"/>
        </w:rPr>
        <w:t>’</w:t>
      </w:r>
      <w:r w:rsidRPr="001B3715">
        <w:rPr>
          <w:lang w:val="fr-FR"/>
        </w:rPr>
        <w:t xml:space="preserve">équipe de développement de DK Braille (membre de Penguin </w:t>
      </w:r>
      <w:proofErr w:type="spellStart"/>
      <w:r w:rsidRPr="001B3715">
        <w:rPr>
          <w:lang w:val="fr-FR"/>
        </w:rPr>
        <w:t>Random</w:t>
      </w:r>
      <w:proofErr w:type="spellEnd"/>
      <w:r w:rsidRPr="001B3715">
        <w:rPr>
          <w:lang w:val="fr-FR"/>
        </w:rPr>
        <w:t xml:space="preserve"> House) et ADRAD, une ONG népalaise.</w:t>
      </w:r>
    </w:p>
    <w:p w14:paraId="1248597E" w14:textId="47AB5C70" w:rsidR="001417CF" w:rsidRPr="001B3715" w:rsidRDefault="001417CF" w:rsidP="001417CF">
      <w:pPr>
        <w:pStyle w:val="ONUMFS"/>
        <w:rPr>
          <w:lang w:val="fr-FR"/>
        </w:rPr>
      </w:pPr>
      <w:r w:rsidRPr="001B3715">
        <w:rPr>
          <w:lang w:val="fr-FR"/>
        </w:rPr>
        <w:t>Le pr</w:t>
      </w:r>
      <w:r w:rsidR="001B3399" w:rsidRPr="001B3715">
        <w:rPr>
          <w:lang w:val="fr-FR"/>
        </w:rPr>
        <w:t xml:space="preserve">ogramme </w:t>
      </w:r>
      <w:r w:rsidRPr="001B3715">
        <w:rPr>
          <w:b/>
          <w:lang w:val="fr-FR"/>
        </w:rPr>
        <w:t>Accès à la recherche pour le développement et l</w:t>
      </w:r>
      <w:r w:rsidR="00502D05" w:rsidRPr="001B3715">
        <w:rPr>
          <w:b/>
          <w:lang w:val="fr-FR"/>
        </w:rPr>
        <w:t>’</w:t>
      </w:r>
      <w:r w:rsidRPr="001B3715">
        <w:rPr>
          <w:b/>
          <w:lang w:val="fr-FR"/>
        </w:rPr>
        <w:t>innovation (ARDI)</w:t>
      </w:r>
      <w:r w:rsidRPr="001B3715">
        <w:rPr>
          <w:lang w:val="fr-FR"/>
        </w:rPr>
        <w:t xml:space="preserve"> offre à des institutions et des particuliers de pays en développement et de PMA un accès à des revues scientifiques et techniqu</w:t>
      </w:r>
      <w:r w:rsidR="001B3715" w:rsidRPr="001B3715">
        <w:rPr>
          <w:lang w:val="fr-FR"/>
        </w:rPr>
        <w:t>es.  C’e</w:t>
      </w:r>
      <w:r w:rsidRPr="001B3715">
        <w:rPr>
          <w:lang w:val="fr-FR"/>
        </w:rPr>
        <w:t>st l</w:t>
      </w:r>
      <w:r w:rsidR="00502D05" w:rsidRPr="001B3715">
        <w:rPr>
          <w:lang w:val="fr-FR"/>
        </w:rPr>
        <w:t>’</w:t>
      </w:r>
      <w:r w:rsidRPr="001B3715">
        <w:rPr>
          <w:lang w:val="fr-FR"/>
        </w:rPr>
        <w:t>un des quatre programmes du partenariat public</w:t>
      </w:r>
      <w:r w:rsidR="00E3770C">
        <w:rPr>
          <w:lang w:val="fr-FR"/>
        </w:rPr>
        <w:noBreakHyphen/>
      </w:r>
      <w:r w:rsidRPr="001B3715">
        <w:rPr>
          <w:lang w:val="fr-FR"/>
        </w:rPr>
        <w:t>privé “</w:t>
      </w:r>
      <w:proofErr w:type="spellStart"/>
      <w:r w:rsidRPr="001B3715">
        <w:rPr>
          <w:lang w:val="fr-FR"/>
        </w:rPr>
        <w:t>Research</w:t>
      </w:r>
      <w:proofErr w:type="spellEnd"/>
      <w:r w:rsidRPr="001B3715">
        <w:rPr>
          <w:lang w:val="fr-FR"/>
        </w:rPr>
        <w:t xml:space="preserve"> for Life” établi dans le cadre des </w:t>
      </w:r>
      <w:r w:rsidR="00502D05" w:rsidRPr="001B3715">
        <w:rPr>
          <w:lang w:val="fr-FR"/>
        </w:rPr>
        <w:t>Nations Uni</w:t>
      </w:r>
      <w:r w:rsidR="001B3715" w:rsidRPr="001B3715">
        <w:rPr>
          <w:lang w:val="fr-FR"/>
        </w:rPr>
        <w:t>es.  Il</w:t>
      </w:r>
      <w:r w:rsidRPr="001B3715">
        <w:rPr>
          <w:lang w:val="fr-FR"/>
        </w:rPr>
        <w:t xml:space="preserve"> continue de se développer sensiblement et compte plus de 800</w:t>
      </w:r>
      <w:r w:rsidR="00E3770C">
        <w:rPr>
          <w:lang w:val="fr-FR"/>
        </w:rPr>
        <w:t> </w:t>
      </w:r>
      <w:r w:rsidRPr="001B3715">
        <w:rPr>
          <w:lang w:val="fr-FR"/>
        </w:rPr>
        <w:t>utilisateurs institutionnels inscrits qui utilisent activement le programme, contre environ 500 l</w:t>
      </w:r>
      <w:r w:rsidR="00502D05" w:rsidRPr="001B3715">
        <w:rPr>
          <w:lang w:val="fr-FR"/>
        </w:rPr>
        <w:t>’</w:t>
      </w:r>
      <w:r w:rsidRPr="001B3715">
        <w:rPr>
          <w:lang w:val="fr-FR"/>
        </w:rPr>
        <w:t>année derniè</w:t>
      </w:r>
      <w:r w:rsidR="001B3715" w:rsidRPr="001B3715">
        <w:rPr>
          <w:lang w:val="fr-FR"/>
        </w:rPr>
        <w:t>re.  Le</w:t>
      </w:r>
      <w:r w:rsidRPr="001B3715">
        <w:rPr>
          <w:lang w:val="fr-FR"/>
        </w:rPr>
        <w:t>s contenus disponibles ont également connu une croissance rapide, avec 27 500</w:t>
      </w:r>
      <w:r w:rsidR="00E3770C">
        <w:rPr>
          <w:lang w:val="fr-FR"/>
        </w:rPr>
        <w:t> </w:t>
      </w:r>
      <w:r w:rsidRPr="001B3715">
        <w:rPr>
          <w:lang w:val="fr-FR"/>
        </w:rPr>
        <w:t>revues et livres électroniques disponibles sous la forme d</w:t>
      </w:r>
      <w:r w:rsidR="00502D05" w:rsidRPr="001B3715">
        <w:rPr>
          <w:lang w:val="fr-FR"/>
        </w:rPr>
        <w:t>’</w:t>
      </w:r>
      <w:r w:rsidRPr="001B3715">
        <w:rPr>
          <w:lang w:val="fr-FR"/>
        </w:rPr>
        <w:t>un abonnement, soit une augmentation de 25% par rapport à l</w:t>
      </w:r>
      <w:r w:rsidR="00502D05" w:rsidRPr="001B3715">
        <w:rPr>
          <w:lang w:val="fr-FR"/>
        </w:rPr>
        <w:t>’</w:t>
      </w:r>
      <w:r w:rsidRPr="001B3715">
        <w:rPr>
          <w:lang w:val="fr-FR"/>
        </w:rPr>
        <w:t>année précéden</w:t>
      </w:r>
      <w:r w:rsidR="001B3715" w:rsidRPr="001B3715">
        <w:rPr>
          <w:lang w:val="fr-FR"/>
        </w:rPr>
        <w:t>te.  La</w:t>
      </w:r>
      <w:r w:rsidRPr="001B3715">
        <w:rPr>
          <w:lang w:val="fr-FR"/>
        </w:rPr>
        <w:t xml:space="preserve"> majorité des institutions inscrites au programme ARDI sont des établissements universitaires (actuellement 50%), suivis par des organismes de recherche (16%) et des organismes publics (15%).  Ces institutions se situent principalement en Afrique (50%), en Asie (27%), dans les Amériques (4%) et en Europe (3%).  Le </w:t>
      </w:r>
      <w:r w:rsidRPr="001B3715">
        <w:rPr>
          <w:b/>
          <w:lang w:val="fr-FR"/>
        </w:rPr>
        <w:t>programme relatif à l</w:t>
      </w:r>
      <w:r w:rsidR="00502D05" w:rsidRPr="001B3715">
        <w:rPr>
          <w:b/>
          <w:lang w:val="fr-FR"/>
        </w:rPr>
        <w:t>’</w:t>
      </w:r>
      <w:r w:rsidRPr="001B3715">
        <w:rPr>
          <w:b/>
          <w:lang w:val="fr-FR"/>
        </w:rPr>
        <w:t>accès à l</w:t>
      </w:r>
      <w:r w:rsidR="00502D05" w:rsidRPr="001B3715">
        <w:rPr>
          <w:b/>
          <w:lang w:val="fr-FR"/>
        </w:rPr>
        <w:t>’</w:t>
      </w:r>
      <w:r w:rsidRPr="001B3715">
        <w:rPr>
          <w:b/>
          <w:lang w:val="fr-FR"/>
        </w:rPr>
        <w:t>information spécialisée en matière de brevets (ASPI)</w:t>
      </w:r>
      <w:r w:rsidRPr="001B3715">
        <w:rPr>
          <w:b/>
          <w:i/>
          <w:lang w:val="fr-FR"/>
        </w:rPr>
        <w:t xml:space="preserve"> </w:t>
      </w:r>
      <w:r w:rsidRPr="001B3715">
        <w:rPr>
          <w:lang w:val="fr-FR"/>
        </w:rPr>
        <w:t>continue également de s</w:t>
      </w:r>
      <w:r w:rsidR="00502D05" w:rsidRPr="001B3715">
        <w:rPr>
          <w:lang w:val="fr-FR"/>
        </w:rPr>
        <w:t>’</w:t>
      </w:r>
      <w:r w:rsidRPr="001B3715">
        <w:rPr>
          <w:lang w:val="fr-FR"/>
        </w:rPr>
        <w:t>étendre, et plus de 50 institutions (par rapport à 40 l</w:t>
      </w:r>
      <w:r w:rsidR="00502D05" w:rsidRPr="001B3715">
        <w:rPr>
          <w:lang w:val="fr-FR"/>
        </w:rPr>
        <w:t>’</w:t>
      </w:r>
      <w:r w:rsidRPr="001B3715">
        <w:rPr>
          <w:lang w:val="fr-FR"/>
        </w:rPr>
        <w:t>année dernière) utilisent les fonctionnalités avancées et à valeur ajoutée des bases de données de brevets commerciales proposées par le program</w:t>
      </w:r>
      <w:r w:rsidR="001B3715" w:rsidRPr="001B3715">
        <w:rPr>
          <w:lang w:val="fr-FR"/>
        </w:rPr>
        <w:t>me.  Le</w:t>
      </w:r>
      <w:r w:rsidRPr="001B3715">
        <w:rPr>
          <w:lang w:val="fr-FR"/>
        </w:rPr>
        <w:t xml:space="preserve"> nombre de bases de données disponibles est passé à sept</w:t>
      </w:r>
      <w:r w:rsidR="00D04CDB" w:rsidRPr="001B3715">
        <w:rPr>
          <w:lang w:val="fr-FR"/>
        </w:rPr>
        <w:t> </w:t>
      </w:r>
      <w:r w:rsidRPr="001B3715">
        <w:rPr>
          <w:lang w:val="fr-FR"/>
        </w:rPr>
        <w:t>cette année.</w:t>
      </w:r>
    </w:p>
    <w:p w14:paraId="34168781" w14:textId="0AB65F84" w:rsidR="003056BB" w:rsidRPr="001B3715" w:rsidRDefault="003056BB" w:rsidP="003056BB">
      <w:pPr>
        <w:pStyle w:val="Heading3"/>
        <w:rPr>
          <w:lang w:val="fr-FR"/>
        </w:rPr>
      </w:pPr>
      <w:r w:rsidRPr="001B3715">
        <w:rPr>
          <w:lang w:val="fr-FR"/>
        </w:rPr>
        <w:t>Analyse économique et statistique</w:t>
      </w:r>
    </w:p>
    <w:p w14:paraId="0546F31C" w14:textId="77777777" w:rsidR="003056BB" w:rsidRPr="001B3715" w:rsidRDefault="003056BB" w:rsidP="003056BB">
      <w:pPr>
        <w:rPr>
          <w:lang w:val="fr-FR"/>
        </w:rPr>
      </w:pPr>
    </w:p>
    <w:p w14:paraId="5F5934AE" w14:textId="75305582" w:rsidR="003056BB" w:rsidRPr="001B3715" w:rsidRDefault="003056BB" w:rsidP="003056BB">
      <w:pPr>
        <w:pStyle w:val="ONUMFS"/>
        <w:rPr>
          <w:lang w:val="fr-FR"/>
        </w:rPr>
      </w:pPr>
      <w:r w:rsidRPr="001B3715">
        <w:rPr>
          <w:b/>
          <w:lang w:val="fr-FR"/>
        </w:rPr>
        <w:t>Statistiqu</w:t>
      </w:r>
      <w:r w:rsidR="001B3715" w:rsidRPr="001B3715">
        <w:rPr>
          <w:b/>
          <w:lang w:val="fr-FR"/>
        </w:rPr>
        <w:t xml:space="preserve">es.  </w:t>
      </w:r>
      <w:r w:rsidR="001B3715" w:rsidRPr="001B3715">
        <w:rPr>
          <w:lang w:val="fr-FR"/>
        </w:rPr>
        <w:t>Le</w:t>
      </w:r>
      <w:r w:rsidRPr="001B3715">
        <w:rPr>
          <w:lang w:val="fr-FR"/>
        </w:rPr>
        <w:t>s statistiques de propriété intellectuelle sont utilisées pour prendre un large éventail de décisio</w:t>
      </w:r>
      <w:r w:rsidR="001B3715" w:rsidRPr="001B3715">
        <w:rPr>
          <w:lang w:val="fr-FR"/>
        </w:rPr>
        <w:t>ns.  El</w:t>
      </w:r>
      <w:r w:rsidRPr="001B3715">
        <w:rPr>
          <w:lang w:val="fr-FR"/>
        </w:rPr>
        <w:t>les jouent un rôle important dans la planification opérationnelle des offices de brevets et de marqu</w:t>
      </w:r>
      <w:r w:rsidR="001B3715" w:rsidRPr="001B3715">
        <w:rPr>
          <w:lang w:val="fr-FR"/>
        </w:rPr>
        <w:t>es.  En</w:t>
      </w:r>
      <w:r w:rsidRPr="001B3715">
        <w:rPr>
          <w:lang w:val="fr-FR"/>
        </w:rPr>
        <w:t xml:space="preserve"> outre, les décideurs s</w:t>
      </w:r>
      <w:r w:rsidR="00502D05" w:rsidRPr="001B3715">
        <w:rPr>
          <w:lang w:val="fr-FR"/>
        </w:rPr>
        <w:t>’</w:t>
      </w:r>
      <w:r w:rsidRPr="001B3715">
        <w:rPr>
          <w:lang w:val="fr-FR"/>
        </w:rPr>
        <w:t>efforçant de suivre les performances des systèmes d</w:t>
      </w:r>
      <w:r w:rsidR="00502D05" w:rsidRPr="001B3715">
        <w:rPr>
          <w:lang w:val="fr-FR"/>
        </w:rPr>
        <w:t>’</w:t>
      </w:r>
      <w:r w:rsidRPr="001B3715">
        <w:rPr>
          <w:lang w:val="fr-FR"/>
        </w:rPr>
        <w:t>innovation nationaux, les statistiques de propriété intellectuelle apparaissent comme l</w:t>
      </w:r>
      <w:r w:rsidR="00502D05" w:rsidRPr="001B3715">
        <w:rPr>
          <w:lang w:val="fr-FR"/>
        </w:rPr>
        <w:t>’</w:t>
      </w:r>
      <w:r w:rsidRPr="001B3715">
        <w:rPr>
          <w:lang w:val="fr-FR"/>
        </w:rPr>
        <w:t>un des rares instruments de mesure permettant de comparer l</w:t>
      </w:r>
      <w:r w:rsidR="00502D05" w:rsidRPr="001B3715">
        <w:rPr>
          <w:lang w:val="fr-FR"/>
        </w:rPr>
        <w:t>’</w:t>
      </w:r>
      <w:r w:rsidRPr="001B3715">
        <w:rPr>
          <w:lang w:val="fr-FR"/>
        </w:rPr>
        <w:t>activité d</w:t>
      </w:r>
      <w:r w:rsidR="00502D05" w:rsidRPr="001B3715">
        <w:rPr>
          <w:lang w:val="fr-FR"/>
        </w:rPr>
        <w:t>’</w:t>
      </w:r>
      <w:r w:rsidRPr="001B3715">
        <w:rPr>
          <w:lang w:val="fr-FR"/>
        </w:rPr>
        <w:t>innovation entre économies et dans le temps.  L</w:t>
      </w:r>
      <w:r w:rsidR="00502D05" w:rsidRPr="001B3715">
        <w:rPr>
          <w:lang w:val="fr-FR"/>
        </w:rPr>
        <w:t>’</w:t>
      </w:r>
      <w:r w:rsidRPr="001B3715">
        <w:rPr>
          <w:lang w:val="fr-FR"/>
        </w:rPr>
        <w:t>OMPI reste le seul fournisseur de statistiques de propriété intellectuelle au niveau mondi</w:t>
      </w:r>
      <w:r w:rsidR="001B3715" w:rsidRPr="001B3715">
        <w:rPr>
          <w:lang w:val="fr-FR"/>
        </w:rPr>
        <w:t>al.  Co</w:t>
      </w:r>
      <w:r w:rsidRPr="001B3715">
        <w:rPr>
          <w:lang w:val="fr-FR"/>
        </w:rPr>
        <w:t xml:space="preserve">mme les années précédentes, nous avons </w:t>
      </w:r>
      <w:r w:rsidRPr="001B3715">
        <w:rPr>
          <w:lang w:val="fr-FR"/>
        </w:rPr>
        <w:lastRenderedPageBreak/>
        <w:t xml:space="preserve">actualisé </w:t>
      </w:r>
      <w:proofErr w:type="gramStart"/>
      <w:r w:rsidRPr="001B3715">
        <w:rPr>
          <w:lang w:val="fr-FR"/>
        </w:rPr>
        <w:t>la base de données statistiques</w:t>
      </w:r>
      <w:proofErr w:type="gramEnd"/>
      <w:r w:rsidRPr="001B3715">
        <w:rPr>
          <w:lang w:val="fr-FR"/>
        </w:rPr>
        <w:t xml:space="preserve"> de l</w:t>
      </w:r>
      <w:r w:rsidR="00502D05" w:rsidRPr="001B3715">
        <w:rPr>
          <w:lang w:val="fr-FR"/>
        </w:rPr>
        <w:t>’</w:t>
      </w:r>
      <w:r w:rsidRPr="001B3715">
        <w:rPr>
          <w:lang w:val="fr-FR"/>
        </w:rPr>
        <w:t xml:space="preserve">OMPI en 2015, en nous appuyant sur une enquête statistique auprès des offices de propriété intellectuelle du monde entier et les données statistiques tirées des services des opérations du PCT, de Madrid et de </w:t>
      </w:r>
      <w:r w:rsidR="00502D05" w:rsidRPr="001B3715">
        <w:rPr>
          <w:lang w:val="fr-FR"/>
        </w:rPr>
        <w:t>La Ha</w:t>
      </w:r>
      <w:r w:rsidR="001B3715" w:rsidRPr="001B3715">
        <w:rPr>
          <w:lang w:val="fr-FR"/>
        </w:rPr>
        <w:t>ye.  No</w:t>
      </w:r>
      <w:r w:rsidRPr="001B3715">
        <w:rPr>
          <w:lang w:val="fr-FR"/>
        </w:rPr>
        <w:t>us sommes reconnaissants aux États membres qui ont bien voulu communiquer leurs statistiques à l</w:t>
      </w:r>
      <w:r w:rsidR="00502D05" w:rsidRPr="001B3715">
        <w:rPr>
          <w:lang w:val="fr-FR"/>
        </w:rPr>
        <w:t>’</w:t>
      </w:r>
      <w:r w:rsidRPr="001B3715">
        <w:rPr>
          <w:lang w:val="fr-FR"/>
        </w:rPr>
        <w:t>OMPI, ce qui nous a permis d</w:t>
      </w:r>
      <w:r w:rsidR="00502D05" w:rsidRPr="001B3715">
        <w:rPr>
          <w:lang w:val="fr-FR"/>
        </w:rPr>
        <w:t>’</w:t>
      </w:r>
      <w:r w:rsidRPr="001B3715">
        <w:rPr>
          <w:lang w:val="fr-FR"/>
        </w:rPr>
        <w:t>élargir en permanence notre couverture statistique.</w:t>
      </w:r>
    </w:p>
    <w:p w14:paraId="12D138AC" w14:textId="12343362" w:rsidR="003056BB" w:rsidRPr="001B3715" w:rsidRDefault="003056BB" w:rsidP="003056BB">
      <w:pPr>
        <w:pStyle w:val="ONUMFS"/>
        <w:rPr>
          <w:lang w:val="fr-FR"/>
        </w:rPr>
      </w:pPr>
      <w:r w:rsidRPr="001B3715">
        <w:rPr>
          <w:lang w:val="fr-FR"/>
        </w:rPr>
        <w:t xml:space="preserve">La base de données </w:t>
      </w:r>
      <w:proofErr w:type="gramStart"/>
      <w:r w:rsidRPr="001B3715">
        <w:rPr>
          <w:lang w:val="fr-FR"/>
        </w:rPr>
        <w:t>statistiques</w:t>
      </w:r>
      <w:proofErr w:type="gramEnd"/>
      <w:r w:rsidRPr="001B3715">
        <w:rPr>
          <w:lang w:val="fr-FR"/>
        </w:rPr>
        <w:t xml:space="preserve"> de l</w:t>
      </w:r>
      <w:r w:rsidR="00502D05" w:rsidRPr="001B3715">
        <w:rPr>
          <w:lang w:val="fr-FR"/>
        </w:rPr>
        <w:t>’</w:t>
      </w:r>
      <w:r w:rsidRPr="001B3715">
        <w:rPr>
          <w:lang w:val="fr-FR"/>
        </w:rPr>
        <w:t>OMPI est un outil public gratuitement accessible par l</w:t>
      </w:r>
      <w:r w:rsidR="00502D05" w:rsidRPr="001B3715">
        <w:rPr>
          <w:lang w:val="fr-FR"/>
        </w:rPr>
        <w:t>’</w:t>
      </w:r>
      <w:r w:rsidRPr="001B3715">
        <w:rPr>
          <w:lang w:val="fr-FR"/>
        </w:rPr>
        <w:t>intermédiaire du site Web de l</w:t>
      </w:r>
      <w:r w:rsidR="00502D05" w:rsidRPr="001B3715">
        <w:rPr>
          <w:lang w:val="fr-FR"/>
        </w:rPr>
        <w:t>’</w:t>
      </w:r>
      <w:r w:rsidRPr="001B3715">
        <w:rPr>
          <w:lang w:val="fr-FR"/>
        </w:rPr>
        <w:t>Organisati</w:t>
      </w:r>
      <w:r w:rsidR="001B3715" w:rsidRPr="001B3715">
        <w:rPr>
          <w:lang w:val="fr-FR"/>
        </w:rPr>
        <w:t>on.  Po</w:t>
      </w:r>
      <w:r w:rsidRPr="001B3715">
        <w:rPr>
          <w:lang w:val="fr-FR"/>
        </w:rPr>
        <w:t>ur répondre aux besoins des différents utilisateurs – spécialistes de la propriété intellectuelle, chercheurs, décideurs et journalistes notamment –, nous présentons et analysons également les dernières tendances en matière d</w:t>
      </w:r>
      <w:r w:rsidR="00502D05" w:rsidRPr="001B3715">
        <w:rPr>
          <w:lang w:val="fr-FR"/>
        </w:rPr>
        <w:t>’</w:t>
      </w:r>
      <w:r w:rsidRPr="001B3715">
        <w:rPr>
          <w:lang w:val="fr-FR"/>
        </w:rPr>
        <w:t>utilisation de la propriété intellectuelle dans divers rapports statistiqu</w:t>
      </w:r>
      <w:r w:rsidR="001B3715" w:rsidRPr="001B3715">
        <w:rPr>
          <w:lang w:val="fr-FR"/>
        </w:rPr>
        <w:t>es.  On</w:t>
      </w:r>
      <w:r w:rsidRPr="001B3715">
        <w:rPr>
          <w:lang w:val="fr-FR"/>
        </w:rPr>
        <w:t xml:space="preserve"> mentionnera en particulier les Indicateurs mondiaux relatifs à la propriété intellectuelle, publiés chaque année, et la publication plus succincte Faits et chiffres de l</w:t>
      </w:r>
      <w:r w:rsidR="00502D05" w:rsidRPr="001B3715">
        <w:rPr>
          <w:lang w:val="fr-FR"/>
        </w:rPr>
        <w:t>’</w:t>
      </w:r>
      <w:r w:rsidRPr="001B3715">
        <w:rPr>
          <w:lang w:val="fr-FR"/>
        </w:rPr>
        <w:t>OMPI relatifs à la propriété intellectuelle, qui donnent une vue d</w:t>
      </w:r>
      <w:r w:rsidR="00502D05" w:rsidRPr="001B3715">
        <w:rPr>
          <w:lang w:val="fr-FR"/>
        </w:rPr>
        <w:t>’</w:t>
      </w:r>
      <w:r w:rsidRPr="001B3715">
        <w:rPr>
          <w:lang w:val="fr-FR"/>
        </w:rPr>
        <w:t xml:space="preserve">ensemble des principales tendances mondiales concernant les principaux titres de propriété industrielle délivrés, </w:t>
      </w:r>
      <w:r w:rsidR="00502D05" w:rsidRPr="001B3715">
        <w:rPr>
          <w:lang w:val="fr-FR"/>
        </w:rPr>
        <w:t>à savoir</w:t>
      </w:r>
      <w:r w:rsidRPr="001B3715">
        <w:rPr>
          <w:lang w:val="fr-FR"/>
        </w:rPr>
        <w:t xml:space="preserve"> – brevets, marques, dessins et modèles et droits d</w:t>
      </w:r>
      <w:r w:rsidR="00502D05" w:rsidRPr="001B3715">
        <w:rPr>
          <w:lang w:val="fr-FR"/>
        </w:rPr>
        <w:t>’</w:t>
      </w:r>
      <w:r w:rsidRPr="001B3715">
        <w:rPr>
          <w:lang w:val="fr-FR"/>
        </w:rPr>
        <w:t>obtente</w:t>
      </w:r>
      <w:r w:rsidR="001B3715" w:rsidRPr="001B3715">
        <w:rPr>
          <w:lang w:val="fr-FR"/>
        </w:rPr>
        <w:t>ur.  L’é</w:t>
      </w:r>
      <w:r w:rsidRPr="001B3715">
        <w:rPr>
          <w:lang w:val="fr-FR"/>
        </w:rPr>
        <w:t>dition</w:t>
      </w:r>
      <w:r w:rsidR="00E3770C">
        <w:rPr>
          <w:lang w:val="fr-FR"/>
        </w:rPr>
        <w:t> </w:t>
      </w:r>
      <w:r w:rsidRPr="001B3715">
        <w:rPr>
          <w:lang w:val="fr-FR"/>
        </w:rPr>
        <w:t xml:space="preserve">2015 des Indicateurs mondiaux relatifs à la propriété intellectuelle analysait en particulier le comportement en matière de dépôts des 100 principaux déposants de demandes de brevet depuis le début des années 80.  Enfin, les Revues annuelles des systèmes du PCT, de Madrid et de </w:t>
      </w:r>
      <w:r w:rsidR="00502D05" w:rsidRPr="001B3715">
        <w:rPr>
          <w:lang w:val="fr-FR"/>
        </w:rPr>
        <w:t>La Haye</w:t>
      </w:r>
      <w:r w:rsidRPr="001B3715">
        <w:rPr>
          <w:lang w:val="fr-FR"/>
        </w:rPr>
        <w:t xml:space="preserve"> ont mis en évidence les principales tendances caractérisant ces systèmes de dépôt en rapide évoluti</w:t>
      </w:r>
      <w:r w:rsidR="001B3715" w:rsidRPr="001B3715">
        <w:rPr>
          <w:lang w:val="fr-FR"/>
        </w:rPr>
        <w:t>on.  Le</w:t>
      </w:r>
      <w:r w:rsidRPr="001B3715">
        <w:rPr>
          <w:lang w:val="fr-FR"/>
        </w:rPr>
        <w:t>s rapports statistiques de l</w:t>
      </w:r>
      <w:r w:rsidR="00502D05" w:rsidRPr="001B3715">
        <w:rPr>
          <w:lang w:val="fr-FR"/>
        </w:rPr>
        <w:t>’</w:t>
      </w:r>
      <w:r w:rsidRPr="001B3715">
        <w:rPr>
          <w:lang w:val="fr-FR"/>
        </w:rPr>
        <w:t>OMPI sont parmi les publications les plus téléchargées sur le site Web de l</w:t>
      </w:r>
      <w:r w:rsidR="00502D05" w:rsidRPr="001B3715">
        <w:rPr>
          <w:lang w:val="fr-FR"/>
        </w:rPr>
        <w:t>’</w:t>
      </w:r>
      <w:r w:rsidRPr="001B3715">
        <w:rPr>
          <w:lang w:val="fr-FR"/>
        </w:rPr>
        <w:t>OMPI.</w:t>
      </w:r>
    </w:p>
    <w:p w14:paraId="7F77E1B1" w14:textId="0440F7FD" w:rsidR="003056BB" w:rsidRPr="001B3715" w:rsidRDefault="003056BB" w:rsidP="003056BB">
      <w:pPr>
        <w:pStyle w:val="ONUMFS"/>
        <w:rPr>
          <w:lang w:val="fr-FR"/>
        </w:rPr>
      </w:pPr>
      <w:r w:rsidRPr="001B3715">
        <w:rPr>
          <w:lang w:val="fr-FR"/>
        </w:rPr>
        <w:t>Consciente que les statistiques de propriété intellectuelle favorisent la prise de décisions en connaissance de cause et permettent aux parties prenantes de se tenir informées de l</w:t>
      </w:r>
      <w:r w:rsidR="00502D05" w:rsidRPr="001B3715">
        <w:rPr>
          <w:lang w:val="fr-FR"/>
        </w:rPr>
        <w:t>’</w:t>
      </w:r>
      <w:r w:rsidRPr="001B3715">
        <w:rPr>
          <w:lang w:val="fr-FR"/>
        </w:rPr>
        <w:t>évolution du système mondial de propriété intellectuelle, l</w:t>
      </w:r>
      <w:r w:rsidR="00502D05" w:rsidRPr="001B3715">
        <w:rPr>
          <w:lang w:val="fr-FR"/>
        </w:rPr>
        <w:t>’</w:t>
      </w:r>
      <w:r w:rsidRPr="001B3715">
        <w:rPr>
          <w:lang w:val="fr-FR"/>
        </w:rPr>
        <w:t>OMPI poursuivra ses efforts pour assurer la collecte et l</w:t>
      </w:r>
      <w:r w:rsidR="00502D05" w:rsidRPr="001B3715">
        <w:rPr>
          <w:lang w:val="fr-FR"/>
        </w:rPr>
        <w:t>’</w:t>
      </w:r>
      <w:r w:rsidRPr="001B3715">
        <w:rPr>
          <w:lang w:val="fr-FR"/>
        </w:rPr>
        <w:t>analyse de données statistiques actualisées et fiables au niveau mondial.</w:t>
      </w:r>
    </w:p>
    <w:p w14:paraId="351A40E2" w14:textId="6A2EE6B5" w:rsidR="003056BB" w:rsidRPr="001B3715" w:rsidRDefault="003056BB" w:rsidP="003056BB">
      <w:pPr>
        <w:pStyle w:val="ONUMFS"/>
        <w:rPr>
          <w:lang w:val="fr-FR"/>
        </w:rPr>
      </w:pPr>
      <w:r w:rsidRPr="001B3715">
        <w:rPr>
          <w:b/>
          <w:lang w:val="fr-FR"/>
        </w:rPr>
        <w:t>Analyse économiq</w:t>
      </w:r>
      <w:r w:rsidR="001B3715" w:rsidRPr="001B3715">
        <w:rPr>
          <w:b/>
          <w:lang w:val="fr-FR"/>
        </w:rPr>
        <w:t xml:space="preserve">ue.  </w:t>
      </w:r>
      <w:r w:rsidR="001B3715" w:rsidRPr="001B3715">
        <w:rPr>
          <w:lang w:val="fr-FR"/>
        </w:rPr>
        <w:t>En</w:t>
      </w:r>
      <w:r w:rsidRPr="001B3715">
        <w:rPr>
          <w:lang w:val="fr-FR"/>
        </w:rPr>
        <w:t> 2015, l</w:t>
      </w:r>
      <w:r w:rsidR="00502D05" w:rsidRPr="001B3715">
        <w:rPr>
          <w:lang w:val="fr-FR"/>
        </w:rPr>
        <w:t>’</w:t>
      </w:r>
      <w:r w:rsidRPr="001B3715">
        <w:rPr>
          <w:lang w:val="fr-FR"/>
        </w:rPr>
        <w:t>OMPI a publié son troisième Rapport sur la propriété intellectuelle dans le monde sur le thème des innovations révolutionnaires et de la croissance économiq</w:t>
      </w:r>
      <w:r w:rsidR="001B3715" w:rsidRPr="001B3715">
        <w:rPr>
          <w:lang w:val="fr-FR"/>
        </w:rPr>
        <w:t>ue.  Da</w:t>
      </w:r>
      <w:r w:rsidRPr="001B3715">
        <w:rPr>
          <w:lang w:val="fr-FR"/>
        </w:rPr>
        <w:t>ns le cadre de notre série de rapports bisannuels sur la propriété intellectuelle dans le monde, nous nous efforçons d</w:t>
      </w:r>
      <w:r w:rsidR="00502D05" w:rsidRPr="001B3715">
        <w:rPr>
          <w:lang w:val="fr-FR"/>
        </w:rPr>
        <w:t>’</w:t>
      </w:r>
      <w:r w:rsidRPr="001B3715">
        <w:rPr>
          <w:lang w:val="fr-FR"/>
        </w:rPr>
        <w:t>expliquer, préciser et faire mieux comprendre le rôle que joue le système de la propriété intellectuelle dans les économies de marc</w:t>
      </w:r>
      <w:r w:rsidR="001B3715" w:rsidRPr="001B3715">
        <w:rPr>
          <w:lang w:val="fr-FR"/>
        </w:rPr>
        <w:t>hé.  Su</w:t>
      </w:r>
      <w:r w:rsidRPr="001B3715">
        <w:rPr>
          <w:lang w:val="fr-FR"/>
        </w:rPr>
        <w:t>r fond de faible croissance économique depuis le début de la crise financière mondiale de 2008, le rapport</w:t>
      </w:r>
      <w:r w:rsidR="00E3770C">
        <w:rPr>
          <w:lang w:val="fr-FR"/>
        </w:rPr>
        <w:t> </w:t>
      </w:r>
      <w:r w:rsidRPr="001B3715">
        <w:rPr>
          <w:lang w:val="fr-FR"/>
        </w:rPr>
        <w:t>2015 rend compte de la manière dont les innovations révolutionnaires ont tiré la croissance au cours des deux derniers siècles et s</w:t>
      </w:r>
      <w:r w:rsidR="00502D05" w:rsidRPr="001B3715">
        <w:rPr>
          <w:lang w:val="fr-FR"/>
        </w:rPr>
        <w:t>’</w:t>
      </w:r>
      <w:r w:rsidRPr="001B3715">
        <w:rPr>
          <w:lang w:val="fr-FR"/>
        </w:rPr>
        <w:t>interroge sur la question de savoir si les percées d</w:t>
      </w:r>
      <w:r w:rsidR="00502D05" w:rsidRPr="001B3715">
        <w:rPr>
          <w:lang w:val="fr-FR"/>
        </w:rPr>
        <w:t>’</w:t>
      </w:r>
      <w:r w:rsidRPr="001B3715">
        <w:rPr>
          <w:lang w:val="fr-FR"/>
        </w:rPr>
        <w:t>aujourd</w:t>
      </w:r>
      <w:r w:rsidR="00502D05" w:rsidRPr="001B3715">
        <w:rPr>
          <w:lang w:val="fr-FR"/>
        </w:rPr>
        <w:t>’</w:t>
      </w:r>
      <w:r w:rsidRPr="001B3715">
        <w:rPr>
          <w:lang w:val="fr-FR"/>
        </w:rPr>
        <w:t>hui peuvent continuer de le faire à l</w:t>
      </w:r>
      <w:r w:rsidR="00502D05" w:rsidRPr="001B3715">
        <w:rPr>
          <w:lang w:val="fr-FR"/>
        </w:rPr>
        <w:t>’</w:t>
      </w:r>
      <w:r w:rsidRPr="001B3715">
        <w:rPr>
          <w:lang w:val="fr-FR"/>
        </w:rPr>
        <w:t>aven</w:t>
      </w:r>
      <w:r w:rsidR="001B3715" w:rsidRPr="001B3715">
        <w:rPr>
          <w:lang w:val="fr-FR"/>
        </w:rPr>
        <w:t>ir.  Il</w:t>
      </w:r>
      <w:r w:rsidRPr="001B3715">
        <w:rPr>
          <w:lang w:val="fr-FR"/>
        </w:rPr>
        <w:t xml:space="preserve"> se concentre sur certains domaines choisis de l</w:t>
      </w:r>
      <w:r w:rsidR="00502D05" w:rsidRPr="001B3715">
        <w:rPr>
          <w:lang w:val="fr-FR"/>
        </w:rPr>
        <w:t>’</w:t>
      </w:r>
      <w:r w:rsidRPr="001B3715">
        <w:rPr>
          <w:lang w:val="fr-FR"/>
        </w:rPr>
        <w:t>innovation technologique qui semblent receler un potentiel particulier, notamment l</w:t>
      </w:r>
      <w:r w:rsidR="00502D05" w:rsidRPr="001B3715">
        <w:rPr>
          <w:lang w:val="fr-FR"/>
        </w:rPr>
        <w:t>’</w:t>
      </w:r>
      <w:r w:rsidRPr="001B3715">
        <w:rPr>
          <w:lang w:val="fr-FR"/>
        </w:rPr>
        <w:t>impression 3D, les nanotechnologies et la robotiq</w:t>
      </w:r>
      <w:r w:rsidR="001B3715" w:rsidRPr="001B3715">
        <w:rPr>
          <w:lang w:val="fr-FR"/>
        </w:rPr>
        <w:t>ue.  Le</w:t>
      </w:r>
      <w:r w:rsidRPr="001B3715">
        <w:rPr>
          <w:lang w:val="fr-FR"/>
        </w:rPr>
        <w:t xml:space="preserve"> rapport analyse leur contribution à la croissance économique, les écosystèmes dans lesquels ils s</w:t>
      </w:r>
      <w:r w:rsidR="00502D05" w:rsidRPr="001B3715">
        <w:rPr>
          <w:lang w:val="fr-FR"/>
        </w:rPr>
        <w:t>’</w:t>
      </w:r>
      <w:r w:rsidRPr="001B3715">
        <w:rPr>
          <w:lang w:val="fr-FR"/>
        </w:rPr>
        <w:t>épanouissent et le rôle que joue le système de la propriété intellectuelle au sein de ces écosystèm</w:t>
      </w:r>
      <w:r w:rsidR="001B3715" w:rsidRPr="001B3715">
        <w:rPr>
          <w:lang w:val="fr-FR"/>
        </w:rPr>
        <w:t>es.  Il</w:t>
      </w:r>
      <w:r w:rsidRPr="001B3715">
        <w:rPr>
          <w:lang w:val="fr-FR"/>
        </w:rPr>
        <w:t xml:space="preserve"> dresse également une cartographie des familles de brevets mondiales couvrant ces domaines d</w:t>
      </w:r>
      <w:r w:rsidR="00502D05" w:rsidRPr="001B3715">
        <w:rPr>
          <w:lang w:val="fr-FR"/>
        </w:rPr>
        <w:t>’</w:t>
      </w:r>
      <w:r w:rsidRPr="001B3715">
        <w:rPr>
          <w:lang w:val="fr-FR"/>
        </w:rPr>
        <w:t>innovations potentiellement révolutionnaires, donnant un aperçu de l</w:t>
      </w:r>
      <w:r w:rsidR="00502D05" w:rsidRPr="001B3715">
        <w:rPr>
          <w:lang w:val="fr-FR"/>
        </w:rPr>
        <w:t>’</w:t>
      </w:r>
      <w:r w:rsidRPr="001B3715">
        <w:rPr>
          <w:lang w:val="fr-FR"/>
        </w:rPr>
        <w:t>origine géographique et institutionnelle de l</w:t>
      </w:r>
      <w:r w:rsidR="00502D05" w:rsidRPr="001B3715">
        <w:rPr>
          <w:lang w:val="fr-FR"/>
        </w:rPr>
        <w:t>’</w:t>
      </w:r>
      <w:r w:rsidRPr="001B3715">
        <w:rPr>
          <w:lang w:val="fr-FR"/>
        </w:rPr>
        <w:t>activité d</w:t>
      </w:r>
      <w:r w:rsidR="00502D05" w:rsidRPr="001B3715">
        <w:rPr>
          <w:lang w:val="fr-FR"/>
        </w:rPr>
        <w:t>’</w:t>
      </w:r>
      <w:r w:rsidRPr="001B3715">
        <w:rPr>
          <w:lang w:val="fr-FR"/>
        </w:rPr>
        <w:t>innovation.</w:t>
      </w:r>
    </w:p>
    <w:p w14:paraId="4B37E210" w14:textId="01AF9357" w:rsidR="003056BB" w:rsidRPr="001B3715" w:rsidRDefault="003056BB" w:rsidP="003056BB">
      <w:pPr>
        <w:pStyle w:val="ONUMFS"/>
        <w:rPr>
          <w:lang w:val="fr-FR"/>
        </w:rPr>
      </w:pPr>
      <w:r w:rsidRPr="001B3715">
        <w:rPr>
          <w:lang w:val="fr-FR"/>
        </w:rPr>
        <w:t>Le lancement du Rapport</w:t>
      </w:r>
      <w:r w:rsidR="00E3770C">
        <w:rPr>
          <w:lang w:val="fr-FR"/>
        </w:rPr>
        <w:t> </w:t>
      </w:r>
      <w:r w:rsidRPr="001B3715">
        <w:rPr>
          <w:lang w:val="fr-FR"/>
        </w:rPr>
        <w:t>2015 sur la propriété intellectuelle dans le monde a attiré une large couverture médiatique, plus de 200 articles étant publiés à cet égard dans la semaine qui a sui</w:t>
      </w:r>
      <w:r w:rsidR="001B3715" w:rsidRPr="001B3715">
        <w:rPr>
          <w:lang w:val="fr-FR"/>
        </w:rPr>
        <w:t>vi.  De</w:t>
      </w:r>
      <w:r w:rsidRPr="001B3715">
        <w:rPr>
          <w:lang w:val="fr-FR"/>
        </w:rPr>
        <w:t>puis sa publication, le rapport a également été cité dans de nombreux documents de politique générale du monde entier et a également alimenté les discussions dans de nombreuses instances clés consacrées à la propriété intellectuelle et à l</w:t>
      </w:r>
      <w:r w:rsidR="00502D05" w:rsidRPr="001B3715">
        <w:rPr>
          <w:lang w:val="fr-FR"/>
        </w:rPr>
        <w:t>’</w:t>
      </w:r>
      <w:r w:rsidRPr="001B3715">
        <w:rPr>
          <w:lang w:val="fr-FR"/>
        </w:rPr>
        <w:t>innovation fo</w:t>
      </w:r>
      <w:r w:rsidR="001B3715" w:rsidRPr="001B3715">
        <w:rPr>
          <w:lang w:val="fr-FR"/>
        </w:rPr>
        <w:t>ra.  Le</w:t>
      </w:r>
      <w:r w:rsidRPr="001B3715">
        <w:rPr>
          <w:lang w:val="fr-FR"/>
        </w:rPr>
        <w:t>s travaux en vue de l</w:t>
      </w:r>
      <w:r w:rsidR="00502D05" w:rsidRPr="001B3715">
        <w:rPr>
          <w:lang w:val="fr-FR"/>
        </w:rPr>
        <w:t>’</w:t>
      </w:r>
      <w:r w:rsidRPr="001B3715">
        <w:rPr>
          <w:lang w:val="fr-FR"/>
        </w:rPr>
        <w:t>établissement de la prochaine édition de cette série, qui sera publiée en 2017, ont déjà débuté.</w:t>
      </w:r>
    </w:p>
    <w:p w14:paraId="39E84FFD" w14:textId="4143F4B2" w:rsidR="003056BB" w:rsidRPr="001B3715" w:rsidRDefault="003056BB" w:rsidP="003056BB">
      <w:pPr>
        <w:pStyle w:val="ONUMFS"/>
        <w:rPr>
          <w:lang w:val="fr-FR"/>
        </w:rPr>
      </w:pPr>
      <w:r w:rsidRPr="001B3715">
        <w:rPr>
          <w:b/>
          <w:lang w:val="fr-FR"/>
        </w:rPr>
        <w:t>Indice mondial de l</w:t>
      </w:r>
      <w:r w:rsidR="00502D05" w:rsidRPr="001B3715">
        <w:rPr>
          <w:b/>
          <w:lang w:val="fr-FR"/>
        </w:rPr>
        <w:t>’</w:t>
      </w:r>
      <w:r w:rsidRPr="001B3715">
        <w:rPr>
          <w:b/>
          <w:lang w:val="fr-FR"/>
        </w:rPr>
        <w:t>innovati</w:t>
      </w:r>
      <w:r w:rsidR="001B3715" w:rsidRPr="001B3715">
        <w:rPr>
          <w:b/>
          <w:lang w:val="fr-FR"/>
        </w:rPr>
        <w:t xml:space="preserve">on.  </w:t>
      </w:r>
      <w:r w:rsidR="001B3715" w:rsidRPr="001B3715">
        <w:rPr>
          <w:lang w:val="fr-FR"/>
        </w:rPr>
        <w:t>Co</w:t>
      </w:r>
      <w:r w:rsidRPr="001B3715">
        <w:rPr>
          <w:lang w:val="fr-FR"/>
        </w:rPr>
        <w:t>mme les années précédentes, l</w:t>
      </w:r>
      <w:r w:rsidR="00502D05" w:rsidRPr="001B3715">
        <w:rPr>
          <w:lang w:val="fr-FR"/>
        </w:rPr>
        <w:t>’</w:t>
      </w:r>
      <w:r w:rsidRPr="001B3715">
        <w:rPr>
          <w:lang w:val="fr-FR"/>
        </w:rPr>
        <w:t>OMPI a publié l</w:t>
      </w:r>
      <w:r w:rsidR="00502D05" w:rsidRPr="001B3715">
        <w:rPr>
          <w:lang w:val="fr-FR"/>
        </w:rPr>
        <w:t>’</w:t>
      </w:r>
      <w:r w:rsidRPr="001B3715">
        <w:rPr>
          <w:lang w:val="fr-FR"/>
        </w:rPr>
        <w:t>Indice mondial de l</w:t>
      </w:r>
      <w:r w:rsidR="00502D05" w:rsidRPr="001B3715">
        <w:rPr>
          <w:lang w:val="fr-FR"/>
        </w:rPr>
        <w:t>’</w:t>
      </w:r>
      <w:r w:rsidRPr="001B3715">
        <w:rPr>
          <w:lang w:val="fr-FR"/>
        </w:rPr>
        <w:t>innovation en 2016 en partenariat avec l</w:t>
      </w:r>
      <w:r w:rsidR="00502D05" w:rsidRPr="001B3715">
        <w:rPr>
          <w:lang w:val="fr-FR"/>
        </w:rPr>
        <w:t>’</w:t>
      </w:r>
      <w:r w:rsidRPr="001B3715">
        <w:rPr>
          <w:lang w:val="fr-FR"/>
        </w:rPr>
        <w:t>Université Cornell et l</w:t>
      </w:r>
      <w:r w:rsidR="00502D05" w:rsidRPr="001B3715">
        <w:rPr>
          <w:lang w:val="fr-FR"/>
        </w:rPr>
        <w:t>’</w:t>
      </w:r>
      <w:r w:rsidRPr="001B3715">
        <w:rPr>
          <w:lang w:val="fr-FR"/>
        </w:rPr>
        <w:t>INS</w:t>
      </w:r>
      <w:r w:rsidR="001B3715" w:rsidRPr="001B3715">
        <w:rPr>
          <w:lang w:val="fr-FR"/>
        </w:rPr>
        <w:t>EAD.  Ce</w:t>
      </w:r>
      <w:r w:rsidRPr="001B3715">
        <w:rPr>
          <w:lang w:val="fr-FR"/>
        </w:rPr>
        <w:t>tte publication est devenue un outil de comparaison précieux pour recenser les points forts et les points faibles dans les résultats des systèmes nationaux d</w:t>
      </w:r>
      <w:r w:rsidR="00502D05" w:rsidRPr="001B3715">
        <w:rPr>
          <w:lang w:val="fr-FR"/>
        </w:rPr>
        <w:t>’</w:t>
      </w:r>
      <w:r w:rsidRPr="001B3715">
        <w:rPr>
          <w:lang w:val="fr-FR"/>
        </w:rPr>
        <w:t>innovati</w:t>
      </w:r>
      <w:r w:rsidR="001B3715" w:rsidRPr="001B3715">
        <w:rPr>
          <w:lang w:val="fr-FR"/>
        </w:rPr>
        <w:t>on.  El</w:t>
      </w:r>
      <w:r w:rsidRPr="001B3715">
        <w:rPr>
          <w:lang w:val="fr-FR"/>
        </w:rPr>
        <w:t xml:space="preserve">le vise à répondre </w:t>
      </w:r>
      <w:r w:rsidRPr="001B3715">
        <w:rPr>
          <w:lang w:val="fr-FR"/>
        </w:rPr>
        <w:lastRenderedPageBreak/>
        <w:t>à la nécessité de disposer de critères exhaustifs pour permettre aux décideurs d</w:t>
      </w:r>
      <w:r w:rsidR="00502D05" w:rsidRPr="001B3715">
        <w:rPr>
          <w:lang w:val="fr-FR"/>
        </w:rPr>
        <w:t>’</w:t>
      </w:r>
      <w:r w:rsidRPr="001B3715">
        <w:rPr>
          <w:lang w:val="fr-FR"/>
        </w:rPr>
        <w:t>évaluer les meilleurs moyens de favoriser le développement d</w:t>
      </w:r>
      <w:r w:rsidR="00502D05" w:rsidRPr="001B3715">
        <w:rPr>
          <w:lang w:val="fr-FR"/>
        </w:rPr>
        <w:t>’</w:t>
      </w:r>
      <w:r w:rsidRPr="001B3715">
        <w:rPr>
          <w:lang w:val="fr-FR"/>
        </w:rPr>
        <w:t>une économie dynamique fondée sur le savo</w:t>
      </w:r>
      <w:r w:rsidR="001B3715" w:rsidRPr="001B3715">
        <w:rPr>
          <w:lang w:val="fr-FR"/>
        </w:rPr>
        <w:t>ir.  L’é</w:t>
      </w:r>
      <w:r w:rsidRPr="001B3715">
        <w:rPr>
          <w:lang w:val="fr-FR"/>
        </w:rPr>
        <w:t>dition 2016 couvre 128 économies et s</w:t>
      </w:r>
      <w:r w:rsidR="00502D05" w:rsidRPr="001B3715">
        <w:rPr>
          <w:lang w:val="fr-FR"/>
        </w:rPr>
        <w:t>’</w:t>
      </w:r>
      <w:r w:rsidRPr="001B3715">
        <w:rPr>
          <w:lang w:val="fr-FR"/>
        </w:rPr>
        <w:t>appuie sur 82 indicateurs de consommation et de production en matière d</w:t>
      </w:r>
      <w:r w:rsidR="00502D05" w:rsidRPr="001B3715">
        <w:rPr>
          <w:lang w:val="fr-FR"/>
        </w:rPr>
        <w:t>’</w:t>
      </w:r>
      <w:r w:rsidRPr="001B3715">
        <w:rPr>
          <w:lang w:val="fr-FR"/>
        </w:rPr>
        <w:t>innovati</w:t>
      </w:r>
      <w:r w:rsidR="001B3715" w:rsidRPr="001B3715">
        <w:rPr>
          <w:lang w:val="fr-FR"/>
        </w:rPr>
        <w:t>on.  El</w:t>
      </w:r>
      <w:r w:rsidRPr="001B3715">
        <w:rPr>
          <w:lang w:val="fr-FR"/>
        </w:rPr>
        <w:t xml:space="preserve">le a été rédigée avec le concours de </w:t>
      </w:r>
      <w:proofErr w:type="spellStart"/>
      <w:r w:rsidRPr="001B3715">
        <w:rPr>
          <w:lang w:val="fr-FR"/>
        </w:rPr>
        <w:t>Knowledge</w:t>
      </w:r>
      <w:proofErr w:type="spellEnd"/>
      <w:r w:rsidRPr="001B3715">
        <w:rPr>
          <w:lang w:val="fr-FR"/>
        </w:rPr>
        <w:t xml:space="preserve"> </w:t>
      </w:r>
      <w:proofErr w:type="spellStart"/>
      <w:r w:rsidRPr="001B3715">
        <w:rPr>
          <w:lang w:val="fr-FR"/>
        </w:rPr>
        <w:t>Partners</w:t>
      </w:r>
      <w:proofErr w:type="spellEnd"/>
      <w:r w:rsidRPr="001B3715">
        <w:rPr>
          <w:lang w:val="fr-FR"/>
        </w:rPr>
        <w:t xml:space="preserve"> AT Kearney, de l</w:t>
      </w:r>
      <w:r w:rsidR="00502D05" w:rsidRPr="001B3715">
        <w:rPr>
          <w:lang w:val="fr-FR"/>
        </w:rPr>
        <w:t>’</w:t>
      </w:r>
      <w:r w:rsidRPr="001B3715">
        <w:rPr>
          <w:lang w:val="fr-FR"/>
        </w:rPr>
        <w:t>opérateur de télécommunications Du et de la Confédération des industries indiennes et avec les contributions d</w:t>
      </w:r>
      <w:r w:rsidR="00502D05" w:rsidRPr="001B3715">
        <w:rPr>
          <w:lang w:val="fr-FR"/>
        </w:rPr>
        <w:t>’</w:t>
      </w:r>
      <w:r w:rsidRPr="001B3715">
        <w:rPr>
          <w:lang w:val="fr-FR"/>
        </w:rPr>
        <w:t>un comité consultatif constitué d</w:t>
      </w:r>
      <w:r w:rsidR="00502D05" w:rsidRPr="001B3715">
        <w:rPr>
          <w:lang w:val="fr-FR"/>
        </w:rPr>
        <w:t>’</w:t>
      </w:r>
      <w:r w:rsidRPr="001B3715">
        <w:rPr>
          <w:lang w:val="fr-FR"/>
        </w:rPr>
        <w:t>experts de l</w:t>
      </w:r>
      <w:r w:rsidR="00502D05" w:rsidRPr="001B3715">
        <w:rPr>
          <w:lang w:val="fr-FR"/>
        </w:rPr>
        <w:t>’</w:t>
      </w:r>
      <w:r w:rsidRPr="001B3715">
        <w:rPr>
          <w:lang w:val="fr-FR"/>
        </w:rPr>
        <w:t>innovation du monde enti</w:t>
      </w:r>
      <w:r w:rsidR="001B3715" w:rsidRPr="001B3715">
        <w:rPr>
          <w:lang w:val="fr-FR"/>
        </w:rPr>
        <w:t>er.  Su</w:t>
      </w:r>
      <w:r w:rsidRPr="001B3715">
        <w:rPr>
          <w:lang w:val="fr-FR"/>
        </w:rPr>
        <w:t>ite au lancement de l</w:t>
      </w:r>
      <w:r w:rsidR="00502D05" w:rsidRPr="001B3715">
        <w:rPr>
          <w:lang w:val="fr-FR"/>
        </w:rPr>
        <w:t>’</w:t>
      </w:r>
      <w:r w:rsidRPr="001B3715">
        <w:rPr>
          <w:lang w:val="fr-FR"/>
        </w:rPr>
        <w:t>Indice mondial de l</w:t>
      </w:r>
      <w:r w:rsidR="00502D05" w:rsidRPr="001B3715">
        <w:rPr>
          <w:lang w:val="fr-FR"/>
        </w:rPr>
        <w:t>’</w:t>
      </w:r>
      <w:r w:rsidRPr="001B3715">
        <w:rPr>
          <w:lang w:val="fr-FR"/>
        </w:rPr>
        <w:t>innovation 2016 à Genève, la presse a donné un large fait écho aux classements mondiaux établis dans cette publication.</w:t>
      </w:r>
    </w:p>
    <w:p w14:paraId="6C90E019" w14:textId="77777777" w:rsidR="003056BB" w:rsidRPr="001B3715" w:rsidRDefault="003056BB" w:rsidP="003056BB">
      <w:pPr>
        <w:pStyle w:val="Heading3"/>
        <w:rPr>
          <w:lang w:val="fr-FR"/>
        </w:rPr>
      </w:pPr>
      <w:r w:rsidRPr="001B3715">
        <w:rPr>
          <w:lang w:val="fr-FR"/>
        </w:rPr>
        <w:t>Communications</w:t>
      </w:r>
    </w:p>
    <w:p w14:paraId="4B244AE9" w14:textId="77777777" w:rsidR="003056BB" w:rsidRPr="001B3715" w:rsidRDefault="003056BB" w:rsidP="003056BB">
      <w:pPr>
        <w:rPr>
          <w:lang w:val="fr-FR"/>
        </w:rPr>
      </w:pPr>
    </w:p>
    <w:p w14:paraId="0CF209B5" w14:textId="0AF80E2A" w:rsidR="003056BB" w:rsidRPr="001B3715" w:rsidRDefault="003056BB" w:rsidP="003056BB">
      <w:pPr>
        <w:pStyle w:val="ONUMFS"/>
        <w:rPr>
          <w:lang w:val="fr-FR"/>
        </w:rPr>
      </w:pPr>
      <w:r w:rsidRPr="001B3715">
        <w:rPr>
          <w:lang w:val="fr-FR"/>
        </w:rPr>
        <w:t>Nous communiquons avec nos États membres et les autres parties prenantes sur un large éventail de chaînes, de médias et de plateform</w:t>
      </w:r>
      <w:r w:rsidR="001B3715" w:rsidRPr="001B3715">
        <w:rPr>
          <w:lang w:val="fr-FR"/>
        </w:rPr>
        <w:t>es.  L’a</w:t>
      </w:r>
      <w:r w:rsidRPr="001B3715">
        <w:rPr>
          <w:lang w:val="fr-FR"/>
        </w:rPr>
        <w:t>nnée écoulée a vu la poursuite des améliorations apportées à nos outils, systèmes et produits de communications.</w:t>
      </w:r>
    </w:p>
    <w:p w14:paraId="3C6B2A83" w14:textId="1121D64D" w:rsidR="003056BB" w:rsidRPr="001B3715" w:rsidRDefault="003056BB" w:rsidP="003056BB">
      <w:pPr>
        <w:pStyle w:val="ONUMFS"/>
        <w:rPr>
          <w:lang w:val="fr-FR"/>
        </w:rPr>
      </w:pPr>
      <w:r w:rsidRPr="001B3715">
        <w:rPr>
          <w:b/>
          <w:lang w:val="fr-FR"/>
        </w:rPr>
        <w:t>Médi</w:t>
      </w:r>
      <w:r w:rsidR="001B3715" w:rsidRPr="001B3715">
        <w:rPr>
          <w:b/>
          <w:lang w:val="fr-FR"/>
        </w:rPr>
        <w:t xml:space="preserve">as.  </w:t>
      </w:r>
      <w:r w:rsidR="001B3715" w:rsidRPr="001B3715">
        <w:rPr>
          <w:lang w:val="fr-FR"/>
        </w:rPr>
        <w:t>No</w:t>
      </w:r>
      <w:r w:rsidRPr="001B3715">
        <w:rPr>
          <w:lang w:val="fr-FR"/>
        </w:rPr>
        <w:t xml:space="preserve">tre présence sur les </w:t>
      </w:r>
      <w:r w:rsidRPr="001B3715">
        <w:rPr>
          <w:b/>
          <w:lang w:val="fr-FR"/>
        </w:rPr>
        <w:t>réseaux sociaux</w:t>
      </w:r>
      <w:r w:rsidRPr="001B3715">
        <w:rPr>
          <w:lang w:val="fr-FR"/>
        </w:rPr>
        <w:t xml:space="preserve"> a continué de s</w:t>
      </w:r>
      <w:r w:rsidR="00502D05" w:rsidRPr="001B3715">
        <w:rPr>
          <w:lang w:val="fr-FR"/>
        </w:rPr>
        <w:t>’</w:t>
      </w:r>
      <w:r w:rsidRPr="001B3715">
        <w:rPr>
          <w:lang w:val="fr-FR"/>
        </w:rPr>
        <w:t>intensifi</w:t>
      </w:r>
      <w:r w:rsidR="001B3715" w:rsidRPr="001B3715">
        <w:rPr>
          <w:lang w:val="fr-FR"/>
        </w:rPr>
        <w:t>er.  Su</w:t>
      </w:r>
      <w:r w:rsidRPr="001B3715">
        <w:rPr>
          <w:lang w:val="fr-FR"/>
        </w:rPr>
        <w:t>r Twitter, nos 37 200 abonnés ont fait montre d</w:t>
      </w:r>
      <w:r w:rsidR="00502D05" w:rsidRPr="001B3715">
        <w:rPr>
          <w:lang w:val="fr-FR"/>
        </w:rPr>
        <w:t>’</w:t>
      </w:r>
      <w:r w:rsidRPr="001B3715">
        <w:rPr>
          <w:lang w:val="fr-FR"/>
        </w:rPr>
        <w:t>un engagement particulièrement fort (quelque 21 400 retweets, 11 700 j</w:t>
      </w:r>
      <w:r w:rsidR="00502D05" w:rsidRPr="001B3715">
        <w:rPr>
          <w:lang w:val="fr-FR"/>
        </w:rPr>
        <w:t>’</w:t>
      </w:r>
      <w:r w:rsidRPr="001B3715">
        <w:rPr>
          <w:lang w:val="fr-FR"/>
        </w:rPr>
        <w:t>aime et 155,7 millions d</w:t>
      </w:r>
      <w:r w:rsidR="00502D05" w:rsidRPr="001B3715">
        <w:rPr>
          <w:lang w:val="fr-FR"/>
        </w:rPr>
        <w:t>’</w:t>
      </w:r>
      <w:r w:rsidRPr="001B3715">
        <w:rPr>
          <w:lang w:val="fr-FR"/>
        </w:rPr>
        <w:t>impressions depuis septembre 2015).  Le nombre de vues des vidéos de l</w:t>
      </w:r>
      <w:r w:rsidR="00502D05" w:rsidRPr="001B3715">
        <w:rPr>
          <w:lang w:val="fr-FR"/>
        </w:rPr>
        <w:t>’</w:t>
      </w:r>
      <w:r w:rsidRPr="001B3715">
        <w:rPr>
          <w:lang w:val="fr-FR"/>
        </w:rPr>
        <w:t>OMPI parues sur notre chaîne YouTube a passé la barre</w:t>
      </w:r>
      <w:r w:rsidR="00E3770C">
        <w:rPr>
          <w:lang w:val="fr-FR"/>
        </w:rPr>
        <w:t xml:space="preserve"> des </w:t>
      </w:r>
      <w:r w:rsidRPr="001B3715">
        <w:rPr>
          <w:lang w:val="fr-FR"/>
        </w:rPr>
        <w:t xml:space="preserve">11 millions, </w:t>
      </w:r>
      <w:r w:rsidR="002429A6" w:rsidRPr="001B3715">
        <w:rPr>
          <w:lang w:val="fr-FR"/>
        </w:rPr>
        <w:t>quelque 140 </w:t>
      </w:r>
      <w:r w:rsidRPr="001B3715">
        <w:rPr>
          <w:lang w:val="fr-FR"/>
        </w:rPr>
        <w:t>vidéos ayant par ailleurs été ajoutées depuis les dernières assemblées sur des questions d</w:t>
      </w:r>
      <w:r w:rsidR="00502D05" w:rsidRPr="001B3715">
        <w:rPr>
          <w:lang w:val="fr-FR"/>
        </w:rPr>
        <w:t>’</w:t>
      </w:r>
      <w:r w:rsidRPr="001B3715">
        <w:rPr>
          <w:lang w:val="fr-FR"/>
        </w:rPr>
        <w:t xml:space="preserve">actualité, des manifestations et des </w:t>
      </w:r>
      <w:r w:rsidR="007F682D" w:rsidRPr="001B3715">
        <w:rPr>
          <w:lang w:val="fr-FR"/>
        </w:rPr>
        <w:t>témoignages sur l</w:t>
      </w:r>
      <w:r w:rsidR="00502D05" w:rsidRPr="001B3715">
        <w:rPr>
          <w:lang w:val="fr-FR"/>
        </w:rPr>
        <w:t>’</w:t>
      </w:r>
      <w:r w:rsidRPr="001B3715">
        <w:rPr>
          <w:lang w:val="fr-FR"/>
        </w:rPr>
        <w:t>utilisation de la propriété intellectuelle par des innovateurs et des créateurs du monde enti</w:t>
      </w:r>
      <w:r w:rsidR="001B3715" w:rsidRPr="001B3715">
        <w:rPr>
          <w:lang w:val="fr-FR"/>
        </w:rPr>
        <w:t>er.  Le</w:t>
      </w:r>
      <w:r w:rsidRPr="001B3715">
        <w:rPr>
          <w:lang w:val="fr-FR"/>
        </w:rPr>
        <w:t xml:space="preserve"> nombre total de vues des photos de l</w:t>
      </w:r>
      <w:r w:rsidR="00502D05" w:rsidRPr="001B3715">
        <w:rPr>
          <w:lang w:val="fr-FR"/>
        </w:rPr>
        <w:t>’</w:t>
      </w:r>
      <w:r w:rsidRPr="001B3715">
        <w:rPr>
          <w:lang w:val="fr-FR"/>
        </w:rPr>
        <w:t>OMPI sur Flickr a dépassé les 4 millions, dont plus d</w:t>
      </w:r>
      <w:r w:rsidR="00502D05" w:rsidRPr="001B3715">
        <w:rPr>
          <w:lang w:val="fr-FR"/>
        </w:rPr>
        <w:t>’</w:t>
      </w:r>
      <w:r w:rsidRPr="001B3715">
        <w:rPr>
          <w:lang w:val="fr-FR"/>
        </w:rPr>
        <w:t>un million de vues nouvelles pendant l</w:t>
      </w:r>
      <w:r w:rsidR="00502D05" w:rsidRPr="001B3715">
        <w:rPr>
          <w:lang w:val="fr-FR"/>
        </w:rPr>
        <w:t>’</w:t>
      </w:r>
      <w:r w:rsidRPr="001B3715">
        <w:rPr>
          <w:lang w:val="fr-FR"/>
        </w:rPr>
        <w:t>année écoulée.</w:t>
      </w:r>
    </w:p>
    <w:p w14:paraId="2CF00F85" w14:textId="5B7ADE92" w:rsidR="003056BB" w:rsidRPr="001B3715" w:rsidRDefault="003056BB" w:rsidP="003056BB">
      <w:pPr>
        <w:pStyle w:val="ONUMFS"/>
        <w:rPr>
          <w:lang w:val="fr-FR"/>
        </w:rPr>
      </w:pPr>
      <w:r w:rsidRPr="001B3715">
        <w:rPr>
          <w:lang w:val="fr-FR"/>
        </w:rPr>
        <w:t>L</w:t>
      </w:r>
      <w:r w:rsidR="00502D05" w:rsidRPr="001B3715">
        <w:rPr>
          <w:lang w:val="fr-FR"/>
        </w:rPr>
        <w:t>’</w:t>
      </w:r>
      <w:r w:rsidRPr="001B3715">
        <w:rPr>
          <w:lang w:val="fr-FR"/>
        </w:rPr>
        <w:t>OMPI continue également de s</w:t>
      </w:r>
      <w:r w:rsidR="00502D05" w:rsidRPr="001B3715">
        <w:rPr>
          <w:lang w:val="fr-FR"/>
        </w:rPr>
        <w:t>’</w:t>
      </w:r>
      <w:r w:rsidRPr="001B3715">
        <w:rPr>
          <w:lang w:val="fr-FR"/>
        </w:rPr>
        <w:t>adresser à ses parties prenantes par l</w:t>
      </w:r>
      <w:r w:rsidR="00502D05" w:rsidRPr="001B3715">
        <w:rPr>
          <w:lang w:val="fr-FR"/>
        </w:rPr>
        <w:t>’</w:t>
      </w:r>
      <w:r w:rsidRPr="001B3715">
        <w:rPr>
          <w:lang w:val="fr-FR"/>
        </w:rPr>
        <w:t xml:space="preserve">intermédiaire des organes de </w:t>
      </w:r>
      <w:r w:rsidRPr="001B3715">
        <w:rPr>
          <w:b/>
          <w:lang w:val="fr-FR"/>
        </w:rPr>
        <w:t>pres</w:t>
      </w:r>
      <w:r w:rsidR="001B3715" w:rsidRPr="001B3715">
        <w:rPr>
          <w:b/>
          <w:lang w:val="fr-FR"/>
        </w:rPr>
        <w:t xml:space="preserve">se.  </w:t>
      </w:r>
      <w:r w:rsidR="001B3715" w:rsidRPr="001B3715">
        <w:rPr>
          <w:lang w:val="fr-FR"/>
        </w:rPr>
        <w:t>Le</w:t>
      </w:r>
      <w:r w:rsidRPr="001B3715">
        <w:rPr>
          <w:lang w:val="fr-FR"/>
        </w:rPr>
        <w:t xml:space="preserve">s lancements du </w:t>
      </w:r>
      <w:r w:rsidRPr="001B3715">
        <w:rPr>
          <w:i/>
          <w:lang w:val="fr-FR"/>
        </w:rPr>
        <w:t xml:space="preserve">Rapport 2015 sur la propriété intellectuelle dans le monde </w:t>
      </w:r>
      <w:r w:rsidRPr="001B3715">
        <w:rPr>
          <w:lang w:val="fr-FR"/>
        </w:rPr>
        <w:t xml:space="preserve">et des </w:t>
      </w:r>
      <w:r w:rsidRPr="001B3715">
        <w:rPr>
          <w:i/>
          <w:lang w:val="fr-FR"/>
        </w:rPr>
        <w:t>Rapports sur les services de l</w:t>
      </w:r>
      <w:r w:rsidR="00502D05" w:rsidRPr="001B3715">
        <w:rPr>
          <w:i/>
          <w:lang w:val="fr-FR"/>
        </w:rPr>
        <w:t>’</w:t>
      </w:r>
      <w:r w:rsidRPr="001B3715">
        <w:rPr>
          <w:i/>
          <w:lang w:val="fr-FR"/>
        </w:rPr>
        <w:t xml:space="preserve">OMPI </w:t>
      </w:r>
      <w:r w:rsidRPr="001B3715">
        <w:rPr>
          <w:lang w:val="fr-FR"/>
        </w:rPr>
        <w:t>ont attiré une couverture de presse mondiale, notamment en Asie de l</w:t>
      </w:r>
      <w:r w:rsidR="00502D05" w:rsidRPr="001B3715">
        <w:rPr>
          <w:lang w:val="fr-FR"/>
        </w:rPr>
        <w:t>’</w:t>
      </w:r>
      <w:r w:rsidRPr="001B3715">
        <w:rPr>
          <w:lang w:val="fr-FR"/>
        </w:rPr>
        <w:t>Est, alors que la publication de l</w:t>
      </w:r>
      <w:r w:rsidR="00502D05" w:rsidRPr="001B3715">
        <w:rPr>
          <w:lang w:val="fr-FR"/>
        </w:rPr>
        <w:t>’</w:t>
      </w:r>
      <w:r w:rsidRPr="001B3715">
        <w:rPr>
          <w:i/>
          <w:lang w:val="fr-FR"/>
        </w:rPr>
        <w:t>Indice mondial de l</w:t>
      </w:r>
      <w:r w:rsidR="00502D05" w:rsidRPr="001B3715">
        <w:rPr>
          <w:i/>
          <w:lang w:val="fr-FR"/>
        </w:rPr>
        <w:t>’</w:t>
      </w:r>
      <w:r w:rsidRPr="001B3715">
        <w:rPr>
          <w:i/>
          <w:lang w:val="fr-FR"/>
        </w:rPr>
        <w:t>innovation 2016</w:t>
      </w:r>
      <w:r w:rsidRPr="001B3715">
        <w:rPr>
          <w:lang w:val="fr-FR"/>
        </w:rPr>
        <w:t xml:space="preserve"> s</w:t>
      </w:r>
      <w:r w:rsidR="00502D05" w:rsidRPr="001B3715">
        <w:rPr>
          <w:lang w:val="fr-FR"/>
        </w:rPr>
        <w:t>’</w:t>
      </w:r>
      <w:r w:rsidRPr="001B3715">
        <w:rPr>
          <w:lang w:val="fr-FR"/>
        </w:rPr>
        <w:t>est révélée être notre manifestation médiatique la plus fructueuse à ce jo</w:t>
      </w:r>
      <w:r w:rsidR="001B3715" w:rsidRPr="001B3715">
        <w:rPr>
          <w:lang w:val="fr-FR"/>
        </w:rPr>
        <w:t>ur.  Le</w:t>
      </w:r>
      <w:r w:rsidRPr="001B3715">
        <w:rPr>
          <w:lang w:val="fr-FR"/>
        </w:rPr>
        <w:t>s relations traditionnelles avec la presse occupent une place importante à cet égard, notamment avec la préparation d</w:t>
      </w:r>
      <w:r w:rsidR="00502D05" w:rsidRPr="001B3715">
        <w:rPr>
          <w:lang w:val="fr-FR"/>
        </w:rPr>
        <w:t>’</w:t>
      </w:r>
      <w:r w:rsidRPr="001B3715">
        <w:rPr>
          <w:lang w:val="fr-FR"/>
        </w:rPr>
        <w:t>éléments de narration personnalisés en fonction des pa</w:t>
      </w:r>
      <w:r w:rsidR="001B3715" w:rsidRPr="001B3715">
        <w:rPr>
          <w:lang w:val="fr-FR"/>
        </w:rPr>
        <w:t>ys.  Ma</w:t>
      </w:r>
      <w:r w:rsidRPr="001B3715">
        <w:rPr>
          <w:lang w:val="fr-FR"/>
        </w:rPr>
        <w:t xml:space="preserve">is nous avons également de plus en plus recours à la </w:t>
      </w:r>
      <w:r w:rsidRPr="001B3715">
        <w:rPr>
          <w:b/>
          <w:lang w:val="fr-FR"/>
        </w:rPr>
        <w:t>vidéo</w:t>
      </w:r>
      <w:r w:rsidRPr="001B3715">
        <w:rPr>
          <w:lang w:val="fr-FR"/>
        </w:rPr>
        <w:t xml:space="preserve"> et aux animations pour diffuser l</w:t>
      </w:r>
      <w:r w:rsidR="00502D05" w:rsidRPr="001B3715">
        <w:rPr>
          <w:lang w:val="fr-FR"/>
        </w:rPr>
        <w:t>’</w:t>
      </w:r>
      <w:r w:rsidRPr="001B3715">
        <w:rPr>
          <w:lang w:val="fr-FR"/>
        </w:rPr>
        <w:t xml:space="preserve">information, comme dans les cas de la brève animation accompagnant la sortie des </w:t>
      </w:r>
      <w:r w:rsidRPr="001B3715">
        <w:rPr>
          <w:i/>
          <w:lang w:val="fr-FR"/>
        </w:rPr>
        <w:t>Indicateurs mondiaux de propriété intellectuelle 2015</w:t>
      </w:r>
      <w:r w:rsidRPr="001B3715">
        <w:rPr>
          <w:lang w:val="fr-FR"/>
        </w:rPr>
        <w:t>, qui a suscité un large intérêt.</w:t>
      </w:r>
    </w:p>
    <w:p w14:paraId="10903E4E" w14:textId="41EB0DDF" w:rsidR="003056BB" w:rsidRPr="001B3715" w:rsidRDefault="003056BB" w:rsidP="003056BB">
      <w:pPr>
        <w:pStyle w:val="ONUMFS"/>
        <w:rPr>
          <w:lang w:val="fr-FR"/>
        </w:rPr>
      </w:pPr>
      <w:r w:rsidRPr="001B3715">
        <w:rPr>
          <w:lang w:val="fr-FR"/>
        </w:rPr>
        <w:t>Une nouvelle vidéo de l</w:t>
      </w:r>
      <w:r w:rsidR="00502D05" w:rsidRPr="001B3715">
        <w:rPr>
          <w:lang w:val="fr-FR"/>
        </w:rPr>
        <w:t>’</w:t>
      </w:r>
      <w:r w:rsidRPr="001B3715">
        <w:rPr>
          <w:lang w:val="fr-FR"/>
        </w:rPr>
        <w:t>OMPI, destinée à une large audience, doit être rendue publique pendant les assemblé</w:t>
      </w:r>
      <w:r w:rsidR="001B3715" w:rsidRPr="001B3715">
        <w:rPr>
          <w:lang w:val="fr-FR"/>
        </w:rPr>
        <w:t>es.  El</w:t>
      </w:r>
      <w:r w:rsidRPr="001B3715">
        <w:rPr>
          <w:lang w:val="fr-FR"/>
        </w:rPr>
        <w:t>le donnera un aperçu engageant des activités de l</w:t>
      </w:r>
      <w:r w:rsidR="00502D05" w:rsidRPr="001B3715">
        <w:rPr>
          <w:lang w:val="fr-FR"/>
        </w:rPr>
        <w:t>’</w:t>
      </w:r>
      <w:r w:rsidRPr="001B3715">
        <w:rPr>
          <w:lang w:val="fr-FR"/>
        </w:rPr>
        <w:t>OMPI et de son rôle d</w:t>
      </w:r>
      <w:r w:rsidR="00502D05" w:rsidRPr="001B3715">
        <w:rPr>
          <w:lang w:val="fr-FR"/>
        </w:rPr>
        <w:t>’</w:t>
      </w:r>
      <w:r w:rsidRPr="001B3715">
        <w:rPr>
          <w:lang w:val="fr-FR"/>
        </w:rPr>
        <w:t>appui à l</w:t>
      </w:r>
      <w:r w:rsidR="00502D05" w:rsidRPr="001B3715">
        <w:rPr>
          <w:lang w:val="fr-FR"/>
        </w:rPr>
        <w:t>’</w:t>
      </w:r>
      <w:r w:rsidRPr="001B3715">
        <w:rPr>
          <w:lang w:val="fr-FR"/>
        </w:rPr>
        <w:t>innovation et à la créativité, le tout en seulement trois minut</w:t>
      </w:r>
      <w:r w:rsidR="001B3715" w:rsidRPr="001B3715">
        <w:rPr>
          <w:lang w:val="fr-FR"/>
        </w:rPr>
        <w:t>es.  Ce</w:t>
      </w:r>
      <w:r w:rsidRPr="001B3715">
        <w:rPr>
          <w:lang w:val="fr-FR"/>
        </w:rPr>
        <w:t>tte nouvelle vidéo fait fond sur les activités menées précédemment pour renforcer l</w:t>
      </w:r>
      <w:r w:rsidR="00502D05" w:rsidRPr="001B3715">
        <w:rPr>
          <w:lang w:val="fr-FR"/>
        </w:rPr>
        <w:t>’</w:t>
      </w:r>
      <w:r w:rsidRPr="001B3715">
        <w:rPr>
          <w:lang w:val="fr-FR"/>
        </w:rPr>
        <w:t>identité de marque de l</w:t>
      </w:r>
      <w:r w:rsidR="00502D05" w:rsidRPr="001B3715">
        <w:rPr>
          <w:lang w:val="fr-FR"/>
        </w:rPr>
        <w:t>’</w:t>
      </w:r>
      <w:r w:rsidRPr="001B3715">
        <w:rPr>
          <w:lang w:val="fr-FR"/>
        </w:rPr>
        <w:t>OMPI.</w:t>
      </w:r>
    </w:p>
    <w:p w14:paraId="08B2F9C6" w14:textId="1036EFDE" w:rsidR="003056BB" w:rsidRPr="001B3715" w:rsidRDefault="003056BB" w:rsidP="003056BB">
      <w:pPr>
        <w:pStyle w:val="ONUMFS"/>
        <w:rPr>
          <w:lang w:val="fr-FR"/>
        </w:rPr>
      </w:pPr>
      <w:r w:rsidRPr="001B3715">
        <w:rPr>
          <w:b/>
          <w:lang w:val="fr-FR"/>
        </w:rPr>
        <w:t>Journée mondiale de propriété intellectuel</w:t>
      </w:r>
      <w:r w:rsidR="001B3715" w:rsidRPr="001B3715">
        <w:rPr>
          <w:b/>
          <w:lang w:val="fr-FR"/>
        </w:rPr>
        <w:t xml:space="preserve">le.  </w:t>
      </w:r>
      <w:r w:rsidR="001B3715" w:rsidRPr="001B3715">
        <w:rPr>
          <w:lang w:val="fr-FR"/>
        </w:rPr>
        <w:t>La</w:t>
      </w:r>
      <w:r w:rsidRPr="001B3715">
        <w:rPr>
          <w:lang w:val="fr-FR"/>
        </w:rPr>
        <w:t xml:space="preserve"> Journée mondiale de la propriété intellectuelle, campagne de sensibilisation annuelle de l</w:t>
      </w:r>
      <w:r w:rsidR="00502D05" w:rsidRPr="001B3715">
        <w:rPr>
          <w:lang w:val="fr-FR"/>
        </w:rPr>
        <w:t>’</w:t>
      </w:r>
      <w:r w:rsidRPr="001B3715">
        <w:rPr>
          <w:lang w:val="fr-FR"/>
        </w:rPr>
        <w:t>OMPI, a été connu un retentissement particulier cette année, que ce soit en ligne ou dans le monde ré</w:t>
      </w:r>
      <w:r w:rsidR="001B3715" w:rsidRPr="001B3715">
        <w:rPr>
          <w:lang w:val="fr-FR"/>
        </w:rPr>
        <w:t>el.  Ar</w:t>
      </w:r>
      <w:r w:rsidRPr="001B3715">
        <w:rPr>
          <w:lang w:val="fr-FR"/>
        </w:rPr>
        <w:t xml:space="preserve">ticulée autour du thème de </w:t>
      </w:r>
      <w:r w:rsidRPr="001B3715">
        <w:rPr>
          <w:i/>
          <w:lang w:val="fr-FR"/>
        </w:rPr>
        <w:t>La créativité numérique : la culture réinventée</w:t>
      </w:r>
      <w:r w:rsidRPr="001B3715">
        <w:rPr>
          <w:lang w:val="fr-FR"/>
        </w:rPr>
        <w:t xml:space="preserve">, et reprenant les questions examinées par la </w:t>
      </w:r>
      <w:r w:rsidRPr="001B3715">
        <w:rPr>
          <w:i/>
          <w:lang w:val="fr-FR"/>
        </w:rPr>
        <w:t>Conférence de l</w:t>
      </w:r>
      <w:r w:rsidR="00502D05" w:rsidRPr="001B3715">
        <w:rPr>
          <w:i/>
          <w:lang w:val="fr-FR"/>
        </w:rPr>
        <w:t>’</w:t>
      </w:r>
      <w:r w:rsidRPr="001B3715">
        <w:rPr>
          <w:i/>
          <w:lang w:val="fr-FR"/>
        </w:rPr>
        <w:t xml:space="preserve">OMPI sur le marché mondial des contenus numériques, </w:t>
      </w:r>
      <w:r w:rsidRPr="001B3715">
        <w:rPr>
          <w:lang w:val="fr-FR"/>
        </w:rPr>
        <w:t>la campagne menée cette année visait à encourager les participants à s</w:t>
      </w:r>
      <w:r w:rsidR="00502D05" w:rsidRPr="001B3715">
        <w:rPr>
          <w:lang w:val="fr-FR"/>
        </w:rPr>
        <w:t>’</w:t>
      </w:r>
      <w:r w:rsidRPr="001B3715">
        <w:rPr>
          <w:lang w:val="fr-FR"/>
        </w:rPr>
        <w:t>interroger sur les nombreuses façons dont les technologies numériques sont en train de transformer la production et la consommation des biens de propriété intellectuel</w:t>
      </w:r>
      <w:r w:rsidR="001B3715" w:rsidRPr="001B3715">
        <w:rPr>
          <w:lang w:val="fr-FR"/>
        </w:rPr>
        <w:t>le.  Ce</w:t>
      </w:r>
      <w:r w:rsidRPr="001B3715">
        <w:rPr>
          <w:lang w:val="fr-FR"/>
        </w:rPr>
        <w:t xml:space="preserve"> thème se prêtait particulièrement bien aux réseaux sociaux, générant des niveaux d</w:t>
      </w:r>
      <w:r w:rsidR="00502D05" w:rsidRPr="001B3715">
        <w:rPr>
          <w:lang w:val="fr-FR"/>
        </w:rPr>
        <w:t>’</w:t>
      </w:r>
      <w:r w:rsidRPr="001B3715">
        <w:rPr>
          <w:lang w:val="fr-FR"/>
        </w:rPr>
        <w:t>interactivité record sur toutes les plateformes de l</w:t>
      </w:r>
      <w:r w:rsidR="00502D05" w:rsidRPr="001B3715">
        <w:rPr>
          <w:lang w:val="fr-FR"/>
        </w:rPr>
        <w:t>’</w:t>
      </w:r>
      <w:r w:rsidRPr="001B3715">
        <w:rPr>
          <w:lang w:val="fr-FR"/>
        </w:rPr>
        <w:t>OMPI : 32 400 fans de la Journée mondiale de la propriété intellectuelle sur Facebook, 11 430 vues sur YouTube et 10,8 millions d</w:t>
      </w:r>
      <w:r w:rsidR="00502D05" w:rsidRPr="001B3715">
        <w:rPr>
          <w:lang w:val="fr-FR"/>
        </w:rPr>
        <w:t>’</w:t>
      </w:r>
      <w:r w:rsidRPr="001B3715">
        <w:rPr>
          <w:lang w:val="fr-FR"/>
        </w:rPr>
        <w:t>impressions sur Twitter, soit plus du double de l</w:t>
      </w:r>
      <w:r w:rsidR="00502D05" w:rsidRPr="001B3715">
        <w:rPr>
          <w:lang w:val="fr-FR"/>
        </w:rPr>
        <w:t>’</w:t>
      </w:r>
      <w:r w:rsidRPr="001B3715">
        <w:rPr>
          <w:lang w:val="fr-FR"/>
        </w:rPr>
        <w:t>année précéden</w:t>
      </w:r>
      <w:r w:rsidR="001B3715" w:rsidRPr="001B3715">
        <w:rPr>
          <w:lang w:val="fr-FR"/>
        </w:rPr>
        <w:t>te.  L’a</w:t>
      </w:r>
      <w:r w:rsidRPr="001B3715">
        <w:rPr>
          <w:lang w:val="fr-FR"/>
        </w:rPr>
        <w:t xml:space="preserve">dhésion était également forte dans le monde “réel”, avec un nombre de 451 manifestations consacrées à la Journée mondiale de la propriété intellectuelle dans 121 pays, et un </w:t>
      </w:r>
      <w:r w:rsidRPr="001B3715">
        <w:rPr>
          <w:lang w:val="fr-FR"/>
        </w:rPr>
        <w:lastRenderedPageBreak/>
        <w:t>programme particulièrement chargé dans chacun des six bureaux extérieurs de l</w:t>
      </w:r>
      <w:r w:rsidR="00502D05" w:rsidRPr="001B3715">
        <w:rPr>
          <w:lang w:val="fr-FR"/>
        </w:rPr>
        <w:t>’</w:t>
      </w:r>
      <w:r w:rsidRPr="001B3715">
        <w:rPr>
          <w:lang w:val="fr-FR"/>
        </w:rPr>
        <w:t>O</w:t>
      </w:r>
      <w:r w:rsidR="001B3715" w:rsidRPr="001B3715">
        <w:rPr>
          <w:lang w:val="fr-FR"/>
        </w:rPr>
        <w:t>MPI.  Qu</w:t>
      </w:r>
      <w:r w:rsidRPr="001B3715">
        <w:rPr>
          <w:lang w:val="fr-FR"/>
        </w:rPr>
        <w:t xml:space="preserve">elque 9900 articles relatifs à la Journée mondiale de la propriété intellectuelle dans les six langues des </w:t>
      </w:r>
      <w:r w:rsidR="00502D05" w:rsidRPr="001B3715">
        <w:rPr>
          <w:lang w:val="fr-FR"/>
        </w:rPr>
        <w:t>Nations Unies</w:t>
      </w:r>
      <w:r w:rsidRPr="001B3715">
        <w:rPr>
          <w:lang w:val="fr-FR"/>
        </w:rPr>
        <w:t xml:space="preserve"> ont été recensés par notre service de veille médiatique, avec une couverture particulièrement étendue en Chine.</w:t>
      </w:r>
    </w:p>
    <w:p w14:paraId="03B2CBE7" w14:textId="1F5CCA00" w:rsidR="003056BB" w:rsidRPr="001B3715" w:rsidRDefault="003056BB" w:rsidP="003056BB">
      <w:pPr>
        <w:pStyle w:val="ONUMFS"/>
        <w:rPr>
          <w:lang w:val="fr-FR"/>
        </w:rPr>
      </w:pPr>
      <w:r w:rsidRPr="001B3715">
        <w:rPr>
          <w:b/>
          <w:lang w:val="fr-FR"/>
        </w:rPr>
        <w:t>Bulletins d</w:t>
      </w:r>
      <w:r w:rsidR="00502D05" w:rsidRPr="001B3715">
        <w:rPr>
          <w:b/>
          <w:lang w:val="fr-FR"/>
        </w:rPr>
        <w:t>’</w:t>
      </w:r>
      <w:r w:rsidRPr="001B3715">
        <w:rPr>
          <w:b/>
          <w:lang w:val="fr-FR"/>
        </w:rPr>
        <w:t>informati</w:t>
      </w:r>
      <w:r w:rsidR="001B3715" w:rsidRPr="001B3715">
        <w:rPr>
          <w:b/>
          <w:lang w:val="fr-FR"/>
        </w:rPr>
        <w:t xml:space="preserve">on.  </w:t>
      </w:r>
      <w:r w:rsidR="001B3715" w:rsidRPr="001B3715">
        <w:rPr>
          <w:lang w:val="fr-FR"/>
        </w:rPr>
        <w:t>Su</w:t>
      </w:r>
      <w:r w:rsidRPr="001B3715">
        <w:rPr>
          <w:lang w:val="fr-FR"/>
        </w:rPr>
        <w:t>ite au lancement de la nouvelle plateforme de diffusion électronique en juin 2015, l</w:t>
      </w:r>
      <w:r w:rsidR="00502D05" w:rsidRPr="001B3715">
        <w:rPr>
          <w:lang w:val="fr-FR"/>
        </w:rPr>
        <w:t>’</w:t>
      </w:r>
      <w:r w:rsidRPr="001B3715">
        <w:rPr>
          <w:lang w:val="fr-FR"/>
        </w:rPr>
        <w:t>OMPI propose désormais à ses abonnés une sélection de 23 bulletins thématiques dans de nombreuses langues, couvrant tout le spectre de la propriété intellectuelle des savoirs traditionnels aux faits nouveaux concernant le </w:t>
      </w:r>
      <w:r w:rsidR="001B3715" w:rsidRPr="001B3715">
        <w:rPr>
          <w:lang w:val="fr-FR"/>
        </w:rPr>
        <w:t>PCT.  Ce</w:t>
      </w:r>
      <w:r w:rsidRPr="001B3715">
        <w:rPr>
          <w:lang w:val="fr-FR"/>
        </w:rPr>
        <w:t>s bulletins ont été ouverts plus de 2 millions de fois, générant quelque 580 000 clics pour consulter d</w:t>
      </w:r>
      <w:r w:rsidR="00502D05" w:rsidRPr="001B3715">
        <w:rPr>
          <w:lang w:val="fr-FR"/>
        </w:rPr>
        <w:t>’</w:t>
      </w:r>
      <w:r w:rsidRPr="001B3715">
        <w:rPr>
          <w:lang w:val="fr-FR"/>
        </w:rPr>
        <w:t>autres publications sur le site Web de l</w:t>
      </w:r>
      <w:r w:rsidR="00502D05" w:rsidRPr="001B3715">
        <w:rPr>
          <w:lang w:val="fr-FR"/>
        </w:rPr>
        <w:t>’</w:t>
      </w:r>
      <w:r w:rsidRPr="001B3715">
        <w:rPr>
          <w:lang w:val="fr-FR"/>
        </w:rPr>
        <w:t>OMPI.</w:t>
      </w:r>
    </w:p>
    <w:p w14:paraId="7D4507D9" w14:textId="4A2B42E6" w:rsidR="003056BB" w:rsidRPr="001B3715" w:rsidRDefault="003056BB" w:rsidP="003056BB">
      <w:pPr>
        <w:pStyle w:val="ONUMFS"/>
        <w:rPr>
          <w:lang w:val="fr-FR"/>
        </w:rPr>
      </w:pPr>
      <w:r w:rsidRPr="001B3715">
        <w:rPr>
          <w:lang w:val="fr-FR"/>
        </w:rPr>
        <w:t>Notre bulletin d</w:t>
      </w:r>
      <w:r w:rsidR="00502D05" w:rsidRPr="001B3715">
        <w:rPr>
          <w:lang w:val="fr-FR"/>
        </w:rPr>
        <w:t>’</w:t>
      </w:r>
      <w:r w:rsidRPr="001B3715">
        <w:rPr>
          <w:lang w:val="fr-FR"/>
        </w:rPr>
        <w:t xml:space="preserve">information le plus populaire est </w:t>
      </w:r>
      <w:r w:rsidRPr="001B3715">
        <w:rPr>
          <w:b/>
          <w:lang w:val="fr-FR"/>
        </w:rPr>
        <w:t xml:space="preserve">WIPO </w:t>
      </w:r>
      <w:proofErr w:type="spellStart"/>
      <w:r w:rsidRPr="001B3715">
        <w:rPr>
          <w:b/>
          <w:lang w:val="fr-FR"/>
        </w:rPr>
        <w:t>Wire</w:t>
      </w:r>
      <w:proofErr w:type="spellEnd"/>
      <w:r w:rsidRPr="001B3715">
        <w:rPr>
          <w:lang w:val="fr-FR"/>
        </w:rPr>
        <w:t>, une sélection d</w:t>
      </w:r>
      <w:r w:rsidR="00502D05" w:rsidRPr="001B3715">
        <w:rPr>
          <w:lang w:val="fr-FR"/>
        </w:rPr>
        <w:t>’</w:t>
      </w:r>
      <w:r w:rsidRPr="001B3715">
        <w:rPr>
          <w:lang w:val="fr-FR"/>
        </w:rPr>
        <w:t xml:space="preserve">articles, de titres, de clips vidéo et de ressources utiles publiée tous les 15 jours dans les six langues officielles des </w:t>
      </w:r>
      <w:r w:rsidR="00502D05" w:rsidRPr="001B3715">
        <w:rPr>
          <w:lang w:val="fr-FR"/>
        </w:rPr>
        <w:t>Nations Uni</w:t>
      </w:r>
      <w:r w:rsidR="001B3715" w:rsidRPr="001B3715">
        <w:rPr>
          <w:lang w:val="fr-FR"/>
        </w:rPr>
        <w:t>es.  La</w:t>
      </w:r>
      <w:r w:rsidRPr="001B3715">
        <w:rPr>
          <w:lang w:val="fr-FR"/>
        </w:rPr>
        <w:t>ncé mi</w:t>
      </w:r>
      <w:r w:rsidR="00E3770C">
        <w:rPr>
          <w:lang w:val="fr-FR"/>
        </w:rPr>
        <w:noBreakHyphen/>
      </w:r>
      <w:r w:rsidRPr="001B3715">
        <w:rPr>
          <w:lang w:val="fr-FR"/>
        </w:rPr>
        <w:t xml:space="preserve">2015, </w:t>
      </w:r>
      <w:r w:rsidRPr="001B3715">
        <w:rPr>
          <w:i/>
          <w:lang w:val="fr-FR"/>
        </w:rPr>
        <w:t xml:space="preserve">WIPO </w:t>
      </w:r>
      <w:proofErr w:type="spellStart"/>
      <w:r w:rsidRPr="001B3715">
        <w:rPr>
          <w:i/>
          <w:lang w:val="fr-FR"/>
        </w:rPr>
        <w:t>Wire</w:t>
      </w:r>
      <w:proofErr w:type="spellEnd"/>
      <w:r w:rsidRPr="001B3715">
        <w:rPr>
          <w:lang w:val="fr-FR"/>
        </w:rPr>
        <w:t xml:space="preserve"> compte aujourd</w:t>
      </w:r>
      <w:r w:rsidR="00502D05" w:rsidRPr="001B3715">
        <w:rPr>
          <w:lang w:val="fr-FR"/>
        </w:rPr>
        <w:t>’</w:t>
      </w:r>
      <w:r w:rsidRPr="001B3715">
        <w:rPr>
          <w:lang w:val="fr-FR"/>
        </w:rPr>
        <w:t>hui quelque 12 000 abonnés dans plus de 170 pays et continue d</w:t>
      </w:r>
      <w:r w:rsidR="00502D05" w:rsidRPr="001B3715">
        <w:rPr>
          <w:lang w:val="fr-FR"/>
        </w:rPr>
        <w:t>’</w:t>
      </w:r>
      <w:r w:rsidRPr="001B3715">
        <w:rPr>
          <w:lang w:val="fr-FR"/>
        </w:rPr>
        <w:t>enregistrer des taux de fréquentation supérieurs à la concurrence.</w:t>
      </w:r>
    </w:p>
    <w:p w14:paraId="5C4B131B" w14:textId="5F9D30CE" w:rsidR="003056BB" w:rsidRPr="001B3715" w:rsidRDefault="006738FF" w:rsidP="003056BB">
      <w:pPr>
        <w:pStyle w:val="ONUMFS"/>
        <w:rPr>
          <w:lang w:val="fr-FR"/>
        </w:rPr>
      </w:pPr>
      <w:r w:rsidRPr="001B3715">
        <w:rPr>
          <w:b/>
          <w:lang w:val="fr-FR"/>
        </w:rPr>
        <w:t>P</w:t>
      </w:r>
      <w:r w:rsidR="003056BB" w:rsidRPr="001B3715">
        <w:rPr>
          <w:b/>
          <w:lang w:val="fr-FR"/>
        </w:rPr>
        <w:t>ublications numériqu</w:t>
      </w:r>
      <w:r w:rsidR="001B3715" w:rsidRPr="001B3715">
        <w:rPr>
          <w:b/>
          <w:lang w:val="fr-FR"/>
        </w:rPr>
        <w:t xml:space="preserve">es.  </w:t>
      </w:r>
      <w:r w:rsidR="001B3715" w:rsidRPr="001B3715">
        <w:rPr>
          <w:lang w:val="fr-FR"/>
        </w:rPr>
        <w:t>En</w:t>
      </w:r>
      <w:r w:rsidR="003056BB" w:rsidRPr="001B3715">
        <w:rPr>
          <w:lang w:val="fr-FR"/>
        </w:rPr>
        <w:t xml:space="preserve"> février, nous avons lancé d</w:t>
      </w:r>
      <w:r w:rsidR="00502D05" w:rsidRPr="001B3715">
        <w:rPr>
          <w:lang w:val="fr-FR"/>
        </w:rPr>
        <w:t>’</w:t>
      </w:r>
      <w:r w:rsidR="003056BB" w:rsidRPr="001B3715">
        <w:rPr>
          <w:lang w:val="fr-FR"/>
        </w:rPr>
        <w:t>une nouvelle plateforme sur le site Web de l</w:t>
      </w:r>
      <w:r w:rsidR="00502D05" w:rsidRPr="001B3715">
        <w:rPr>
          <w:lang w:val="fr-FR"/>
        </w:rPr>
        <w:t>’</w:t>
      </w:r>
      <w:r w:rsidR="003056BB" w:rsidRPr="001B3715">
        <w:rPr>
          <w:lang w:val="fr-FR"/>
        </w:rPr>
        <w:t>OMPI pour faciliter la recherche et l</w:t>
      </w:r>
      <w:r w:rsidR="00502D05" w:rsidRPr="001B3715">
        <w:rPr>
          <w:lang w:val="fr-FR"/>
        </w:rPr>
        <w:t>’</w:t>
      </w:r>
      <w:r w:rsidR="003056BB" w:rsidRPr="001B3715">
        <w:rPr>
          <w:lang w:val="fr-FR"/>
        </w:rPr>
        <w:t>utilisation de l</w:t>
      </w:r>
      <w:r w:rsidR="00502D05" w:rsidRPr="001B3715">
        <w:rPr>
          <w:lang w:val="fr-FR"/>
        </w:rPr>
        <w:t>’</w:t>
      </w:r>
      <w:r w:rsidR="003056BB" w:rsidRPr="001B3715">
        <w:rPr>
          <w:lang w:val="fr-FR"/>
        </w:rPr>
        <w:t>information contenue dans plus de 1100 publications et produits d</w:t>
      </w:r>
      <w:r w:rsidR="00502D05" w:rsidRPr="001B3715">
        <w:rPr>
          <w:lang w:val="fr-FR"/>
        </w:rPr>
        <w:t>’</w:t>
      </w:r>
      <w:r w:rsidR="003056BB" w:rsidRPr="001B3715">
        <w:rPr>
          <w:lang w:val="fr-FR"/>
        </w:rPr>
        <w:t>information de l</w:t>
      </w:r>
      <w:r w:rsidR="00502D05" w:rsidRPr="001B3715">
        <w:rPr>
          <w:lang w:val="fr-FR"/>
        </w:rPr>
        <w:t>’</w:t>
      </w:r>
      <w:r w:rsidR="003056BB" w:rsidRPr="001B3715">
        <w:rPr>
          <w:lang w:val="fr-FR"/>
        </w:rPr>
        <w:t>O</w:t>
      </w:r>
      <w:r w:rsidR="001B3715" w:rsidRPr="001B3715">
        <w:rPr>
          <w:lang w:val="fr-FR"/>
        </w:rPr>
        <w:t>MPI.  To</w:t>
      </w:r>
      <w:r w:rsidR="003056BB" w:rsidRPr="001B3715">
        <w:rPr>
          <w:lang w:val="fr-FR"/>
        </w:rPr>
        <w:t>utes les publications de l</w:t>
      </w:r>
      <w:r w:rsidR="00502D05" w:rsidRPr="001B3715">
        <w:rPr>
          <w:lang w:val="fr-FR"/>
        </w:rPr>
        <w:t>’</w:t>
      </w:r>
      <w:r w:rsidR="003056BB" w:rsidRPr="001B3715">
        <w:rPr>
          <w:lang w:val="fr-FR"/>
        </w:rPr>
        <w:t>OMPI sont désormais accessibles et téléchargeables gratuitement en ligne (</w:t>
      </w:r>
      <w:r w:rsidR="00502D05" w:rsidRPr="001B3715">
        <w:rPr>
          <w:lang w:val="fr-FR"/>
        </w:rPr>
        <w:t>y compris</w:t>
      </w:r>
      <w:r w:rsidR="003056BB" w:rsidRPr="001B3715">
        <w:rPr>
          <w:lang w:val="fr-FR"/>
        </w:rPr>
        <w:t xml:space="preserve"> celles qui étaient précédemment payantes), avec la possibilité d</w:t>
      </w:r>
      <w:r w:rsidR="00502D05" w:rsidRPr="001B3715">
        <w:rPr>
          <w:lang w:val="fr-FR"/>
        </w:rPr>
        <w:t>’</w:t>
      </w:r>
      <w:r w:rsidR="003056BB" w:rsidRPr="001B3715">
        <w:rPr>
          <w:lang w:val="fr-FR"/>
        </w:rPr>
        <w:t>acheter des exemplaires imprimés grâce à un service d</w:t>
      </w:r>
      <w:r w:rsidR="00502D05" w:rsidRPr="001B3715">
        <w:rPr>
          <w:lang w:val="fr-FR"/>
        </w:rPr>
        <w:t>’</w:t>
      </w:r>
      <w:r w:rsidR="003056BB" w:rsidRPr="001B3715">
        <w:rPr>
          <w:lang w:val="fr-FR"/>
        </w:rPr>
        <w:t>impression à la demande.</w:t>
      </w:r>
    </w:p>
    <w:p w14:paraId="4728D5A4" w14:textId="5A96BB77" w:rsidR="003056BB" w:rsidRPr="001B3715" w:rsidRDefault="003056BB" w:rsidP="003056BB">
      <w:pPr>
        <w:pStyle w:val="ONUMFS"/>
        <w:rPr>
          <w:lang w:val="fr-FR"/>
        </w:rPr>
      </w:pPr>
      <w:r w:rsidRPr="001B3715">
        <w:rPr>
          <w:lang w:val="fr-FR"/>
        </w:rPr>
        <w:t>Suite à l</w:t>
      </w:r>
      <w:r w:rsidR="00502D05" w:rsidRPr="001B3715">
        <w:rPr>
          <w:lang w:val="fr-FR"/>
        </w:rPr>
        <w:t>’</w:t>
      </w:r>
      <w:r w:rsidRPr="001B3715">
        <w:rPr>
          <w:lang w:val="fr-FR"/>
        </w:rPr>
        <w:t>adoption d</w:t>
      </w:r>
      <w:r w:rsidR="00502D05" w:rsidRPr="001B3715">
        <w:rPr>
          <w:lang w:val="fr-FR"/>
        </w:rPr>
        <w:t>’</w:t>
      </w:r>
      <w:r w:rsidRPr="001B3715">
        <w:rPr>
          <w:lang w:val="fr-FR"/>
        </w:rPr>
        <w:t>une Politique de libre accès, les publications de l</w:t>
      </w:r>
      <w:r w:rsidR="00502D05" w:rsidRPr="001B3715">
        <w:rPr>
          <w:lang w:val="fr-FR"/>
        </w:rPr>
        <w:t>’</w:t>
      </w:r>
      <w:r w:rsidRPr="001B3715">
        <w:rPr>
          <w:lang w:val="fr-FR"/>
        </w:rPr>
        <w:t>OMPI mises en ligne seront désormais régies par l</w:t>
      </w:r>
      <w:r w:rsidR="00502D05" w:rsidRPr="001B3715">
        <w:rPr>
          <w:lang w:val="fr-FR"/>
        </w:rPr>
        <w:t>’</w:t>
      </w:r>
      <w:r w:rsidRPr="001B3715">
        <w:rPr>
          <w:lang w:val="fr-FR"/>
        </w:rPr>
        <w:t xml:space="preserve">une des licences </w:t>
      </w:r>
      <w:proofErr w:type="spellStart"/>
      <w:r w:rsidRPr="001B3715">
        <w:rPr>
          <w:lang w:val="fr-FR"/>
        </w:rPr>
        <w:t>Creative</w:t>
      </w:r>
      <w:proofErr w:type="spellEnd"/>
      <w:r w:rsidRPr="001B3715">
        <w:rPr>
          <w:lang w:val="fr-FR"/>
        </w:rPr>
        <w:t xml:space="preserve"> Commons (CC) pour les organisations intergouvernementales dont l</w:t>
      </w:r>
      <w:r w:rsidR="00502D05" w:rsidRPr="001B3715">
        <w:rPr>
          <w:lang w:val="fr-FR"/>
        </w:rPr>
        <w:t>’</w:t>
      </w:r>
      <w:r w:rsidRPr="001B3715">
        <w:rPr>
          <w:lang w:val="fr-FR"/>
        </w:rPr>
        <w:t>Organisation a contribué à l</w:t>
      </w:r>
      <w:r w:rsidR="00502D05" w:rsidRPr="001B3715">
        <w:rPr>
          <w:lang w:val="fr-FR"/>
        </w:rPr>
        <w:t>’</w:t>
      </w:r>
      <w:r w:rsidRPr="001B3715">
        <w:rPr>
          <w:lang w:val="fr-FR"/>
        </w:rPr>
        <w:t>établissement, de sorte que les utilisateurs peuvent reproduire, distribuer ou adapter le contenu appartenant à l</w:t>
      </w:r>
      <w:r w:rsidR="00502D05" w:rsidRPr="001B3715">
        <w:rPr>
          <w:lang w:val="fr-FR"/>
        </w:rPr>
        <w:t>’</w:t>
      </w:r>
      <w:r w:rsidRPr="001B3715">
        <w:rPr>
          <w:lang w:val="fr-FR"/>
        </w:rPr>
        <w:t>OMPI sans avoir à demander d</w:t>
      </w:r>
      <w:r w:rsidR="00502D05" w:rsidRPr="001B3715">
        <w:rPr>
          <w:lang w:val="fr-FR"/>
        </w:rPr>
        <w:t>’</w:t>
      </w:r>
      <w:r w:rsidRPr="001B3715">
        <w:rPr>
          <w:lang w:val="fr-FR"/>
        </w:rPr>
        <w:t>autorisation.</w:t>
      </w:r>
    </w:p>
    <w:p w14:paraId="0498BE76" w14:textId="04DF1E6F" w:rsidR="003056BB" w:rsidRPr="001B3715" w:rsidRDefault="003056BB" w:rsidP="003056BB">
      <w:pPr>
        <w:pStyle w:val="ONUMFS"/>
        <w:rPr>
          <w:lang w:val="fr-FR"/>
        </w:rPr>
      </w:pPr>
      <w:r w:rsidRPr="001B3715">
        <w:rPr>
          <w:lang w:val="fr-FR"/>
        </w:rPr>
        <w:t>Étant l</w:t>
      </w:r>
      <w:r w:rsidR="00502D05" w:rsidRPr="001B3715">
        <w:rPr>
          <w:lang w:val="fr-FR"/>
        </w:rPr>
        <w:t>’</w:t>
      </w:r>
      <w:r w:rsidRPr="001B3715">
        <w:rPr>
          <w:lang w:val="fr-FR"/>
        </w:rPr>
        <w:t>un des premiers signataires de la Charte de l</w:t>
      </w:r>
      <w:r w:rsidR="00502D05" w:rsidRPr="001B3715">
        <w:rPr>
          <w:lang w:val="fr-FR"/>
        </w:rPr>
        <w:t>’</w:t>
      </w:r>
      <w:r w:rsidRPr="001B3715">
        <w:rPr>
          <w:lang w:val="fr-FR"/>
        </w:rPr>
        <w:t>édition en format accessible, l</w:t>
      </w:r>
      <w:r w:rsidR="00502D05" w:rsidRPr="001B3715">
        <w:rPr>
          <w:lang w:val="fr-FR"/>
        </w:rPr>
        <w:t>’</w:t>
      </w:r>
      <w:r w:rsidRPr="001B3715">
        <w:rPr>
          <w:lang w:val="fr-FR"/>
        </w:rPr>
        <w:t xml:space="preserve">OMPI est résolue à mettre son contenu en ligne à la disposition de tous les lecteurs, </w:t>
      </w:r>
      <w:r w:rsidR="00502D05" w:rsidRPr="001B3715">
        <w:rPr>
          <w:lang w:val="fr-FR"/>
        </w:rPr>
        <w:t>y compris</w:t>
      </w:r>
      <w:r w:rsidRPr="001B3715">
        <w:rPr>
          <w:lang w:val="fr-FR"/>
        </w:rPr>
        <w:t xml:space="preserve"> les personnes atteintes d</w:t>
      </w:r>
      <w:r w:rsidR="00502D05" w:rsidRPr="001B3715">
        <w:rPr>
          <w:lang w:val="fr-FR"/>
        </w:rPr>
        <w:t>’</w:t>
      </w:r>
      <w:r w:rsidRPr="001B3715">
        <w:rPr>
          <w:lang w:val="fr-FR"/>
        </w:rPr>
        <w:t>une déficience visuelle ou ayant d</w:t>
      </w:r>
      <w:r w:rsidR="00502D05" w:rsidRPr="001B3715">
        <w:rPr>
          <w:lang w:val="fr-FR"/>
        </w:rPr>
        <w:t>’</w:t>
      </w:r>
      <w:r w:rsidRPr="001B3715">
        <w:rPr>
          <w:lang w:val="fr-FR"/>
        </w:rPr>
        <w:t>autres difficultés de lecture des textes imprim</w:t>
      </w:r>
      <w:r w:rsidR="001B3715" w:rsidRPr="001B3715">
        <w:rPr>
          <w:lang w:val="fr-FR"/>
        </w:rPr>
        <w:t>és.  Un</w:t>
      </w:r>
      <w:r w:rsidRPr="001B3715">
        <w:rPr>
          <w:lang w:val="fr-FR"/>
        </w:rPr>
        <w:t xml:space="preserve"> projet est en cours pour former le personnel à la production de publications numériques en format accessible natif en 2017.</w:t>
      </w:r>
    </w:p>
    <w:p w14:paraId="72CF6C16" w14:textId="581E4306" w:rsidR="003056BB" w:rsidRPr="001B3715" w:rsidRDefault="00717796" w:rsidP="003056BB">
      <w:pPr>
        <w:pStyle w:val="ONUMFS"/>
        <w:rPr>
          <w:lang w:val="fr-FR"/>
        </w:rPr>
      </w:pPr>
      <w:r w:rsidRPr="001B3715">
        <w:rPr>
          <w:b/>
          <w:lang w:val="fr-FR"/>
        </w:rPr>
        <w:t>G</w:t>
      </w:r>
      <w:r w:rsidR="003056BB" w:rsidRPr="001B3715">
        <w:rPr>
          <w:b/>
          <w:lang w:val="fr-FR"/>
        </w:rPr>
        <w:t>estion améliorée des services clien</w:t>
      </w:r>
      <w:r w:rsidR="001B3715" w:rsidRPr="001B3715">
        <w:rPr>
          <w:b/>
          <w:lang w:val="fr-FR"/>
        </w:rPr>
        <w:t xml:space="preserve">ts.  </w:t>
      </w:r>
      <w:r w:rsidR="001B3715" w:rsidRPr="001B3715">
        <w:rPr>
          <w:lang w:val="fr-FR"/>
        </w:rPr>
        <w:t>En</w:t>
      </w:r>
      <w:r w:rsidR="003056BB" w:rsidRPr="001B3715">
        <w:rPr>
          <w:lang w:val="fr-FR"/>
        </w:rPr>
        <w:t> 2016, un Conseil des services à la clientèle de haut niveau a été créé en vue de superviser et d</w:t>
      </w:r>
      <w:r w:rsidR="00502D05" w:rsidRPr="001B3715">
        <w:rPr>
          <w:lang w:val="fr-FR"/>
        </w:rPr>
        <w:t>’</w:t>
      </w:r>
      <w:r w:rsidR="003056BB" w:rsidRPr="001B3715">
        <w:rPr>
          <w:lang w:val="fr-FR"/>
        </w:rPr>
        <w:t>améliorer la prestation des services à la clientèle dans l</w:t>
      </w:r>
      <w:r w:rsidR="00502D05" w:rsidRPr="001B3715">
        <w:rPr>
          <w:lang w:val="fr-FR"/>
        </w:rPr>
        <w:t>’</w:t>
      </w:r>
      <w:r w:rsidR="003056BB" w:rsidRPr="001B3715">
        <w:rPr>
          <w:lang w:val="fr-FR"/>
        </w:rPr>
        <w:t>ensemble de l</w:t>
      </w:r>
      <w:r w:rsidR="00502D05" w:rsidRPr="001B3715">
        <w:rPr>
          <w:lang w:val="fr-FR"/>
        </w:rPr>
        <w:t>’</w:t>
      </w:r>
      <w:r w:rsidR="003056BB" w:rsidRPr="001B3715">
        <w:rPr>
          <w:lang w:val="fr-FR"/>
        </w:rPr>
        <w:t>Organisati</w:t>
      </w:r>
      <w:r w:rsidR="001B3715" w:rsidRPr="001B3715">
        <w:rPr>
          <w:lang w:val="fr-FR"/>
        </w:rPr>
        <w:t>on.  Ce</w:t>
      </w:r>
      <w:r w:rsidR="003056BB" w:rsidRPr="001B3715">
        <w:rPr>
          <w:lang w:val="fr-FR"/>
        </w:rPr>
        <w:t xml:space="preserve"> conseil est l</w:t>
      </w:r>
      <w:r w:rsidR="00502D05" w:rsidRPr="001B3715">
        <w:rPr>
          <w:lang w:val="fr-FR"/>
        </w:rPr>
        <w:t>’</w:t>
      </w:r>
      <w:r w:rsidR="003056BB" w:rsidRPr="001B3715">
        <w:rPr>
          <w:lang w:val="fr-FR"/>
        </w:rPr>
        <w:t>instance de décision sur tous les aspects stratégiques et opérationnels liés aux services à la clientèle, ainsi que sur les aspects liés à la gestion de ces services au niveau de l</w:t>
      </w:r>
      <w:r w:rsidR="00502D05" w:rsidRPr="001B3715">
        <w:rPr>
          <w:lang w:val="fr-FR"/>
        </w:rPr>
        <w:t>’</w:t>
      </w:r>
      <w:r w:rsidR="003056BB" w:rsidRPr="001B3715">
        <w:rPr>
          <w:lang w:val="fr-FR"/>
        </w:rPr>
        <w:t>Organisati</w:t>
      </w:r>
      <w:r w:rsidR="001B3715" w:rsidRPr="001B3715">
        <w:rPr>
          <w:lang w:val="fr-FR"/>
        </w:rPr>
        <w:t>on.  Le</w:t>
      </w:r>
      <w:r w:rsidR="003056BB" w:rsidRPr="001B3715">
        <w:rPr>
          <w:lang w:val="fr-FR"/>
        </w:rPr>
        <w:t>s discussions initiales ont tourné autour de l</w:t>
      </w:r>
      <w:r w:rsidR="00502D05" w:rsidRPr="001B3715">
        <w:rPr>
          <w:lang w:val="fr-FR"/>
        </w:rPr>
        <w:t>’</w:t>
      </w:r>
      <w:r w:rsidR="003056BB" w:rsidRPr="001B3715">
        <w:rPr>
          <w:lang w:val="fr-FR"/>
        </w:rPr>
        <w:t>approche globale de l</w:t>
      </w:r>
      <w:r w:rsidR="00502D05" w:rsidRPr="001B3715">
        <w:rPr>
          <w:lang w:val="fr-FR"/>
        </w:rPr>
        <w:t>’</w:t>
      </w:r>
      <w:r w:rsidR="003056BB" w:rsidRPr="001B3715">
        <w:rPr>
          <w:lang w:val="fr-FR"/>
        </w:rPr>
        <w:t>OMPI quant aux services clients à différents niveaux – technologies, pratiques, procédures, formation, objectifs stratégiques et mesures des performances des services clients – et défini des priorités en vue d</w:t>
      </w:r>
      <w:r w:rsidR="00502D05" w:rsidRPr="001B3715">
        <w:rPr>
          <w:lang w:val="fr-FR"/>
        </w:rPr>
        <w:t>’</w:t>
      </w:r>
      <w:r w:rsidR="003056BB" w:rsidRPr="001B3715">
        <w:rPr>
          <w:lang w:val="fr-FR"/>
        </w:rPr>
        <w:t>uniformiser et d</w:t>
      </w:r>
      <w:r w:rsidR="00502D05" w:rsidRPr="001B3715">
        <w:rPr>
          <w:lang w:val="fr-FR"/>
        </w:rPr>
        <w:t>’</w:t>
      </w:r>
      <w:r w:rsidR="003056BB" w:rsidRPr="001B3715">
        <w:rPr>
          <w:lang w:val="fr-FR"/>
        </w:rPr>
        <w:t>améliorer les services fournis aux clients des différents services mondiaux de propriété intellectuelle de l</w:t>
      </w:r>
      <w:r w:rsidR="00502D05" w:rsidRPr="001B3715">
        <w:rPr>
          <w:lang w:val="fr-FR"/>
        </w:rPr>
        <w:t>’</w:t>
      </w:r>
      <w:r w:rsidR="003056BB" w:rsidRPr="001B3715">
        <w:rPr>
          <w:lang w:val="fr-FR"/>
        </w:rPr>
        <w:t>OMPI.</w:t>
      </w:r>
    </w:p>
    <w:p w14:paraId="1A72832D" w14:textId="77777777" w:rsidR="003056BB" w:rsidRPr="001B3715" w:rsidRDefault="003056BB" w:rsidP="003056BB">
      <w:pPr>
        <w:pStyle w:val="Heading3"/>
        <w:rPr>
          <w:lang w:val="fr-FR"/>
        </w:rPr>
      </w:pPr>
      <w:r w:rsidRPr="001B3715">
        <w:rPr>
          <w:lang w:val="fr-FR"/>
        </w:rPr>
        <w:t>Promotion du respect de la propriété intellectuelle</w:t>
      </w:r>
    </w:p>
    <w:p w14:paraId="24FBC414" w14:textId="77777777" w:rsidR="003056BB" w:rsidRPr="001B3715" w:rsidRDefault="003056BB" w:rsidP="003056BB">
      <w:pPr>
        <w:rPr>
          <w:lang w:val="fr-FR"/>
        </w:rPr>
      </w:pPr>
    </w:p>
    <w:p w14:paraId="361F2080" w14:textId="76A6706B" w:rsidR="003056BB" w:rsidRPr="001B3715" w:rsidRDefault="003056BB" w:rsidP="003056BB">
      <w:pPr>
        <w:pStyle w:val="ONUMFS"/>
        <w:rPr>
          <w:lang w:val="fr-FR"/>
        </w:rPr>
      </w:pPr>
      <w:r w:rsidRPr="001B3715">
        <w:rPr>
          <w:lang w:val="fr-FR"/>
        </w:rPr>
        <w:t>L</w:t>
      </w:r>
      <w:r w:rsidR="00502D05" w:rsidRPr="001B3715">
        <w:rPr>
          <w:lang w:val="fr-FR"/>
        </w:rPr>
        <w:t>’</w:t>
      </w:r>
      <w:r w:rsidRPr="001B3715">
        <w:rPr>
          <w:lang w:val="fr-FR"/>
        </w:rPr>
        <w:t>approche de l</w:t>
      </w:r>
      <w:r w:rsidR="00502D05" w:rsidRPr="001B3715">
        <w:rPr>
          <w:lang w:val="fr-FR"/>
        </w:rPr>
        <w:t>’</w:t>
      </w:r>
      <w:r w:rsidRPr="001B3715">
        <w:rPr>
          <w:lang w:val="fr-FR"/>
        </w:rPr>
        <w:t>OMPI en matière de promotion du respect de la propriété intellectuelle consiste à favoriser la création d</w:t>
      </w:r>
      <w:r w:rsidR="00502D05" w:rsidRPr="001B3715">
        <w:rPr>
          <w:lang w:val="fr-FR"/>
        </w:rPr>
        <w:t>’</w:t>
      </w:r>
      <w:r w:rsidRPr="001B3715">
        <w:rPr>
          <w:lang w:val="fr-FR"/>
        </w:rPr>
        <w:t>un environnement propice au respect des droits de propriété intellectuelle d</w:t>
      </w:r>
      <w:r w:rsidR="00502D05" w:rsidRPr="001B3715">
        <w:rPr>
          <w:lang w:val="fr-FR"/>
        </w:rPr>
        <w:t>’</w:t>
      </w:r>
      <w:r w:rsidRPr="001B3715">
        <w:rPr>
          <w:lang w:val="fr-FR"/>
        </w:rPr>
        <w:t>une manière durable et à renforcer les capacités des États membres s</w:t>
      </w:r>
      <w:r w:rsidR="00502D05" w:rsidRPr="001B3715">
        <w:rPr>
          <w:lang w:val="fr-FR"/>
        </w:rPr>
        <w:t>’</w:t>
      </w:r>
      <w:r w:rsidRPr="001B3715">
        <w:rPr>
          <w:lang w:val="fr-FR"/>
        </w:rPr>
        <w:t>agissant de l</w:t>
      </w:r>
      <w:r w:rsidR="00502D05" w:rsidRPr="001B3715">
        <w:rPr>
          <w:lang w:val="fr-FR"/>
        </w:rPr>
        <w:t>’</w:t>
      </w:r>
      <w:r w:rsidRPr="001B3715">
        <w:rPr>
          <w:lang w:val="fr-FR"/>
        </w:rPr>
        <w:t>application effective des droits, compte tenu des intérêts socioéconomiques et des préoccupations en matière de développement.</w:t>
      </w:r>
    </w:p>
    <w:p w14:paraId="632EAF75" w14:textId="6E3F0E1D" w:rsidR="003056BB" w:rsidRPr="001B3715" w:rsidRDefault="003056BB" w:rsidP="003056BB">
      <w:pPr>
        <w:pStyle w:val="ONUMFS"/>
        <w:rPr>
          <w:lang w:val="fr-FR"/>
        </w:rPr>
      </w:pPr>
      <w:r w:rsidRPr="001B3715">
        <w:rPr>
          <w:lang w:val="fr-FR"/>
        </w:rPr>
        <w:lastRenderedPageBreak/>
        <w:t>L</w:t>
      </w:r>
      <w:r w:rsidR="00502D05" w:rsidRPr="001B3715">
        <w:rPr>
          <w:lang w:val="fr-FR"/>
        </w:rPr>
        <w:t>’</w:t>
      </w:r>
      <w:r w:rsidRPr="001B3715">
        <w:rPr>
          <w:lang w:val="fr-FR"/>
        </w:rPr>
        <w:t>Organisation a continué de mettre au point des outils pour aider les États à faire mieux connaître la propriété intellectuelle parmi le grand public comme parmi des publics cibles tels que les agents de l</w:t>
      </w:r>
      <w:r w:rsidR="00502D05" w:rsidRPr="001B3715">
        <w:rPr>
          <w:lang w:val="fr-FR"/>
        </w:rPr>
        <w:t>’</w:t>
      </w:r>
      <w:r w:rsidRPr="001B3715">
        <w:rPr>
          <w:lang w:val="fr-FR"/>
        </w:rPr>
        <w:t>application des lo</w:t>
      </w:r>
      <w:r w:rsidR="001B3715" w:rsidRPr="001B3715">
        <w:rPr>
          <w:lang w:val="fr-FR"/>
        </w:rPr>
        <w:t>is.  Le</w:t>
      </w:r>
      <w:r w:rsidRPr="001B3715">
        <w:rPr>
          <w:lang w:val="fr-FR"/>
        </w:rPr>
        <w:t xml:space="preserve"> Manuel de formation de l</w:t>
      </w:r>
      <w:r w:rsidR="00502D05" w:rsidRPr="001B3715">
        <w:rPr>
          <w:lang w:val="fr-FR"/>
        </w:rPr>
        <w:t>’</w:t>
      </w:r>
      <w:r w:rsidRPr="001B3715">
        <w:rPr>
          <w:lang w:val="fr-FR"/>
        </w:rPr>
        <w:t>OMPI sur les poursuites à engager en cas de délit en matière de propriété intellectuelle, lancé en anglais en 2015, a depuis été publié en français, en arabe et en espagn</w:t>
      </w:r>
      <w:r w:rsidR="001B3715" w:rsidRPr="001B3715">
        <w:rPr>
          <w:lang w:val="fr-FR"/>
        </w:rPr>
        <w:t>ol.  Ce</w:t>
      </w:r>
      <w:r w:rsidRPr="001B3715">
        <w:rPr>
          <w:lang w:val="fr-FR"/>
        </w:rPr>
        <w:t xml:space="preserve"> manuel donne aux États membres un outil de formation pratique pour tous ceux impliqués dans l</w:t>
      </w:r>
      <w:r w:rsidR="00502D05" w:rsidRPr="001B3715">
        <w:rPr>
          <w:lang w:val="fr-FR"/>
        </w:rPr>
        <w:t>’</w:t>
      </w:r>
      <w:r w:rsidRPr="001B3715">
        <w:rPr>
          <w:lang w:val="fr-FR"/>
        </w:rPr>
        <w:t>application de la législation nationale en matière de délits de propriété intellectuel</w:t>
      </w:r>
      <w:r w:rsidR="001B3715" w:rsidRPr="001B3715">
        <w:rPr>
          <w:lang w:val="fr-FR"/>
        </w:rPr>
        <w:t>le.  Po</w:t>
      </w:r>
      <w:r w:rsidRPr="001B3715">
        <w:rPr>
          <w:lang w:val="fr-FR"/>
        </w:rPr>
        <w:t>ur les plus jeunes, l</w:t>
      </w:r>
      <w:r w:rsidR="00502D05" w:rsidRPr="001B3715">
        <w:rPr>
          <w:lang w:val="fr-FR"/>
        </w:rPr>
        <w:t>’</w:t>
      </w:r>
      <w:r w:rsidRPr="001B3715">
        <w:rPr>
          <w:lang w:val="fr-FR"/>
        </w:rPr>
        <w:t>Organisation a créé, avec le soutien du fonds fiduciaire de la République de Corée, un site Web éducatif interactif sur le respect du droit d</w:t>
      </w:r>
      <w:r w:rsidR="00502D05" w:rsidRPr="001B3715">
        <w:rPr>
          <w:lang w:val="fr-FR"/>
        </w:rPr>
        <w:t>’</w:t>
      </w:r>
      <w:r w:rsidRPr="001B3715">
        <w:rPr>
          <w:lang w:val="fr-FR"/>
        </w:rPr>
        <w:t>auteur à l</w:t>
      </w:r>
      <w:r w:rsidR="00502D05" w:rsidRPr="001B3715">
        <w:rPr>
          <w:lang w:val="fr-FR"/>
        </w:rPr>
        <w:t>’</w:t>
      </w:r>
      <w:r w:rsidRPr="001B3715">
        <w:rPr>
          <w:lang w:val="fr-FR"/>
        </w:rPr>
        <w:t>intention des 10</w:t>
      </w:r>
      <w:r w:rsidR="00E3770C">
        <w:rPr>
          <w:lang w:val="fr-FR"/>
        </w:rPr>
        <w:noBreakHyphen/>
      </w:r>
      <w:r w:rsidRPr="001B3715">
        <w:rPr>
          <w:lang w:val="fr-FR"/>
        </w:rPr>
        <w:t>15 a</w:t>
      </w:r>
      <w:r w:rsidR="001B3715" w:rsidRPr="001B3715">
        <w:rPr>
          <w:lang w:val="fr-FR"/>
        </w:rPr>
        <w:t>ns.  Ce</w:t>
      </w:r>
      <w:r w:rsidRPr="001B3715">
        <w:rPr>
          <w:lang w:val="fr-FR"/>
        </w:rPr>
        <w:t xml:space="preserve"> site comprend cinq modules rédigés dans un style attrayant et stimulant pour les étudiants, ainsi que des notes à l</w:t>
      </w:r>
      <w:r w:rsidR="00502D05" w:rsidRPr="001B3715">
        <w:rPr>
          <w:lang w:val="fr-FR"/>
        </w:rPr>
        <w:t>’</w:t>
      </w:r>
      <w:r w:rsidRPr="001B3715">
        <w:rPr>
          <w:lang w:val="fr-FR"/>
        </w:rPr>
        <w:t>intention des enseignan</w:t>
      </w:r>
      <w:r w:rsidR="001B3715" w:rsidRPr="001B3715">
        <w:rPr>
          <w:lang w:val="fr-FR"/>
        </w:rPr>
        <w:t>ts.  De</w:t>
      </w:r>
      <w:r w:rsidRPr="001B3715">
        <w:rPr>
          <w:lang w:val="fr-FR"/>
        </w:rPr>
        <w:t>s plans sont en cours d</w:t>
      </w:r>
      <w:r w:rsidR="00502D05" w:rsidRPr="001B3715">
        <w:rPr>
          <w:lang w:val="fr-FR"/>
        </w:rPr>
        <w:t>’</w:t>
      </w:r>
      <w:r w:rsidRPr="001B3715">
        <w:rPr>
          <w:lang w:val="fr-FR"/>
        </w:rPr>
        <w:t>élaboration pour lancer un site similaire sur le respect des droits attachés aux marques et aux dessins et modèles en 2017.</w:t>
      </w:r>
    </w:p>
    <w:p w14:paraId="110DF6FF" w14:textId="12AE96CA" w:rsidR="003056BB" w:rsidRPr="001B3715" w:rsidRDefault="003056BB" w:rsidP="003056BB">
      <w:pPr>
        <w:pStyle w:val="ONUMFS"/>
        <w:rPr>
          <w:lang w:val="fr-FR"/>
        </w:rPr>
      </w:pPr>
      <w:r w:rsidRPr="001B3715">
        <w:rPr>
          <w:lang w:val="fr-FR"/>
        </w:rPr>
        <w:t>Les efforts de l</w:t>
      </w:r>
      <w:r w:rsidR="00502D05" w:rsidRPr="001B3715">
        <w:rPr>
          <w:lang w:val="fr-FR"/>
        </w:rPr>
        <w:t>’</w:t>
      </w:r>
      <w:r w:rsidRPr="001B3715">
        <w:rPr>
          <w:lang w:val="fr-FR"/>
        </w:rPr>
        <w:t>Organisation visant à dégager une vision équilibrée de la promotion du respect de la propriété intellectuelle, ses activités en matière de renforcement des capacités, d</w:t>
      </w:r>
      <w:r w:rsidR="00502D05" w:rsidRPr="001B3715">
        <w:rPr>
          <w:lang w:val="fr-FR"/>
        </w:rPr>
        <w:t>’</w:t>
      </w:r>
      <w:r w:rsidRPr="001B3715">
        <w:rPr>
          <w:lang w:val="fr-FR"/>
        </w:rPr>
        <w:t>assistance technique et de partage des connaissances et l</w:t>
      </w:r>
      <w:r w:rsidR="00502D05" w:rsidRPr="001B3715">
        <w:rPr>
          <w:lang w:val="fr-FR"/>
        </w:rPr>
        <w:t>’</w:t>
      </w:r>
      <w:r w:rsidRPr="001B3715">
        <w:rPr>
          <w:lang w:val="fr-FR"/>
        </w:rPr>
        <w:t>importance croissante du Comité consultatif de l</w:t>
      </w:r>
      <w:r w:rsidR="00502D05" w:rsidRPr="001B3715">
        <w:rPr>
          <w:lang w:val="fr-FR"/>
        </w:rPr>
        <w:t>’</w:t>
      </w:r>
      <w:r w:rsidRPr="001B3715">
        <w:rPr>
          <w:lang w:val="fr-FR"/>
        </w:rPr>
        <w:t>OMPI sur l</w:t>
      </w:r>
      <w:r w:rsidR="00502D05" w:rsidRPr="001B3715">
        <w:rPr>
          <w:lang w:val="fr-FR"/>
        </w:rPr>
        <w:t>’</w:t>
      </w:r>
      <w:r w:rsidRPr="001B3715">
        <w:rPr>
          <w:lang w:val="fr-FR"/>
        </w:rPr>
        <w:t>application des droits ont valu à l</w:t>
      </w:r>
      <w:r w:rsidR="00502D05" w:rsidRPr="001B3715">
        <w:rPr>
          <w:lang w:val="fr-FR"/>
        </w:rPr>
        <w:t>’</w:t>
      </w:r>
      <w:r w:rsidRPr="001B3715">
        <w:rPr>
          <w:lang w:val="fr-FR"/>
        </w:rPr>
        <w:t>OMPI de recevoir le prix de l</w:t>
      </w:r>
      <w:r w:rsidR="00502D05" w:rsidRPr="001B3715">
        <w:rPr>
          <w:lang w:val="fr-FR"/>
        </w:rPr>
        <w:t>’</w:t>
      </w:r>
      <w:r w:rsidRPr="001B3715">
        <w:rPr>
          <w:lang w:val="fr-FR"/>
        </w:rPr>
        <w:t>organisme public international décerné dans le cadre des Global Anti</w:t>
      </w:r>
      <w:r w:rsidR="00E3770C">
        <w:rPr>
          <w:lang w:val="fr-FR"/>
        </w:rPr>
        <w:noBreakHyphen/>
      </w:r>
      <w:proofErr w:type="spellStart"/>
      <w:r w:rsidRPr="001B3715">
        <w:rPr>
          <w:lang w:val="fr-FR"/>
        </w:rPr>
        <w:t>Counterfeiting</w:t>
      </w:r>
      <w:proofErr w:type="spellEnd"/>
      <w:r w:rsidRPr="001B3715">
        <w:rPr>
          <w:lang w:val="fr-FR"/>
        </w:rPr>
        <w:t xml:space="preserve"> (GAC) en 2016.</w:t>
      </w:r>
    </w:p>
    <w:p w14:paraId="4413CDAC" w14:textId="2587E114" w:rsidR="00A82CAA" w:rsidRPr="001B3715" w:rsidRDefault="00A82CAA" w:rsidP="00A82CAA">
      <w:pPr>
        <w:pStyle w:val="Heading3"/>
        <w:rPr>
          <w:szCs w:val="22"/>
          <w:lang w:val="fr-FR"/>
        </w:rPr>
      </w:pPr>
      <w:r w:rsidRPr="001B3715">
        <w:rPr>
          <w:szCs w:val="22"/>
          <w:lang w:val="fr-FR"/>
        </w:rPr>
        <w:t>Site de l</w:t>
      </w:r>
      <w:r w:rsidR="00502D05" w:rsidRPr="001B3715">
        <w:rPr>
          <w:szCs w:val="22"/>
          <w:lang w:val="fr-FR"/>
        </w:rPr>
        <w:t>’</w:t>
      </w:r>
      <w:r w:rsidRPr="001B3715">
        <w:rPr>
          <w:szCs w:val="22"/>
          <w:lang w:val="fr-FR"/>
        </w:rPr>
        <w:t>OMPI</w:t>
      </w:r>
    </w:p>
    <w:p w14:paraId="46C626F6" w14:textId="77777777" w:rsidR="00A82CAA" w:rsidRPr="001B3715" w:rsidRDefault="00A82CAA" w:rsidP="00A82CAA">
      <w:pPr>
        <w:rPr>
          <w:szCs w:val="22"/>
          <w:lang w:val="fr-FR"/>
        </w:rPr>
      </w:pPr>
    </w:p>
    <w:p w14:paraId="3AD17F4A" w14:textId="2E646EBA" w:rsidR="00A82CAA" w:rsidRPr="001B3715" w:rsidRDefault="00A82CAA" w:rsidP="00A82CAA">
      <w:pPr>
        <w:pStyle w:val="ONUMFS"/>
        <w:rPr>
          <w:lang w:val="fr-FR"/>
        </w:rPr>
      </w:pPr>
      <w:r w:rsidRPr="001B3715">
        <w:rPr>
          <w:lang w:val="fr-FR"/>
        </w:rPr>
        <w:t>Le site de l</w:t>
      </w:r>
      <w:r w:rsidR="00502D05" w:rsidRPr="001B3715">
        <w:rPr>
          <w:lang w:val="fr-FR"/>
        </w:rPr>
        <w:t>’</w:t>
      </w:r>
      <w:r w:rsidRPr="001B3715">
        <w:rPr>
          <w:lang w:val="fr-FR"/>
        </w:rPr>
        <w:t>OMPI est désormais ache</w:t>
      </w:r>
      <w:r w:rsidR="001B3715" w:rsidRPr="001B3715">
        <w:rPr>
          <w:lang w:val="fr-FR"/>
        </w:rPr>
        <w:t>vé.  Le</w:t>
      </w:r>
      <w:r w:rsidRPr="001B3715">
        <w:rPr>
          <w:lang w:val="fr-FR"/>
        </w:rPr>
        <w:t>s plantations et autres éléments d</w:t>
      </w:r>
      <w:r w:rsidR="00502D05" w:rsidRPr="001B3715">
        <w:rPr>
          <w:lang w:val="fr-FR"/>
        </w:rPr>
        <w:t>’</w:t>
      </w:r>
      <w:r w:rsidRPr="001B3715">
        <w:rPr>
          <w:lang w:val="fr-FR"/>
        </w:rPr>
        <w:t>aménagement urbain extérieur ont été mis en place sur le site de l</w:t>
      </w:r>
      <w:r w:rsidR="00502D05" w:rsidRPr="001B3715">
        <w:rPr>
          <w:lang w:val="fr-FR"/>
        </w:rPr>
        <w:t>’</w:t>
      </w:r>
      <w:r w:rsidRPr="001B3715">
        <w:rPr>
          <w:lang w:val="fr-FR"/>
        </w:rPr>
        <w:t>OMPI entre l</w:t>
      </w:r>
      <w:r w:rsidR="00502D05" w:rsidRPr="001B3715">
        <w:rPr>
          <w:lang w:val="fr-FR"/>
        </w:rPr>
        <w:t>’</w:t>
      </w:r>
      <w:r w:rsidRPr="001B3715">
        <w:rPr>
          <w:lang w:val="fr-FR"/>
        </w:rPr>
        <w:t>automne 2015 et le début de l</w:t>
      </w:r>
      <w:r w:rsidR="00502D05" w:rsidRPr="001B3715">
        <w:rPr>
          <w:lang w:val="fr-FR"/>
        </w:rPr>
        <w:t>’</w:t>
      </w:r>
      <w:r w:rsidRPr="001B3715">
        <w:rPr>
          <w:lang w:val="fr-FR"/>
        </w:rPr>
        <w:t>été 2016, apportant la touche finale à l</w:t>
      </w:r>
      <w:r w:rsidR="00502D05" w:rsidRPr="001B3715">
        <w:rPr>
          <w:lang w:val="fr-FR"/>
        </w:rPr>
        <w:t>’</w:t>
      </w:r>
      <w:r w:rsidRPr="001B3715">
        <w:rPr>
          <w:lang w:val="fr-FR"/>
        </w:rPr>
        <w:t>aménagement paysager extérie</w:t>
      </w:r>
      <w:r w:rsidR="001B3715" w:rsidRPr="001B3715">
        <w:rPr>
          <w:lang w:val="fr-FR"/>
        </w:rPr>
        <w:t>ur.  La</w:t>
      </w:r>
      <w:r w:rsidRPr="001B3715">
        <w:rPr>
          <w:lang w:val="fr-FR"/>
        </w:rPr>
        <w:t xml:space="preserve"> surface rappelant une prairie, créée sur le toit du Nouveau Bâtiment, a été jugée remarquable par des spécialistes locaux puisqu</w:t>
      </w:r>
      <w:r w:rsidR="00502D05" w:rsidRPr="001B3715">
        <w:rPr>
          <w:lang w:val="fr-FR"/>
        </w:rPr>
        <w:t>’</w:t>
      </w:r>
      <w:r w:rsidRPr="001B3715">
        <w:rPr>
          <w:lang w:val="fr-FR"/>
        </w:rPr>
        <w:t>elle offre à la vue une variété de plantes extrêmement rares en milieu urba</w:t>
      </w:r>
      <w:r w:rsidR="001B3715" w:rsidRPr="001B3715">
        <w:rPr>
          <w:lang w:val="fr-FR"/>
        </w:rPr>
        <w:t>in.  El</w:t>
      </w:r>
      <w:r w:rsidRPr="001B3715">
        <w:rPr>
          <w:lang w:val="fr-FR"/>
        </w:rPr>
        <w:t>le est en train de devenir un point de repère dans cette partie du canton de Genè</w:t>
      </w:r>
      <w:r w:rsidR="001B3715" w:rsidRPr="001B3715">
        <w:rPr>
          <w:lang w:val="fr-FR"/>
        </w:rPr>
        <w:t>ve.  Da</w:t>
      </w:r>
      <w:r w:rsidRPr="001B3715">
        <w:rPr>
          <w:lang w:val="fr-FR"/>
        </w:rPr>
        <w:t>ns l</w:t>
      </w:r>
      <w:r w:rsidR="00502D05" w:rsidRPr="001B3715">
        <w:rPr>
          <w:lang w:val="fr-FR"/>
        </w:rPr>
        <w:t>’</w:t>
      </w:r>
      <w:r w:rsidRPr="001B3715">
        <w:rPr>
          <w:lang w:val="fr-FR"/>
        </w:rPr>
        <w:t>ensemble, le site de l</w:t>
      </w:r>
      <w:r w:rsidR="00502D05" w:rsidRPr="001B3715">
        <w:rPr>
          <w:lang w:val="fr-FR"/>
        </w:rPr>
        <w:t>’</w:t>
      </w:r>
      <w:r w:rsidRPr="001B3715">
        <w:rPr>
          <w:lang w:val="fr-FR"/>
        </w:rPr>
        <w:t>OMPI offre un bon équilibre entre les éléments construits, la flore et la faune, pour le bien</w:t>
      </w:r>
      <w:r w:rsidR="00E3770C">
        <w:rPr>
          <w:lang w:val="fr-FR"/>
        </w:rPr>
        <w:noBreakHyphen/>
      </w:r>
      <w:r w:rsidRPr="001B3715">
        <w:rPr>
          <w:lang w:val="fr-FR"/>
        </w:rPr>
        <w:t>être et le confort du personnel et des délégués, et constitue un environnement agréable pour les riverains, qui peuvent traverser librement son espa</w:t>
      </w:r>
      <w:r w:rsidR="001B3715" w:rsidRPr="001B3715">
        <w:rPr>
          <w:lang w:val="fr-FR"/>
        </w:rPr>
        <w:t>ce.  No</w:t>
      </w:r>
      <w:r w:rsidRPr="001B3715">
        <w:rPr>
          <w:lang w:val="fr-FR"/>
        </w:rPr>
        <w:t>us avons continué de renforcer les installations de notre salle de conférence pour satisfaire aux exigences de nos utilisateurs, notamment avec l</w:t>
      </w:r>
      <w:r w:rsidR="00502D05" w:rsidRPr="001B3715">
        <w:rPr>
          <w:lang w:val="fr-FR"/>
        </w:rPr>
        <w:t>’</w:t>
      </w:r>
      <w:r w:rsidRPr="001B3715">
        <w:rPr>
          <w:lang w:val="fr-FR"/>
        </w:rPr>
        <w:t>amélioration du raccordement au Wi</w:t>
      </w:r>
      <w:r w:rsidR="00E3770C">
        <w:rPr>
          <w:lang w:val="fr-FR"/>
        </w:rPr>
        <w:noBreakHyphen/>
      </w:r>
      <w:r w:rsidRPr="001B3715">
        <w:rPr>
          <w:lang w:val="fr-FR"/>
        </w:rPr>
        <w:t>Fi nécessaire pour la tenue de plusieurs réunions en parallèle.</w:t>
      </w:r>
    </w:p>
    <w:p w14:paraId="120CFE25" w14:textId="758D54BA" w:rsidR="00A82CAA" w:rsidRPr="001B3715" w:rsidRDefault="00A82CAA" w:rsidP="00A82CAA">
      <w:pPr>
        <w:pStyle w:val="ONUMFS"/>
        <w:rPr>
          <w:lang w:val="fr-FR"/>
        </w:rPr>
      </w:pPr>
      <w:r w:rsidRPr="001B3715">
        <w:rPr>
          <w:lang w:val="fr-FR"/>
        </w:rPr>
        <w:t>Dans la mesure du possible, nous avons cherché à partager nos installations, notamment notre nouvelle salle de conférence, avec la communauté internationale présente à Genè</w:t>
      </w:r>
      <w:r w:rsidR="001B3715" w:rsidRPr="001B3715">
        <w:rPr>
          <w:lang w:val="fr-FR"/>
        </w:rPr>
        <w:t>ve.  Ce</w:t>
      </w:r>
      <w:r w:rsidRPr="001B3715">
        <w:rPr>
          <w:lang w:val="fr-FR"/>
        </w:rPr>
        <w:t>tte dernière année, l</w:t>
      </w:r>
      <w:r w:rsidR="00502D05" w:rsidRPr="001B3715">
        <w:rPr>
          <w:lang w:val="fr-FR"/>
        </w:rPr>
        <w:t>’</w:t>
      </w:r>
      <w:r w:rsidRPr="001B3715">
        <w:rPr>
          <w:lang w:val="fr-FR"/>
        </w:rPr>
        <w:t>OMPI un été un lieu de choix pour plusieurs réunions organisées par d</w:t>
      </w:r>
      <w:r w:rsidR="00502D05" w:rsidRPr="001B3715">
        <w:rPr>
          <w:lang w:val="fr-FR"/>
        </w:rPr>
        <w:t>’</w:t>
      </w:r>
      <w:r w:rsidRPr="001B3715">
        <w:rPr>
          <w:lang w:val="fr-FR"/>
        </w:rPr>
        <w:t>autres organisations internationales et par les États membres, notamment sept réceptions organisées en l</w:t>
      </w:r>
      <w:r w:rsidR="00502D05" w:rsidRPr="001B3715">
        <w:rPr>
          <w:lang w:val="fr-FR"/>
        </w:rPr>
        <w:t>’</w:t>
      </w:r>
      <w:r w:rsidRPr="001B3715">
        <w:rPr>
          <w:lang w:val="fr-FR"/>
        </w:rPr>
        <w:t>honneur d</w:t>
      </w:r>
      <w:r w:rsidR="00502D05" w:rsidRPr="001B3715">
        <w:rPr>
          <w:lang w:val="fr-FR"/>
        </w:rPr>
        <w:t>’</w:t>
      </w:r>
      <w:r w:rsidRPr="001B3715">
        <w:rPr>
          <w:lang w:val="fr-FR"/>
        </w:rPr>
        <w:t>une fête nationa</w:t>
      </w:r>
      <w:r w:rsidR="001B3715" w:rsidRPr="001B3715">
        <w:rPr>
          <w:lang w:val="fr-FR"/>
        </w:rPr>
        <w:t>le.  La</w:t>
      </w:r>
      <w:r w:rsidRPr="001B3715">
        <w:rPr>
          <w:lang w:val="fr-FR"/>
        </w:rPr>
        <w:t xml:space="preserve"> location des installations optimise l</w:t>
      </w:r>
      <w:r w:rsidR="00502D05" w:rsidRPr="001B3715">
        <w:rPr>
          <w:lang w:val="fr-FR"/>
        </w:rPr>
        <w:t>’</w:t>
      </w:r>
      <w:r w:rsidRPr="001B3715">
        <w:rPr>
          <w:lang w:val="fr-FR"/>
        </w:rPr>
        <w:t>utilisation des actifs de l</w:t>
      </w:r>
      <w:r w:rsidR="00502D05" w:rsidRPr="001B3715">
        <w:rPr>
          <w:lang w:val="fr-FR"/>
        </w:rPr>
        <w:t>’</w:t>
      </w:r>
      <w:r w:rsidRPr="001B3715">
        <w:rPr>
          <w:lang w:val="fr-FR"/>
        </w:rPr>
        <w:t xml:space="preserve">Organisation et aide à répondre à la demande élevée de salles de réunion modernes pour les réunions </w:t>
      </w:r>
      <w:r w:rsidRPr="001B3715">
        <w:rPr>
          <w:rStyle w:val="preferred"/>
          <w:szCs w:val="22"/>
          <w:lang w:val="fr-FR"/>
        </w:rPr>
        <w:t>intergouvernementales</w:t>
      </w:r>
      <w:r w:rsidRPr="001B3715">
        <w:rPr>
          <w:lang w:val="fr-FR"/>
        </w:rPr>
        <w:t>.</w:t>
      </w:r>
    </w:p>
    <w:p w14:paraId="177E9721" w14:textId="2ED72AFA" w:rsidR="00A82CAA" w:rsidRPr="001B3715" w:rsidRDefault="00A82CAA" w:rsidP="00A82CAA">
      <w:pPr>
        <w:pStyle w:val="ONUMFS"/>
        <w:rPr>
          <w:lang w:val="fr-FR"/>
        </w:rPr>
      </w:pPr>
      <w:r w:rsidRPr="001B3715">
        <w:rPr>
          <w:b/>
          <w:lang w:val="fr-FR"/>
        </w:rPr>
        <w:t>Neutralité carbone</w:t>
      </w:r>
      <w:r w:rsidRPr="001B3715">
        <w:rPr>
          <w:b/>
          <w:i/>
          <w:lang w:val="fr-FR"/>
        </w:rPr>
        <w:t xml:space="preserve">.  </w:t>
      </w:r>
      <w:r w:rsidRPr="001B3715">
        <w:rPr>
          <w:lang w:val="fr-FR"/>
        </w:rPr>
        <w:t>L</w:t>
      </w:r>
      <w:r w:rsidR="00502D05" w:rsidRPr="001B3715">
        <w:rPr>
          <w:lang w:val="fr-FR"/>
        </w:rPr>
        <w:t>’</w:t>
      </w:r>
      <w:r w:rsidRPr="001B3715">
        <w:rPr>
          <w:lang w:val="fr-FR"/>
        </w:rPr>
        <w:t>OMPI a mis en place les mesures nécessaires pour atteindre la neutralité carbone d</w:t>
      </w:r>
      <w:r w:rsidR="00502D05" w:rsidRPr="001B3715">
        <w:rPr>
          <w:lang w:val="fr-FR"/>
        </w:rPr>
        <w:t>’</w:t>
      </w:r>
      <w:r w:rsidRPr="001B3715">
        <w:rPr>
          <w:lang w:val="fr-FR"/>
        </w:rPr>
        <w:t>ici à l</w:t>
      </w:r>
      <w:r w:rsidR="00502D05" w:rsidRPr="001B3715">
        <w:rPr>
          <w:lang w:val="fr-FR"/>
        </w:rPr>
        <w:t>’</w:t>
      </w:r>
      <w:r w:rsidRPr="001B3715">
        <w:rPr>
          <w:lang w:val="fr-FR"/>
        </w:rPr>
        <w:t>année 2020, conformément à l</w:t>
      </w:r>
      <w:r w:rsidR="00502D05" w:rsidRPr="001B3715">
        <w:rPr>
          <w:lang w:val="fr-FR"/>
        </w:rPr>
        <w:t>’</w:t>
      </w:r>
      <w:r w:rsidRPr="001B3715">
        <w:rPr>
          <w:lang w:val="fr-FR"/>
        </w:rPr>
        <w:t xml:space="preserve">appel lancé par le Secrétaire général des </w:t>
      </w:r>
      <w:r w:rsidR="00502D05" w:rsidRPr="001B3715">
        <w:rPr>
          <w:lang w:val="fr-FR"/>
        </w:rPr>
        <w:t>Nations Unies</w:t>
      </w:r>
      <w:r w:rsidRPr="001B3715">
        <w:rPr>
          <w:lang w:val="fr-FR"/>
        </w:rPr>
        <w:t xml:space="preserve"> en 2014.  En plus de prendre des mesures pour réduire le gaspillage d</w:t>
      </w:r>
      <w:r w:rsidR="00502D05" w:rsidRPr="001B3715">
        <w:rPr>
          <w:lang w:val="fr-FR"/>
        </w:rPr>
        <w:t>’</w:t>
      </w:r>
      <w:r w:rsidRPr="001B3715">
        <w:rPr>
          <w:lang w:val="fr-FR"/>
        </w:rPr>
        <w:t>énergie sur le site, nous avons continué d</w:t>
      </w:r>
      <w:r w:rsidR="00502D05" w:rsidRPr="001B3715">
        <w:rPr>
          <w:lang w:val="fr-FR"/>
        </w:rPr>
        <w:t>’</w:t>
      </w:r>
      <w:r w:rsidRPr="001B3715">
        <w:rPr>
          <w:lang w:val="fr-FR"/>
        </w:rPr>
        <w:t>investir dans les nouvelles technologies et d</w:t>
      </w:r>
      <w:r w:rsidR="00502D05" w:rsidRPr="001B3715">
        <w:rPr>
          <w:lang w:val="fr-FR"/>
        </w:rPr>
        <w:t>’</w:t>
      </w:r>
      <w:r w:rsidRPr="001B3715">
        <w:rPr>
          <w:lang w:val="fr-FR"/>
        </w:rPr>
        <w:t>entreprendre des travaux de rénovation, selon que de besoin, pour réduire la consommation d</w:t>
      </w:r>
      <w:r w:rsidR="00502D05" w:rsidRPr="001B3715">
        <w:rPr>
          <w:lang w:val="fr-FR"/>
        </w:rPr>
        <w:t>’</w:t>
      </w:r>
      <w:r w:rsidRPr="001B3715">
        <w:rPr>
          <w:lang w:val="fr-FR"/>
        </w:rPr>
        <w:t>énergie.  L</w:t>
      </w:r>
      <w:r w:rsidR="00502D05" w:rsidRPr="001B3715">
        <w:rPr>
          <w:lang w:val="fr-FR"/>
        </w:rPr>
        <w:t>’</w:t>
      </w:r>
      <w:r w:rsidRPr="001B3715">
        <w:rPr>
          <w:lang w:val="fr-FR"/>
        </w:rPr>
        <w:t xml:space="preserve">OMPI achète des certificats de compensation auprès de la CCNUCC pour compenser les </w:t>
      </w:r>
      <w:r w:rsidRPr="001B3715">
        <w:rPr>
          <w:rStyle w:val="Emphasis"/>
          <w:szCs w:val="22"/>
          <w:lang w:val="fr-FR"/>
        </w:rPr>
        <w:t xml:space="preserve">émissions </w:t>
      </w:r>
      <w:r w:rsidRPr="001B3715">
        <w:rPr>
          <w:lang w:val="fr-FR"/>
        </w:rPr>
        <w:t>“</w:t>
      </w:r>
      <w:r w:rsidRPr="001B3715">
        <w:rPr>
          <w:rStyle w:val="Emphasis"/>
          <w:szCs w:val="22"/>
          <w:lang w:val="fr-FR"/>
        </w:rPr>
        <w:t>inévitables</w:t>
      </w:r>
      <w:r w:rsidRPr="001B3715">
        <w:rPr>
          <w:lang w:val="fr-FR"/>
        </w:rPr>
        <w:t>”, notamment celles causées par le transport aérien.</w:t>
      </w:r>
    </w:p>
    <w:p w14:paraId="6E787D9D" w14:textId="4A24DE81" w:rsidR="00A82CAA" w:rsidRPr="001B3715" w:rsidRDefault="00A82CAA" w:rsidP="00A82CAA">
      <w:pPr>
        <w:pStyle w:val="ONUMFS"/>
        <w:rPr>
          <w:lang w:val="fr-FR"/>
        </w:rPr>
      </w:pPr>
      <w:r w:rsidRPr="001B3715">
        <w:rPr>
          <w:b/>
          <w:lang w:val="fr-FR"/>
        </w:rPr>
        <w:t xml:space="preserve">Sécurité.  </w:t>
      </w:r>
      <w:r w:rsidRPr="001B3715">
        <w:rPr>
          <w:lang w:val="fr-FR"/>
        </w:rPr>
        <w:t>L</w:t>
      </w:r>
      <w:r w:rsidR="00502D05" w:rsidRPr="001B3715">
        <w:rPr>
          <w:lang w:val="fr-FR"/>
        </w:rPr>
        <w:t>’</w:t>
      </w:r>
      <w:r w:rsidRPr="001B3715">
        <w:rPr>
          <w:lang w:val="fr-FR"/>
        </w:rPr>
        <w:t>Équipe de haute direction de l</w:t>
      </w:r>
      <w:r w:rsidR="00502D05" w:rsidRPr="001B3715">
        <w:rPr>
          <w:lang w:val="fr-FR"/>
        </w:rPr>
        <w:t>’</w:t>
      </w:r>
      <w:r w:rsidRPr="001B3715">
        <w:rPr>
          <w:lang w:val="fr-FR"/>
        </w:rPr>
        <w:t>OMPI continue de mettre fortement l</w:t>
      </w:r>
      <w:r w:rsidR="00502D05" w:rsidRPr="001B3715">
        <w:rPr>
          <w:lang w:val="fr-FR"/>
        </w:rPr>
        <w:t>’</w:t>
      </w:r>
      <w:r w:rsidRPr="001B3715">
        <w:rPr>
          <w:lang w:val="fr-FR"/>
        </w:rPr>
        <w:t>accent sur la sécurité des personnes, de l</w:t>
      </w:r>
      <w:r w:rsidR="00502D05" w:rsidRPr="001B3715">
        <w:rPr>
          <w:lang w:val="fr-FR"/>
        </w:rPr>
        <w:t>’</w:t>
      </w:r>
      <w:r w:rsidRPr="001B3715">
        <w:rPr>
          <w:lang w:val="fr-FR"/>
        </w:rPr>
        <w:t>information et des avoirs corpore</w:t>
      </w:r>
      <w:r w:rsidR="001B3715" w:rsidRPr="001B3715">
        <w:rPr>
          <w:lang w:val="fr-FR"/>
        </w:rPr>
        <w:t>ls.  En</w:t>
      </w:r>
      <w:r w:rsidRPr="001B3715">
        <w:rPr>
          <w:lang w:val="fr-FR"/>
        </w:rPr>
        <w:t> 2015, nous avons achevé notre projet concernant les normes minimales de sécurité opérationnelle pour les villes</w:t>
      </w:r>
      <w:r w:rsidR="00E3770C">
        <w:rPr>
          <w:lang w:val="fr-FR"/>
        </w:rPr>
        <w:noBreakHyphen/>
      </w:r>
      <w:r w:rsidRPr="001B3715">
        <w:rPr>
          <w:lang w:val="fr-FR"/>
        </w:rPr>
        <w:t>sièges (ou normes UN H</w:t>
      </w:r>
      <w:r w:rsidR="00E3770C">
        <w:rPr>
          <w:lang w:val="fr-FR"/>
        </w:rPr>
        <w:noBreakHyphen/>
      </w:r>
      <w:r w:rsidRPr="001B3715">
        <w:rPr>
          <w:lang w:val="fr-FR"/>
        </w:rPr>
        <w:t>MOSS), ce qui s</w:t>
      </w:r>
      <w:r w:rsidR="00502D05" w:rsidRPr="001B3715">
        <w:rPr>
          <w:lang w:val="fr-FR"/>
        </w:rPr>
        <w:t>’</w:t>
      </w:r>
      <w:r w:rsidRPr="001B3715">
        <w:rPr>
          <w:lang w:val="fr-FR"/>
        </w:rPr>
        <w:t>est traduit par des améliorations et par un renforcement de l</w:t>
      </w:r>
      <w:r w:rsidR="00502D05" w:rsidRPr="001B3715">
        <w:rPr>
          <w:lang w:val="fr-FR"/>
        </w:rPr>
        <w:t>’</w:t>
      </w:r>
      <w:r w:rsidRPr="001B3715">
        <w:rPr>
          <w:lang w:val="fr-FR"/>
        </w:rPr>
        <w:t>administration de la sûreté et de la sécurité sur le site de l</w:t>
      </w:r>
      <w:r w:rsidR="00502D05" w:rsidRPr="001B3715">
        <w:rPr>
          <w:lang w:val="fr-FR"/>
        </w:rPr>
        <w:t>’</w:t>
      </w:r>
      <w:r w:rsidRPr="001B3715">
        <w:rPr>
          <w:lang w:val="fr-FR"/>
        </w:rPr>
        <w:t>O</w:t>
      </w:r>
      <w:r w:rsidR="001B3715" w:rsidRPr="001B3715">
        <w:rPr>
          <w:lang w:val="fr-FR"/>
        </w:rPr>
        <w:t>MPI.  Ce</w:t>
      </w:r>
      <w:r w:rsidRPr="001B3715">
        <w:rPr>
          <w:lang w:val="fr-FR"/>
        </w:rPr>
        <w:t xml:space="preserve">s </w:t>
      </w:r>
      <w:r w:rsidRPr="001B3715">
        <w:rPr>
          <w:lang w:val="fr-FR"/>
        </w:rPr>
        <w:lastRenderedPageBreak/>
        <w:t>résultats ont été appuyés par la sélection d</w:t>
      </w:r>
      <w:r w:rsidR="00502D05" w:rsidRPr="001B3715">
        <w:rPr>
          <w:lang w:val="fr-FR"/>
        </w:rPr>
        <w:t>’</w:t>
      </w:r>
      <w:r w:rsidRPr="001B3715">
        <w:rPr>
          <w:lang w:val="fr-FR"/>
        </w:rPr>
        <w:t>une nouvelle société de sécurité, avec une transition réussie vers ce nouveau service dans le cadre d</w:t>
      </w:r>
      <w:r w:rsidR="00502D05" w:rsidRPr="001B3715">
        <w:rPr>
          <w:lang w:val="fr-FR"/>
        </w:rPr>
        <w:t>’</w:t>
      </w:r>
      <w:r w:rsidRPr="001B3715">
        <w:rPr>
          <w:lang w:val="fr-FR"/>
        </w:rPr>
        <w:t>un contrat axé sur les résulta</w:t>
      </w:r>
      <w:r w:rsidR="001B3715" w:rsidRPr="001B3715">
        <w:rPr>
          <w:lang w:val="fr-FR"/>
        </w:rPr>
        <w:t>ts.  No</w:t>
      </w:r>
      <w:r w:rsidRPr="001B3715">
        <w:rPr>
          <w:lang w:val="fr-FR"/>
        </w:rPr>
        <w:t xml:space="preserve">us avons obtenu une certification internationale pour nos pratiques en matière de sécurité informatique relatives au PCT et aux systèmes de Madrid et de </w:t>
      </w:r>
      <w:r w:rsidR="00502D05" w:rsidRPr="001B3715">
        <w:rPr>
          <w:lang w:val="fr-FR"/>
        </w:rPr>
        <w:t>La Haye</w:t>
      </w:r>
      <w:r w:rsidRPr="001B3715">
        <w:rPr>
          <w:lang w:val="fr-FR"/>
        </w:rPr>
        <w:t>, qui ont été complétées par plusieurs campagnes de sensibilisation à la sécurité informatiq</w:t>
      </w:r>
      <w:r w:rsidR="001B3715" w:rsidRPr="001B3715">
        <w:rPr>
          <w:lang w:val="fr-FR"/>
        </w:rPr>
        <w:t>ue.  No</w:t>
      </w:r>
      <w:r w:rsidRPr="001B3715">
        <w:rPr>
          <w:lang w:val="fr-FR"/>
        </w:rPr>
        <w:t>us avons établi et testé des plans de poursuite de l</w:t>
      </w:r>
      <w:r w:rsidR="00502D05" w:rsidRPr="001B3715">
        <w:rPr>
          <w:lang w:val="fr-FR"/>
        </w:rPr>
        <w:t>’</w:t>
      </w:r>
      <w:r w:rsidRPr="001B3715">
        <w:rPr>
          <w:lang w:val="fr-FR"/>
        </w:rPr>
        <w:t>activité dans le cas d</w:t>
      </w:r>
      <w:r w:rsidR="00502D05" w:rsidRPr="001B3715">
        <w:rPr>
          <w:lang w:val="fr-FR"/>
        </w:rPr>
        <w:t>’</w:t>
      </w:r>
      <w:r w:rsidRPr="001B3715">
        <w:rPr>
          <w:lang w:val="fr-FR"/>
        </w:rPr>
        <w:t>un incident à Genève qui toucherait l</w:t>
      </w:r>
      <w:r w:rsidR="00502D05" w:rsidRPr="001B3715">
        <w:rPr>
          <w:lang w:val="fr-FR"/>
        </w:rPr>
        <w:t>’</w:t>
      </w:r>
      <w:r w:rsidRPr="001B3715">
        <w:rPr>
          <w:lang w:val="fr-FR"/>
        </w:rPr>
        <w:t>Organisation.</w:t>
      </w:r>
    </w:p>
    <w:p w14:paraId="1F77EBD2" w14:textId="77777777" w:rsidR="00A82CAA" w:rsidRPr="001B3715" w:rsidRDefault="00A82CAA" w:rsidP="00A82CAA">
      <w:pPr>
        <w:pStyle w:val="Heading3"/>
        <w:rPr>
          <w:lang w:val="fr-FR"/>
        </w:rPr>
      </w:pPr>
      <w:r w:rsidRPr="001B3715">
        <w:rPr>
          <w:lang w:val="fr-FR"/>
        </w:rPr>
        <w:t>Bureaux extérieurs</w:t>
      </w:r>
    </w:p>
    <w:p w14:paraId="569E8D76" w14:textId="77777777" w:rsidR="00A82CAA" w:rsidRPr="001B3715" w:rsidRDefault="00A82CAA" w:rsidP="00A82CAA">
      <w:pPr>
        <w:rPr>
          <w:lang w:val="fr-FR"/>
        </w:rPr>
      </w:pPr>
    </w:p>
    <w:p w14:paraId="1BA5CE39" w14:textId="62DEEAAE" w:rsidR="00A82CAA" w:rsidRPr="001B3715" w:rsidRDefault="00A82CAA" w:rsidP="00A82CAA">
      <w:pPr>
        <w:pStyle w:val="ONUMFS"/>
        <w:rPr>
          <w:lang w:val="fr-FR"/>
        </w:rPr>
      </w:pPr>
      <w:r w:rsidRPr="001B3715">
        <w:rPr>
          <w:lang w:val="fr-FR"/>
        </w:rPr>
        <w:t>Une fois de plus, l</w:t>
      </w:r>
      <w:r w:rsidR="00502D05" w:rsidRPr="001B3715">
        <w:rPr>
          <w:lang w:val="fr-FR"/>
        </w:rPr>
        <w:t>’</w:t>
      </w:r>
      <w:r w:rsidRPr="001B3715">
        <w:rPr>
          <w:lang w:val="fr-FR"/>
        </w:rPr>
        <w:t>année a été chargée pour les bureaux extérieurs de l</w:t>
      </w:r>
      <w:r w:rsidR="00502D05" w:rsidRPr="001B3715">
        <w:rPr>
          <w:lang w:val="fr-FR"/>
        </w:rPr>
        <w:t>’</w:t>
      </w:r>
      <w:r w:rsidRPr="001B3715">
        <w:rPr>
          <w:lang w:val="fr-FR"/>
        </w:rPr>
        <w:t>OMPI à Moscou (pour la Fédération de Russie), à Beijing (pour la Chine), à Rio de Janeiro (pour le Brésil), à Tokyo (pour le Japon) et à Singapour (pour l</w:t>
      </w:r>
      <w:r w:rsidR="00502D05" w:rsidRPr="001B3715">
        <w:rPr>
          <w:lang w:val="fr-FR"/>
        </w:rPr>
        <w:t>’</w:t>
      </w:r>
      <w:r w:rsidRPr="001B3715">
        <w:rPr>
          <w:lang w:val="fr-FR"/>
        </w:rPr>
        <w:t>ASEAN).  Les bureaux extérieurs, qui se sont efforcés de répondre aux besoins de leurs pays et régions hôtes, ont contribué à l</w:t>
      </w:r>
      <w:r w:rsidR="00502D05" w:rsidRPr="001B3715">
        <w:rPr>
          <w:lang w:val="fr-FR"/>
        </w:rPr>
        <w:t>’</w:t>
      </w:r>
      <w:r w:rsidRPr="001B3715">
        <w:rPr>
          <w:lang w:val="fr-FR"/>
        </w:rPr>
        <w:t>avancement de nombreux programm</w:t>
      </w:r>
      <w:r w:rsidR="001B3715" w:rsidRPr="001B3715">
        <w:rPr>
          <w:lang w:val="fr-FR"/>
        </w:rPr>
        <w:t>es.  Pa</w:t>
      </w:r>
      <w:r w:rsidRPr="001B3715">
        <w:rPr>
          <w:lang w:val="fr-FR"/>
        </w:rPr>
        <w:t>r exemple, le Bureau de l</w:t>
      </w:r>
      <w:r w:rsidR="00502D05" w:rsidRPr="001B3715">
        <w:rPr>
          <w:lang w:val="fr-FR"/>
        </w:rPr>
        <w:t>’</w:t>
      </w:r>
      <w:r w:rsidRPr="001B3715">
        <w:rPr>
          <w:lang w:val="fr-FR"/>
        </w:rPr>
        <w:t>OMPI en Chine a déployé beaucoup d</w:t>
      </w:r>
      <w:r w:rsidR="00502D05" w:rsidRPr="001B3715">
        <w:rPr>
          <w:lang w:val="fr-FR"/>
        </w:rPr>
        <w:t>’</w:t>
      </w:r>
      <w:r w:rsidRPr="001B3715">
        <w:rPr>
          <w:lang w:val="fr-FR"/>
        </w:rPr>
        <w:t>énergie pour créer des contacts et pour renforcer les contacts avec le gouvernement à différents niveaux, avec les médias locaux et avec les associations professionnelles, à Beijing et ailleurs dans le pays, contribuant ainsi largement à la promotion des services et plateformes mondiaux de propriété intellectuelle de l</w:t>
      </w:r>
      <w:r w:rsidR="00502D05" w:rsidRPr="001B3715">
        <w:rPr>
          <w:lang w:val="fr-FR"/>
        </w:rPr>
        <w:t>’</w:t>
      </w:r>
      <w:r w:rsidRPr="001B3715">
        <w:rPr>
          <w:lang w:val="fr-FR"/>
        </w:rPr>
        <w:t>O</w:t>
      </w:r>
      <w:r w:rsidR="001B3715" w:rsidRPr="001B3715">
        <w:rPr>
          <w:lang w:val="fr-FR"/>
        </w:rPr>
        <w:t>MPI.  Le</w:t>
      </w:r>
      <w:r w:rsidRPr="001B3715">
        <w:rPr>
          <w:lang w:val="fr-FR"/>
        </w:rPr>
        <w:t xml:space="preserve"> Bureau de l</w:t>
      </w:r>
      <w:r w:rsidR="00502D05" w:rsidRPr="001B3715">
        <w:rPr>
          <w:lang w:val="fr-FR"/>
        </w:rPr>
        <w:t>’</w:t>
      </w:r>
      <w:r w:rsidRPr="001B3715">
        <w:rPr>
          <w:lang w:val="fr-FR"/>
        </w:rPr>
        <w:t>OMPI en Russie a mené de nombreuses activités visant à renforcer l</w:t>
      </w:r>
      <w:r w:rsidR="00502D05" w:rsidRPr="001B3715">
        <w:rPr>
          <w:lang w:val="fr-FR"/>
        </w:rPr>
        <w:t>’</w:t>
      </w:r>
      <w:r w:rsidRPr="001B3715">
        <w:rPr>
          <w:lang w:val="fr-FR"/>
        </w:rPr>
        <w:t>écosystème de l</w:t>
      </w:r>
      <w:r w:rsidR="00502D05" w:rsidRPr="001B3715">
        <w:rPr>
          <w:lang w:val="fr-FR"/>
        </w:rPr>
        <w:t>’</w:t>
      </w:r>
      <w:r w:rsidRPr="001B3715">
        <w:rPr>
          <w:lang w:val="fr-FR"/>
        </w:rPr>
        <w:t>innovation et à soutenir les innovateurs à l</w:t>
      </w:r>
      <w:r w:rsidR="00502D05" w:rsidRPr="001B3715">
        <w:rPr>
          <w:lang w:val="fr-FR"/>
        </w:rPr>
        <w:t>’</w:t>
      </w:r>
      <w:r w:rsidRPr="001B3715">
        <w:rPr>
          <w:lang w:val="fr-FR"/>
        </w:rPr>
        <w:t>échelle locale, notamment dans le cadre de la création des 135 centres d</w:t>
      </w:r>
      <w:r w:rsidR="00502D05" w:rsidRPr="001B3715">
        <w:rPr>
          <w:lang w:val="fr-FR"/>
        </w:rPr>
        <w:t>’</w:t>
      </w:r>
      <w:r w:rsidRPr="001B3715">
        <w:rPr>
          <w:lang w:val="fr-FR"/>
        </w:rPr>
        <w:t>appui à la technologie et à l</w:t>
      </w:r>
      <w:r w:rsidR="00502D05" w:rsidRPr="001B3715">
        <w:rPr>
          <w:lang w:val="fr-FR"/>
        </w:rPr>
        <w:t>’</w:t>
      </w:r>
      <w:r w:rsidRPr="001B3715">
        <w:rPr>
          <w:lang w:val="fr-FR"/>
        </w:rPr>
        <w:t>innovation (CATI) dans le pa</w:t>
      </w:r>
      <w:r w:rsidR="001B3715" w:rsidRPr="001B3715">
        <w:rPr>
          <w:lang w:val="fr-FR"/>
        </w:rPr>
        <w:t>ys.  Le</w:t>
      </w:r>
      <w:r w:rsidRPr="001B3715">
        <w:rPr>
          <w:lang w:val="fr-FR"/>
        </w:rPr>
        <w:t xml:space="preserve"> Bureau de l</w:t>
      </w:r>
      <w:r w:rsidR="00502D05" w:rsidRPr="001B3715">
        <w:rPr>
          <w:lang w:val="fr-FR"/>
        </w:rPr>
        <w:t>’</w:t>
      </w:r>
      <w:r w:rsidRPr="001B3715">
        <w:rPr>
          <w:lang w:val="fr-FR"/>
        </w:rPr>
        <w:t>OMPI au Japon a lancé des campagnes de sensibilisation ciblées visant les utilisateurs des services mondiaux de l</w:t>
      </w:r>
      <w:r w:rsidR="00502D05" w:rsidRPr="001B3715">
        <w:rPr>
          <w:lang w:val="fr-FR"/>
        </w:rPr>
        <w:t>’</w:t>
      </w:r>
      <w:r w:rsidRPr="001B3715">
        <w:rPr>
          <w:lang w:val="fr-FR"/>
        </w:rPr>
        <w:t>OMPI provenant du secteur privé, offrant une réponse en temps réel en japonais à des requêtes spécifiques et améliorant ainsi le délai de réponse de l</w:t>
      </w:r>
      <w:r w:rsidR="00502D05" w:rsidRPr="001B3715">
        <w:rPr>
          <w:lang w:val="fr-FR"/>
        </w:rPr>
        <w:t>’</w:t>
      </w:r>
      <w:r w:rsidRPr="001B3715">
        <w:rPr>
          <w:lang w:val="fr-FR"/>
        </w:rPr>
        <w:t>Organisation à cet éga</w:t>
      </w:r>
      <w:r w:rsidR="001B3715" w:rsidRPr="001B3715">
        <w:rPr>
          <w:lang w:val="fr-FR"/>
        </w:rPr>
        <w:t>rd.  Le</w:t>
      </w:r>
      <w:r w:rsidRPr="001B3715">
        <w:rPr>
          <w:lang w:val="fr-FR"/>
        </w:rPr>
        <w:t xml:space="preserve"> Bureau de l</w:t>
      </w:r>
      <w:r w:rsidR="00502D05" w:rsidRPr="001B3715">
        <w:rPr>
          <w:lang w:val="fr-FR"/>
        </w:rPr>
        <w:t>’</w:t>
      </w:r>
      <w:r w:rsidRPr="001B3715">
        <w:rPr>
          <w:lang w:val="fr-FR"/>
        </w:rPr>
        <w:t>OMPI à Singapour, en concertation avec les secteurs concernés au siège de l</w:t>
      </w:r>
      <w:r w:rsidR="00502D05" w:rsidRPr="001B3715">
        <w:rPr>
          <w:lang w:val="fr-FR"/>
        </w:rPr>
        <w:t>’</w:t>
      </w:r>
      <w:r w:rsidRPr="001B3715">
        <w:rPr>
          <w:lang w:val="fr-FR"/>
        </w:rPr>
        <w:t>Organisation, a assuré la promotion des traités de l</w:t>
      </w:r>
      <w:r w:rsidR="00502D05" w:rsidRPr="001B3715">
        <w:rPr>
          <w:lang w:val="fr-FR"/>
        </w:rPr>
        <w:t>’</w:t>
      </w:r>
      <w:r w:rsidRPr="001B3715">
        <w:rPr>
          <w:lang w:val="fr-FR"/>
        </w:rPr>
        <w:t>OMPI dans le domaine du droit d</w:t>
      </w:r>
      <w:r w:rsidR="00502D05" w:rsidRPr="001B3715">
        <w:rPr>
          <w:lang w:val="fr-FR"/>
        </w:rPr>
        <w:t>’</w:t>
      </w:r>
      <w:r w:rsidRPr="001B3715">
        <w:rPr>
          <w:lang w:val="fr-FR"/>
        </w:rPr>
        <w:t>auteur et des droits connexes en organisant des manifestations à l</w:t>
      </w:r>
      <w:r w:rsidR="00502D05" w:rsidRPr="001B3715">
        <w:rPr>
          <w:lang w:val="fr-FR"/>
        </w:rPr>
        <w:t>’</w:t>
      </w:r>
      <w:r w:rsidRPr="001B3715">
        <w:rPr>
          <w:lang w:val="fr-FR"/>
        </w:rPr>
        <w:t>échelle régionale et des missions d</w:t>
      </w:r>
      <w:r w:rsidR="00502D05" w:rsidRPr="001B3715">
        <w:rPr>
          <w:lang w:val="fr-FR"/>
        </w:rPr>
        <w:t>’</w:t>
      </w:r>
      <w:r w:rsidRPr="001B3715">
        <w:rPr>
          <w:lang w:val="fr-FR"/>
        </w:rPr>
        <w:t>experts dans plusieurs pa</w:t>
      </w:r>
      <w:r w:rsidR="001B3715" w:rsidRPr="001B3715">
        <w:rPr>
          <w:lang w:val="fr-FR"/>
        </w:rPr>
        <w:t>ys.  Le</w:t>
      </w:r>
      <w:r w:rsidRPr="001B3715">
        <w:rPr>
          <w:lang w:val="fr-FR"/>
        </w:rPr>
        <w:t xml:space="preserve"> Bureau de l</w:t>
      </w:r>
      <w:r w:rsidR="00502D05" w:rsidRPr="001B3715">
        <w:rPr>
          <w:lang w:val="fr-FR"/>
        </w:rPr>
        <w:t>’</w:t>
      </w:r>
      <w:r w:rsidRPr="001B3715">
        <w:rPr>
          <w:lang w:val="fr-FR"/>
        </w:rPr>
        <w:t>OMPI au Brésil, également en concertation avec les secteurs concernés au siège de l</w:t>
      </w:r>
      <w:r w:rsidR="00502D05" w:rsidRPr="001B3715">
        <w:rPr>
          <w:lang w:val="fr-FR"/>
        </w:rPr>
        <w:t>’</w:t>
      </w:r>
      <w:r w:rsidRPr="001B3715">
        <w:rPr>
          <w:lang w:val="fr-FR"/>
        </w:rPr>
        <w:t>Organisation, a organisé plusieurs programmes de formation et ateliers axés sur la commercialisation de la propriété intellectuelle et la concession de licences de propriété intellectuelle, destinés à renforcer les capacités de tirer parti des actifs de propriété intellectuelle à l</w:t>
      </w:r>
      <w:r w:rsidR="00502D05" w:rsidRPr="001B3715">
        <w:rPr>
          <w:lang w:val="fr-FR"/>
        </w:rPr>
        <w:t>’</w:t>
      </w:r>
      <w:r w:rsidRPr="001B3715">
        <w:rPr>
          <w:lang w:val="fr-FR"/>
        </w:rPr>
        <w:t>échelle locale.</w:t>
      </w:r>
    </w:p>
    <w:p w14:paraId="42E518D4" w14:textId="0B04CDA3" w:rsidR="00A82CAA" w:rsidRPr="001B3715" w:rsidRDefault="00A82CAA" w:rsidP="00A82CAA">
      <w:pPr>
        <w:pStyle w:val="ONUMFS"/>
        <w:rPr>
          <w:lang w:val="fr-FR"/>
        </w:rPr>
      </w:pPr>
      <w:r w:rsidRPr="001B3715">
        <w:rPr>
          <w:lang w:val="fr-FR"/>
        </w:rPr>
        <w:t>Ces efforts sur le terrain ont été soutenus à Genève par une série d</w:t>
      </w:r>
      <w:r w:rsidR="00502D05" w:rsidRPr="001B3715">
        <w:rPr>
          <w:lang w:val="fr-FR"/>
        </w:rPr>
        <w:t>’</w:t>
      </w:r>
      <w:r w:rsidRPr="001B3715">
        <w:rPr>
          <w:lang w:val="fr-FR"/>
        </w:rPr>
        <w:t>initiatives ciblées qui ont commencé au début de 2015 et se sont poursuivies depuis les dernières assemblées : conférences vidéo régulières entre le siège et les bureaux extérieurs;  mise à jour régulière des pages Web;  rapports bimensuels pour informer les collègues de l</w:t>
      </w:r>
      <w:r w:rsidR="00502D05" w:rsidRPr="001B3715">
        <w:rPr>
          <w:lang w:val="fr-FR"/>
        </w:rPr>
        <w:t>’</w:t>
      </w:r>
      <w:r w:rsidRPr="001B3715">
        <w:rPr>
          <w:lang w:val="fr-FR"/>
        </w:rPr>
        <w:t>Organisation au sujet des faits nouveaux concernant les bureaux extérieurs et leur secteur;  et analyse au sein de groupes de travail spéciaux de l</w:t>
      </w:r>
      <w:r w:rsidR="00502D05" w:rsidRPr="001B3715">
        <w:rPr>
          <w:lang w:val="fr-FR"/>
        </w:rPr>
        <w:t>’</w:t>
      </w:r>
      <w:r w:rsidRPr="001B3715">
        <w:rPr>
          <w:lang w:val="fr-FR"/>
        </w:rPr>
        <w:t>incidence et de l</w:t>
      </w:r>
      <w:r w:rsidR="00502D05" w:rsidRPr="001B3715">
        <w:rPr>
          <w:lang w:val="fr-FR"/>
        </w:rPr>
        <w:t>’</w:t>
      </w:r>
      <w:r w:rsidRPr="001B3715">
        <w:rPr>
          <w:lang w:val="fr-FR"/>
        </w:rPr>
        <w:t>évolution de la politique de l</w:t>
      </w:r>
      <w:r w:rsidR="00502D05" w:rsidRPr="001B3715">
        <w:rPr>
          <w:lang w:val="fr-FR"/>
        </w:rPr>
        <w:t>’</w:t>
      </w:r>
      <w:r w:rsidRPr="001B3715">
        <w:rPr>
          <w:lang w:val="fr-FR"/>
        </w:rPr>
        <w:t xml:space="preserve">Organisation </w:t>
      </w:r>
      <w:r w:rsidR="00502D05" w:rsidRPr="001B3715">
        <w:rPr>
          <w:lang w:val="fr-FR"/>
        </w:rPr>
        <w:t>à l’égard</w:t>
      </w:r>
      <w:r w:rsidRPr="001B3715">
        <w:rPr>
          <w:lang w:val="fr-FR"/>
        </w:rPr>
        <w:t xml:space="preserve"> des bureaux extérieurs.</w:t>
      </w:r>
    </w:p>
    <w:p w14:paraId="69F658BA" w14:textId="7598A616" w:rsidR="00A82CAA" w:rsidRPr="001B3715" w:rsidRDefault="00A82CAA" w:rsidP="00A82CAA">
      <w:pPr>
        <w:pStyle w:val="ONUMFS"/>
        <w:rPr>
          <w:lang w:val="fr-FR"/>
        </w:rPr>
      </w:pPr>
      <w:r w:rsidRPr="001B3715">
        <w:rPr>
          <w:lang w:val="fr-FR"/>
        </w:rPr>
        <w:t>Un des éléments importants qui a contribué à ce bon fonctionnement a été la mise en place d</w:t>
      </w:r>
      <w:r w:rsidR="00502D05" w:rsidRPr="001B3715">
        <w:rPr>
          <w:lang w:val="fr-FR"/>
        </w:rPr>
        <w:t>’</w:t>
      </w:r>
      <w:r w:rsidRPr="001B3715">
        <w:rPr>
          <w:lang w:val="fr-FR"/>
        </w:rPr>
        <w:t>un système de connexion informatique homogène entre les bureaux extérieurs et le siège, dans le cadre du projet d</w:t>
      </w:r>
      <w:r w:rsidR="00502D05" w:rsidRPr="001B3715">
        <w:rPr>
          <w:lang w:val="fr-FR"/>
        </w:rPr>
        <w:t>’</w:t>
      </w:r>
      <w:r w:rsidRPr="001B3715">
        <w:rPr>
          <w:lang w:val="fr-FR"/>
        </w:rPr>
        <w:t>architecture mondiale des burea</w:t>
      </w:r>
      <w:r w:rsidR="001B3715" w:rsidRPr="001B3715">
        <w:rPr>
          <w:lang w:val="fr-FR"/>
        </w:rPr>
        <w:t>ux.  Ce</w:t>
      </w:r>
      <w:r w:rsidRPr="001B3715">
        <w:rPr>
          <w:lang w:val="fr-FR"/>
        </w:rPr>
        <w:t xml:space="preserve"> projet vise à ce que les collègues des bureaux extérieurs bénéficient à la fois des mêmes outils que ceux dont bénéficient les collègues à Genève pour la mise en œuvre des activités et des programmes, d</w:t>
      </w:r>
      <w:r w:rsidR="00502D05" w:rsidRPr="001B3715">
        <w:rPr>
          <w:lang w:val="fr-FR"/>
        </w:rPr>
        <w:t>’</w:t>
      </w:r>
      <w:r w:rsidRPr="001B3715">
        <w:rPr>
          <w:lang w:val="fr-FR"/>
        </w:rPr>
        <w:t>un environnement informatique sécurisé et de l</w:t>
      </w:r>
      <w:r w:rsidR="00502D05" w:rsidRPr="001B3715">
        <w:rPr>
          <w:lang w:val="fr-FR"/>
        </w:rPr>
        <w:t>’</w:t>
      </w:r>
      <w:r w:rsidRPr="001B3715">
        <w:rPr>
          <w:lang w:val="fr-FR"/>
        </w:rPr>
        <w:t>appui technique nécessai</w:t>
      </w:r>
      <w:r w:rsidR="001B3715" w:rsidRPr="001B3715">
        <w:rPr>
          <w:lang w:val="fr-FR"/>
        </w:rPr>
        <w:t>re.  Gr</w:t>
      </w:r>
      <w:r w:rsidRPr="001B3715">
        <w:rPr>
          <w:lang w:val="fr-FR"/>
        </w:rPr>
        <w:t>âce à une gestion et à une mise en œuvre efficaces, le projet d</w:t>
      </w:r>
      <w:r w:rsidR="00502D05" w:rsidRPr="001B3715">
        <w:rPr>
          <w:lang w:val="fr-FR"/>
        </w:rPr>
        <w:t>’</w:t>
      </w:r>
      <w:r w:rsidRPr="001B3715">
        <w:rPr>
          <w:lang w:val="fr-FR"/>
        </w:rPr>
        <w:t>architecture mondiale des bureaux a été achevé en mai dans les limites du budget prévu et mis en œuvre au sein de l</w:t>
      </w:r>
      <w:r w:rsidR="00502D05" w:rsidRPr="001B3715">
        <w:rPr>
          <w:lang w:val="fr-FR"/>
        </w:rPr>
        <w:t>’</w:t>
      </w:r>
      <w:r w:rsidRPr="001B3715">
        <w:rPr>
          <w:lang w:val="fr-FR"/>
        </w:rPr>
        <w:t>Office de l</w:t>
      </w:r>
      <w:r w:rsidR="00502D05" w:rsidRPr="001B3715">
        <w:rPr>
          <w:lang w:val="fr-FR"/>
        </w:rPr>
        <w:t>’</w:t>
      </w:r>
      <w:r w:rsidRPr="001B3715">
        <w:rPr>
          <w:lang w:val="fr-FR"/>
        </w:rPr>
        <w:t>OMPI au Brésil.</w:t>
      </w:r>
    </w:p>
    <w:p w14:paraId="2AB6BE00" w14:textId="7A4821E5" w:rsidR="00A82CAA" w:rsidRPr="001B3715" w:rsidRDefault="00A82CAA" w:rsidP="00A82CAA">
      <w:pPr>
        <w:pStyle w:val="ONUMFS"/>
        <w:rPr>
          <w:lang w:val="fr-FR"/>
        </w:rPr>
      </w:pPr>
      <w:r w:rsidRPr="001B3715">
        <w:rPr>
          <w:lang w:val="fr-FR"/>
        </w:rPr>
        <w:t>Ces faits nouveaux doivent être considérés dans le contexte plus général de l</w:t>
      </w:r>
      <w:r w:rsidR="00502D05" w:rsidRPr="001B3715">
        <w:rPr>
          <w:lang w:val="fr-FR"/>
        </w:rPr>
        <w:t>’</w:t>
      </w:r>
      <w:r w:rsidRPr="001B3715">
        <w:rPr>
          <w:lang w:val="fr-FR"/>
        </w:rPr>
        <w:t>évolution des bureaux extérieurs de l</w:t>
      </w:r>
      <w:r w:rsidR="00502D05" w:rsidRPr="001B3715">
        <w:rPr>
          <w:lang w:val="fr-FR"/>
        </w:rPr>
        <w:t>’</w:t>
      </w:r>
      <w:r w:rsidRPr="001B3715">
        <w:rPr>
          <w:lang w:val="fr-FR"/>
        </w:rPr>
        <w:t>O</w:t>
      </w:r>
      <w:r w:rsidR="001B3715" w:rsidRPr="001B3715">
        <w:rPr>
          <w:lang w:val="fr-FR"/>
        </w:rPr>
        <w:t>MPI.  Il</w:t>
      </w:r>
      <w:r w:rsidRPr="001B3715">
        <w:rPr>
          <w:lang w:val="fr-FR"/>
        </w:rPr>
        <w:t xml:space="preserve"> convient de rappeler que l</w:t>
      </w:r>
      <w:r w:rsidR="00502D05" w:rsidRPr="001B3715">
        <w:rPr>
          <w:lang w:val="fr-FR"/>
        </w:rPr>
        <w:t>’</w:t>
      </w:r>
      <w:r w:rsidRPr="001B3715">
        <w:rPr>
          <w:lang w:val="fr-FR"/>
        </w:rPr>
        <w:t>Assemblée générale de l</w:t>
      </w:r>
      <w:r w:rsidR="00502D05" w:rsidRPr="001B3715">
        <w:rPr>
          <w:lang w:val="fr-FR"/>
        </w:rPr>
        <w:t>’</w:t>
      </w:r>
      <w:r w:rsidRPr="001B3715">
        <w:rPr>
          <w:lang w:val="fr-FR"/>
        </w:rPr>
        <w:t>OMPI, à sa session tenue en octobre 2015, a décidé d</w:t>
      </w:r>
      <w:r w:rsidR="00502D05" w:rsidRPr="001B3715">
        <w:rPr>
          <w:lang w:val="fr-FR"/>
        </w:rPr>
        <w:t>’</w:t>
      </w:r>
      <w:r w:rsidRPr="001B3715">
        <w:rPr>
          <w:lang w:val="fr-FR"/>
        </w:rPr>
        <w:t>ouvrir jusqu</w:t>
      </w:r>
      <w:r w:rsidR="00502D05" w:rsidRPr="001B3715">
        <w:rPr>
          <w:lang w:val="fr-FR"/>
        </w:rPr>
        <w:t>’</w:t>
      </w:r>
      <w:r w:rsidRPr="001B3715">
        <w:rPr>
          <w:lang w:val="fr-FR"/>
        </w:rPr>
        <w:t>à trois nouveaux bureaux extérieurs de l</w:t>
      </w:r>
      <w:r w:rsidR="00502D05" w:rsidRPr="001B3715">
        <w:rPr>
          <w:lang w:val="fr-FR"/>
        </w:rPr>
        <w:t>’</w:t>
      </w:r>
      <w:r w:rsidRPr="001B3715">
        <w:rPr>
          <w:lang w:val="fr-FR"/>
        </w:rPr>
        <w:t>OMPI au cours de l</w:t>
      </w:r>
      <w:r w:rsidR="00502D05" w:rsidRPr="001B3715">
        <w:rPr>
          <w:lang w:val="fr-FR"/>
        </w:rPr>
        <w:t>’</w:t>
      </w:r>
      <w:r w:rsidRPr="001B3715">
        <w:rPr>
          <w:lang w:val="fr-FR"/>
        </w:rPr>
        <w:t>exercice biennal 2016</w:t>
      </w:r>
      <w:r w:rsidR="00E3770C">
        <w:rPr>
          <w:lang w:val="fr-FR"/>
        </w:rPr>
        <w:noBreakHyphen/>
      </w:r>
      <w:r w:rsidRPr="001B3715">
        <w:rPr>
          <w:lang w:val="fr-FR"/>
        </w:rPr>
        <w:t>2017 et de l</w:t>
      </w:r>
      <w:r w:rsidR="00502D05" w:rsidRPr="001B3715">
        <w:rPr>
          <w:lang w:val="fr-FR"/>
        </w:rPr>
        <w:t>’</w:t>
      </w:r>
      <w:r w:rsidRPr="001B3715">
        <w:rPr>
          <w:lang w:val="fr-FR"/>
        </w:rPr>
        <w:t>exercice biennal 2018</w:t>
      </w:r>
      <w:r w:rsidR="00E3770C">
        <w:rPr>
          <w:lang w:val="fr-FR"/>
        </w:rPr>
        <w:noBreakHyphen/>
      </w:r>
      <w:r w:rsidRPr="001B3715">
        <w:rPr>
          <w:lang w:val="fr-FR"/>
        </w:rPr>
        <w:t xml:space="preserve">2019.  Les </w:t>
      </w:r>
      <w:r w:rsidRPr="001B3715">
        <w:rPr>
          <w:lang w:val="fr-FR"/>
        </w:rPr>
        <w:lastRenderedPageBreak/>
        <w:t>efforts consentis par le Secrétariat pour renforcer l</w:t>
      </w:r>
      <w:r w:rsidR="00502D05" w:rsidRPr="001B3715">
        <w:rPr>
          <w:lang w:val="fr-FR"/>
        </w:rPr>
        <w:t>’</w:t>
      </w:r>
      <w:r w:rsidRPr="001B3715">
        <w:rPr>
          <w:lang w:val="fr-FR"/>
        </w:rPr>
        <w:t>efficacité des bureaux extérieurs existants sont de bon augure pour cette expansi</w:t>
      </w:r>
      <w:r w:rsidR="001B3715" w:rsidRPr="001B3715">
        <w:rPr>
          <w:lang w:val="fr-FR"/>
        </w:rPr>
        <w:t>on.  Av</w:t>
      </w:r>
      <w:r w:rsidRPr="001B3715">
        <w:rPr>
          <w:lang w:val="fr-FR"/>
        </w:rPr>
        <w:t>ec l</w:t>
      </w:r>
      <w:r w:rsidR="00502D05" w:rsidRPr="001B3715">
        <w:rPr>
          <w:lang w:val="fr-FR"/>
        </w:rPr>
        <w:t>’</w:t>
      </w:r>
      <w:r w:rsidRPr="001B3715">
        <w:rPr>
          <w:lang w:val="fr-FR"/>
        </w:rPr>
        <w:t>infrastructure technique en place, l</w:t>
      </w:r>
      <w:r w:rsidR="00502D05" w:rsidRPr="001B3715">
        <w:rPr>
          <w:lang w:val="fr-FR"/>
        </w:rPr>
        <w:t>’</w:t>
      </w:r>
      <w:r w:rsidRPr="001B3715">
        <w:rPr>
          <w:lang w:val="fr-FR"/>
        </w:rPr>
        <w:t>aménagement en cours des politiques et l</w:t>
      </w:r>
      <w:r w:rsidR="00502D05" w:rsidRPr="001B3715">
        <w:rPr>
          <w:lang w:val="fr-FR"/>
        </w:rPr>
        <w:t>’</w:t>
      </w:r>
      <w:r w:rsidRPr="001B3715">
        <w:rPr>
          <w:lang w:val="fr-FR"/>
        </w:rPr>
        <w:t>amélioration du système de communication bidirectionnel entre le siège et les bureaux extérieurs, le Secrétariat s</w:t>
      </w:r>
      <w:r w:rsidR="00502D05" w:rsidRPr="001B3715">
        <w:rPr>
          <w:lang w:val="fr-FR"/>
        </w:rPr>
        <w:t>’</w:t>
      </w:r>
      <w:r w:rsidRPr="001B3715">
        <w:rPr>
          <w:lang w:val="fr-FR"/>
        </w:rPr>
        <w:t>est doté d</w:t>
      </w:r>
      <w:r w:rsidR="00502D05" w:rsidRPr="001B3715">
        <w:rPr>
          <w:lang w:val="fr-FR"/>
        </w:rPr>
        <w:t>’</w:t>
      </w:r>
      <w:r w:rsidRPr="001B3715">
        <w:rPr>
          <w:lang w:val="fr-FR"/>
        </w:rPr>
        <w:t>une base solide pour prendre en charge de nouveaux bureaux extérieurs, au cas où les États membres décideraient d</w:t>
      </w:r>
      <w:r w:rsidR="00502D05" w:rsidRPr="001B3715">
        <w:rPr>
          <w:lang w:val="fr-FR"/>
        </w:rPr>
        <w:t>’</w:t>
      </w:r>
      <w:r w:rsidRPr="001B3715">
        <w:rPr>
          <w:lang w:val="fr-FR"/>
        </w:rPr>
        <w:t>en ouvrir de nouveaux.</w:t>
      </w:r>
    </w:p>
    <w:p w14:paraId="3FA3C517" w14:textId="77777777" w:rsidR="00A82CAA" w:rsidRPr="001B3715" w:rsidRDefault="00A82CAA" w:rsidP="00A82CAA">
      <w:pPr>
        <w:pStyle w:val="Heading3"/>
        <w:rPr>
          <w:lang w:val="fr-FR"/>
        </w:rPr>
      </w:pPr>
      <w:r w:rsidRPr="001B3715">
        <w:rPr>
          <w:lang w:val="fr-FR"/>
        </w:rPr>
        <w:t>Ressources humaines</w:t>
      </w:r>
    </w:p>
    <w:p w14:paraId="08CCDAF3" w14:textId="77777777" w:rsidR="00A82CAA" w:rsidRPr="001B3715" w:rsidRDefault="00A82CAA" w:rsidP="00A82CAA">
      <w:pPr>
        <w:rPr>
          <w:lang w:val="fr-FR"/>
        </w:rPr>
      </w:pPr>
    </w:p>
    <w:p w14:paraId="35F85CB7" w14:textId="6F3925D6" w:rsidR="00A82CAA" w:rsidRPr="001B3715" w:rsidRDefault="00A82CAA" w:rsidP="00A82CAA">
      <w:pPr>
        <w:pStyle w:val="ONUMFS"/>
        <w:rPr>
          <w:lang w:val="fr-FR"/>
        </w:rPr>
      </w:pPr>
      <w:r w:rsidRPr="001B3715">
        <w:rPr>
          <w:lang w:val="fr-FR"/>
        </w:rPr>
        <w:t>S</w:t>
      </w:r>
      <w:r w:rsidR="00502D05" w:rsidRPr="001B3715">
        <w:rPr>
          <w:lang w:val="fr-FR"/>
        </w:rPr>
        <w:t>’</w:t>
      </w:r>
      <w:r w:rsidRPr="001B3715">
        <w:rPr>
          <w:lang w:val="fr-FR"/>
        </w:rPr>
        <w:t>agissant de l</w:t>
      </w:r>
      <w:r w:rsidR="00502D05" w:rsidRPr="001B3715">
        <w:rPr>
          <w:lang w:val="fr-FR"/>
        </w:rPr>
        <w:t>’</w:t>
      </w:r>
      <w:r w:rsidRPr="001B3715">
        <w:rPr>
          <w:lang w:val="fr-FR"/>
        </w:rPr>
        <w:t>exécution du programme de l</w:t>
      </w:r>
      <w:r w:rsidR="00502D05" w:rsidRPr="001B3715">
        <w:rPr>
          <w:lang w:val="fr-FR"/>
        </w:rPr>
        <w:t>’</w:t>
      </w:r>
      <w:r w:rsidRPr="001B3715">
        <w:rPr>
          <w:lang w:val="fr-FR"/>
        </w:rPr>
        <w:t>Organisation, des résultats viables n</w:t>
      </w:r>
      <w:r w:rsidR="00502D05" w:rsidRPr="001B3715">
        <w:rPr>
          <w:lang w:val="fr-FR"/>
        </w:rPr>
        <w:t>’</w:t>
      </w:r>
      <w:r w:rsidRPr="001B3715">
        <w:rPr>
          <w:lang w:val="fr-FR"/>
        </w:rPr>
        <w:t>ont pu être obtenus que grâce aux efforts inlassables et à l</w:t>
      </w:r>
      <w:r w:rsidR="00502D05" w:rsidRPr="001B3715">
        <w:rPr>
          <w:lang w:val="fr-FR"/>
        </w:rPr>
        <w:t>’</w:t>
      </w:r>
      <w:r w:rsidRPr="001B3715">
        <w:rPr>
          <w:lang w:val="fr-FR"/>
        </w:rPr>
        <w:t>engagement des fonctionnaires, dont la prestation dévouée de services dans tous les aspects des activités de l</w:t>
      </w:r>
      <w:r w:rsidR="00502D05" w:rsidRPr="001B3715">
        <w:rPr>
          <w:lang w:val="fr-FR"/>
        </w:rPr>
        <w:t>’</w:t>
      </w:r>
      <w:r w:rsidRPr="001B3715">
        <w:rPr>
          <w:lang w:val="fr-FR"/>
        </w:rPr>
        <w:t>OMPI sert de lien entre l</w:t>
      </w:r>
      <w:r w:rsidR="00502D05" w:rsidRPr="001B3715">
        <w:rPr>
          <w:lang w:val="fr-FR"/>
        </w:rPr>
        <w:t>’</w:t>
      </w:r>
      <w:r w:rsidRPr="001B3715">
        <w:rPr>
          <w:lang w:val="fr-FR"/>
        </w:rPr>
        <w:t>Organisation et ses différentes parties prenantes.</w:t>
      </w:r>
    </w:p>
    <w:p w14:paraId="1409BA6A" w14:textId="4879645A" w:rsidR="00A82CAA" w:rsidRPr="001B3715" w:rsidRDefault="00A82CAA" w:rsidP="00A82CAA">
      <w:pPr>
        <w:pStyle w:val="ONUMFS"/>
        <w:rPr>
          <w:lang w:val="fr-FR"/>
        </w:rPr>
      </w:pPr>
      <w:r w:rsidRPr="001B3715">
        <w:rPr>
          <w:lang w:val="fr-FR"/>
        </w:rPr>
        <w:t>Diversité, capacité d</w:t>
      </w:r>
      <w:r w:rsidR="00502D05" w:rsidRPr="001B3715">
        <w:rPr>
          <w:lang w:val="fr-FR"/>
        </w:rPr>
        <w:t>’</w:t>
      </w:r>
      <w:r w:rsidRPr="001B3715">
        <w:rPr>
          <w:lang w:val="fr-FR"/>
        </w:rPr>
        <w:t>adaptation, flexibilité et équilibre entre vie professionnelle et vie privée sont les principaux thèmes sur lesquels reposent les initiatives et programmes mis en œuvre depuis le lancement de la stratégie en matière de ressources humaines en 2013.</w:t>
      </w:r>
    </w:p>
    <w:p w14:paraId="5441377E" w14:textId="2C115685" w:rsidR="00A82CAA" w:rsidRPr="001B3715" w:rsidRDefault="00A82CAA" w:rsidP="00A82CAA">
      <w:pPr>
        <w:pStyle w:val="ONUMFS"/>
        <w:rPr>
          <w:lang w:val="fr-FR"/>
        </w:rPr>
      </w:pPr>
      <w:r w:rsidRPr="001B3715">
        <w:rPr>
          <w:lang w:val="fr-FR"/>
        </w:rPr>
        <w:t>Le personnel de l</w:t>
      </w:r>
      <w:r w:rsidR="00502D05" w:rsidRPr="001B3715">
        <w:rPr>
          <w:lang w:val="fr-FR"/>
        </w:rPr>
        <w:t>’</w:t>
      </w:r>
      <w:r w:rsidRPr="001B3715">
        <w:rPr>
          <w:lang w:val="fr-FR"/>
        </w:rPr>
        <w:t>Organisation n</w:t>
      </w:r>
      <w:r w:rsidR="00502D05" w:rsidRPr="001B3715">
        <w:rPr>
          <w:lang w:val="fr-FR"/>
        </w:rPr>
        <w:t>’</w:t>
      </w:r>
      <w:r w:rsidRPr="001B3715">
        <w:rPr>
          <w:lang w:val="fr-FR"/>
        </w:rPr>
        <w:t>a jamais été aussi diversifié, quasiment 120 États membres étant représentés dans ses effectifs en juin 2016.  La recherche active de talents variés fonde la stratégie de recrutement de l</w:t>
      </w:r>
      <w:r w:rsidR="00502D05" w:rsidRPr="001B3715">
        <w:rPr>
          <w:lang w:val="fr-FR"/>
        </w:rPr>
        <w:t>’</w:t>
      </w:r>
      <w:r w:rsidRPr="001B3715">
        <w:rPr>
          <w:lang w:val="fr-FR"/>
        </w:rPr>
        <w:t>Organisati</w:t>
      </w:r>
      <w:r w:rsidR="001B3715" w:rsidRPr="001B3715">
        <w:rPr>
          <w:lang w:val="fr-FR"/>
        </w:rPr>
        <w:t>on.  Le</w:t>
      </w:r>
      <w:r w:rsidRPr="001B3715">
        <w:rPr>
          <w:lang w:val="fr-FR"/>
        </w:rPr>
        <w:t>s mesures qui ont été prises, telles que l</w:t>
      </w:r>
      <w:r w:rsidR="00502D05" w:rsidRPr="001B3715">
        <w:rPr>
          <w:lang w:val="fr-FR"/>
        </w:rPr>
        <w:t>’</w:t>
      </w:r>
      <w:r w:rsidRPr="001B3715">
        <w:rPr>
          <w:lang w:val="fr-FR"/>
        </w:rPr>
        <w:t>utilisation de plateformes sociales multimédia en ligne pour publier les avis de vacance d</w:t>
      </w:r>
      <w:r w:rsidR="00502D05" w:rsidRPr="001B3715">
        <w:rPr>
          <w:lang w:val="fr-FR"/>
        </w:rPr>
        <w:t>’</w:t>
      </w:r>
      <w:r w:rsidRPr="001B3715">
        <w:rPr>
          <w:lang w:val="fr-FR"/>
        </w:rPr>
        <w:t>emploi, la diffusion directe d</w:t>
      </w:r>
      <w:r w:rsidR="00502D05" w:rsidRPr="001B3715">
        <w:rPr>
          <w:lang w:val="fr-FR"/>
        </w:rPr>
        <w:t>’</w:t>
      </w:r>
      <w:r w:rsidRPr="001B3715">
        <w:rPr>
          <w:lang w:val="fr-FR"/>
        </w:rPr>
        <w:t>informations sur les possibilités d</w:t>
      </w:r>
      <w:r w:rsidR="00502D05" w:rsidRPr="001B3715">
        <w:rPr>
          <w:lang w:val="fr-FR"/>
        </w:rPr>
        <w:t>’</w:t>
      </w:r>
      <w:r w:rsidRPr="001B3715">
        <w:rPr>
          <w:lang w:val="fr-FR"/>
        </w:rPr>
        <w:t>emploi au sein de l</w:t>
      </w:r>
      <w:r w:rsidR="00502D05" w:rsidRPr="001B3715">
        <w:rPr>
          <w:lang w:val="fr-FR"/>
        </w:rPr>
        <w:t>’</w:t>
      </w:r>
      <w:r w:rsidRPr="001B3715">
        <w:rPr>
          <w:lang w:val="fr-FR"/>
        </w:rPr>
        <w:t>Organisation grâce aux missions de sensibilisation menées au cours de l</w:t>
      </w:r>
      <w:r w:rsidR="00502D05" w:rsidRPr="001B3715">
        <w:rPr>
          <w:lang w:val="fr-FR"/>
        </w:rPr>
        <w:t>’</w:t>
      </w:r>
      <w:r w:rsidRPr="001B3715">
        <w:rPr>
          <w:lang w:val="fr-FR"/>
        </w:rPr>
        <w:t xml:space="preserve">année écoulée, </w:t>
      </w:r>
      <w:r w:rsidR="00502D05" w:rsidRPr="001B3715">
        <w:rPr>
          <w:lang w:val="fr-FR"/>
        </w:rPr>
        <w:t>y compris</w:t>
      </w:r>
      <w:r w:rsidRPr="001B3715">
        <w:rPr>
          <w:lang w:val="fr-FR"/>
        </w:rPr>
        <w:t xml:space="preserve"> des visites d</w:t>
      </w:r>
      <w:r w:rsidR="00502D05" w:rsidRPr="001B3715">
        <w:rPr>
          <w:lang w:val="fr-FR"/>
        </w:rPr>
        <w:t>’</w:t>
      </w:r>
      <w:r w:rsidRPr="001B3715">
        <w:rPr>
          <w:lang w:val="fr-FR"/>
        </w:rPr>
        <w:t>universités en partenariat avec des États membres non représentés, les campagnes ciblées visant à faire mieux connaître les compétences dont a besoin l</w:t>
      </w:r>
      <w:r w:rsidR="00502D05" w:rsidRPr="001B3715">
        <w:rPr>
          <w:lang w:val="fr-FR"/>
        </w:rPr>
        <w:t>’</w:t>
      </w:r>
      <w:r w:rsidRPr="001B3715">
        <w:rPr>
          <w:lang w:val="fr-FR"/>
        </w:rPr>
        <w:t>OMPI, ainsi que l</w:t>
      </w:r>
      <w:r w:rsidR="00502D05" w:rsidRPr="001B3715">
        <w:rPr>
          <w:lang w:val="fr-FR"/>
        </w:rPr>
        <w:t>’</w:t>
      </w:r>
      <w:r w:rsidRPr="001B3715">
        <w:rPr>
          <w:lang w:val="fr-FR"/>
        </w:rPr>
        <w:t>amélioration des procédures de recrutement et des systèmes informatiques, commencent à porter leurs fruits, le nombre et la diversité des candidatures aux postes vacants ne cessant d</w:t>
      </w:r>
      <w:r w:rsidR="00502D05" w:rsidRPr="001B3715">
        <w:rPr>
          <w:lang w:val="fr-FR"/>
        </w:rPr>
        <w:t>’</w:t>
      </w:r>
      <w:r w:rsidRPr="001B3715">
        <w:rPr>
          <w:lang w:val="fr-FR"/>
        </w:rPr>
        <w:t>augmenter.</w:t>
      </w:r>
    </w:p>
    <w:p w14:paraId="64FAC572" w14:textId="46658886" w:rsidR="00A82CAA" w:rsidRPr="001B3715" w:rsidRDefault="00A82CAA" w:rsidP="00A82CAA">
      <w:pPr>
        <w:pStyle w:val="ONUMFS"/>
        <w:rPr>
          <w:lang w:val="fr-FR"/>
        </w:rPr>
      </w:pPr>
      <w:r w:rsidRPr="001B3715">
        <w:rPr>
          <w:lang w:val="fr-FR"/>
        </w:rPr>
        <w:t>La parité hommes</w:t>
      </w:r>
      <w:r w:rsidR="00E3770C">
        <w:rPr>
          <w:lang w:val="fr-FR"/>
        </w:rPr>
        <w:noBreakHyphen/>
      </w:r>
      <w:r w:rsidRPr="001B3715">
        <w:rPr>
          <w:lang w:val="fr-FR"/>
        </w:rPr>
        <w:t>femmes constitue un objectif dans la réalisation duquel je me suis personnellement engagé en tant que membre du réseau des défenseurs de l</w:t>
      </w:r>
      <w:r w:rsidR="00502D05" w:rsidRPr="001B3715">
        <w:rPr>
          <w:lang w:val="fr-FR"/>
        </w:rPr>
        <w:t>’</w:t>
      </w:r>
      <w:r w:rsidRPr="001B3715">
        <w:rPr>
          <w:lang w:val="fr-FR"/>
        </w:rPr>
        <w:t xml:space="preserve">égalité des genres dans le cadre de la Genève internationale (Geneva </w:t>
      </w:r>
      <w:proofErr w:type="spellStart"/>
      <w:r w:rsidRPr="001B3715">
        <w:rPr>
          <w:lang w:val="fr-FR"/>
        </w:rPr>
        <w:t>Gender</w:t>
      </w:r>
      <w:proofErr w:type="spellEnd"/>
      <w:r w:rsidRPr="001B3715">
        <w:rPr>
          <w:lang w:val="fr-FR"/>
        </w:rPr>
        <w:t xml:space="preserve"> Champions Network).  À cette fin, l</w:t>
      </w:r>
      <w:r w:rsidR="00502D05" w:rsidRPr="001B3715">
        <w:rPr>
          <w:lang w:val="fr-FR"/>
        </w:rPr>
        <w:t>’</w:t>
      </w:r>
      <w:r w:rsidRPr="001B3715">
        <w:rPr>
          <w:lang w:val="fr-FR"/>
        </w:rPr>
        <w:t>Organisation a intensifié ses efforts afin de former les responsables à la promotion d</w:t>
      </w:r>
      <w:r w:rsidR="00502D05" w:rsidRPr="001B3715">
        <w:rPr>
          <w:lang w:val="fr-FR"/>
        </w:rPr>
        <w:t>’</w:t>
      </w:r>
      <w:r w:rsidRPr="001B3715">
        <w:rPr>
          <w:lang w:val="fr-FR"/>
        </w:rPr>
        <w:t>un environnement de travail propice à la diversité et à l</w:t>
      </w:r>
      <w:r w:rsidR="00502D05" w:rsidRPr="001B3715">
        <w:rPr>
          <w:lang w:val="fr-FR"/>
        </w:rPr>
        <w:t>’</w:t>
      </w:r>
      <w:r w:rsidRPr="001B3715">
        <w:rPr>
          <w:lang w:val="fr-FR"/>
        </w:rPr>
        <w:t>intégrati</w:t>
      </w:r>
      <w:r w:rsidR="001B3715" w:rsidRPr="001B3715">
        <w:rPr>
          <w:lang w:val="fr-FR"/>
        </w:rPr>
        <w:t>on.  Pa</w:t>
      </w:r>
      <w:r w:rsidRPr="001B3715">
        <w:rPr>
          <w:lang w:val="fr-FR"/>
        </w:rPr>
        <w:t>r ailleurs, un programme pilote visant à fournir un appui à mi</w:t>
      </w:r>
      <w:r w:rsidR="00E3770C">
        <w:rPr>
          <w:lang w:val="fr-FR"/>
        </w:rPr>
        <w:noBreakHyphen/>
      </w:r>
      <w:r w:rsidRPr="001B3715">
        <w:rPr>
          <w:lang w:val="fr-FR"/>
        </w:rPr>
        <w:t>parcours en matière de développement de carrière et de soutien professionnel aux femmes cadres a été lancé en 2015.  À la suite de son évaluation positive par les participantes, il a été élar</w:t>
      </w:r>
      <w:r w:rsidR="001B3715" w:rsidRPr="001B3715">
        <w:rPr>
          <w:lang w:val="fr-FR"/>
        </w:rPr>
        <w:t>gi.  To</w:t>
      </w:r>
      <w:r w:rsidRPr="001B3715">
        <w:rPr>
          <w:lang w:val="fr-FR"/>
        </w:rPr>
        <w:t>ut aussi importante est la prise en considération des questions de parité dans toutes les activités de l</w:t>
      </w:r>
      <w:r w:rsidR="00502D05" w:rsidRPr="001B3715">
        <w:rPr>
          <w:lang w:val="fr-FR"/>
        </w:rPr>
        <w:t>’</w:t>
      </w:r>
      <w:r w:rsidRPr="001B3715">
        <w:rPr>
          <w:lang w:val="fr-FR"/>
        </w:rPr>
        <w:t>O</w:t>
      </w:r>
      <w:r w:rsidR="001B3715" w:rsidRPr="001B3715">
        <w:rPr>
          <w:lang w:val="fr-FR"/>
        </w:rPr>
        <w:t>MPI.  De</w:t>
      </w:r>
      <w:r w:rsidRPr="001B3715">
        <w:rPr>
          <w:lang w:val="fr-FR"/>
        </w:rPr>
        <w:t>s données de référence ont été établies en avril 2016 en vue de recenser clairement les progrès réalisés et d</w:t>
      </w:r>
      <w:r w:rsidR="00502D05" w:rsidRPr="001B3715">
        <w:rPr>
          <w:lang w:val="fr-FR"/>
        </w:rPr>
        <w:t>’</w:t>
      </w:r>
      <w:r w:rsidRPr="001B3715">
        <w:rPr>
          <w:lang w:val="fr-FR"/>
        </w:rPr>
        <w:t>en assurer le suivi au cours de la mise en œuvre des programmes de travail pour 2017.  Pour la première fois, l</w:t>
      </w:r>
      <w:r w:rsidR="00502D05" w:rsidRPr="001B3715">
        <w:rPr>
          <w:lang w:val="fr-FR"/>
        </w:rPr>
        <w:t>’</w:t>
      </w:r>
      <w:r w:rsidRPr="001B3715">
        <w:rPr>
          <w:lang w:val="fr-FR"/>
        </w:rPr>
        <w:t>Indice mondial de l</w:t>
      </w:r>
      <w:r w:rsidR="00502D05" w:rsidRPr="001B3715">
        <w:rPr>
          <w:lang w:val="fr-FR"/>
        </w:rPr>
        <w:t>’</w:t>
      </w:r>
      <w:r w:rsidRPr="001B3715">
        <w:rPr>
          <w:lang w:val="fr-FR"/>
        </w:rPr>
        <w:t>innovation comportait en 2015 un indicateur relatif à l</w:t>
      </w:r>
      <w:r w:rsidR="00502D05" w:rsidRPr="001B3715">
        <w:rPr>
          <w:lang w:val="fr-FR"/>
        </w:rPr>
        <w:t>’</w:t>
      </w:r>
      <w:r w:rsidRPr="001B3715">
        <w:rPr>
          <w:lang w:val="fr-FR"/>
        </w:rPr>
        <w:t>égalité entre les sexes afin de faire mieux comprendre le rôle des femmes dans l</w:t>
      </w:r>
      <w:r w:rsidR="00502D05" w:rsidRPr="001B3715">
        <w:rPr>
          <w:lang w:val="fr-FR"/>
        </w:rPr>
        <w:t>’</w:t>
      </w:r>
      <w:r w:rsidRPr="001B3715">
        <w:rPr>
          <w:lang w:val="fr-FR"/>
        </w:rPr>
        <w:t>innovation et leur contribution à cet égard.</w:t>
      </w:r>
    </w:p>
    <w:p w14:paraId="03759D1B" w14:textId="0C9F1D16" w:rsidR="00A82CAA" w:rsidRPr="001B3715" w:rsidRDefault="00A82CAA" w:rsidP="00A82CAA">
      <w:pPr>
        <w:pStyle w:val="ONUMFS"/>
        <w:rPr>
          <w:lang w:val="fr-FR"/>
        </w:rPr>
      </w:pPr>
      <w:r w:rsidRPr="001B3715">
        <w:rPr>
          <w:lang w:val="fr-FR"/>
        </w:rPr>
        <w:t>En résumé, des étapes ont été franchies au regard des deux principaux critères de référence de la diversité au sein de l</w:t>
      </w:r>
      <w:r w:rsidR="00502D05" w:rsidRPr="001B3715">
        <w:rPr>
          <w:lang w:val="fr-FR"/>
        </w:rPr>
        <w:t>’</w:t>
      </w:r>
      <w:r w:rsidRPr="001B3715">
        <w:rPr>
          <w:lang w:val="fr-FR"/>
        </w:rPr>
        <w:t xml:space="preserve">Organisation, </w:t>
      </w:r>
      <w:r w:rsidR="00502D05" w:rsidRPr="001B3715">
        <w:rPr>
          <w:lang w:val="fr-FR"/>
        </w:rPr>
        <w:t>à savoir</w:t>
      </w:r>
      <w:r w:rsidRPr="001B3715">
        <w:rPr>
          <w:lang w:val="fr-FR"/>
        </w:rPr>
        <w:t xml:space="preserve"> la représentation géographique et la parité hommes</w:t>
      </w:r>
      <w:r w:rsidR="00E3770C">
        <w:rPr>
          <w:lang w:val="fr-FR"/>
        </w:rPr>
        <w:noBreakHyphen/>
      </w:r>
      <w:r w:rsidRPr="001B3715">
        <w:rPr>
          <w:lang w:val="fr-FR"/>
        </w:rPr>
        <w:t>femm</w:t>
      </w:r>
      <w:r w:rsidR="001B3715" w:rsidRPr="001B3715">
        <w:rPr>
          <w:lang w:val="fr-FR"/>
        </w:rPr>
        <w:t>es.  Il</w:t>
      </w:r>
      <w:r w:rsidRPr="001B3715">
        <w:rPr>
          <w:lang w:val="fr-FR"/>
        </w:rPr>
        <w:t xml:space="preserve"> est prévu de franchir d</w:t>
      </w:r>
      <w:r w:rsidR="00502D05" w:rsidRPr="001B3715">
        <w:rPr>
          <w:lang w:val="fr-FR"/>
        </w:rPr>
        <w:t>’</w:t>
      </w:r>
      <w:r w:rsidRPr="001B3715">
        <w:rPr>
          <w:lang w:val="fr-FR"/>
        </w:rPr>
        <w:t>autres étapes en vue de renforcer l</w:t>
      </w:r>
      <w:r w:rsidR="00502D05" w:rsidRPr="001B3715">
        <w:rPr>
          <w:lang w:val="fr-FR"/>
        </w:rPr>
        <w:t>’</w:t>
      </w:r>
      <w:r w:rsidRPr="001B3715">
        <w:rPr>
          <w:lang w:val="fr-FR"/>
        </w:rPr>
        <w:t>intelligence culturelle au sein de l</w:t>
      </w:r>
      <w:r w:rsidR="00502D05" w:rsidRPr="001B3715">
        <w:rPr>
          <w:lang w:val="fr-FR"/>
        </w:rPr>
        <w:t>’</w:t>
      </w:r>
      <w:r w:rsidRPr="001B3715">
        <w:rPr>
          <w:lang w:val="fr-FR"/>
        </w:rPr>
        <w:t>Organisation.</w:t>
      </w:r>
    </w:p>
    <w:p w14:paraId="5218BD7E" w14:textId="557B059E" w:rsidR="00A82CAA" w:rsidRPr="001B3715" w:rsidRDefault="00A82CAA" w:rsidP="00A82CAA">
      <w:pPr>
        <w:pStyle w:val="ONUMFS"/>
        <w:rPr>
          <w:lang w:val="fr-FR"/>
        </w:rPr>
      </w:pPr>
      <w:r w:rsidRPr="001B3715">
        <w:rPr>
          <w:lang w:val="fr-FR"/>
        </w:rPr>
        <w:t>L</w:t>
      </w:r>
      <w:r w:rsidR="00502D05" w:rsidRPr="001B3715">
        <w:rPr>
          <w:lang w:val="fr-FR"/>
        </w:rPr>
        <w:t>’</w:t>
      </w:r>
      <w:r w:rsidRPr="001B3715">
        <w:rPr>
          <w:lang w:val="fr-FR"/>
        </w:rPr>
        <w:t>investissement dans la formation du personnel a sensiblement augmenté en 2015, se traduisant par un nombre record d</w:t>
      </w:r>
      <w:r w:rsidR="00502D05" w:rsidRPr="001B3715">
        <w:rPr>
          <w:lang w:val="fr-FR"/>
        </w:rPr>
        <w:t>’</w:t>
      </w:r>
      <w:r w:rsidRPr="001B3715">
        <w:rPr>
          <w:lang w:val="fr-FR"/>
        </w:rPr>
        <w:t>activités de perfectionnement du personnel, qui dépasse le seuil moyen de cinq jours de formation par année par fonctionnaire fixé par l</w:t>
      </w:r>
      <w:r w:rsidR="00502D05" w:rsidRPr="001B3715">
        <w:rPr>
          <w:lang w:val="fr-FR"/>
        </w:rPr>
        <w:t>’</w:t>
      </w:r>
      <w:r w:rsidR="001B3715" w:rsidRPr="001B3715">
        <w:rPr>
          <w:lang w:val="fr-FR"/>
        </w:rPr>
        <w:t>ONU.  La</w:t>
      </w:r>
      <w:r w:rsidRPr="001B3715">
        <w:rPr>
          <w:lang w:val="fr-FR"/>
        </w:rPr>
        <w:t xml:space="preserve"> formation fait partie des éléments de base indispensables au développement des compétences permettant de se doter d</w:t>
      </w:r>
      <w:r w:rsidR="00502D05" w:rsidRPr="001B3715">
        <w:rPr>
          <w:lang w:val="fr-FR"/>
        </w:rPr>
        <w:t>’</w:t>
      </w:r>
      <w:r w:rsidRPr="001B3715">
        <w:rPr>
          <w:lang w:val="fr-FR"/>
        </w:rPr>
        <w:t>effectifs flexibles et adaptés aux besoins de l</w:t>
      </w:r>
      <w:r w:rsidR="00502D05" w:rsidRPr="001B3715">
        <w:rPr>
          <w:lang w:val="fr-FR"/>
        </w:rPr>
        <w:t>’</w:t>
      </w:r>
      <w:r w:rsidRPr="001B3715">
        <w:rPr>
          <w:lang w:val="fr-FR"/>
        </w:rPr>
        <w:t>Organisati</w:t>
      </w:r>
      <w:r w:rsidR="001B3715" w:rsidRPr="001B3715">
        <w:rPr>
          <w:lang w:val="fr-FR"/>
        </w:rPr>
        <w:t>on.  La</w:t>
      </w:r>
      <w:r w:rsidRPr="001B3715">
        <w:rPr>
          <w:lang w:val="fr-FR"/>
        </w:rPr>
        <w:t xml:space="preserve">ngues, techniques de communication et gestion efficace (des ressources humaines, des résultats, des </w:t>
      </w:r>
      <w:r w:rsidRPr="001B3715">
        <w:rPr>
          <w:lang w:val="fr-FR"/>
        </w:rPr>
        <w:lastRenderedPageBreak/>
        <w:t>risques et des projets), en fonction des besoins opérationnels, sont quelques</w:t>
      </w:r>
      <w:r w:rsidR="00E3770C">
        <w:rPr>
          <w:lang w:val="fr-FR"/>
        </w:rPr>
        <w:noBreakHyphen/>
      </w:r>
      <w:r w:rsidRPr="001B3715">
        <w:rPr>
          <w:lang w:val="fr-FR"/>
        </w:rPr>
        <w:t>uns des principaux programmes de formation proposés aux fonctionnaires.</w:t>
      </w:r>
    </w:p>
    <w:p w14:paraId="1A2A7CD1" w14:textId="4C74A015" w:rsidR="00A82CAA" w:rsidRPr="001B3715" w:rsidRDefault="00A82CAA" w:rsidP="00A82CAA">
      <w:pPr>
        <w:pStyle w:val="ONUMFS"/>
        <w:rPr>
          <w:lang w:val="fr-FR"/>
        </w:rPr>
      </w:pPr>
      <w:r w:rsidRPr="001B3715">
        <w:rPr>
          <w:lang w:val="fr-FR"/>
        </w:rPr>
        <w:t>Le programme de récompenses et de reconnaissance vient d</w:t>
      </w:r>
      <w:r w:rsidR="00502D05" w:rsidRPr="001B3715">
        <w:rPr>
          <w:lang w:val="fr-FR"/>
        </w:rPr>
        <w:t>’</w:t>
      </w:r>
      <w:r w:rsidRPr="001B3715">
        <w:rPr>
          <w:lang w:val="fr-FR"/>
        </w:rPr>
        <w:t>achever sa troisième année d</w:t>
      </w:r>
      <w:r w:rsidR="00502D05" w:rsidRPr="001B3715">
        <w:rPr>
          <w:lang w:val="fr-FR"/>
        </w:rPr>
        <w:t>’</w:t>
      </w:r>
      <w:r w:rsidRPr="001B3715">
        <w:rPr>
          <w:lang w:val="fr-FR"/>
        </w:rPr>
        <w:t>existen</w:t>
      </w:r>
      <w:r w:rsidR="001B3715" w:rsidRPr="001B3715">
        <w:rPr>
          <w:lang w:val="fr-FR"/>
        </w:rPr>
        <w:t>ce.  Au</w:t>
      </w:r>
      <w:r w:rsidRPr="001B3715">
        <w:rPr>
          <w:lang w:val="fr-FR"/>
        </w:rPr>
        <w:t xml:space="preserve"> cours de cette période, neuf équipes et plus de 50 personnes au total ont reçu une distinction, témoignant des capacités et de l</w:t>
      </w:r>
      <w:r w:rsidR="00502D05" w:rsidRPr="001B3715">
        <w:rPr>
          <w:lang w:val="fr-FR"/>
        </w:rPr>
        <w:t>’</w:t>
      </w:r>
      <w:r w:rsidRPr="001B3715">
        <w:rPr>
          <w:lang w:val="fr-FR"/>
        </w:rPr>
        <w:t>engagement du personnel.</w:t>
      </w:r>
    </w:p>
    <w:p w14:paraId="6B0322EF" w14:textId="0E9E8E7B" w:rsidR="00A82CAA" w:rsidRPr="001B3715" w:rsidRDefault="00A82CAA" w:rsidP="00A82CAA">
      <w:pPr>
        <w:pStyle w:val="ONUMFS"/>
        <w:rPr>
          <w:lang w:val="fr-FR"/>
        </w:rPr>
      </w:pPr>
      <w:r w:rsidRPr="001B3715">
        <w:rPr>
          <w:lang w:val="fr-FR"/>
        </w:rPr>
        <w:t>La souplesse au niveau du recrutement permet de renouveler constamment le vivier de compétences de l</w:t>
      </w:r>
      <w:r w:rsidR="00502D05" w:rsidRPr="001B3715">
        <w:rPr>
          <w:lang w:val="fr-FR"/>
        </w:rPr>
        <w:t>’</w:t>
      </w:r>
      <w:r w:rsidRPr="001B3715">
        <w:rPr>
          <w:lang w:val="fr-FR"/>
        </w:rPr>
        <w:t>Organisation, ce qui lui permet d</w:t>
      </w:r>
      <w:r w:rsidR="00502D05" w:rsidRPr="001B3715">
        <w:rPr>
          <w:lang w:val="fr-FR"/>
        </w:rPr>
        <w:t>’</w:t>
      </w:r>
      <w:r w:rsidRPr="001B3715">
        <w:rPr>
          <w:lang w:val="fr-FR"/>
        </w:rPr>
        <w:t>offrir des services rapides et efficaces au sein d</w:t>
      </w:r>
      <w:r w:rsidR="00502D05" w:rsidRPr="001B3715">
        <w:rPr>
          <w:lang w:val="fr-FR"/>
        </w:rPr>
        <w:t>’</w:t>
      </w:r>
      <w:r w:rsidRPr="001B3715">
        <w:rPr>
          <w:lang w:val="fr-FR"/>
        </w:rPr>
        <w:t>un environnement externe qui évolue rapideme</w:t>
      </w:r>
      <w:r w:rsidR="001B3715" w:rsidRPr="001B3715">
        <w:rPr>
          <w:lang w:val="fr-FR"/>
        </w:rPr>
        <w:t>nt.  L’é</w:t>
      </w:r>
      <w:r w:rsidRPr="001B3715">
        <w:rPr>
          <w:lang w:val="fr-FR"/>
        </w:rPr>
        <w:t>volution de la quantité et de la répartition géographique des demandes de service d</w:t>
      </w:r>
      <w:r w:rsidR="00502D05" w:rsidRPr="001B3715">
        <w:rPr>
          <w:lang w:val="fr-FR"/>
        </w:rPr>
        <w:t>’</w:t>
      </w:r>
      <w:r w:rsidRPr="001B3715">
        <w:rPr>
          <w:lang w:val="fr-FR"/>
        </w:rPr>
        <w:t>enregistrement de la propriété intellectuelle constitue l</w:t>
      </w:r>
      <w:r w:rsidR="00502D05" w:rsidRPr="001B3715">
        <w:rPr>
          <w:lang w:val="fr-FR"/>
        </w:rPr>
        <w:t>’</w:t>
      </w:r>
      <w:r w:rsidRPr="001B3715">
        <w:rPr>
          <w:lang w:val="fr-FR"/>
        </w:rPr>
        <w:t>un des principaux défis à relever pour l</w:t>
      </w:r>
      <w:r w:rsidR="00502D05" w:rsidRPr="001B3715">
        <w:rPr>
          <w:lang w:val="fr-FR"/>
        </w:rPr>
        <w:t>’</w:t>
      </w:r>
      <w:r w:rsidRPr="001B3715">
        <w:rPr>
          <w:lang w:val="fr-FR"/>
        </w:rPr>
        <w:t>Organisati</w:t>
      </w:r>
      <w:r w:rsidR="001B3715" w:rsidRPr="001B3715">
        <w:rPr>
          <w:lang w:val="fr-FR"/>
        </w:rPr>
        <w:t>on.  Un</w:t>
      </w:r>
      <w:r w:rsidRPr="001B3715">
        <w:rPr>
          <w:lang w:val="fr-FR"/>
        </w:rPr>
        <w:t xml:space="preserve"> équilibre raisonnable entre le personnel affecté à des tâches permanentes (fonctionnaires) et le personnel affecté à des tâches temporaires (non</w:t>
      </w:r>
      <w:r w:rsidR="00E3770C">
        <w:rPr>
          <w:lang w:val="fr-FR"/>
        </w:rPr>
        <w:noBreakHyphen/>
      </w:r>
      <w:r w:rsidRPr="001B3715">
        <w:rPr>
          <w:lang w:val="fr-FR"/>
        </w:rPr>
        <w:t>fonctionnaires) doit refléter cette réali</w:t>
      </w:r>
      <w:r w:rsidR="001B3715" w:rsidRPr="001B3715">
        <w:rPr>
          <w:lang w:val="fr-FR"/>
        </w:rPr>
        <w:t>té.  En</w:t>
      </w:r>
      <w:r w:rsidRPr="001B3715">
        <w:rPr>
          <w:lang w:val="fr-FR"/>
        </w:rPr>
        <w:t xml:space="preserve"> juin 2016, ce rapport était de 3 pour 1.  Parallèlement à cela, l</w:t>
      </w:r>
      <w:r w:rsidR="00502D05" w:rsidRPr="001B3715">
        <w:rPr>
          <w:lang w:val="fr-FR"/>
        </w:rPr>
        <w:t>’</w:t>
      </w:r>
      <w:r w:rsidRPr="001B3715">
        <w:rPr>
          <w:lang w:val="fr-FR"/>
        </w:rPr>
        <w:t>utilisation optimale des catégories de personnel existantes a permis le recrutement, en 2015, du premier administrateur recruté sur le plan national au sein de l</w:t>
      </w:r>
      <w:r w:rsidR="00502D05" w:rsidRPr="001B3715">
        <w:rPr>
          <w:lang w:val="fr-FR"/>
        </w:rPr>
        <w:t>’</w:t>
      </w:r>
      <w:r w:rsidRPr="001B3715">
        <w:rPr>
          <w:lang w:val="fr-FR"/>
        </w:rPr>
        <w:t>Organisation, dans l</w:t>
      </w:r>
      <w:r w:rsidR="00502D05" w:rsidRPr="001B3715">
        <w:rPr>
          <w:lang w:val="fr-FR"/>
        </w:rPr>
        <w:t>’</w:t>
      </w:r>
      <w:r w:rsidRPr="001B3715">
        <w:rPr>
          <w:lang w:val="fr-FR"/>
        </w:rPr>
        <w:t>un de ses bureaux extérieu</w:t>
      </w:r>
      <w:r w:rsidR="001B3715" w:rsidRPr="001B3715">
        <w:rPr>
          <w:lang w:val="fr-FR"/>
        </w:rPr>
        <w:t>rs.  De</w:t>
      </w:r>
      <w:r w:rsidRPr="001B3715">
        <w:rPr>
          <w:lang w:val="fr-FR"/>
        </w:rPr>
        <w:t>puis lors, d</w:t>
      </w:r>
      <w:r w:rsidR="00502D05" w:rsidRPr="001B3715">
        <w:rPr>
          <w:lang w:val="fr-FR"/>
        </w:rPr>
        <w:t>’</w:t>
      </w:r>
      <w:r w:rsidRPr="001B3715">
        <w:rPr>
          <w:lang w:val="fr-FR"/>
        </w:rPr>
        <w:t>autres administrateurs ont été recrutés dans les autres bureaux extérieurs de l</w:t>
      </w:r>
      <w:r w:rsidR="00502D05" w:rsidRPr="001B3715">
        <w:rPr>
          <w:lang w:val="fr-FR"/>
        </w:rPr>
        <w:t>’</w:t>
      </w:r>
      <w:r w:rsidRPr="001B3715">
        <w:rPr>
          <w:lang w:val="fr-FR"/>
        </w:rPr>
        <w:t>Organisati</w:t>
      </w:r>
      <w:r w:rsidR="001B3715" w:rsidRPr="001B3715">
        <w:rPr>
          <w:lang w:val="fr-FR"/>
        </w:rPr>
        <w:t>on.  Le</w:t>
      </w:r>
      <w:r w:rsidRPr="001B3715">
        <w:rPr>
          <w:lang w:val="fr-FR"/>
        </w:rPr>
        <w:t>s administrateurs recrutés sur le plan national exercent des fonctions très similaires à celles des administrateurs et des fonctionnaires de rang supérieur, mais ils sont recrutés sur le plan local car leurs fonctions exigent des connaissances et une expérience particulières de l</w:t>
      </w:r>
      <w:r w:rsidR="00502D05" w:rsidRPr="001B3715">
        <w:rPr>
          <w:lang w:val="fr-FR"/>
        </w:rPr>
        <w:t>’</w:t>
      </w:r>
      <w:r w:rsidRPr="001B3715">
        <w:rPr>
          <w:lang w:val="fr-FR"/>
        </w:rPr>
        <w:t>environnement national, ce qui améliore l</w:t>
      </w:r>
      <w:r w:rsidR="00502D05" w:rsidRPr="001B3715">
        <w:rPr>
          <w:lang w:val="fr-FR"/>
        </w:rPr>
        <w:t>’</w:t>
      </w:r>
      <w:r w:rsidRPr="001B3715">
        <w:rPr>
          <w:lang w:val="fr-FR"/>
        </w:rPr>
        <w:t>exécution des programmes par les bureaux extérieurs.</w:t>
      </w:r>
    </w:p>
    <w:p w14:paraId="72600FD3" w14:textId="39547326" w:rsidR="00A82CAA" w:rsidRPr="001B3715" w:rsidRDefault="00A82CAA" w:rsidP="00A82CAA">
      <w:pPr>
        <w:pStyle w:val="ONUMFS"/>
        <w:rPr>
          <w:lang w:val="fr-FR"/>
        </w:rPr>
      </w:pPr>
      <w:r w:rsidRPr="001B3715">
        <w:rPr>
          <w:lang w:val="fr-FR"/>
        </w:rPr>
        <w:t>L</w:t>
      </w:r>
      <w:r w:rsidR="00502D05" w:rsidRPr="001B3715">
        <w:rPr>
          <w:lang w:val="fr-FR"/>
        </w:rPr>
        <w:t>’</w:t>
      </w:r>
      <w:r w:rsidRPr="001B3715">
        <w:rPr>
          <w:lang w:val="fr-FR"/>
        </w:rPr>
        <w:t>équilibre harmonieux entre vie professionnelle et vie de famille contribue à augmenter la productivité de l</w:t>
      </w:r>
      <w:r w:rsidR="00502D05" w:rsidRPr="001B3715">
        <w:rPr>
          <w:lang w:val="fr-FR"/>
        </w:rPr>
        <w:t>’</w:t>
      </w:r>
      <w:r w:rsidRPr="001B3715">
        <w:rPr>
          <w:lang w:val="fr-FR"/>
        </w:rPr>
        <w:t>Organisati</w:t>
      </w:r>
      <w:r w:rsidR="001B3715" w:rsidRPr="001B3715">
        <w:rPr>
          <w:lang w:val="fr-FR"/>
        </w:rPr>
        <w:t>on.  Le</w:t>
      </w:r>
      <w:r w:rsidRPr="001B3715">
        <w:rPr>
          <w:lang w:val="fr-FR"/>
        </w:rPr>
        <w:t xml:space="preserve"> bien</w:t>
      </w:r>
      <w:r w:rsidR="00E3770C">
        <w:rPr>
          <w:lang w:val="fr-FR"/>
        </w:rPr>
        <w:noBreakHyphen/>
      </w:r>
      <w:r w:rsidRPr="001B3715">
        <w:rPr>
          <w:lang w:val="fr-FR"/>
        </w:rPr>
        <w:t>être du personnel participe à cet équilibre et les membres du personnel eux</w:t>
      </w:r>
      <w:r w:rsidR="00E3770C">
        <w:rPr>
          <w:lang w:val="fr-FR"/>
        </w:rPr>
        <w:noBreakHyphen/>
      </w:r>
      <w:r w:rsidRPr="001B3715">
        <w:rPr>
          <w:lang w:val="fr-FR"/>
        </w:rPr>
        <w:t>mêmes jouent un rôle essentiel dans l</w:t>
      </w:r>
      <w:r w:rsidR="00502D05" w:rsidRPr="001B3715">
        <w:rPr>
          <w:lang w:val="fr-FR"/>
        </w:rPr>
        <w:t>’</w:t>
      </w:r>
      <w:r w:rsidRPr="001B3715">
        <w:rPr>
          <w:lang w:val="fr-FR"/>
        </w:rPr>
        <w:t>élaboration des politiques en la matiè</w:t>
      </w:r>
      <w:r w:rsidR="001B3715" w:rsidRPr="001B3715">
        <w:rPr>
          <w:lang w:val="fr-FR"/>
        </w:rPr>
        <w:t>re.  L’é</w:t>
      </w:r>
      <w:r w:rsidRPr="001B3715">
        <w:rPr>
          <w:lang w:val="fr-FR"/>
        </w:rPr>
        <w:t>laboration de politiques sur une base participative est une valeur solide de l</w:t>
      </w:r>
      <w:r w:rsidR="00502D05" w:rsidRPr="001B3715">
        <w:rPr>
          <w:lang w:val="fr-FR"/>
        </w:rPr>
        <w:t>’</w:t>
      </w:r>
      <w:r w:rsidRPr="001B3715">
        <w:rPr>
          <w:lang w:val="fr-FR"/>
        </w:rPr>
        <w:t>O</w:t>
      </w:r>
      <w:r w:rsidR="001B3715" w:rsidRPr="001B3715">
        <w:rPr>
          <w:lang w:val="fr-FR"/>
        </w:rPr>
        <w:t>MPI.  Le</w:t>
      </w:r>
      <w:r w:rsidRPr="001B3715">
        <w:rPr>
          <w:lang w:val="fr-FR"/>
        </w:rPr>
        <w:t xml:space="preserve"> personnel est d</w:t>
      </w:r>
      <w:r w:rsidR="00502D05" w:rsidRPr="001B3715">
        <w:rPr>
          <w:lang w:val="fr-FR"/>
        </w:rPr>
        <w:t>’</w:t>
      </w:r>
      <w:r w:rsidRPr="001B3715">
        <w:rPr>
          <w:lang w:val="fr-FR"/>
        </w:rPr>
        <w:t>ailleurs à l</w:t>
      </w:r>
      <w:r w:rsidR="00502D05" w:rsidRPr="001B3715">
        <w:rPr>
          <w:lang w:val="fr-FR"/>
        </w:rPr>
        <w:t>’</w:t>
      </w:r>
      <w:r w:rsidRPr="001B3715">
        <w:rPr>
          <w:lang w:val="fr-FR"/>
        </w:rPr>
        <w:t>origine de la publication, en mars 2016, d</w:t>
      </w:r>
      <w:r w:rsidR="00502D05" w:rsidRPr="001B3715">
        <w:rPr>
          <w:lang w:val="fr-FR"/>
        </w:rPr>
        <w:t>’</w:t>
      </w:r>
      <w:r w:rsidRPr="001B3715">
        <w:rPr>
          <w:lang w:val="fr-FR"/>
        </w:rPr>
        <w:t>un guide de référence encourageant un environnement de travail harmonieux et empreint de respe</w:t>
      </w:r>
      <w:r w:rsidR="001B3715" w:rsidRPr="001B3715">
        <w:rPr>
          <w:lang w:val="fr-FR"/>
        </w:rPr>
        <w:t>ct.  Le</w:t>
      </w:r>
      <w:r w:rsidRPr="001B3715">
        <w:rPr>
          <w:lang w:val="fr-FR"/>
        </w:rPr>
        <w:t xml:space="preserve"> Comité de l</w:t>
      </w:r>
      <w:r w:rsidR="00502D05" w:rsidRPr="001B3715">
        <w:rPr>
          <w:lang w:val="fr-FR"/>
        </w:rPr>
        <w:t>’</w:t>
      </w:r>
      <w:r w:rsidRPr="001B3715">
        <w:rPr>
          <w:lang w:val="fr-FR"/>
        </w:rPr>
        <w:t>OMPI chargé de la santé et de la sécurité au travail, qui réunit des représentants du personnel et de l</w:t>
      </w:r>
      <w:r w:rsidR="00502D05" w:rsidRPr="001B3715">
        <w:rPr>
          <w:lang w:val="fr-FR"/>
        </w:rPr>
        <w:t>’</w:t>
      </w:r>
      <w:r w:rsidRPr="001B3715">
        <w:rPr>
          <w:lang w:val="fr-FR"/>
        </w:rPr>
        <w:t>administration, ainsi que des experts internes en matière de santé, de protection sociale, de sûreté et de sécurité, entre dans la deuxième année de son mandat, qui vise la promotion et la protection de la santé physique et mentale et de la sûreté sur le lieu de trava</w:t>
      </w:r>
      <w:r w:rsidR="001B3715" w:rsidRPr="001B3715">
        <w:rPr>
          <w:lang w:val="fr-FR"/>
        </w:rPr>
        <w:t>il.  Tr</w:t>
      </w:r>
      <w:r w:rsidRPr="001B3715">
        <w:rPr>
          <w:lang w:val="fr-FR"/>
        </w:rPr>
        <w:t>ès récemment, un groupe de travail composé de volontaires du personnel et de représentants de l</w:t>
      </w:r>
      <w:r w:rsidR="00502D05" w:rsidRPr="001B3715">
        <w:rPr>
          <w:lang w:val="fr-FR"/>
        </w:rPr>
        <w:t>’</w:t>
      </w:r>
      <w:r w:rsidRPr="001B3715">
        <w:rPr>
          <w:lang w:val="fr-FR"/>
        </w:rPr>
        <w:t>Administration a terminé son examen des politiques et des systèmes relatifs à la gestion du temps de travail à l</w:t>
      </w:r>
      <w:r w:rsidR="00502D05" w:rsidRPr="001B3715">
        <w:rPr>
          <w:lang w:val="fr-FR"/>
        </w:rPr>
        <w:t>’</w:t>
      </w:r>
      <w:r w:rsidRPr="001B3715">
        <w:rPr>
          <w:lang w:val="fr-FR"/>
        </w:rPr>
        <w:t>O</w:t>
      </w:r>
      <w:r w:rsidR="001B3715" w:rsidRPr="001B3715">
        <w:rPr>
          <w:lang w:val="fr-FR"/>
        </w:rPr>
        <w:t>MPI.  Il</w:t>
      </w:r>
      <w:r w:rsidRPr="001B3715">
        <w:rPr>
          <w:lang w:val="fr-FR"/>
        </w:rPr>
        <w:t xml:space="preserve"> a présenté ses recommandations, en tenant compte des informations fournies à la suite d</w:t>
      </w:r>
      <w:r w:rsidR="00502D05" w:rsidRPr="001B3715">
        <w:rPr>
          <w:lang w:val="fr-FR"/>
        </w:rPr>
        <w:t>’</w:t>
      </w:r>
      <w:r w:rsidRPr="001B3715">
        <w:rPr>
          <w:lang w:val="fr-FR"/>
        </w:rPr>
        <w:t>une enquête effectuée auprès du personnel qui a recueilli le taux de réponse sans précédent de 50%.</w:t>
      </w:r>
    </w:p>
    <w:p w14:paraId="6A4C0C28" w14:textId="74C11657" w:rsidR="00A82CAA" w:rsidRPr="001B3715" w:rsidRDefault="00A82CAA" w:rsidP="00A82CAA">
      <w:pPr>
        <w:pStyle w:val="ONUMFS"/>
        <w:rPr>
          <w:lang w:val="fr-FR"/>
        </w:rPr>
      </w:pPr>
      <w:r w:rsidRPr="001B3715">
        <w:rPr>
          <w:lang w:val="fr-FR"/>
        </w:rPr>
        <w:t>L</w:t>
      </w:r>
      <w:r w:rsidR="00502D05" w:rsidRPr="001B3715">
        <w:rPr>
          <w:lang w:val="fr-FR"/>
        </w:rPr>
        <w:t>’</w:t>
      </w:r>
      <w:r w:rsidRPr="001B3715">
        <w:rPr>
          <w:lang w:val="fr-FR"/>
        </w:rPr>
        <w:t>évolution à la baisse de l</w:t>
      </w:r>
      <w:r w:rsidR="00502D05" w:rsidRPr="001B3715">
        <w:rPr>
          <w:lang w:val="fr-FR"/>
        </w:rPr>
        <w:t>’</w:t>
      </w:r>
      <w:r w:rsidRPr="001B3715">
        <w:rPr>
          <w:lang w:val="fr-FR"/>
        </w:rPr>
        <w:t>absentéisme depuis 2013 constitue une tendance très positive qui souligne l</w:t>
      </w:r>
      <w:r w:rsidR="00502D05" w:rsidRPr="001B3715">
        <w:rPr>
          <w:lang w:val="fr-FR"/>
        </w:rPr>
        <w:t>’</w:t>
      </w:r>
      <w:r w:rsidRPr="001B3715">
        <w:rPr>
          <w:lang w:val="fr-FR"/>
        </w:rPr>
        <w:t>effet bénéfique de ces initiativ</w:t>
      </w:r>
      <w:r w:rsidR="001B3715" w:rsidRPr="001B3715">
        <w:rPr>
          <w:lang w:val="fr-FR"/>
        </w:rPr>
        <w:t>es.  En</w:t>
      </w:r>
      <w:r w:rsidRPr="001B3715">
        <w:rPr>
          <w:lang w:val="fr-FR"/>
        </w:rPr>
        <w:t>tre 2014 et 2015, le nombre total d</w:t>
      </w:r>
      <w:r w:rsidR="00502D05" w:rsidRPr="001B3715">
        <w:rPr>
          <w:lang w:val="fr-FR"/>
        </w:rPr>
        <w:t>’</w:t>
      </w:r>
      <w:r w:rsidRPr="001B3715">
        <w:rPr>
          <w:lang w:val="fr-FR"/>
        </w:rPr>
        <w:t>absences a diminué de plus de</w:t>
      </w:r>
      <w:r w:rsidR="005A42E7" w:rsidRPr="001B3715">
        <w:rPr>
          <w:lang w:val="fr-FR"/>
        </w:rPr>
        <w:t> </w:t>
      </w:r>
      <w:r w:rsidRPr="001B3715">
        <w:rPr>
          <w:lang w:val="fr-FR"/>
        </w:rPr>
        <w:t>1000 jours.</w:t>
      </w:r>
    </w:p>
    <w:p w14:paraId="027B5A23" w14:textId="018DF29C" w:rsidR="00A82CAA" w:rsidRPr="001B3715" w:rsidRDefault="00A82CAA" w:rsidP="00683613">
      <w:pPr>
        <w:pStyle w:val="ONUMFS"/>
        <w:rPr>
          <w:lang w:val="fr-FR"/>
        </w:rPr>
      </w:pPr>
      <w:r w:rsidRPr="001B3715">
        <w:rPr>
          <w:lang w:val="fr-FR"/>
        </w:rPr>
        <w:t>Je me sens fier et extrêmement reconnaissant aussi bien des résultats accomplis par le personnel de l</w:t>
      </w:r>
      <w:r w:rsidR="00502D05" w:rsidRPr="001B3715">
        <w:rPr>
          <w:lang w:val="fr-FR"/>
        </w:rPr>
        <w:t>’</w:t>
      </w:r>
      <w:r w:rsidRPr="001B3715">
        <w:rPr>
          <w:lang w:val="fr-FR"/>
        </w:rPr>
        <w:t>Organisation que de la réalisation de nos objectifs communs.</w:t>
      </w:r>
    </w:p>
    <w:p w14:paraId="2C416C6F" w14:textId="77777777" w:rsidR="00683613" w:rsidRPr="00EB23E7" w:rsidRDefault="00683613" w:rsidP="00EB23E7"/>
    <w:p w14:paraId="1D045396" w14:textId="77777777" w:rsidR="00EB23E7" w:rsidRPr="00EB23E7" w:rsidRDefault="00EB23E7" w:rsidP="00EB23E7"/>
    <w:p w14:paraId="64E996BE" w14:textId="62E9D8FF" w:rsidR="00683613" w:rsidRPr="001B3715" w:rsidRDefault="00683613" w:rsidP="009D3728">
      <w:pPr>
        <w:pStyle w:val="ONUMFS"/>
        <w:numPr>
          <w:ilvl w:val="0"/>
          <w:numId w:val="0"/>
        </w:numPr>
        <w:ind w:left="5529"/>
        <w:rPr>
          <w:lang w:val="fr-FR"/>
        </w:rPr>
      </w:pPr>
      <w:r w:rsidRPr="001B3715">
        <w:rPr>
          <w:lang w:val="fr-FR"/>
        </w:rPr>
        <w:t>[L</w:t>
      </w:r>
      <w:r w:rsidR="00502D05" w:rsidRPr="001B3715">
        <w:rPr>
          <w:lang w:val="fr-FR"/>
        </w:rPr>
        <w:t>’</w:t>
      </w:r>
      <w:r w:rsidRPr="001B3715">
        <w:rPr>
          <w:lang w:val="fr-FR"/>
        </w:rPr>
        <w:t>annexe</w:t>
      </w:r>
      <w:bookmarkStart w:id="0" w:name="_GoBack"/>
      <w:bookmarkEnd w:id="0"/>
      <w:r w:rsidRPr="001B3715">
        <w:rPr>
          <w:lang w:val="fr-FR"/>
        </w:rPr>
        <w:t> II suit]</w:t>
      </w:r>
    </w:p>
    <w:sectPr w:rsidR="00683613" w:rsidRPr="001B3715" w:rsidSect="00E821BD">
      <w:headerReference w:type="even" r:id="rId9"/>
      <w:headerReference w:type="default" r:id="rId10"/>
      <w:footerReference w:type="even" r:id="rId11"/>
      <w:footerReference w:type="default" r:id="rId12"/>
      <w:headerReference w:type="first" r:id="rId13"/>
      <w:pgSz w:w="11907" w:h="16840" w:code="9"/>
      <w:pgMar w:top="567" w:right="1134" w:bottom="1417" w:left="1417" w:header="510" w:footer="10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5D2B5" w14:textId="77777777" w:rsidR="00E3770C" w:rsidRDefault="00E3770C">
      <w:r>
        <w:separator/>
      </w:r>
    </w:p>
  </w:endnote>
  <w:endnote w:type="continuationSeparator" w:id="0">
    <w:p w14:paraId="1835C169" w14:textId="77777777" w:rsidR="00E3770C" w:rsidRDefault="00E3770C">
      <w:r>
        <w:continuationSeparator/>
      </w:r>
    </w:p>
  </w:endnote>
  <w:endnote w:type="continuationNotice" w:id="1">
    <w:p w14:paraId="60818074" w14:textId="77777777" w:rsidR="00E3770C" w:rsidRDefault="00E37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05878" w14:textId="77777777" w:rsidR="00E3770C" w:rsidRDefault="00E3770C" w:rsidP="00AB53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5EC139" w14:textId="77777777" w:rsidR="00E3770C" w:rsidRDefault="00E3770C" w:rsidP="00C424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5FD9" w14:textId="77777777" w:rsidR="00E3770C" w:rsidRDefault="00E3770C" w:rsidP="00C424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018E3" w14:textId="77777777" w:rsidR="00E3770C" w:rsidRDefault="00E3770C">
      <w:r>
        <w:separator/>
      </w:r>
    </w:p>
  </w:footnote>
  <w:footnote w:type="continuationSeparator" w:id="0">
    <w:p w14:paraId="22C8EE4F" w14:textId="77777777" w:rsidR="00E3770C" w:rsidRDefault="00E3770C">
      <w:r>
        <w:continuationSeparator/>
      </w:r>
    </w:p>
  </w:footnote>
  <w:footnote w:type="continuationNotice" w:id="1">
    <w:p w14:paraId="5381F288" w14:textId="77777777" w:rsidR="00E3770C" w:rsidRDefault="00E377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45B58" w14:textId="77777777" w:rsidR="00E3770C" w:rsidRDefault="00E3770C" w:rsidP="007207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10F3F1" w14:textId="77777777" w:rsidR="00E3770C" w:rsidRDefault="00E3770C" w:rsidP="007207C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07F3F" w14:textId="510C558A" w:rsidR="00E3770C" w:rsidRDefault="00E3770C" w:rsidP="00E3770C">
    <w:pPr>
      <w:pStyle w:val="Header"/>
      <w:jc w:val="right"/>
    </w:pPr>
    <w:r>
      <w:t>A/56/17</w:t>
    </w:r>
  </w:p>
  <w:p w14:paraId="76CE53F3" w14:textId="7A186A07" w:rsidR="00E3770C" w:rsidRDefault="0013521E" w:rsidP="00E3770C">
    <w:pPr>
      <w:pStyle w:val="Header"/>
      <w:jc w:val="right"/>
    </w:pPr>
    <w:r>
      <w:t xml:space="preserve">Annexe I, </w:t>
    </w:r>
    <w:r w:rsidR="00E3770C">
      <w:t>page </w:t>
    </w:r>
    <w:r w:rsidR="00E3770C">
      <w:fldChar w:fldCharType="begin"/>
    </w:r>
    <w:r w:rsidR="00E3770C">
      <w:instrText>PAGE   \* MERGEFORMAT</w:instrText>
    </w:r>
    <w:r w:rsidR="00E3770C">
      <w:fldChar w:fldCharType="separate"/>
    </w:r>
    <w:r w:rsidR="00D5047B">
      <w:rPr>
        <w:noProof/>
      </w:rPr>
      <w:t>23</w:t>
    </w:r>
    <w:r w:rsidR="00E3770C">
      <w:fldChar w:fldCharType="end"/>
    </w:r>
  </w:p>
  <w:p w14:paraId="647776BB" w14:textId="77777777" w:rsidR="00E3770C" w:rsidRDefault="00E3770C" w:rsidP="00E3770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F245" w14:textId="613A76E9" w:rsidR="00E3770C" w:rsidRDefault="00E3770C" w:rsidP="00E3770C">
    <w:pPr>
      <w:pStyle w:val="Header"/>
      <w:jc w:val="right"/>
    </w:pPr>
    <w:r>
      <w:t>A/56/17</w:t>
    </w:r>
  </w:p>
  <w:p w14:paraId="5612C710" w14:textId="189DFCEC" w:rsidR="00E3770C" w:rsidRDefault="00E3770C" w:rsidP="00E3770C">
    <w:pPr>
      <w:pStyle w:val="Header"/>
      <w:jc w:val="right"/>
    </w:pPr>
    <w:r>
      <w:t>ANNEXE I</w:t>
    </w:r>
  </w:p>
  <w:p w14:paraId="296B9691" w14:textId="77777777" w:rsidR="00E3770C" w:rsidRDefault="00E3770C" w:rsidP="00E3770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741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E68C507C"/>
    <w:lvl w:ilvl="0">
      <w:start w:val="1"/>
      <w:numFmt w:val="upperLetter"/>
      <w:lvlRestart w:val="0"/>
      <w:lvlText w:val="%1."/>
      <w:lvlJc w:val="left"/>
      <w:pPr>
        <w:tabs>
          <w:tab w:val="num" w:pos="567"/>
        </w:tabs>
        <w:ind w:left="0" w:firstLine="0"/>
      </w:pPr>
    </w:lvl>
  </w:abstractNum>
  <w:abstractNum w:abstractNumId="2">
    <w:nsid w:val="00126DEB"/>
    <w:multiLevelType w:val="hybridMultilevel"/>
    <w:tmpl w:val="1E3C43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BC670F"/>
    <w:multiLevelType w:val="hybridMultilevel"/>
    <w:tmpl w:val="6B82E8CE"/>
    <w:lvl w:ilvl="0" w:tplc="99C0E63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9F6648E"/>
    <w:multiLevelType w:val="multilevel"/>
    <w:tmpl w:val="CFDA5A1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EA855E9"/>
    <w:multiLevelType w:val="hybridMultilevel"/>
    <w:tmpl w:val="40CA188A"/>
    <w:lvl w:ilvl="0" w:tplc="EE548A68">
      <w:start w:val="1"/>
      <w:numFmt w:val="decimal"/>
      <w:lvlText w:val="%1."/>
      <w:lvlJc w:val="left"/>
      <w:pPr>
        <w:ind w:left="930" w:hanging="57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417362F"/>
    <w:multiLevelType w:val="hybridMultilevel"/>
    <w:tmpl w:val="844A71B0"/>
    <w:lvl w:ilvl="0" w:tplc="A712C67A">
      <w:start w:val="1"/>
      <w:numFmt w:val="lowerRoman"/>
      <w:lvlText w:val="(%1)"/>
      <w:lvlJc w:val="left"/>
      <w:pPr>
        <w:tabs>
          <w:tab w:val="num" w:pos="1440"/>
        </w:tabs>
        <w:ind w:left="1440" w:hanging="720"/>
      </w:pPr>
      <w:rPr>
        <w:rFonts w:hint="default"/>
      </w:rPr>
    </w:lvl>
    <w:lvl w:ilvl="1" w:tplc="F208D7CC">
      <w:start w:val="43"/>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4713769"/>
    <w:multiLevelType w:val="hybridMultilevel"/>
    <w:tmpl w:val="EA2662C2"/>
    <w:lvl w:ilvl="0" w:tplc="7F882CB8">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26FFC"/>
    <w:multiLevelType w:val="hybridMultilevel"/>
    <w:tmpl w:val="4F746F72"/>
    <w:lvl w:ilvl="0" w:tplc="30465CB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D44C47"/>
    <w:multiLevelType w:val="hybridMultilevel"/>
    <w:tmpl w:val="F2FEBC1C"/>
    <w:lvl w:ilvl="0" w:tplc="67C8EC72">
      <w:start w:val="1"/>
      <w:numFmt w:val="decimal"/>
      <w:lvlRestart w:val="0"/>
      <w:lvlText w:val="9.%1."/>
      <w:lvlJc w:val="left"/>
      <w:pPr>
        <w:tabs>
          <w:tab w:val="num" w:pos="680"/>
        </w:tabs>
        <w:ind w:left="0" w:firstLine="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6B7692"/>
    <w:multiLevelType w:val="hybridMultilevel"/>
    <w:tmpl w:val="2CEA7C64"/>
    <w:lvl w:ilvl="0" w:tplc="8CFAEA6E">
      <w:start w:val="17"/>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FA717C"/>
    <w:multiLevelType w:val="hybridMultilevel"/>
    <w:tmpl w:val="EF60C34E"/>
    <w:lvl w:ilvl="0" w:tplc="63DC51C2">
      <w:start w:val="33"/>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D4661BD"/>
    <w:multiLevelType w:val="multilevel"/>
    <w:tmpl w:val="62E8BF9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2"/>
  </w:num>
  <w:num w:numId="3">
    <w:abstractNumId w:val="17"/>
  </w:num>
  <w:num w:numId="4">
    <w:abstractNumId w:val="5"/>
  </w:num>
  <w:num w:numId="5">
    <w:abstractNumId w:val="1"/>
  </w:num>
  <w:num w:numId="6">
    <w:abstractNumId w:val="11"/>
  </w:num>
  <w:num w:numId="7">
    <w:abstractNumId w:val="14"/>
  </w:num>
  <w:num w:numId="8">
    <w:abstractNumId w:val="4"/>
  </w:num>
  <w:num w:numId="9">
    <w:abstractNumId w:val="9"/>
  </w:num>
  <w:num w:numId="10">
    <w:abstractNumId w:val="16"/>
  </w:num>
  <w:num w:numId="11">
    <w:abstractNumId w:val="10"/>
  </w:num>
  <w:num w:numId="12">
    <w:abstractNumId w:val="0"/>
  </w:num>
  <w:num w:numId="13">
    <w:abstractNumId w:val="13"/>
  </w:num>
  <w:num w:numId="14">
    <w:abstractNumId w:val="7"/>
  </w:num>
  <w:num w:numId="15">
    <w:abstractNumId w:val="15"/>
  </w:num>
  <w:num w:numId="16">
    <w:abstractNumId w:val="3"/>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31"/>
    <w:rsid w:val="000000AA"/>
    <w:rsid w:val="00000CE7"/>
    <w:rsid w:val="00002898"/>
    <w:rsid w:val="00004074"/>
    <w:rsid w:val="00004799"/>
    <w:rsid w:val="000047FB"/>
    <w:rsid w:val="00005FB7"/>
    <w:rsid w:val="00006878"/>
    <w:rsid w:val="00010401"/>
    <w:rsid w:val="000104EF"/>
    <w:rsid w:val="0001087D"/>
    <w:rsid w:val="00011778"/>
    <w:rsid w:val="00011CA3"/>
    <w:rsid w:val="000129F5"/>
    <w:rsid w:val="00013BE3"/>
    <w:rsid w:val="00015C89"/>
    <w:rsid w:val="00016C66"/>
    <w:rsid w:val="0001730C"/>
    <w:rsid w:val="000173C5"/>
    <w:rsid w:val="000177F7"/>
    <w:rsid w:val="000178D1"/>
    <w:rsid w:val="0002136E"/>
    <w:rsid w:val="0002238E"/>
    <w:rsid w:val="00022AC5"/>
    <w:rsid w:val="00023D33"/>
    <w:rsid w:val="0002435C"/>
    <w:rsid w:val="000243DF"/>
    <w:rsid w:val="000252C6"/>
    <w:rsid w:val="00025F51"/>
    <w:rsid w:val="000324EA"/>
    <w:rsid w:val="00035A32"/>
    <w:rsid w:val="00036307"/>
    <w:rsid w:val="00036610"/>
    <w:rsid w:val="000370D6"/>
    <w:rsid w:val="00037627"/>
    <w:rsid w:val="00037DC4"/>
    <w:rsid w:val="0004018E"/>
    <w:rsid w:val="00040BE6"/>
    <w:rsid w:val="0004161D"/>
    <w:rsid w:val="000429F0"/>
    <w:rsid w:val="00042B51"/>
    <w:rsid w:val="000444FC"/>
    <w:rsid w:val="00045AD9"/>
    <w:rsid w:val="000461AF"/>
    <w:rsid w:val="000473DF"/>
    <w:rsid w:val="00050476"/>
    <w:rsid w:val="00050ED6"/>
    <w:rsid w:val="0005159E"/>
    <w:rsid w:val="0005398B"/>
    <w:rsid w:val="000542B3"/>
    <w:rsid w:val="000550F5"/>
    <w:rsid w:val="000558D3"/>
    <w:rsid w:val="00055F0F"/>
    <w:rsid w:val="000579D2"/>
    <w:rsid w:val="0006005B"/>
    <w:rsid w:val="0006125A"/>
    <w:rsid w:val="00061A01"/>
    <w:rsid w:val="00061D6D"/>
    <w:rsid w:val="00062044"/>
    <w:rsid w:val="00063049"/>
    <w:rsid w:val="00063D25"/>
    <w:rsid w:val="00063D74"/>
    <w:rsid w:val="0006441B"/>
    <w:rsid w:val="000655F7"/>
    <w:rsid w:val="000669AC"/>
    <w:rsid w:val="00067093"/>
    <w:rsid w:val="000673E2"/>
    <w:rsid w:val="000714FD"/>
    <w:rsid w:val="00071AB5"/>
    <w:rsid w:val="00072302"/>
    <w:rsid w:val="000734D1"/>
    <w:rsid w:val="0007410F"/>
    <w:rsid w:val="00076AA3"/>
    <w:rsid w:val="000811B4"/>
    <w:rsid w:val="000815F6"/>
    <w:rsid w:val="00081717"/>
    <w:rsid w:val="000823EE"/>
    <w:rsid w:val="00082630"/>
    <w:rsid w:val="0008264C"/>
    <w:rsid w:val="00082992"/>
    <w:rsid w:val="00083744"/>
    <w:rsid w:val="00084483"/>
    <w:rsid w:val="000845F6"/>
    <w:rsid w:val="000866DE"/>
    <w:rsid w:val="00087AF9"/>
    <w:rsid w:val="00090CC6"/>
    <w:rsid w:val="00090EC9"/>
    <w:rsid w:val="00091078"/>
    <w:rsid w:val="00093BA4"/>
    <w:rsid w:val="0009413B"/>
    <w:rsid w:val="00094369"/>
    <w:rsid w:val="00095D3E"/>
    <w:rsid w:val="000979AF"/>
    <w:rsid w:val="000A0145"/>
    <w:rsid w:val="000A15BD"/>
    <w:rsid w:val="000A322D"/>
    <w:rsid w:val="000A3CE2"/>
    <w:rsid w:val="000A53FB"/>
    <w:rsid w:val="000A5A5B"/>
    <w:rsid w:val="000A6DD3"/>
    <w:rsid w:val="000A6FA4"/>
    <w:rsid w:val="000B0293"/>
    <w:rsid w:val="000B0990"/>
    <w:rsid w:val="000B2213"/>
    <w:rsid w:val="000B3139"/>
    <w:rsid w:val="000B3356"/>
    <w:rsid w:val="000B5201"/>
    <w:rsid w:val="000B5606"/>
    <w:rsid w:val="000B561B"/>
    <w:rsid w:val="000B5627"/>
    <w:rsid w:val="000B6B24"/>
    <w:rsid w:val="000B7542"/>
    <w:rsid w:val="000B7F60"/>
    <w:rsid w:val="000C0149"/>
    <w:rsid w:val="000C1FF6"/>
    <w:rsid w:val="000C22A4"/>
    <w:rsid w:val="000C2570"/>
    <w:rsid w:val="000C2A53"/>
    <w:rsid w:val="000C437E"/>
    <w:rsid w:val="000C539E"/>
    <w:rsid w:val="000C6F84"/>
    <w:rsid w:val="000D0AAE"/>
    <w:rsid w:val="000D0D86"/>
    <w:rsid w:val="000D0DDB"/>
    <w:rsid w:val="000D0DE9"/>
    <w:rsid w:val="000D1309"/>
    <w:rsid w:val="000D1F40"/>
    <w:rsid w:val="000D2AD4"/>
    <w:rsid w:val="000D357E"/>
    <w:rsid w:val="000D4F8C"/>
    <w:rsid w:val="000D4F92"/>
    <w:rsid w:val="000D5D0E"/>
    <w:rsid w:val="000D5D71"/>
    <w:rsid w:val="000E00DC"/>
    <w:rsid w:val="000E2508"/>
    <w:rsid w:val="000E2859"/>
    <w:rsid w:val="000E36C2"/>
    <w:rsid w:val="000E3F59"/>
    <w:rsid w:val="000E4087"/>
    <w:rsid w:val="000E5200"/>
    <w:rsid w:val="000E5767"/>
    <w:rsid w:val="000E70A6"/>
    <w:rsid w:val="000E7270"/>
    <w:rsid w:val="000F05A0"/>
    <w:rsid w:val="000F314D"/>
    <w:rsid w:val="000F32EF"/>
    <w:rsid w:val="000F3B52"/>
    <w:rsid w:val="000F491B"/>
    <w:rsid w:val="000F5996"/>
    <w:rsid w:val="000F5E56"/>
    <w:rsid w:val="000F62BD"/>
    <w:rsid w:val="000F64B0"/>
    <w:rsid w:val="000F7C9D"/>
    <w:rsid w:val="00102FA7"/>
    <w:rsid w:val="0010313A"/>
    <w:rsid w:val="00103806"/>
    <w:rsid w:val="00103C26"/>
    <w:rsid w:val="00105D69"/>
    <w:rsid w:val="00105DF7"/>
    <w:rsid w:val="00106627"/>
    <w:rsid w:val="001074D4"/>
    <w:rsid w:val="00107FAE"/>
    <w:rsid w:val="00110125"/>
    <w:rsid w:val="001103DD"/>
    <w:rsid w:val="00110430"/>
    <w:rsid w:val="001111B5"/>
    <w:rsid w:val="00111756"/>
    <w:rsid w:val="00112A13"/>
    <w:rsid w:val="0011453D"/>
    <w:rsid w:val="001170E3"/>
    <w:rsid w:val="001204D4"/>
    <w:rsid w:val="00121365"/>
    <w:rsid w:val="001232E4"/>
    <w:rsid w:val="00124059"/>
    <w:rsid w:val="00124CAC"/>
    <w:rsid w:val="00126560"/>
    <w:rsid w:val="00126C37"/>
    <w:rsid w:val="00127C78"/>
    <w:rsid w:val="0013347C"/>
    <w:rsid w:val="00135203"/>
    <w:rsid w:val="0013521E"/>
    <w:rsid w:val="001355FA"/>
    <w:rsid w:val="00136417"/>
    <w:rsid w:val="00137430"/>
    <w:rsid w:val="00137511"/>
    <w:rsid w:val="00137900"/>
    <w:rsid w:val="00137CB3"/>
    <w:rsid w:val="00141443"/>
    <w:rsid w:val="0014164C"/>
    <w:rsid w:val="001417CF"/>
    <w:rsid w:val="00141E06"/>
    <w:rsid w:val="00142BEC"/>
    <w:rsid w:val="00144345"/>
    <w:rsid w:val="00144D10"/>
    <w:rsid w:val="0014798A"/>
    <w:rsid w:val="001512B4"/>
    <w:rsid w:val="00151912"/>
    <w:rsid w:val="00152E85"/>
    <w:rsid w:val="00153359"/>
    <w:rsid w:val="0015398D"/>
    <w:rsid w:val="00154371"/>
    <w:rsid w:val="001554A8"/>
    <w:rsid w:val="00155979"/>
    <w:rsid w:val="00155C43"/>
    <w:rsid w:val="00157A3E"/>
    <w:rsid w:val="0016057A"/>
    <w:rsid w:val="00161198"/>
    <w:rsid w:val="001626DD"/>
    <w:rsid w:val="00162823"/>
    <w:rsid w:val="00162ADA"/>
    <w:rsid w:val="0016403F"/>
    <w:rsid w:val="00164C47"/>
    <w:rsid w:val="00165709"/>
    <w:rsid w:val="001700E3"/>
    <w:rsid w:val="001703F5"/>
    <w:rsid w:val="00170B59"/>
    <w:rsid w:val="0017290B"/>
    <w:rsid w:val="0017436C"/>
    <w:rsid w:val="00175176"/>
    <w:rsid w:val="00175C9A"/>
    <w:rsid w:val="00175DAF"/>
    <w:rsid w:val="00175E58"/>
    <w:rsid w:val="00175F09"/>
    <w:rsid w:val="00175F91"/>
    <w:rsid w:val="00176DAB"/>
    <w:rsid w:val="00180893"/>
    <w:rsid w:val="00180B77"/>
    <w:rsid w:val="00181EC0"/>
    <w:rsid w:val="00182289"/>
    <w:rsid w:val="0018347C"/>
    <w:rsid w:val="00183713"/>
    <w:rsid w:val="00183B35"/>
    <w:rsid w:val="001861AC"/>
    <w:rsid w:val="00186D02"/>
    <w:rsid w:val="00187934"/>
    <w:rsid w:val="00190AC5"/>
    <w:rsid w:val="0019135F"/>
    <w:rsid w:val="001916AD"/>
    <w:rsid w:val="0019366D"/>
    <w:rsid w:val="001943CD"/>
    <w:rsid w:val="00196893"/>
    <w:rsid w:val="001A13C3"/>
    <w:rsid w:val="001A19B7"/>
    <w:rsid w:val="001A1C9C"/>
    <w:rsid w:val="001A4C3F"/>
    <w:rsid w:val="001A4F3B"/>
    <w:rsid w:val="001A511E"/>
    <w:rsid w:val="001A5FAC"/>
    <w:rsid w:val="001A668E"/>
    <w:rsid w:val="001A7386"/>
    <w:rsid w:val="001B06A9"/>
    <w:rsid w:val="001B1340"/>
    <w:rsid w:val="001B158F"/>
    <w:rsid w:val="001B1B1B"/>
    <w:rsid w:val="001B224A"/>
    <w:rsid w:val="001B3399"/>
    <w:rsid w:val="001B35D1"/>
    <w:rsid w:val="001B3715"/>
    <w:rsid w:val="001C1A90"/>
    <w:rsid w:val="001C20DB"/>
    <w:rsid w:val="001C2686"/>
    <w:rsid w:val="001C3192"/>
    <w:rsid w:val="001C4AE5"/>
    <w:rsid w:val="001C516B"/>
    <w:rsid w:val="001C55B1"/>
    <w:rsid w:val="001C61B3"/>
    <w:rsid w:val="001C65EF"/>
    <w:rsid w:val="001C6A38"/>
    <w:rsid w:val="001C7999"/>
    <w:rsid w:val="001D050B"/>
    <w:rsid w:val="001D0E74"/>
    <w:rsid w:val="001D0F3D"/>
    <w:rsid w:val="001D1CBD"/>
    <w:rsid w:val="001D207E"/>
    <w:rsid w:val="001D2191"/>
    <w:rsid w:val="001D2A13"/>
    <w:rsid w:val="001D2BCC"/>
    <w:rsid w:val="001D49D4"/>
    <w:rsid w:val="001D535C"/>
    <w:rsid w:val="001E031A"/>
    <w:rsid w:val="001E0DF2"/>
    <w:rsid w:val="001E3F65"/>
    <w:rsid w:val="001E4C90"/>
    <w:rsid w:val="001E563C"/>
    <w:rsid w:val="001E7993"/>
    <w:rsid w:val="001E7DEB"/>
    <w:rsid w:val="001F028F"/>
    <w:rsid w:val="001F0524"/>
    <w:rsid w:val="001F172A"/>
    <w:rsid w:val="001F1E98"/>
    <w:rsid w:val="001F20D8"/>
    <w:rsid w:val="001F3AEB"/>
    <w:rsid w:val="001F3EA5"/>
    <w:rsid w:val="001F5AB0"/>
    <w:rsid w:val="001F5B38"/>
    <w:rsid w:val="001F63A1"/>
    <w:rsid w:val="001F64E6"/>
    <w:rsid w:val="001F6929"/>
    <w:rsid w:val="00200A71"/>
    <w:rsid w:val="00200D1F"/>
    <w:rsid w:val="00200E59"/>
    <w:rsid w:val="002012C8"/>
    <w:rsid w:val="0020202A"/>
    <w:rsid w:val="00202ADE"/>
    <w:rsid w:val="0020352F"/>
    <w:rsid w:val="002040CF"/>
    <w:rsid w:val="00204565"/>
    <w:rsid w:val="002049E4"/>
    <w:rsid w:val="00207F39"/>
    <w:rsid w:val="00210D2E"/>
    <w:rsid w:val="00212E57"/>
    <w:rsid w:val="00213A68"/>
    <w:rsid w:val="00215B8A"/>
    <w:rsid w:val="002160F1"/>
    <w:rsid w:val="002164BC"/>
    <w:rsid w:val="00216747"/>
    <w:rsid w:val="002178D7"/>
    <w:rsid w:val="00217BB0"/>
    <w:rsid w:val="002203F3"/>
    <w:rsid w:val="00220D5D"/>
    <w:rsid w:val="00221C9D"/>
    <w:rsid w:val="00222AAA"/>
    <w:rsid w:val="00222EAB"/>
    <w:rsid w:val="0022337C"/>
    <w:rsid w:val="00223E22"/>
    <w:rsid w:val="00226173"/>
    <w:rsid w:val="002279D1"/>
    <w:rsid w:val="00227C65"/>
    <w:rsid w:val="002305F5"/>
    <w:rsid w:val="0023063E"/>
    <w:rsid w:val="002308BB"/>
    <w:rsid w:val="00230E8D"/>
    <w:rsid w:val="002311AA"/>
    <w:rsid w:val="002315C0"/>
    <w:rsid w:val="00232A5F"/>
    <w:rsid w:val="00233B20"/>
    <w:rsid w:val="00234DAB"/>
    <w:rsid w:val="002351BF"/>
    <w:rsid w:val="002355AE"/>
    <w:rsid w:val="00237879"/>
    <w:rsid w:val="00240B37"/>
    <w:rsid w:val="002429A6"/>
    <w:rsid w:val="00242A9F"/>
    <w:rsid w:val="00242E76"/>
    <w:rsid w:val="00242F95"/>
    <w:rsid w:val="00244333"/>
    <w:rsid w:val="0024489E"/>
    <w:rsid w:val="002474D1"/>
    <w:rsid w:val="002504EC"/>
    <w:rsid w:val="00250CC1"/>
    <w:rsid w:val="002510B0"/>
    <w:rsid w:val="00251613"/>
    <w:rsid w:val="002522FA"/>
    <w:rsid w:val="00252D93"/>
    <w:rsid w:val="002540AF"/>
    <w:rsid w:val="00254E34"/>
    <w:rsid w:val="00257EBE"/>
    <w:rsid w:val="002601FD"/>
    <w:rsid w:val="002628E3"/>
    <w:rsid w:val="00262C4A"/>
    <w:rsid w:val="00262C73"/>
    <w:rsid w:val="0026312B"/>
    <w:rsid w:val="002638E8"/>
    <w:rsid w:val="00265328"/>
    <w:rsid w:val="002708A8"/>
    <w:rsid w:val="00270BEF"/>
    <w:rsid w:val="0027233F"/>
    <w:rsid w:val="0027299C"/>
    <w:rsid w:val="002762A6"/>
    <w:rsid w:val="0027646B"/>
    <w:rsid w:val="00276F03"/>
    <w:rsid w:val="00277FE9"/>
    <w:rsid w:val="002806AD"/>
    <w:rsid w:val="00280B0D"/>
    <w:rsid w:val="00280DC1"/>
    <w:rsid w:val="00280F4E"/>
    <w:rsid w:val="00281A5C"/>
    <w:rsid w:val="00281DDD"/>
    <w:rsid w:val="0028215A"/>
    <w:rsid w:val="00282A2F"/>
    <w:rsid w:val="00284C9B"/>
    <w:rsid w:val="00285556"/>
    <w:rsid w:val="002857EF"/>
    <w:rsid w:val="00285AB9"/>
    <w:rsid w:val="002868AB"/>
    <w:rsid w:val="002878D8"/>
    <w:rsid w:val="00293062"/>
    <w:rsid w:val="00294277"/>
    <w:rsid w:val="002942EF"/>
    <w:rsid w:val="00294490"/>
    <w:rsid w:val="0029526B"/>
    <w:rsid w:val="00295809"/>
    <w:rsid w:val="00296472"/>
    <w:rsid w:val="0029667E"/>
    <w:rsid w:val="00297FD5"/>
    <w:rsid w:val="002A1B10"/>
    <w:rsid w:val="002A234A"/>
    <w:rsid w:val="002A2FBB"/>
    <w:rsid w:val="002A4D0C"/>
    <w:rsid w:val="002A4FA7"/>
    <w:rsid w:val="002A6309"/>
    <w:rsid w:val="002A7671"/>
    <w:rsid w:val="002B12C7"/>
    <w:rsid w:val="002B2213"/>
    <w:rsid w:val="002B22A9"/>
    <w:rsid w:val="002B3654"/>
    <w:rsid w:val="002B4066"/>
    <w:rsid w:val="002B4BC8"/>
    <w:rsid w:val="002B6378"/>
    <w:rsid w:val="002B75AA"/>
    <w:rsid w:val="002C011C"/>
    <w:rsid w:val="002C1181"/>
    <w:rsid w:val="002C2770"/>
    <w:rsid w:val="002C4266"/>
    <w:rsid w:val="002C5D51"/>
    <w:rsid w:val="002C7C08"/>
    <w:rsid w:val="002D056D"/>
    <w:rsid w:val="002D1A92"/>
    <w:rsid w:val="002D1AA6"/>
    <w:rsid w:val="002D1C92"/>
    <w:rsid w:val="002D42E7"/>
    <w:rsid w:val="002D46C5"/>
    <w:rsid w:val="002D4971"/>
    <w:rsid w:val="002D50AC"/>
    <w:rsid w:val="002D6F3B"/>
    <w:rsid w:val="002E3627"/>
    <w:rsid w:val="002E3720"/>
    <w:rsid w:val="002E4128"/>
    <w:rsid w:val="002E4B42"/>
    <w:rsid w:val="002E756A"/>
    <w:rsid w:val="002F0386"/>
    <w:rsid w:val="002F14C9"/>
    <w:rsid w:val="002F6885"/>
    <w:rsid w:val="00300596"/>
    <w:rsid w:val="00301466"/>
    <w:rsid w:val="00301522"/>
    <w:rsid w:val="003025C2"/>
    <w:rsid w:val="00302A36"/>
    <w:rsid w:val="003042CE"/>
    <w:rsid w:val="003048B3"/>
    <w:rsid w:val="00304C2F"/>
    <w:rsid w:val="00304C47"/>
    <w:rsid w:val="0030564F"/>
    <w:rsid w:val="003056BB"/>
    <w:rsid w:val="00306A52"/>
    <w:rsid w:val="00307E5E"/>
    <w:rsid w:val="003111A4"/>
    <w:rsid w:val="003112DD"/>
    <w:rsid w:val="00312E6F"/>
    <w:rsid w:val="003148C4"/>
    <w:rsid w:val="00314F81"/>
    <w:rsid w:val="00316666"/>
    <w:rsid w:val="00317E41"/>
    <w:rsid w:val="003202D5"/>
    <w:rsid w:val="0032211D"/>
    <w:rsid w:val="0032293B"/>
    <w:rsid w:val="00322BBD"/>
    <w:rsid w:val="00323065"/>
    <w:rsid w:val="003238F6"/>
    <w:rsid w:val="003251DE"/>
    <w:rsid w:val="00325992"/>
    <w:rsid w:val="0032655B"/>
    <w:rsid w:val="00326B89"/>
    <w:rsid w:val="00331C5B"/>
    <w:rsid w:val="00333AFA"/>
    <w:rsid w:val="00333FFC"/>
    <w:rsid w:val="0033458D"/>
    <w:rsid w:val="00334C6A"/>
    <w:rsid w:val="00334CB3"/>
    <w:rsid w:val="003351C9"/>
    <w:rsid w:val="003351DA"/>
    <w:rsid w:val="003374B9"/>
    <w:rsid w:val="00340540"/>
    <w:rsid w:val="00341FC6"/>
    <w:rsid w:val="00342F11"/>
    <w:rsid w:val="003431F5"/>
    <w:rsid w:val="003436E6"/>
    <w:rsid w:val="00343E48"/>
    <w:rsid w:val="00343F18"/>
    <w:rsid w:val="003456A6"/>
    <w:rsid w:val="00346A2C"/>
    <w:rsid w:val="00347C95"/>
    <w:rsid w:val="003515F2"/>
    <w:rsid w:val="00354661"/>
    <w:rsid w:val="0035474B"/>
    <w:rsid w:val="003554CC"/>
    <w:rsid w:val="0035752C"/>
    <w:rsid w:val="00357BDB"/>
    <w:rsid w:val="00357C8B"/>
    <w:rsid w:val="00357CEE"/>
    <w:rsid w:val="003604DF"/>
    <w:rsid w:val="00360977"/>
    <w:rsid w:val="00360D70"/>
    <w:rsid w:val="00361AB0"/>
    <w:rsid w:val="00362698"/>
    <w:rsid w:val="00363221"/>
    <w:rsid w:val="00363AD7"/>
    <w:rsid w:val="00367E05"/>
    <w:rsid w:val="00370094"/>
    <w:rsid w:val="00370EA0"/>
    <w:rsid w:val="00371520"/>
    <w:rsid w:val="00373532"/>
    <w:rsid w:val="00374103"/>
    <w:rsid w:val="003816B7"/>
    <w:rsid w:val="003818A6"/>
    <w:rsid w:val="00381AEE"/>
    <w:rsid w:val="003824EB"/>
    <w:rsid w:val="00382AB0"/>
    <w:rsid w:val="00382F1B"/>
    <w:rsid w:val="0038325C"/>
    <w:rsid w:val="003836E4"/>
    <w:rsid w:val="00383CE4"/>
    <w:rsid w:val="003856CA"/>
    <w:rsid w:val="00386853"/>
    <w:rsid w:val="003877E7"/>
    <w:rsid w:val="00390E16"/>
    <w:rsid w:val="0039162A"/>
    <w:rsid w:val="00392A11"/>
    <w:rsid w:val="00392B2F"/>
    <w:rsid w:val="00393CBC"/>
    <w:rsid w:val="00394C09"/>
    <w:rsid w:val="0039549A"/>
    <w:rsid w:val="00395AA1"/>
    <w:rsid w:val="0039639D"/>
    <w:rsid w:val="0039645A"/>
    <w:rsid w:val="003969DC"/>
    <w:rsid w:val="00396FA0"/>
    <w:rsid w:val="003A0360"/>
    <w:rsid w:val="003A1287"/>
    <w:rsid w:val="003A1A47"/>
    <w:rsid w:val="003A2CF3"/>
    <w:rsid w:val="003A3E2E"/>
    <w:rsid w:val="003A49F0"/>
    <w:rsid w:val="003A4AE8"/>
    <w:rsid w:val="003A4C37"/>
    <w:rsid w:val="003A613B"/>
    <w:rsid w:val="003A7ACE"/>
    <w:rsid w:val="003B0E6B"/>
    <w:rsid w:val="003B123C"/>
    <w:rsid w:val="003B453D"/>
    <w:rsid w:val="003B5127"/>
    <w:rsid w:val="003B5C03"/>
    <w:rsid w:val="003B60D4"/>
    <w:rsid w:val="003B70DD"/>
    <w:rsid w:val="003B791E"/>
    <w:rsid w:val="003B7E8D"/>
    <w:rsid w:val="003C0381"/>
    <w:rsid w:val="003C12C1"/>
    <w:rsid w:val="003C1469"/>
    <w:rsid w:val="003C20AC"/>
    <w:rsid w:val="003C2186"/>
    <w:rsid w:val="003C2378"/>
    <w:rsid w:val="003C2896"/>
    <w:rsid w:val="003C3A11"/>
    <w:rsid w:val="003C45B6"/>
    <w:rsid w:val="003C4B72"/>
    <w:rsid w:val="003C52DB"/>
    <w:rsid w:val="003C5932"/>
    <w:rsid w:val="003C5D32"/>
    <w:rsid w:val="003C624E"/>
    <w:rsid w:val="003C637D"/>
    <w:rsid w:val="003C71A6"/>
    <w:rsid w:val="003D0CE1"/>
    <w:rsid w:val="003D0CFA"/>
    <w:rsid w:val="003D0E2D"/>
    <w:rsid w:val="003D2CC5"/>
    <w:rsid w:val="003D357C"/>
    <w:rsid w:val="003D3672"/>
    <w:rsid w:val="003D4E20"/>
    <w:rsid w:val="003D57AB"/>
    <w:rsid w:val="003D6AB0"/>
    <w:rsid w:val="003E0A7D"/>
    <w:rsid w:val="003E1467"/>
    <w:rsid w:val="003E4211"/>
    <w:rsid w:val="003E778B"/>
    <w:rsid w:val="003E7E09"/>
    <w:rsid w:val="003F0BFF"/>
    <w:rsid w:val="003F52E2"/>
    <w:rsid w:val="003F5F7A"/>
    <w:rsid w:val="003F731D"/>
    <w:rsid w:val="003F7E2B"/>
    <w:rsid w:val="004020A0"/>
    <w:rsid w:val="00402B72"/>
    <w:rsid w:val="004044AA"/>
    <w:rsid w:val="004061EA"/>
    <w:rsid w:val="004068FE"/>
    <w:rsid w:val="00406AE3"/>
    <w:rsid w:val="00406F33"/>
    <w:rsid w:val="00410ACD"/>
    <w:rsid w:val="00410CD9"/>
    <w:rsid w:val="00410D06"/>
    <w:rsid w:val="00412126"/>
    <w:rsid w:val="004129CE"/>
    <w:rsid w:val="00412A12"/>
    <w:rsid w:val="00416627"/>
    <w:rsid w:val="00420295"/>
    <w:rsid w:val="00421159"/>
    <w:rsid w:val="0042194D"/>
    <w:rsid w:val="00422D3F"/>
    <w:rsid w:val="00425EDB"/>
    <w:rsid w:val="00426EA2"/>
    <w:rsid w:val="0042741E"/>
    <w:rsid w:val="004305E9"/>
    <w:rsid w:val="00430CA4"/>
    <w:rsid w:val="00431B13"/>
    <w:rsid w:val="00433305"/>
    <w:rsid w:val="00434EA3"/>
    <w:rsid w:val="00434EEF"/>
    <w:rsid w:val="004418D8"/>
    <w:rsid w:val="004423B7"/>
    <w:rsid w:val="00443DBB"/>
    <w:rsid w:val="00443E1D"/>
    <w:rsid w:val="0044464F"/>
    <w:rsid w:val="00444D92"/>
    <w:rsid w:val="00445025"/>
    <w:rsid w:val="004456D0"/>
    <w:rsid w:val="00446507"/>
    <w:rsid w:val="00450AFC"/>
    <w:rsid w:val="00451E4A"/>
    <w:rsid w:val="00452991"/>
    <w:rsid w:val="00453EFA"/>
    <w:rsid w:val="00455119"/>
    <w:rsid w:val="004571FC"/>
    <w:rsid w:val="00460880"/>
    <w:rsid w:val="00461085"/>
    <w:rsid w:val="00462314"/>
    <w:rsid w:val="00462D3A"/>
    <w:rsid w:val="00462D4C"/>
    <w:rsid w:val="0046480B"/>
    <w:rsid w:val="0046518E"/>
    <w:rsid w:val="0046571E"/>
    <w:rsid w:val="00466D13"/>
    <w:rsid w:val="00467904"/>
    <w:rsid w:val="0047033F"/>
    <w:rsid w:val="004715FE"/>
    <w:rsid w:val="004740F2"/>
    <w:rsid w:val="00476073"/>
    <w:rsid w:val="00480B03"/>
    <w:rsid w:val="00481A77"/>
    <w:rsid w:val="004839AE"/>
    <w:rsid w:val="00485391"/>
    <w:rsid w:val="00485B56"/>
    <w:rsid w:val="00485C79"/>
    <w:rsid w:val="00486E1C"/>
    <w:rsid w:val="00486FB6"/>
    <w:rsid w:val="00487407"/>
    <w:rsid w:val="004928A4"/>
    <w:rsid w:val="00492937"/>
    <w:rsid w:val="004954A5"/>
    <w:rsid w:val="0049602D"/>
    <w:rsid w:val="0049755D"/>
    <w:rsid w:val="00497C44"/>
    <w:rsid w:val="004A1B51"/>
    <w:rsid w:val="004A1DF7"/>
    <w:rsid w:val="004A25C6"/>
    <w:rsid w:val="004A49A6"/>
    <w:rsid w:val="004A4D15"/>
    <w:rsid w:val="004A4F36"/>
    <w:rsid w:val="004A50ED"/>
    <w:rsid w:val="004A5E13"/>
    <w:rsid w:val="004A70C0"/>
    <w:rsid w:val="004B02E6"/>
    <w:rsid w:val="004B0A1C"/>
    <w:rsid w:val="004B1344"/>
    <w:rsid w:val="004B1BA2"/>
    <w:rsid w:val="004B21BE"/>
    <w:rsid w:val="004B4965"/>
    <w:rsid w:val="004B57B0"/>
    <w:rsid w:val="004B5910"/>
    <w:rsid w:val="004B5AC8"/>
    <w:rsid w:val="004B64D9"/>
    <w:rsid w:val="004B6873"/>
    <w:rsid w:val="004C08DD"/>
    <w:rsid w:val="004C10C2"/>
    <w:rsid w:val="004C3F14"/>
    <w:rsid w:val="004C45F4"/>
    <w:rsid w:val="004C4F47"/>
    <w:rsid w:val="004C4FD5"/>
    <w:rsid w:val="004C50AA"/>
    <w:rsid w:val="004C6004"/>
    <w:rsid w:val="004C6390"/>
    <w:rsid w:val="004C693A"/>
    <w:rsid w:val="004C6CD7"/>
    <w:rsid w:val="004C714A"/>
    <w:rsid w:val="004C7D2E"/>
    <w:rsid w:val="004D04AD"/>
    <w:rsid w:val="004D0867"/>
    <w:rsid w:val="004D1967"/>
    <w:rsid w:val="004D4541"/>
    <w:rsid w:val="004D74C8"/>
    <w:rsid w:val="004E0F71"/>
    <w:rsid w:val="004E1AD5"/>
    <w:rsid w:val="004E5D04"/>
    <w:rsid w:val="004E5D0E"/>
    <w:rsid w:val="004E6BE5"/>
    <w:rsid w:val="004E725E"/>
    <w:rsid w:val="004F03D9"/>
    <w:rsid w:val="004F139A"/>
    <w:rsid w:val="004F1C93"/>
    <w:rsid w:val="004F2EC8"/>
    <w:rsid w:val="004F33AA"/>
    <w:rsid w:val="004F37E8"/>
    <w:rsid w:val="004F42DB"/>
    <w:rsid w:val="004F53E8"/>
    <w:rsid w:val="004F540F"/>
    <w:rsid w:val="004F6C74"/>
    <w:rsid w:val="00500966"/>
    <w:rsid w:val="0050130E"/>
    <w:rsid w:val="00501F93"/>
    <w:rsid w:val="00502D05"/>
    <w:rsid w:val="0050360C"/>
    <w:rsid w:val="00503A93"/>
    <w:rsid w:val="00504A80"/>
    <w:rsid w:val="00504BA2"/>
    <w:rsid w:val="00505946"/>
    <w:rsid w:val="00506995"/>
    <w:rsid w:val="00506CC9"/>
    <w:rsid w:val="005077DE"/>
    <w:rsid w:val="00511638"/>
    <w:rsid w:val="005121DA"/>
    <w:rsid w:val="00512897"/>
    <w:rsid w:val="0051465E"/>
    <w:rsid w:val="00515071"/>
    <w:rsid w:val="005156F6"/>
    <w:rsid w:val="0051575E"/>
    <w:rsid w:val="005164EA"/>
    <w:rsid w:val="005168EE"/>
    <w:rsid w:val="0051699B"/>
    <w:rsid w:val="005175D5"/>
    <w:rsid w:val="005179C8"/>
    <w:rsid w:val="00520FC3"/>
    <w:rsid w:val="0052128E"/>
    <w:rsid w:val="00521897"/>
    <w:rsid w:val="00522A05"/>
    <w:rsid w:val="00523258"/>
    <w:rsid w:val="00523A45"/>
    <w:rsid w:val="00523AFE"/>
    <w:rsid w:val="00523DAB"/>
    <w:rsid w:val="0052549C"/>
    <w:rsid w:val="00525A4E"/>
    <w:rsid w:val="0052669A"/>
    <w:rsid w:val="00526FDA"/>
    <w:rsid w:val="005273D3"/>
    <w:rsid w:val="005276CF"/>
    <w:rsid w:val="00527DA2"/>
    <w:rsid w:val="00530273"/>
    <w:rsid w:val="005303CA"/>
    <w:rsid w:val="00530880"/>
    <w:rsid w:val="0053296B"/>
    <w:rsid w:val="00532F41"/>
    <w:rsid w:val="00534465"/>
    <w:rsid w:val="00534C04"/>
    <w:rsid w:val="005359F2"/>
    <w:rsid w:val="00535E25"/>
    <w:rsid w:val="005416A0"/>
    <w:rsid w:val="0054204C"/>
    <w:rsid w:val="00543890"/>
    <w:rsid w:val="00543FD7"/>
    <w:rsid w:val="0054528B"/>
    <w:rsid w:val="00545E6D"/>
    <w:rsid w:val="005466EF"/>
    <w:rsid w:val="00546879"/>
    <w:rsid w:val="005472D4"/>
    <w:rsid w:val="00547831"/>
    <w:rsid w:val="00551A82"/>
    <w:rsid w:val="0055449D"/>
    <w:rsid w:val="00556BC3"/>
    <w:rsid w:val="005574CB"/>
    <w:rsid w:val="005609C6"/>
    <w:rsid w:val="00563468"/>
    <w:rsid w:val="00563CAD"/>
    <w:rsid w:val="00564134"/>
    <w:rsid w:val="00564F79"/>
    <w:rsid w:val="005657D4"/>
    <w:rsid w:val="00565CF3"/>
    <w:rsid w:val="00566A0B"/>
    <w:rsid w:val="00566BE1"/>
    <w:rsid w:val="0056787C"/>
    <w:rsid w:val="005702FC"/>
    <w:rsid w:val="00570B85"/>
    <w:rsid w:val="00572944"/>
    <w:rsid w:val="00572BD7"/>
    <w:rsid w:val="005741C6"/>
    <w:rsid w:val="005753BA"/>
    <w:rsid w:val="00575432"/>
    <w:rsid w:val="00576491"/>
    <w:rsid w:val="00577281"/>
    <w:rsid w:val="005816DC"/>
    <w:rsid w:val="00582974"/>
    <w:rsid w:val="00583A7E"/>
    <w:rsid w:val="0058624F"/>
    <w:rsid w:val="00586558"/>
    <w:rsid w:val="00586F7F"/>
    <w:rsid w:val="00587115"/>
    <w:rsid w:val="0059068F"/>
    <w:rsid w:val="00591244"/>
    <w:rsid w:val="0059131E"/>
    <w:rsid w:val="0059149E"/>
    <w:rsid w:val="00592181"/>
    <w:rsid w:val="00592D39"/>
    <w:rsid w:val="005934D0"/>
    <w:rsid w:val="00593DF5"/>
    <w:rsid w:val="0059456C"/>
    <w:rsid w:val="00596BE3"/>
    <w:rsid w:val="0059722A"/>
    <w:rsid w:val="005A14D8"/>
    <w:rsid w:val="005A234F"/>
    <w:rsid w:val="005A30D6"/>
    <w:rsid w:val="005A3737"/>
    <w:rsid w:val="005A3741"/>
    <w:rsid w:val="005A42E7"/>
    <w:rsid w:val="005A5D10"/>
    <w:rsid w:val="005A75B7"/>
    <w:rsid w:val="005B0561"/>
    <w:rsid w:val="005B0982"/>
    <w:rsid w:val="005B1021"/>
    <w:rsid w:val="005B3FE3"/>
    <w:rsid w:val="005B4540"/>
    <w:rsid w:val="005B5EF9"/>
    <w:rsid w:val="005B6ABF"/>
    <w:rsid w:val="005B775F"/>
    <w:rsid w:val="005C00A5"/>
    <w:rsid w:val="005C03B4"/>
    <w:rsid w:val="005C1E08"/>
    <w:rsid w:val="005C238C"/>
    <w:rsid w:val="005C2F6F"/>
    <w:rsid w:val="005C4676"/>
    <w:rsid w:val="005C586D"/>
    <w:rsid w:val="005C6627"/>
    <w:rsid w:val="005C670F"/>
    <w:rsid w:val="005C6C05"/>
    <w:rsid w:val="005D0785"/>
    <w:rsid w:val="005D2A2B"/>
    <w:rsid w:val="005D37A1"/>
    <w:rsid w:val="005D3CDD"/>
    <w:rsid w:val="005D6EC4"/>
    <w:rsid w:val="005D757D"/>
    <w:rsid w:val="005D765C"/>
    <w:rsid w:val="005E0070"/>
    <w:rsid w:val="005E3CDC"/>
    <w:rsid w:val="005E3F71"/>
    <w:rsid w:val="005E5265"/>
    <w:rsid w:val="005E57C5"/>
    <w:rsid w:val="005E5C16"/>
    <w:rsid w:val="005E663F"/>
    <w:rsid w:val="005E6D04"/>
    <w:rsid w:val="005E6D54"/>
    <w:rsid w:val="005E7884"/>
    <w:rsid w:val="005F0333"/>
    <w:rsid w:val="005F1371"/>
    <w:rsid w:val="005F1A99"/>
    <w:rsid w:val="005F203C"/>
    <w:rsid w:val="005F20E5"/>
    <w:rsid w:val="005F230F"/>
    <w:rsid w:val="005F2FFB"/>
    <w:rsid w:val="005F3184"/>
    <w:rsid w:val="005F3D31"/>
    <w:rsid w:val="005F5036"/>
    <w:rsid w:val="005F52E4"/>
    <w:rsid w:val="005F614D"/>
    <w:rsid w:val="0060036B"/>
    <w:rsid w:val="006003D8"/>
    <w:rsid w:val="006015CE"/>
    <w:rsid w:val="0060179E"/>
    <w:rsid w:val="006019A9"/>
    <w:rsid w:val="0060284E"/>
    <w:rsid w:val="0060366E"/>
    <w:rsid w:val="00603C9B"/>
    <w:rsid w:val="00604494"/>
    <w:rsid w:val="006053B4"/>
    <w:rsid w:val="006062DE"/>
    <w:rsid w:val="00611228"/>
    <w:rsid w:val="00611409"/>
    <w:rsid w:val="00611E1B"/>
    <w:rsid w:val="00612C8D"/>
    <w:rsid w:val="00613851"/>
    <w:rsid w:val="0061431A"/>
    <w:rsid w:val="00614A07"/>
    <w:rsid w:val="00614B4B"/>
    <w:rsid w:val="006152E4"/>
    <w:rsid w:val="00616A43"/>
    <w:rsid w:val="00616BC4"/>
    <w:rsid w:val="00620250"/>
    <w:rsid w:val="00621D20"/>
    <w:rsid w:val="00622D6C"/>
    <w:rsid w:val="006232FC"/>
    <w:rsid w:val="00623338"/>
    <w:rsid w:val="0062623F"/>
    <w:rsid w:val="00627945"/>
    <w:rsid w:val="00630128"/>
    <w:rsid w:val="00630B4C"/>
    <w:rsid w:val="00632219"/>
    <w:rsid w:val="00632E45"/>
    <w:rsid w:val="00633BFB"/>
    <w:rsid w:val="00634019"/>
    <w:rsid w:val="00636465"/>
    <w:rsid w:val="00636CFF"/>
    <w:rsid w:val="00637065"/>
    <w:rsid w:val="00637699"/>
    <w:rsid w:val="00637B00"/>
    <w:rsid w:val="00640BF2"/>
    <w:rsid w:val="006419BE"/>
    <w:rsid w:val="00641C22"/>
    <w:rsid w:val="00645240"/>
    <w:rsid w:val="00645283"/>
    <w:rsid w:val="00645C4D"/>
    <w:rsid w:val="00645D82"/>
    <w:rsid w:val="00650750"/>
    <w:rsid w:val="00650CF3"/>
    <w:rsid w:val="00651A85"/>
    <w:rsid w:val="00651F7A"/>
    <w:rsid w:val="00653C33"/>
    <w:rsid w:val="00654C0F"/>
    <w:rsid w:val="00656BBF"/>
    <w:rsid w:val="00656C59"/>
    <w:rsid w:val="00661386"/>
    <w:rsid w:val="006636A2"/>
    <w:rsid w:val="006636FC"/>
    <w:rsid w:val="0066430F"/>
    <w:rsid w:val="00665B24"/>
    <w:rsid w:val="00665F02"/>
    <w:rsid w:val="0066619A"/>
    <w:rsid w:val="006672C8"/>
    <w:rsid w:val="00667BE7"/>
    <w:rsid w:val="00670536"/>
    <w:rsid w:val="00670732"/>
    <w:rsid w:val="006716C6"/>
    <w:rsid w:val="00673383"/>
    <w:rsid w:val="006738FF"/>
    <w:rsid w:val="00673AFD"/>
    <w:rsid w:val="00673F8C"/>
    <w:rsid w:val="00675725"/>
    <w:rsid w:val="00675B05"/>
    <w:rsid w:val="00677175"/>
    <w:rsid w:val="00681B18"/>
    <w:rsid w:val="00681F02"/>
    <w:rsid w:val="006833F9"/>
    <w:rsid w:val="00683613"/>
    <w:rsid w:val="00684976"/>
    <w:rsid w:val="006852C1"/>
    <w:rsid w:val="00686426"/>
    <w:rsid w:val="00686746"/>
    <w:rsid w:val="00687C83"/>
    <w:rsid w:val="0069181B"/>
    <w:rsid w:val="00692FBC"/>
    <w:rsid w:val="00694027"/>
    <w:rsid w:val="00695C10"/>
    <w:rsid w:val="006A16A6"/>
    <w:rsid w:val="006A18C1"/>
    <w:rsid w:val="006A1A96"/>
    <w:rsid w:val="006A25D4"/>
    <w:rsid w:val="006A3CA8"/>
    <w:rsid w:val="006A4576"/>
    <w:rsid w:val="006A4A93"/>
    <w:rsid w:val="006A5ED8"/>
    <w:rsid w:val="006A6BEC"/>
    <w:rsid w:val="006B2528"/>
    <w:rsid w:val="006B41D2"/>
    <w:rsid w:val="006B4AC6"/>
    <w:rsid w:val="006B5420"/>
    <w:rsid w:val="006B631F"/>
    <w:rsid w:val="006B6EB6"/>
    <w:rsid w:val="006C02FB"/>
    <w:rsid w:val="006C11DC"/>
    <w:rsid w:val="006C15A5"/>
    <w:rsid w:val="006C1AAE"/>
    <w:rsid w:val="006C1F73"/>
    <w:rsid w:val="006C2928"/>
    <w:rsid w:val="006D2A27"/>
    <w:rsid w:val="006D3EF4"/>
    <w:rsid w:val="006D4104"/>
    <w:rsid w:val="006D4DC0"/>
    <w:rsid w:val="006D51CE"/>
    <w:rsid w:val="006D51E8"/>
    <w:rsid w:val="006D56B9"/>
    <w:rsid w:val="006D5D31"/>
    <w:rsid w:val="006E0925"/>
    <w:rsid w:val="006E15CC"/>
    <w:rsid w:val="006E29F0"/>
    <w:rsid w:val="006E457E"/>
    <w:rsid w:val="006E534E"/>
    <w:rsid w:val="006E5C41"/>
    <w:rsid w:val="006E5E69"/>
    <w:rsid w:val="006E7C90"/>
    <w:rsid w:val="006F166F"/>
    <w:rsid w:val="006F2FC6"/>
    <w:rsid w:val="006F3F48"/>
    <w:rsid w:val="006F41AF"/>
    <w:rsid w:val="006F4E61"/>
    <w:rsid w:val="006F54C6"/>
    <w:rsid w:val="006F6D63"/>
    <w:rsid w:val="00700B9E"/>
    <w:rsid w:val="0070163C"/>
    <w:rsid w:val="00703430"/>
    <w:rsid w:val="00703590"/>
    <w:rsid w:val="00704040"/>
    <w:rsid w:val="00704A4D"/>
    <w:rsid w:val="00704BBF"/>
    <w:rsid w:val="00705D97"/>
    <w:rsid w:val="0070667D"/>
    <w:rsid w:val="00706C51"/>
    <w:rsid w:val="00710E4A"/>
    <w:rsid w:val="00712774"/>
    <w:rsid w:val="00714B81"/>
    <w:rsid w:val="007155B1"/>
    <w:rsid w:val="00717796"/>
    <w:rsid w:val="007178C3"/>
    <w:rsid w:val="00717B73"/>
    <w:rsid w:val="00717C9F"/>
    <w:rsid w:val="007202ED"/>
    <w:rsid w:val="007206ED"/>
    <w:rsid w:val="007207C5"/>
    <w:rsid w:val="00720C46"/>
    <w:rsid w:val="00721B42"/>
    <w:rsid w:val="007227C2"/>
    <w:rsid w:val="00723F18"/>
    <w:rsid w:val="00724FF5"/>
    <w:rsid w:val="00726660"/>
    <w:rsid w:val="00727284"/>
    <w:rsid w:val="0072788C"/>
    <w:rsid w:val="00727BF6"/>
    <w:rsid w:val="00730BA8"/>
    <w:rsid w:val="007311D7"/>
    <w:rsid w:val="00731771"/>
    <w:rsid w:val="00733084"/>
    <w:rsid w:val="00733329"/>
    <w:rsid w:val="0073461E"/>
    <w:rsid w:val="007346D4"/>
    <w:rsid w:val="00734D51"/>
    <w:rsid w:val="0073537D"/>
    <w:rsid w:val="0073716D"/>
    <w:rsid w:val="00740FDF"/>
    <w:rsid w:val="00741E83"/>
    <w:rsid w:val="0074298B"/>
    <w:rsid w:val="0074334D"/>
    <w:rsid w:val="007441C5"/>
    <w:rsid w:val="007453F3"/>
    <w:rsid w:val="007464E7"/>
    <w:rsid w:val="007500BB"/>
    <w:rsid w:val="00750958"/>
    <w:rsid w:val="00753224"/>
    <w:rsid w:val="00753881"/>
    <w:rsid w:val="00753A79"/>
    <w:rsid w:val="00754AFF"/>
    <w:rsid w:val="00754B62"/>
    <w:rsid w:val="0075502F"/>
    <w:rsid w:val="007555EE"/>
    <w:rsid w:val="00756294"/>
    <w:rsid w:val="007562CB"/>
    <w:rsid w:val="00756306"/>
    <w:rsid w:val="00760675"/>
    <w:rsid w:val="0076176C"/>
    <w:rsid w:val="00761D00"/>
    <w:rsid w:val="007624DB"/>
    <w:rsid w:val="00763490"/>
    <w:rsid w:val="007634C3"/>
    <w:rsid w:val="00763FBC"/>
    <w:rsid w:val="00763FEA"/>
    <w:rsid w:val="0076407C"/>
    <w:rsid w:val="0076454E"/>
    <w:rsid w:val="007649B3"/>
    <w:rsid w:val="00766020"/>
    <w:rsid w:val="007660DA"/>
    <w:rsid w:val="00766654"/>
    <w:rsid w:val="0076671B"/>
    <w:rsid w:val="00767466"/>
    <w:rsid w:val="00767C23"/>
    <w:rsid w:val="00767D08"/>
    <w:rsid w:val="00770D84"/>
    <w:rsid w:val="00772265"/>
    <w:rsid w:val="007722BE"/>
    <w:rsid w:val="0077390E"/>
    <w:rsid w:val="0077456B"/>
    <w:rsid w:val="007757D9"/>
    <w:rsid w:val="007762DB"/>
    <w:rsid w:val="007772A2"/>
    <w:rsid w:val="00777AD9"/>
    <w:rsid w:val="00781732"/>
    <w:rsid w:val="0078244A"/>
    <w:rsid w:val="00783016"/>
    <w:rsid w:val="00784098"/>
    <w:rsid w:val="0078640D"/>
    <w:rsid w:val="00786D60"/>
    <w:rsid w:val="007874FB"/>
    <w:rsid w:val="00787503"/>
    <w:rsid w:val="00787C8E"/>
    <w:rsid w:val="00790B12"/>
    <w:rsid w:val="00790FB7"/>
    <w:rsid w:val="00791331"/>
    <w:rsid w:val="00791BA7"/>
    <w:rsid w:val="0079215A"/>
    <w:rsid w:val="00793386"/>
    <w:rsid w:val="00793535"/>
    <w:rsid w:val="00793628"/>
    <w:rsid w:val="00794144"/>
    <w:rsid w:val="00795537"/>
    <w:rsid w:val="00795A9F"/>
    <w:rsid w:val="00796244"/>
    <w:rsid w:val="00796DCC"/>
    <w:rsid w:val="00796F60"/>
    <w:rsid w:val="00797572"/>
    <w:rsid w:val="007A1A05"/>
    <w:rsid w:val="007A3B46"/>
    <w:rsid w:val="007A3D33"/>
    <w:rsid w:val="007A53AD"/>
    <w:rsid w:val="007A6D5E"/>
    <w:rsid w:val="007A7991"/>
    <w:rsid w:val="007B054E"/>
    <w:rsid w:val="007B240C"/>
    <w:rsid w:val="007B3026"/>
    <w:rsid w:val="007B492D"/>
    <w:rsid w:val="007B5E42"/>
    <w:rsid w:val="007B5FB0"/>
    <w:rsid w:val="007C1C96"/>
    <w:rsid w:val="007C2157"/>
    <w:rsid w:val="007C4047"/>
    <w:rsid w:val="007C4D31"/>
    <w:rsid w:val="007C738F"/>
    <w:rsid w:val="007C7BDB"/>
    <w:rsid w:val="007D0132"/>
    <w:rsid w:val="007D08F3"/>
    <w:rsid w:val="007D13E2"/>
    <w:rsid w:val="007D3103"/>
    <w:rsid w:val="007D53C7"/>
    <w:rsid w:val="007D67D8"/>
    <w:rsid w:val="007D7B95"/>
    <w:rsid w:val="007E0520"/>
    <w:rsid w:val="007E0F4B"/>
    <w:rsid w:val="007E0F71"/>
    <w:rsid w:val="007E0FBF"/>
    <w:rsid w:val="007E1C50"/>
    <w:rsid w:val="007E46A4"/>
    <w:rsid w:val="007E513A"/>
    <w:rsid w:val="007E69E0"/>
    <w:rsid w:val="007F0337"/>
    <w:rsid w:val="007F1B69"/>
    <w:rsid w:val="007F30E3"/>
    <w:rsid w:val="007F3B2C"/>
    <w:rsid w:val="007F47BC"/>
    <w:rsid w:val="007F4E44"/>
    <w:rsid w:val="007F5CF4"/>
    <w:rsid w:val="007F64C9"/>
    <w:rsid w:val="007F682D"/>
    <w:rsid w:val="007F6DF1"/>
    <w:rsid w:val="007F7C9D"/>
    <w:rsid w:val="00800096"/>
    <w:rsid w:val="00800860"/>
    <w:rsid w:val="00800F6B"/>
    <w:rsid w:val="0080103D"/>
    <w:rsid w:val="008012C9"/>
    <w:rsid w:val="0080195B"/>
    <w:rsid w:val="00802791"/>
    <w:rsid w:val="00803243"/>
    <w:rsid w:val="00806368"/>
    <w:rsid w:val="0080718A"/>
    <w:rsid w:val="00807C4D"/>
    <w:rsid w:val="00810385"/>
    <w:rsid w:val="00810EF1"/>
    <w:rsid w:val="0081120C"/>
    <w:rsid w:val="0081226B"/>
    <w:rsid w:val="0081275B"/>
    <w:rsid w:val="0081446D"/>
    <w:rsid w:val="00814C20"/>
    <w:rsid w:val="00814D80"/>
    <w:rsid w:val="0081534F"/>
    <w:rsid w:val="0081618A"/>
    <w:rsid w:val="008165AA"/>
    <w:rsid w:val="00822EB1"/>
    <w:rsid w:val="008237DD"/>
    <w:rsid w:val="0082447D"/>
    <w:rsid w:val="00824687"/>
    <w:rsid w:val="008258DE"/>
    <w:rsid w:val="00825BD0"/>
    <w:rsid w:val="00826003"/>
    <w:rsid w:val="008262FD"/>
    <w:rsid w:val="00826626"/>
    <w:rsid w:val="008270E9"/>
    <w:rsid w:val="00827197"/>
    <w:rsid w:val="008273C4"/>
    <w:rsid w:val="008320BD"/>
    <w:rsid w:val="00834219"/>
    <w:rsid w:val="0083553D"/>
    <w:rsid w:val="00836E3E"/>
    <w:rsid w:val="00837402"/>
    <w:rsid w:val="00837939"/>
    <w:rsid w:val="0084062B"/>
    <w:rsid w:val="008412D3"/>
    <w:rsid w:val="00843487"/>
    <w:rsid w:val="00843E13"/>
    <w:rsid w:val="00844BD7"/>
    <w:rsid w:val="008471D0"/>
    <w:rsid w:val="00850CB5"/>
    <w:rsid w:val="00850D67"/>
    <w:rsid w:val="00854E5E"/>
    <w:rsid w:val="00856E4A"/>
    <w:rsid w:val="0085744C"/>
    <w:rsid w:val="00857805"/>
    <w:rsid w:val="008613A0"/>
    <w:rsid w:val="00862F03"/>
    <w:rsid w:val="00863C34"/>
    <w:rsid w:val="00864831"/>
    <w:rsid w:val="008651ED"/>
    <w:rsid w:val="00865DE4"/>
    <w:rsid w:val="008667AA"/>
    <w:rsid w:val="0087017E"/>
    <w:rsid w:val="008712B2"/>
    <w:rsid w:val="00873D6B"/>
    <w:rsid w:val="00875CEF"/>
    <w:rsid w:val="00877369"/>
    <w:rsid w:val="00881BD8"/>
    <w:rsid w:val="008825F9"/>
    <w:rsid w:val="00883000"/>
    <w:rsid w:val="0088384E"/>
    <w:rsid w:val="008860D0"/>
    <w:rsid w:val="0088775B"/>
    <w:rsid w:val="00887CA5"/>
    <w:rsid w:val="00890765"/>
    <w:rsid w:val="00890F04"/>
    <w:rsid w:val="0089140E"/>
    <w:rsid w:val="00892CEA"/>
    <w:rsid w:val="00894CFC"/>
    <w:rsid w:val="00896486"/>
    <w:rsid w:val="00896853"/>
    <w:rsid w:val="00896B2D"/>
    <w:rsid w:val="00897371"/>
    <w:rsid w:val="00897839"/>
    <w:rsid w:val="008A1F28"/>
    <w:rsid w:val="008A23A1"/>
    <w:rsid w:val="008A268A"/>
    <w:rsid w:val="008A2E6C"/>
    <w:rsid w:val="008A4342"/>
    <w:rsid w:val="008A5A20"/>
    <w:rsid w:val="008A62F9"/>
    <w:rsid w:val="008A781C"/>
    <w:rsid w:val="008B1270"/>
    <w:rsid w:val="008B2236"/>
    <w:rsid w:val="008B27A1"/>
    <w:rsid w:val="008B2931"/>
    <w:rsid w:val="008B2A50"/>
    <w:rsid w:val="008B2A7D"/>
    <w:rsid w:val="008B468C"/>
    <w:rsid w:val="008B5A75"/>
    <w:rsid w:val="008B76E8"/>
    <w:rsid w:val="008B7CD6"/>
    <w:rsid w:val="008B7D84"/>
    <w:rsid w:val="008C02EF"/>
    <w:rsid w:val="008C0854"/>
    <w:rsid w:val="008C2D66"/>
    <w:rsid w:val="008C2DF9"/>
    <w:rsid w:val="008C441E"/>
    <w:rsid w:val="008C5668"/>
    <w:rsid w:val="008C6C77"/>
    <w:rsid w:val="008D0DAC"/>
    <w:rsid w:val="008D137D"/>
    <w:rsid w:val="008D2481"/>
    <w:rsid w:val="008D4EFD"/>
    <w:rsid w:val="008D66C1"/>
    <w:rsid w:val="008E0919"/>
    <w:rsid w:val="008E169F"/>
    <w:rsid w:val="008E1758"/>
    <w:rsid w:val="008E2659"/>
    <w:rsid w:val="008E2C8A"/>
    <w:rsid w:val="008E48D8"/>
    <w:rsid w:val="008E569B"/>
    <w:rsid w:val="008E6F19"/>
    <w:rsid w:val="008F1C84"/>
    <w:rsid w:val="008F300B"/>
    <w:rsid w:val="008F3490"/>
    <w:rsid w:val="008F3E46"/>
    <w:rsid w:val="008F3E9C"/>
    <w:rsid w:val="008F4291"/>
    <w:rsid w:val="008F56FB"/>
    <w:rsid w:val="008F787A"/>
    <w:rsid w:val="0090087B"/>
    <w:rsid w:val="00900895"/>
    <w:rsid w:val="009011A7"/>
    <w:rsid w:val="009043AB"/>
    <w:rsid w:val="00904A22"/>
    <w:rsid w:val="00904D12"/>
    <w:rsid w:val="00905E45"/>
    <w:rsid w:val="00906ADB"/>
    <w:rsid w:val="009071F7"/>
    <w:rsid w:val="00907B59"/>
    <w:rsid w:val="00911507"/>
    <w:rsid w:val="00912B24"/>
    <w:rsid w:val="00913111"/>
    <w:rsid w:val="00914BD2"/>
    <w:rsid w:val="00915464"/>
    <w:rsid w:val="00916385"/>
    <w:rsid w:val="00921F2C"/>
    <w:rsid w:val="009243DA"/>
    <w:rsid w:val="00924EF4"/>
    <w:rsid w:val="00925189"/>
    <w:rsid w:val="00925535"/>
    <w:rsid w:val="00925CC5"/>
    <w:rsid w:val="009265DA"/>
    <w:rsid w:val="00926B5A"/>
    <w:rsid w:val="009271F6"/>
    <w:rsid w:val="00930510"/>
    <w:rsid w:val="00933847"/>
    <w:rsid w:val="00933A3E"/>
    <w:rsid w:val="00933CD5"/>
    <w:rsid w:val="0093455B"/>
    <w:rsid w:val="00934C42"/>
    <w:rsid w:val="009364DF"/>
    <w:rsid w:val="0093677D"/>
    <w:rsid w:val="00936BA6"/>
    <w:rsid w:val="009374B0"/>
    <w:rsid w:val="009374C9"/>
    <w:rsid w:val="00937CD6"/>
    <w:rsid w:val="009402C7"/>
    <w:rsid w:val="009410EF"/>
    <w:rsid w:val="0094205C"/>
    <w:rsid w:val="00942617"/>
    <w:rsid w:val="00943C8F"/>
    <w:rsid w:val="00951427"/>
    <w:rsid w:val="009521FD"/>
    <w:rsid w:val="00953BDE"/>
    <w:rsid w:val="00954BD0"/>
    <w:rsid w:val="009563EA"/>
    <w:rsid w:val="00956E47"/>
    <w:rsid w:val="00957A30"/>
    <w:rsid w:val="00957B95"/>
    <w:rsid w:val="00960BBD"/>
    <w:rsid w:val="00962218"/>
    <w:rsid w:val="0096292F"/>
    <w:rsid w:val="0096390A"/>
    <w:rsid w:val="009644C2"/>
    <w:rsid w:val="0096545A"/>
    <w:rsid w:val="009668AC"/>
    <w:rsid w:val="00966FA1"/>
    <w:rsid w:val="00966FD8"/>
    <w:rsid w:val="00967356"/>
    <w:rsid w:val="009708AC"/>
    <w:rsid w:val="009709A3"/>
    <w:rsid w:val="00971C9D"/>
    <w:rsid w:val="009733F5"/>
    <w:rsid w:val="00973717"/>
    <w:rsid w:val="00974AEF"/>
    <w:rsid w:val="009752FA"/>
    <w:rsid w:val="00975E5F"/>
    <w:rsid w:val="0097652E"/>
    <w:rsid w:val="009809AC"/>
    <w:rsid w:val="0098119F"/>
    <w:rsid w:val="00981560"/>
    <w:rsid w:val="00981B73"/>
    <w:rsid w:val="0098347B"/>
    <w:rsid w:val="009840E2"/>
    <w:rsid w:val="00984AB1"/>
    <w:rsid w:val="00985511"/>
    <w:rsid w:val="009859C9"/>
    <w:rsid w:val="00987623"/>
    <w:rsid w:val="00990A5D"/>
    <w:rsid w:val="0099135D"/>
    <w:rsid w:val="0099183A"/>
    <w:rsid w:val="009931FB"/>
    <w:rsid w:val="0099420B"/>
    <w:rsid w:val="00995C6B"/>
    <w:rsid w:val="009972B2"/>
    <w:rsid w:val="00997988"/>
    <w:rsid w:val="009A0001"/>
    <w:rsid w:val="009A0091"/>
    <w:rsid w:val="009A04D9"/>
    <w:rsid w:val="009A1558"/>
    <w:rsid w:val="009A1AC2"/>
    <w:rsid w:val="009A24D0"/>
    <w:rsid w:val="009A3213"/>
    <w:rsid w:val="009A5827"/>
    <w:rsid w:val="009A6456"/>
    <w:rsid w:val="009A6E49"/>
    <w:rsid w:val="009A75EE"/>
    <w:rsid w:val="009B0DA0"/>
    <w:rsid w:val="009B166F"/>
    <w:rsid w:val="009B2463"/>
    <w:rsid w:val="009B49DC"/>
    <w:rsid w:val="009B4C64"/>
    <w:rsid w:val="009B56A5"/>
    <w:rsid w:val="009B70BC"/>
    <w:rsid w:val="009C08C4"/>
    <w:rsid w:val="009C15BB"/>
    <w:rsid w:val="009C181F"/>
    <w:rsid w:val="009C3890"/>
    <w:rsid w:val="009C3ADC"/>
    <w:rsid w:val="009C3C6B"/>
    <w:rsid w:val="009C4155"/>
    <w:rsid w:val="009C4863"/>
    <w:rsid w:val="009C4BEF"/>
    <w:rsid w:val="009C5320"/>
    <w:rsid w:val="009C5335"/>
    <w:rsid w:val="009C561C"/>
    <w:rsid w:val="009C5CE9"/>
    <w:rsid w:val="009C6799"/>
    <w:rsid w:val="009C7D4B"/>
    <w:rsid w:val="009D14D2"/>
    <w:rsid w:val="009D1C70"/>
    <w:rsid w:val="009D2C27"/>
    <w:rsid w:val="009D2FBB"/>
    <w:rsid w:val="009D3728"/>
    <w:rsid w:val="009D3B04"/>
    <w:rsid w:val="009D51E9"/>
    <w:rsid w:val="009D6306"/>
    <w:rsid w:val="009D7A43"/>
    <w:rsid w:val="009D7FAA"/>
    <w:rsid w:val="009E104D"/>
    <w:rsid w:val="009E1633"/>
    <w:rsid w:val="009E2807"/>
    <w:rsid w:val="009E2A3B"/>
    <w:rsid w:val="009E5DFA"/>
    <w:rsid w:val="009E6183"/>
    <w:rsid w:val="009F2E7F"/>
    <w:rsid w:val="009F4850"/>
    <w:rsid w:val="009F4F94"/>
    <w:rsid w:val="009F5AEA"/>
    <w:rsid w:val="009F5C4B"/>
    <w:rsid w:val="009F725E"/>
    <w:rsid w:val="009F7662"/>
    <w:rsid w:val="009F7E04"/>
    <w:rsid w:val="00A00255"/>
    <w:rsid w:val="00A01149"/>
    <w:rsid w:val="00A017BE"/>
    <w:rsid w:val="00A022EB"/>
    <w:rsid w:val="00A036B6"/>
    <w:rsid w:val="00A039A6"/>
    <w:rsid w:val="00A03EE3"/>
    <w:rsid w:val="00A04F42"/>
    <w:rsid w:val="00A050BB"/>
    <w:rsid w:val="00A0590D"/>
    <w:rsid w:val="00A07776"/>
    <w:rsid w:val="00A1031D"/>
    <w:rsid w:val="00A10C09"/>
    <w:rsid w:val="00A10EC7"/>
    <w:rsid w:val="00A10F34"/>
    <w:rsid w:val="00A125BF"/>
    <w:rsid w:val="00A12E47"/>
    <w:rsid w:val="00A1443F"/>
    <w:rsid w:val="00A144BF"/>
    <w:rsid w:val="00A14BB6"/>
    <w:rsid w:val="00A16323"/>
    <w:rsid w:val="00A16D4B"/>
    <w:rsid w:val="00A17B2E"/>
    <w:rsid w:val="00A21DAC"/>
    <w:rsid w:val="00A2328F"/>
    <w:rsid w:val="00A23F23"/>
    <w:rsid w:val="00A25393"/>
    <w:rsid w:val="00A25870"/>
    <w:rsid w:val="00A25D48"/>
    <w:rsid w:val="00A26A06"/>
    <w:rsid w:val="00A312C0"/>
    <w:rsid w:val="00A3236E"/>
    <w:rsid w:val="00A3525C"/>
    <w:rsid w:val="00A35BBB"/>
    <w:rsid w:val="00A35CAD"/>
    <w:rsid w:val="00A3634B"/>
    <w:rsid w:val="00A40278"/>
    <w:rsid w:val="00A40725"/>
    <w:rsid w:val="00A40B11"/>
    <w:rsid w:val="00A40D8C"/>
    <w:rsid w:val="00A41E82"/>
    <w:rsid w:val="00A42D43"/>
    <w:rsid w:val="00A432EA"/>
    <w:rsid w:val="00A43B3D"/>
    <w:rsid w:val="00A44D60"/>
    <w:rsid w:val="00A453C9"/>
    <w:rsid w:val="00A459BC"/>
    <w:rsid w:val="00A47016"/>
    <w:rsid w:val="00A4791B"/>
    <w:rsid w:val="00A503F9"/>
    <w:rsid w:val="00A5145F"/>
    <w:rsid w:val="00A528F5"/>
    <w:rsid w:val="00A53591"/>
    <w:rsid w:val="00A54AE3"/>
    <w:rsid w:val="00A557EE"/>
    <w:rsid w:val="00A55B3D"/>
    <w:rsid w:val="00A57332"/>
    <w:rsid w:val="00A57DE9"/>
    <w:rsid w:val="00A60976"/>
    <w:rsid w:val="00A627E1"/>
    <w:rsid w:val="00A62F28"/>
    <w:rsid w:val="00A632A5"/>
    <w:rsid w:val="00A63679"/>
    <w:rsid w:val="00A63D39"/>
    <w:rsid w:val="00A6479C"/>
    <w:rsid w:val="00A64886"/>
    <w:rsid w:val="00A65D36"/>
    <w:rsid w:val="00A6753E"/>
    <w:rsid w:val="00A67A9F"/>
    <w:rsid w:val="00A7010A"/>
    <w:rsid w:val="00A71EF6"/>
    <w:rsid w:val="00A7604D"/>
    <w:rsid w:val="00A76424"/>
    <w:rsid w:val="00A76ACD"/>
    <w:rsid w:val="00A80413"/>
    <w:rsid w:val="00A82CAA"/>
    <w:rsid w:val="00A82ECE"/>
    <w:rsid w:val="00A8489C"/>
    <w:rsid w:val="00A84C5F"/>
    <w:rsid w:val="00A8531E"/>
    <w:rsid w:val="00A85F36"/>
    <w:rsid w:val="00A90E03"/>
    <w:rsid w:val="00A90EF6"/>
    <w:rsid w:val="00A92D6E"/>
    <w:rsid w:val="00A92E0B"/>
    <w:rsid w:val="00A932F0"/>
    <w:rsid w:val="00A94D3A"/>
    <w:rsid w:val="00A94DEE"/>
    <w:rsid w:val="00A9548A"/>
    <w:rsid w:val="00A955B6"/>
    <w:rsid w:val="00A95F6F"/>
    <w:rsid w:val="00A96A6F"/>
    <w:rsid w:val="00AA0C2C"/>
    <w:rsid w:val="00AA4674"/>
    <w:rsid w:val="00AA4BEA"/>
    <w:rsid w:val="00AA7719"/>
    <w:rsid w:val="00AA79E1"/>
    <w:rsid w:val="00AB070D"/>
    <w:rsid w:val="00AB2F69"/>
    <w:rsid w:val="00AB530B"/>
    <w:rsid w:val="00AB5312"/>
    <w:rsid w:val="00AC1455"/>
    <w:rsid w:val="00AC28CE"/>
    <w:rsid w:val="00AC2BE0"/>
    <w:rsid w:val="00AC3CC5"/>
    <w:rsid w:val="00AC64F9"/>
    <w:rsid w:val="00AC7B95"/>
    <w:rsid w:val="00AC7CBD"/>
    <w:rsid w:val="00AD09F0"/>
    <w:rsid w:val="00AD13B5"/>
    <w:rsid w:val="00AD220C"/>
    <w:rsid w:val="00AD39A3"/>
    <w:rsid w:val="00AD3ACF"/>
    <w:rsid w:val="00AD5079"/>
    <w:rsid w:val="00AD536C"/>
    <w:rsid w:val="00AD77A0"/>
    <w:rsid w:val="00AE04EB"/>
    <w:rsid w:val="00AE1D68"/>
    <w:rsid w:val="00AE2CB9"/>
    <w:rsid w:val="00AE30B7"/>
    <w:rsid w:val="00AE3EAD"/>
    <w:rsid w:val="00AE5CCA"/>
    <w:rsid w:val="00AE65F8"/>
    <w:rsid w:val="00AE6AEB"/>
    <w:rsid w:val="00AE6FD7"/>
    <w:rsid w:val="00AE7637"/>
    <w:rsid w:val="00AF0539"/>
    <w:rsid w:val="00AF0AC3"/>
    <w:rsid w:val="00AF14A7"/>
    <w:rsid w:val="00AF1CB9"/>
    <w:rsid w:val="00AF328D"/>
    <w:rsid w:val="00AF3892"/>
    <w:rsid w:val="00AF574A"/>
    <w:rsid w:val="00AF5C64"/>
    <w:rsid w:val="00B01241"/>
    <w:rsid w:val="00B01293"/>
    <w:rsid w:val="00B0163D"/>
    <w:rsid w:val="00B01DDB"/>
    <w:rsid w:val="00B02145"/>
    <w:rsid w:val="00B03045"/>
    <w:rsid w:val="00B03EB0"/>
    <w:rsid w:val="00B0477E"/>
    <w:rsid w:val="00B0736B"/>
    <w:rsid w:val="00B07BF3"/>
    <w:rsid w:val="00B07E03"/>
    <w:rsid w:val="00B10BDB"/>
    <w:rsid w:val="00B11501"/>
    <w:rsid w:val="00B12796"/>
    <w:rsid w:val="00B12BA0"/>
    <w:rsid w:val="00B15AC9"/>
    <w:rsid w:val="00B15C99"/>
    <w:rsid w:val="00B16D07"/>
    <w:rsid w:val="00B17567"/>
    <w:rsid w:val="00B20BCE"/>
    <w:rsid w:val="00B22472"/>
    <w:rsid w:val="00B22DB9"/>
    <w:rsid w:val="00B23016"/>
    <w:rsid w:val="00B25854"/>
    <w:rsid w:val="00B262BD"/>
    <w:rsid w:val="00B27A59"/>
    <w:rsid w:val="00B31551"/>
    <w:rsid w:val="00B31986"/>
    <w:rsid w:val="00B329DC"/>
    <w:rsid w:val="00B32CB0"/>
    <w:rsid w:val="00B32DD9"/>
    <w:rsid w:val="00B33B33"/>
    <w:rsid w:val="00B34380"/>
    <w:rsid w:val="00B356CE"/>
    <w:rsid w:val="00B3638B"/>
    <w:rsid w:val="00B416F5"/>
    <w:rsid w:val="00B42581"/>
    <w:rsid w:val="00B43209"/>
    <w:rsid w:val="00B43E70"/>
    <w:rsid w:val="00B444B8"/>
    <w:rsid w:val="00B4473A"/>
    <w:rsid w:val="00B447E0"/>
    <w:rsid w:val="00B44B39"/>
    <w:rsid w:val="00B44F98"/>
    <w:rsid w:val="00B46DED"/>
    <w:rsid w:val="00B46E77"/>
    <w:rsid w:val="00B472B5"/>
    <w:rsid w:val="00B528CD"/>
    <w:rsid w:val="00B52EA1"/>
    <w:rsid w:val="00B5420A"/>
    <w:rsid w:val="00B54F3D"/>
    <w:rsid w:val="00B55899"/>
    <w:rsid w:val="00B55CA1"/>
    <w:rsid w:val="00B56CF2"/>
    <w:rsid w:val="00B616E3"/>
    <w:rsid w:val="00B61869"/>
    <w:rsid w:val="00B61D43"/>
    <w:rsid w:val="00B6479C"/>
    <w:rsid w:val="00B65C7C"/>
    <w:rsid w:val="00B65F1F"/>
    <w:rsid w:val="00B66E1E"/>
    <w:rsid w:val="00B678A1"/>
    <w:rsid w:val="00B708B3"/>
    <w:rsid w:val="00B72193"/>
    <w:rsid w:val="00B73067"/>
    <w:rsid w:val="00B73560"/>
    <w:rsid w:val="00B739B2"/>
    <w:rsid w:val="00B74145"/>
    <w:rsid w:val="00B75EDA"/>
    <w:rsid w:val="00B76100"/>
    <w:rsid w:val="00B7734F"/>
    <w:rsid w:val="00B82BE2"/>
    <w:rsid w:val="00B848BA"/>
    <w:rsid w:val="00B851CE"/>
    <w:rsid w:val="00B85D59"/>
    <w:rsid w:val="00B90F64"/>
    <w:rsid w:val="00B91023"/>
    <w:rsid w:val="00B929B7"/>
    <w:rsid w:val="00B94566"/>
    <w:rsid w:val="00B95208"/>
    <w:rsid w:val="00B95A2C"/>
    <w:rsid w:val="00B95FC6"/>
    <w:rsid w:val="00B975A0"/>
    <w:rsid w:val="00BA0AC4"/>
    <w:rsid w:val="00BA1C79"/>
    <w:rsid w:val="00BA4191"/>
    <w:rsid w:val="00BA7587"/>
    <w:rsid w:val="00BB1C41"/>
    <w:rsid w:val="00BB218B"/>
    <w:rsid w:val="00BB6444"/>
    <w:rsid w:val="00BB6C39"/>
    <w:rsid w:val="00BB6F44"/>
    <w:rsid w:val="00BB740A"/>
    <w:rsid w:val="00BB74EF"/>
    <w:rsid w:val="00BC1A74"/>
    <w:rsid w:val="00BC230A"/>
    <w:rsid w:val="00BC2987"/>
    <w:rsid w:val="00BC2C08"/>
    <w:rsid w:val="00BC4A46"/>
    <w:rsid w:val="00BC5D01"/>
    <w:rsid w:val="00BC757D"/>
    <w:rsid w:val="00BC776D"/>
    <w:rsid w:val="00BC785E"/>
    <w:rsid w:val="00BD0220"/>
    <w:rsid w:val="00BD0D97"/>
    <w:rsid w:val="00BD0F85"/>
    <w:rsid w:val="00BD2BD5"/>
    <w:rsid w:val="00BD2F50"/>
    <w:rsid w:val="00BD7955"/>
    <w:rsid w:val="00BE0209"/>
    <w:rsid w:val="00BE27C4"/>
    <w:rsid w:val="00BE3A77"/>
    <w:rsid w:val="00BE3DD0"/>
    <w:rsid w:val="00BE5104"/>
    <w:rsid w:val="00BE5213"/>
    <w:rsid w:val="00BE53FE"/>
    <w:rsid w:val="00BE6751"/>
    <w:rsid w:val="00BE6D70"/>
    <w:rsid w:val="00BE749C"/>
    <w:rsid w:val="00BE7B7C"/>
    <w:rsid w:val="00BF1860"/>
    <w:rsid w:val="00BF1FD0"/>
    <w:rsid w:val="00BF2E23"/>
    <w:rsid w:val="00BF3BD2"/>
    <w:rsid w:val="00BF3ECC"/>
    <w:rsid w:val="00BF45BF"/>
    <w:rsid w:val="00BF4718"/>
    <w:rsid w:val="00BF4A1F"/>
    <w:rsid w:val="00BF4C2D"/>
    <w:rsid w:val="00BF53D6"/>
    <w:rsid w:val="00BF5525"/>
    <w:rsid w:val="00BF65D3"/>
    <w:rsid w:val="00BF6DA0"/>
    <w:rsid w:val="00BF6DCD"/>
    <w:rsid w:val="00BF73C6"/>
    <w:rsid w:val="00BF7678"/>
    <w:rsid w:val="00BF7CBF"/>
    <w:rsid w:val="00C0044F"/>
    <w:rsid w:val="00C01221"/>
    <w:rsid w:val="00C02636"/>
    <w:rsid w:val="00C0316F"/>
    <w:rsid w:val="00C03FF1"/>
    <w:rsid w:val="00C0468E"/>
    <w:rsid w:val="00C046EF"/>
    <w:rsid w:val="00C06246"/>
    <w:rsid w:val="00C07BF6"/>
    <w:rsid w:val="00C10846"/>
    <w:rsid w:val="00C1236E"/>
    <w:rsid w:val="00C12C60"/>
    <w:rsid w:val="00C1308E"/>
    <w:rsid w:val="00C134D3"/>
    <w:rsid w:val="00C13ED1"/>
    <w:rsid w:val="00C1425D"/>
    <w:rsid w:val="00C1427A"/>
    <w:rsid w:val="00C15B82"/>
    <w:rsid w:val="00C15E27"/>
    <w:rsid w:val="00C174AD"/>
    <w:rsid w:val="00C17C40"/>
    <w:rsid w:val="00C21724"/>
    <w:rsid w:val="00C21C9E"/>
    <w:rsid w:val="00C234E2"/>
    <w:rsid w:val="00C24605"/>
    <w:rsid w:val="00C2564A"/>
    <w:rsid w:val="00C2754D"/>
    <w:rsid w:val="00C27580"/>
    <w:rsid w:val="00C27E30"/>
    <w:rsid w:val="00C27F09"/>
    <w:rsid w:val="00C31873"/>
    <w:rsid w:val="00C32BE4"/>
    <w:rsid w:val="00C33172"/>
    <w:rsid w:val="00C332D4"/>
    <w:rsid w:val="00C33F01"/>
    <w:rsid w:val="00C34E0F"/>
    <w:rsid w:val="00C34F91"/>
    <w:rsid w:val="00C356B0"/>
    <w:rsid w:val="00C35B6D"/>
    <w:rsid w:val="00C3630F"/>
    <w:rsid w:val="00C4050D"/>
    <w:rsid w:val="00C40A8F"/>
    <w:rsid w:val="00C40AC4"/>
    <w:rsid w:val="00C4120D"/>
    <w:rsid w:val="00C41B65"/>
    <w:rsid w:val="00C42308"/>
    <w:rsid w:val="00C42499"/>
    <w:rsid w:val="00C43167"/>
    <w:rsid w:val="00C459D9"/>
    <w:rsid w:val="00C45E12"/>
    <w:rsid w:val="00C4637B"/>
    <w:rsid w:val="00C4717F"/>
    <w:rsid w:val="00C502C0"/>
    <w:rsid w:val="00C5073F"/>
    <w:rsid w:val="00C50A83"/>
    <w:rsid w:val="00C515AD"/>
    <w:rsid w:val="00C520E9"/>
    <w:rsid w:val="00C530D6"/>
    <w:rsid w:val="00C53706"/>
    <w:rsid w:val="00C55BE1"/>
    <w:rsid w:val="00C56015"/>
    <w:rsid w:val="00C562A7"/>
    <w:rsid w:val="00C60D0A"/>
    <w:rsid w:val="00C61044"/>
    <w:rsid w:val="00C62A45"/>
    <w:rsid w:val="00C62D83"/>
    <w:rsid w:val="00C63820"/>
    <w:rsid w:val="00C65E8B"/>
    <w:rsid w:val="00C669E0"/>
    <w:rsid w:val="00C672BB"/>
    <w:rsid w:val="00C70021"/>
    <w:rsid w:val="00C708AB"/>
    <w:rsid w:val="00C70EDC"/>
    <w:rsid w:val="00C71ECE"/>
    <w:rsid w:val="00C72E85"/>
    <w:rsid w:val="00C73087"/>
    <w:rsid w:val="00C739AF"/>
    <w:rsid w:val="00C73AD7"/>
    <w:rsid w:val="00C756EF"/>
    <w:rsid w:val="00C75F11"/>
    <w:rsid w:val="00C7645D"/>
    <w:rsid w:val="00C7666D"/>
    <w:rsid w:val="00C77024"/>
    <w:rsid w:val="00C77915"/>
    <w:rsid w:val="00C81070"/>
    <w:rsid w:val="00C8367C"/>
    <w:rsid w:val="00C83D98"/>
    <w:rsid w:val="00C84A0A"/>
    <w:rsid w:val="00C85B0E"/>
    <w:rsid w:val="00C85E3C"/>
    <w:rsid w:val="00C85E53"/>
    <w:rsid w:val="00C8644D"/>
    <w:rsid w:val="00C8685E"/>
    <w:rsid w:val="00C87B5E"/>
    <w:rsid w:val="00C87C18"/>
    <w:rsid w:val="00C91F92"/>
    <w:rsid w:val="00C9214B"/>
    <w:rsid w:val="00C921E4"/>
    <w:rsid w:val="00C92F2E"/>
    <w:rsid w:val="00C9345D"/>
    <w:rsid w:val="00C93810"/>
    <w:rsid w:val="00C945DB"/>
    <w:rsid w:val="00C94FEB"/>
    <w:rsid w:val="00C96AEE"/>
    <w:rsid w:val="00C97626"/>
    <w:rsid w:val="00CA0091"/>
    <w:rsid w:val="00CA04DC"/>
    <w:rsid w:val="00CA0D63"/>
    <w:rsid w:val="00CA25C9"/>
    <w:rsid w:val="00CA3333"/>
    <w:rsid w:val="00CA68B2"/>
    <w:rsid w:val="00CA795E"/>
    <w:rsid w:val="00CB0AAE"/>
    <w:rsid w:val="00CB1375"/>
    <w:rsid w:val="00CB1FC1"/>
    <w:rsid w:val="00CB67DE"/>
    <w:rsid w:val="00CB6A43"/>
    <w:rsid w:val="00CB6C53"/>
    <w:rsid w:val="00CC15DB"/>
    <w:rsid w:val="00CC255F"/>
    <w:rsid w:val="00CC549C"/>
    <w:rsid w:val="00CC79BA"/>
    <w:rsid w:val="00CD0557"/>
    <w:rsid w:val="00CD1DF5"/>
    <w:rsid w:val="00CD37ED"/>
    <w:rsid w:val="00CD5364"/>
    <w:rsid w:val="00CE0005"/>
    <w:rsid w:val="00CE0023"/>
    <w:rsid w:val="00CE1046"/>
    <w:rsid w:val="00CE1392"/>
    <w:rsid w:val="00CE2115"/>
    <w:rsid w:val="00CE21BA"/>
    <w:rsid w:val="00CE267D"/>
    <w:rsid w:val="00CE3C98"/>
    <w:rsid w:val="00CE476F"/>
    <w:rsid w:val="00CE4CF0"/>
    <w:rsid w:val="00CE5D19"/>
    <w:rsid w:val="00CE7356"/>
    <w:rsid w:val="00CF0D36"/>
    <w:rsid w:val="00CF170F"/>
    <w:rsid w:val="00CF2EE0"/>
    <w:rsid w:val="00CF359A"/>
    <w:rsid w:val="00CF37A8"/>
    <w:rsid w:val="00CF4A13"/>
    <w:rsid w:val="00CF5D60"/>
    <w:rsid w:val="00CF5EEB"/>
    <w:rsid w:val="00CF6A8E"/>
    <w:rsid w:val="00D009EF"/>
    <w:rsid w:val="00D01992"/>
    <w:rsid w:val="00D01DF4"/>
    <w:rsid w:val="00D03B77"/>
    <w:rsid w:val="00D04661"/>
    <w:rsid w:val="00D04CDB"/>
    <w:rsid w:val="00D0551B"/>
    <w:rsid w:val="00D06286"/>
    <w:rsid w:val="00D0669E"/>
    <w:rsid w:val="00D06848"/>
    <w:rsid w:val="00D07F49"/>
    <w:rsid w:val="00D111F2"/>
    <w:rsid w:val="00D122FE"/>
    <w:rsid w:val="00D12D9F"/>
    <w:rsid w:val="00D16F4E"/>
    <w:rsid w:val="00D17942"/>
    <w:rsid w:val="00D215A1"/>
    <w:rsid w:val="00D219BB"/>
    <w:rsid w:val="00D2294B"/>
    <w:rsid w:val="00D2298E"/>
    <w:rsid w:val="00D235AE"/>
    <w:rsid w:val="00D23643"/>
    <w:rsid w:val="00D24252"/>
    <w:rsid w:val="00D267AE"/>
    <w:rsid w:val="00D27FA6"/>
    <w:rsid w:val="00D34180"/>
    <w:rsid w:val="00D341AE"/>
    <w:rsid w:val="00D34234"/>
    <w:rsid w:val="00D34837"/>
    <w:rsid w:val="00D35285"/>
    <w:rsid w:val="00D35A9A"/>
    <w:rsid w:val="00D4210F"/>
    <w:rsid w:val="00D45EFF"/>
    <w:rsid w:val="00D462F4"/>
    <w:rsid w:val="00D477EE"/>
    <w:rsid w:val="00D47901"/>
    <w:rsid w:val="00D5047B"/>
    <w:rsid w:val="00D54808"/>
    <w:rsid w:val="00D56C01"/>
    <w:rsid w:val="00D56FBA"/>
    <w:rsid w:val="00D600C8"/>
    <w:rsid w:val="00D607EB"/>
    <w:rsid w:val="00D6307D"/>
    <w:rsid w:val="00D63202"/>
    <w:rsid w:val="00D63733"/>
    <w:rsid w:val="00D63FA4"/>
    <w:rsid w:val="00D6505C"/>
    <w:rsid w:val="00D65FDD"/>
    <w:rsid w:val="00D66045"/>
    <w:rsid w:val="00D67474"/>
    <w:rsid w:val="00D67B04"/>
    <w:rsid w:val="00D7068F"/>
    <w:rsid w:val="00D70BA4"/>
    <w:rsid w:val="00D70ECF"/>
    <w:rsid w:val="00D72278"/>
    <w:rsid w:val="00D72A73"/>
    <w:rsid w:val="00D72E24"/>
    <w:rsid w:val="00D731E5"/>
    <w:rsid w:val="00D7388C"/>
    <w:rsid w:val="00D741A1"/>
    <w:rsid w:val="00D74587"/>
    <w:rsid w:val="00D763EC"/>
    <w:rsid w:val="00D7733F"/>
    <w:rsid w:val="00D77503"/>
    <w:rsid w:val="00D80092"/>
    <w:rsid w:val="00D813F9"/>
    <w:rsid w:val="00D819C1"/>
    <w:rsid w:val="00D834DC"/>
    <w:rsid w:val="00D84317"/>
    <w:rsid w:val="00D843F3"/>
    <w:rsid w:val="00D84562"/>
    <w:rsid w:val="00D85EDC"/>
    <w:rsid w:val="00D87142"/>
    <w:rsid w:val="00D9237F"/>
    <w:rsid w:val="00D93F3D"/>
    <w:rsid w:val="00D941F6"/>
    <w:rsid w:val="00D94625"/>
    <w:rsid w:val="00DA0A25"/>
    <w:rsid w:val="00DA0D33"/>
    <w:rsid w:val="00DA1623"/>
    <w:rsid w:val="00DA22E9"/>
    <w:rsid w:val="00DA300A"/>
    <w:rsid w:val="00DA3DB4"/>
    <w:rsid w:val="00DA5CF5"/>
    <w:rsid w:val="00DA7C52"/>
    <w:rsid w:val="00DB00C4"/>
    <w:rsid w:val="00DB48EC"/>
    <w:rsid w:val="00DB5134"/>
    <w:rsid w:val="00DB7069"/>
    <w:rsid w:val="00DC1C2B"/>
    <w:rsid w:val="00DC2105"/>
    <w:rsid w:val="00DC2432"/>
    <w:rsid w:val="00DC2F75"/>
    <w:rsid w:val="00DC3CED"/>
    <w:rsid w:val="00DC3FED"/>
    <w:rsid w:val="00DC587D"/>
    <w:rsid w:val="00DC5B42"/>
    <w:rsid w:val="00DC5F47"/>
    <w:rsid w:val="00DC7A12"/>
    <w:rsid w:val="00DD09E1"/>
    <w:rsid w:val="00DD1D76"/>
    <w:rsid w:val="00DD1FA9"/>
    <w:rsid w:val="00DD35B0"/>
    <w:rsid w:val="00DD3CEC"/>
    <w:rsid w:val="00DD3FAE"/>
    <w:rsid w:val="00DD5E30"/>
    <w:rsid w:val="00DD670B"/>
    <w:rsid w:val="00DD69CE"/>
    <w:rsid w:val="00DD6B1C"/>
    <w:rsid w:val="00DD71C6"/>
    <w:rsid w:val="00DE0DF3"/>
    <w:rsid w:val="00DE1390"/>
    <w:rsid w:val="00DE1BEA"/>
    <w:rsid w:val="00DE1D63"/>
    <w:rsid w:val="00DE3260"/>
    <w:rsid w:val="00DE6144"/>
    <w:rsid w:val="00DE615A"/>
    <w:rsid w:val="00DE65D9"/>
    <w:rsid w:val="00DE69EC"/>
    <w:rsid w:val="00DE7313"/>
    <w:rsid w:val="00DF0320"/>
    <w:rsid w:val="00DF0F15"/>
    <w:rsid w:val="00DF3636"/>
    <w:rsid w:val="00DF54EC"/>
    <w:rsid w:val="00DF6325"/>
    <w:rsid w:val="00E008FB"/>
    <w:rsid w:val="00E01F41"/>
    <w:rsid w:val="00E04C8E"/>
    <w:rsid w:val="00E04E79"/>
    <w:rsid w:val="00E04FA4"/>
    <w:rsid w:val="00E05833"/>
    <w:rsid w:val="00E05E3B"/>
    <w:rsid w:val="00E10E4D"/>
    <w:rsid w:val="00E15477"/>
    <w:rsid w:val="00E1570D"/>
    <w:rsid w:val="00E208C5"/>
    <w:rsid w:val="00E21188"/>
    <w:rsid w:val="00E221DF"/>
    <w:rsid w:val="00E224AF"/>
    <w:rsid w:val="00E22905"/>
    <w:rsid w:val="00E243F7"/>
    <w:rsid w:val="00E26271"/>
    <w:rsid w:val="00E263AC"/>
    <w:rsid w:val="00E26FAE"/>
    <w:rsid w:val="00E331A6"/>
    <w:rsid w:val="00E3321F"/>
    <w:rsid w:val="00E334EF"/>
    <w:rsid w:val="00E33FF8"/>
    <w:rsid w:val="00E35F91"/>
    <w:rsid w:val="00E363AE"/>
    <w:rsid w:val="00E363F1"/>
    <w:rsid w:val="00E373AE"/>
    <w:rsid w:val="00E3770C"/>
    <w:rsid w:val="00E43A3A"/>
    <w:rsid w:val="00E45996"/>
    <w:rsid w:val="00E45A9E"/>
    <w:rsid w:val="00E45E9E"/>
    <w:rsid w:val="00E46239"/>
    <w:rsid w:val="00E46341"/>
    <w:rsid w:val="00E50328"/>
    <w:rsid w:val="00E5141C"/>
    <w:rsid w:val="00E520B8"/>
    <w:rsid w:val="00E52371"/>
    <w:rsid w:val="00E60053"/>
    <w:rsid w:val="00E60744"/>
    <w:rsid w:val="00E61DB1"/>
    <w:rsid w:val="00E62816"/>
    <w:rsid w:val="00E62B5D"/>
    <w:rsid w:val="00E63C39"/>
    <w:rsid w:val="00E64628"/>
    <w:rsid w:val="00E673E2"/>
    <w:rsid w:val="00E67F35"/>
    <w:rsid w:val="00E72AA7"/>
    <w:rsid w:val="00E74200"/>
    <w:rsid w:val="00E752AF"/>
    <w:rsid w:val="00E76404"/>
    <w:rsid w:val="00E77020"/>
    <w:rsid w:val="00E821BD"/>
    <w:rsid w:val="00E82EFD"/>
    <w:rsid w:val="00E842B3"/>
    <w:rsid w:val="00E84561"/>
    <w:rsid w:val="00E84959"/>
    <w:rsid w:val="00E84E4B"/>
    <w:rsid w:val="00E8534B"/>
    <w:rsid w:val="00E87A3F"/>
    <w:rsid w:val="00E87C86"/>
    <w:rsid w:val="00E91514"/>
    <w:rsid w:val="00E9183C"/>
    <w:rsid w:val="00E92598"/>
    <w:rsid w:val="00E95498"/>
    <w:rsid w:val="00E96740"/>
    <w:rsid w:val="00EA106F"/>
    <w:rsid w:val="00EA19F8"/>
    <w:rsid w:val="00EA23CE"/>
    <w:rsid w:val="00EA3A85"/>
    <w:rsid w:val="00EA3B60"/>
    <w:rsid w:val="00EA5389"/>
    <w:rsid w:val="00EA7E33"/>
    <w:rsid w:val="00EB0389"/>
    <w:rsid w:val="00EB0877"/>
    <w:rsid w:val="00EB170B"/>
    <w:rsid w:val="00EB19C3"/>
    <w:rsid w:val="00EB21E3"/>
    <w:rsid w:val="00EB23E7"/>
    <w:rsid w:val="00EB2A8F"/>
    <w:rsid w:val="00EB4A74"/>
    <w:rsid w:val="00EB5A47"/>
    <w:rsid w:val="00EB5BB8"/>
    <w:rsid w:val="00EB5C03"/>
    <w:rsid w:val="00EB7234"/>
    <w:rsid w:val="00EB7413"/>
    <w:rsid w:val="00EC0597"/>
    <w:rsid w:val="00EC1063"/>
    <w:rsid w:val="00EC2419"/>
    <w:rsid w:val="00EC475A"/>
    <w:rsid w:val="00EC4E2D"/>
    <w:rsid w:val="00EC588B"/>
    <w:rsid w:val="00EC7D1B"/>
    <w:rsid w:val="00ED10BA"/>
    <w:rsid w:val="00ED159F"/>
    <w:rsid w:val="00ED1C8F"/>
    <w:rsid w:val="00ED319D"/>
    <w:rsid w:val="00ED3E74"/>
    <w:rsid w:val="00ED5E39"/>
    <w:rsid w:val="00ED6729"/>
    <w:rsid w:val="00ED6D5B"/>
    <w:rsid w:val="00ED7186"/>
    <w:rsid w:val="00EE02D1"/>
    <w:rsid w:val="00EE1F48"/>
    <w:rsid w:val="00EE21A0"/>
    <w:rsid w:val="00EE29DC"/>
    <w:rsid w:val="00EE3BF2"/>
    <w:rsid w:val="00EE3FA2"/>
    <w:rsid w:val="00EE598E"/>
    <w:rsid w:val="00EE684B"/>
    <w:rsid w:val="00EE761E"/>
    <w:rsid w:val="00EE785E"/>
    <w:rsid w:val="00EF2606"/>
    <w:rsid w:val="00EF2DA2"/>
    <w:rsid w:val="00EF33A9"/>
    <w:rsid w:val="00EF468D"/>
    <w:rsid w:val="00EF4F5C"/>
    <w:rsid w:val="00EF4F5F"/>
    <w:rsid w:val="00EF5BD9"/>
    <w:rsid w:val="00EF6F1F"/>
    <w:rsid w:val="00F001D3"/>
    <w:rsid w:val="00F00415"/>
    <w:rsid w:val="00F0220C"/>
    <w:rsid w:val="00F03607"/>
    <w:rsid w:val="00F03783"/>
    <w:rsid w:val="00F04050"/>
    <w:rsid w:val="00F04177"/>
    <w:rsid w:val="00F07FB1"/>
    <w:rsid w:val="00F127BA"/>
    <w:rsid w:val="00F12A83"/>
    <w:rsid w:val="00F13B95"/>
    <w:rsid w:val="00F13D36"/>
    <w:rsid w:val="00F14561"/>
    <w:rsid w:val="00F145E5"/>
    <w:rsid w:val="00F15216"/>
    <w:rsid w:val="00F15C6E"/>
    <w:rsid w:val="00F16DB1"/>
    <w:rsid w:val="00F21548"/>
    <w:rsid w:val="00F23537"/>
    <w:rsid w:val="00F23793"/>
    <w:rsid w:val="00F24FC6"/>
    <w:rsid w:val="00F25EB7"/>
    <w:rsid w:val="00F27DCD"/>
    <w:rsid w:val="00F30B4A"/>
    <w:rsid w:val="00F319B8"/>
    <w:rsid w:val="00F3242C"/>
    <w:rsid w:val="00F32836"/>
    <w:rsid w:val="00F3394B"/>
    <w:rsid w:val="00F33FB1"/>
    <w:rsid w:val="00F34028"/>
    <w:rsid w:val="00F342D2"/>
    <w:rsid w:val="00F355ED"/>
    <w:rsid w:val="00F35BA1"/>
    <w:rsid w:val="00F35C06"/>
    <w:rsid w:val="00F35FF0"/>
    <w:rsid w:val="00F361D3"/>
    <w:rsid w:val="00F367B2"/>
    <w:rsid w:val="00F3685B"/>
    <w:rsid w:val="00F376CE"/>
    <w:rsid w:val="00F4026E"/>
    <w:rsid w:val="00F425CE"/>
    <w:rsid w:val="00F42FCC"/>
    <w:rsid w:val="00F4370B"/>
    <w:rsid w:val="00F446A1"/>
    <w:rsid w:val="00F467D0"/>
    <w:rsid w:val="00F46A28"/>
    <w:rsid w:val="00F47CDA"/>
    <w:rsid w:val="00F47CDB"/>
    <w:rsid w:val="00F502EC"/>
    <w:rsid w:val="00F50FE4"/>
    <w:rsid w:val="00F518BA"/>
    <w:rsid w:val="00F543A3"/>
    <w:rsid w:val="00F547B0"/>
    <w:rsid w:val="00F5514B"/>
    <w:rsid w:val="00F57040"/>
    <w:rsid w:val="00F579A5"/>
    <w:rsid w:val="00F605CC"/>
    <w:rsid w:val="00F617F6"/>
    <w:rsid w:val="00F62479"/>
    <w:rsid w:val="00F62803"/>
    <w:rsid w:val="00F63F87"/>
    <w:rsid w:val="00F65E40"/>
    <w:rsid w:val="00F6649B"/>
    <w:rsid w:val="00F70C2E"/>
    <w:rsid w:val="00F729BF"/>
    <w:rsid w:val="00F7312F"/>
    <w:rsid w:val="00F73AB5"/>
    <w:rsid w:val="00F7510A"/>
    <w:rsid w:val="00F75BCB"/>
    <w:rsid w:val="00F7725E"/>
    <w:rsid w:val="00F77817"/>
    <w:rsid w:val="00F77A39"/>
    <w:rsid w:val="00F80D41"/>
    <w:rsid w:val="00F80FF6"/>
    <w:rsid w:val="00F8169A"/>
    <w:rsid w:val="00F81DEE"/>
    <w:rsid w:val="00F83DEA"/>
    <w:rsid w:val="00F84C5A"/>
    <w:rsid w:val="00F851F2"/>
    <w:rsid w:val="00F86C4B"/>
    <w:rsid w:val="00F87239"/>
    <w:rsid w:val="00F874F8"/>
    <w:rsid w:val="00F90DEF"/>
    <w:rsid w:val="00F92D12"/>
    <w:rsid w:val="00F93447"/>
    <w:rsid w:val="00F9582D"/>
    <w:rsid w:val="00F95C22"/>
    <w:rsid w:val="00F9627C"/>
    <w:rsid w:val="00F96C21"/>
    <w:rsid w:val="00F9767C"/>
    <w:rsid w:val="00FA119A"/>
    <w:rsid w:val="00FA192E"/>
    <w:rsid w:val="00FA1D30"/>
    <w:rsid w:val="00FA30F1"/>
    <w:rsid w:val="00FA6D15"/>
    <w:rsid w:val="00FB1153"/>
    <w:rsid w:val="00FB1212"/>
    <w:rsid w:val="00FB41F4"/>
    <w:rsid w:val="00FB46A5"/>
    <w:rsid w:val="00FB4DE5"/>
    <w:rsid w:val="00FB5A22"/>
    <w:rsid w:val="00FB5EC9"/>
    <w:rsid w:val="00FB6232"/>
    <w:rsid w:val="00FB680D"/>
    <w:rsid w:val="00FB6E5B"/>
    <w:rsid w:val="00FB7CD4"/>
    <w:rsid w:val="00FC0763"/>
    <w:rsid w:val="00FC0938"/>
    <w:rsid w:val="00FC17C1"/>
    <w:rsid w:val="00FC3577"/>
    <w:rsid w:val="00FC3824"/>
    <w:rsid w:val="00FC3E23"/>
    <w:rsid w:val="00FC4590"/>
    <w:rsid w:val="00FC4948"/>
    <w:rsid w:val="00FC4EEA"/>
    <w:rsid w:val="00FC58D9"/>
    <w:rsid w:val="00FC5F39"/>
    <w:rsid w:val="00FC7267"/>
    <w:rsid w:val="00FC728B"/>
    <w:rsid w:val="00FC7F67"/>
    <w:rsid w:val="00FD247B"/>
    <w:rsid w:val="00FD336B"/>
    <w:rsid w:val="00FD3A48"/>
    <w:rsid w:val="00FD3B50"/>
    <w:rsid w:val="00FD41D0"/>
    <w:rsid w:val="00FD4ED4"/>
    <w:rsid w:val="00FD5078"/>
    <w:rsid w:val="00FE1624"/>
    <w:rsid w:val="00FE1704"/>
    <w:rsid w:val="00FE395A"/>
    <w:rsid w:val="00FE408D"/>
    <w:rsid w:val="00FE440C"/>
    <w:rsid w:val="00FE542F"/>
    <w:rsid w:val="00FE54F7"/>
    <w:rsid w:val="00FE5A85"/>
    <w:rsid w:val="00FE64A8"/>
    <w:rsid w:val="00FE69AC"/>
    <w:rsid w:val="00FE6F45"/>
    <w:rsid w:val="00FF08BD"/>
    <w:rsid w:val="00FF2AA7"/>
    <w:rsid w:val="00FF2DE5"/>
    <w:rsid w:val="00FF3791"/>
    <w:rsid w:val="00FF37A8"/>
    <w:rsid w:val="00FF3A9F"/>
    <w:rsid w:val="00FF495B"/>
    <w:rsid w:val="00FF7391"/>
    <w:rsid w:val="00FF7596"/>
    <w:rsid w:val="00FF7F7F"/>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4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BD"/>
    <w:rPr>
      <w:rFonts w:ascii="Arial" w:eastAsia="SimSun" w:hAnsi="Arial" w:cs="Arial"/>
      <w:sz w:val="22"/>
      <w:lang w:val="fr-CH" w:eastAsia="zh-CN"/>
    </w:rPr>
  </w:style>
  <w:style w:type="paragraph" w:styleId="Heading1">
    <w:name w:val="heading 1"/>
    <w:basedOn w:val="Normal"/>
    <w:next w:val="Normal"/>
    <w:link w:val="Heading1Char"/>
    <w:qFormat/>
    <w:rsid w:val="00E821BD"/>
    <w:pPr>
      <w:keepNext/>
      <w:spacing w:before="240" w:after="60"/>
      <w:outlineLvl w:val="0"/>
    </w:pPr>
    <w:rPr>
      <w:b/>
      <w:bCs/>
      <w:caps/>
      <w:kern w:val="32"/>
      <w:szCs w:val="32"/>
    </w:rPr>
  </w:style>
  <w:style w:type="paragraph" w:styleId="Heading2">
    <w:name w:val="heading 2"/>
    <w:basedOn w:val="Normal"/>
    <w:next w:val="Normal"/>
    <w:link w:val="Heading2Char"/>
    <w:qFormat/>
    <w:rsid w:val="00E821BD"/>
    <w:pPr>
      <w:keepNext/>
      <w:spacing w:before="240" w:after="60"/>
      <w:outlineLvl w:val="1"/>
    </w:pPr>
    <w:rPr>
      <w:bCs/>
      <w:iCs/>
      <w:caps/>
      <w:szCs w:val="28"/>
    </w:rPr>
  </w:style>
  <w:style w:type="paragraph" w:styleId="Heading3">
    <w:name w:val="heading 3"/>
    <w:basedOn w:val="Normal"/>
    <w:next w:val="Normal"/>
    <w:link w:val="Heading3Char"/>
    <w:qFormat/>
    <w:rsid w:val="002A7671"/>
    <w:pPr>
      <w:keepNext/>
      <w:spacing w:before="240" w:after="60"/>
      <w:outlineLvl w:val="2"/>
    </w:pPr>
    <w:rPr>
      <w:b/>
      <w:bCs/>
      <w:szCs w:val="26"/>
    </w:rPr>
  </w:style>
  <w:style w:type="paragraph" w:styleId="Heading4">
    <w:name w:val="heading 4"/>
    <w:basedOn w:val="Normal"/>
    <w:next w:val="Normal"/>
    <w:link w:val="Heading4Char"/>
    <w:qFormat/>
    <w:rsid w:val="00E821B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1BD"/>
    <w:pPr>
      <w:tabs>
        <w:tab w:val="center" w:pos="4536"/>
        <w:tab w:val="right" w:pos="9072"/>
      </w:tabs>
    </w:pPr>
  </w:style>
  <w:style w:type="paragraph" w:styleId="Footer">
    <w:name w:val="footer"/>
    <w:basedOn w:val="Normal"/>
    <w:link w:val="FooterChar"/>
    <w:semiHidden/>
    <w:rsid w:val="00E821BD"/>
    <w:pPr>
      <w:tabs>
        <w:tab w:val="center" w:pos="4320"/>
        <w:tab w:val="right" w:pos="8640"/>
      </w:tabs>
    </w:pPr>
  </w:style>
  <w:style w:type="paragraph" w:styleId="Salutation">
    <w:name w:val="Salutation"/>
    <w:basedOn w:val="Normal"/>
    <w:next w:val="Normal"/>
    <w:link w:val="SalutationChar"/>
    <w:semiHidden/>
    <w:rsid w:val="00E821BD"/>
  </w:style>
  <w:style w:type="paragraph" w:styleId="Signature">
    <w:name w:val="Signature"/>
    <w:basedOn w:val="Normal"/>
    <w:link w:val="SignatureChar"/>
    <w:semiHidden/>
    <w:rsid w:val="00E821BD"/>
    <w:pPr>
      <w:ind w:left="5250"/>
    </w:pPr>
  </w:style>
  <w:style w:type="paragraph" w:styleId="FootnoteText">
    <w:name w:val="footnote text"/>
    <w:basedOn w:val="Normal"/>
    <w:link w:val="FootnoteTextChar"/>
    <w:semiHidden/>
    <w:rsid w:val="00E821BD"/>
    <w:rPr>
      <w:sz w:val="18"/>
    </w:rPr>
  </w:style>
  <w:style w:type="paragraph" w:styleId="EndnoteText">
    <w:name w:val="endnote text"/>
    <w:basedOn w:val="Normal"/>
    <w:link w:val="EndnoteTextChar"/>
    <w:semiHidden/>
    <w:rsid w:val="00E821BD"/>
    <w:rPr>
      <w:sz w:val="18"/>
    </w:rPr>
  </w:style>
  <w:style w:type="paragraph" w:styleId="Caption">
    <w:name w:val="caption"/>
    <w:basedOn w:val="Normal"/>
    <w:next w:val="Normal"/>
    <w:qFormat/>
    <w:rsid w:val="00E821BD"/>
    <w:rPr>
      <w:b/>
      <w:bCs/>
      <w:sz w:val="18"/>
    </w:rPr>
  </w:style>
  <w:style w:type="paragraph" w:styleId="CommentText">
    <w:name w:val="annotation text"/>
    <w:basedOn w:val="Normal"/>
    <w:link w:val="CommentTextChar"/>
    <w:semiHidden/>
    <w:rsid w:val="00E821BD"/>
    <w:rPr>
      <w:sz w:val="18"/>
    </w:rPr>
  </w:style>
  <w:style w:type="paragraph" w:styleId="BodyText">
    <w:name w:val="Body Text"/>
    <w:basedOn w:val="Normal"/>
    <w:link w:val="BodyTextChar"/>
    <w:rsid w:val="00E821BD"/>
    <w:pPr>
      <w:spacing w:after="220"/>
    </w:pPr>
  </w:style>
  <w:style w:type="paragraph" w:customStyle="1" w:styleId="ONUMFS">
    <w:name w:val="ONUM FS"/>
    <w:basedOn w:val="BodyText"/>
    <w:rsid w:val="00E821BD"/>
    <w:pPr>
      <w:numPr>
        <w:numId w:val="17"/>
      </w:numPr>
    </w:pPr>
  </w:style>
  <w:style w:type="paragraph" w:customStyle="1" w:styleId="ONUME">
    <w:name w:val="ONUM E"/>
    <w:basedOn w:val="BodyText"/>
    <w:rsid w:val="00E821BD"/>
    <w:pPr>
      <w:numPr>
        <w:numId w:val="16"/>
      </w:numPr>
    </w:pPr>
  </w:style>
  <w:style w:type="paragraph" w:styleId="ListNumber">
    <w:name w:val="List Number"/>
    <w:basedOn w:val="Normal"/>
    <w:semiHidden/>
    <w:rsid w:val="00E821BD"/>
    <w:pPr>
      <w:numPr>
        <w:numId w:val="15"/>
      </w:numPr>
    </w:pPr>
  </w:style>
  <w:style w:type="character" w:styleId="FootnoteReference">
    <w:name w:val="footnote reference"/>
    <w:semiHidden/>
    <w:rsid w:val="00791331"/>
    <w:rPr>
      <w:vertAlign w:val="superscript"/>
    </w:rPr>
  </w:style>
  <w:style w:type="character" w:styleId="Hyperlink">
    <w:name w:val="Hyperlink"/>
    <w:rsid w:val="00791331"/>
    <w:rPr>
      <w:color w:val="0000FF"/>
      <w:u w:val="single"/>
    </w:rPr>
  </w:style>
  <w:style w:type="character" w:customStyle="1" w:styleId="Thom">
    <w:name w:val="Thom"/>
    <w:semiHidden/>
    <w:rsid w:val="00F4370B"/>
    <w:rPr>
      <w:rFonts w:ascii="Arial" w:hAnsi="Arial" w:cs="Arial"/>
      <w:color w:val="000080"/>
      <w:sz w:val="20"/>
      <w:szCs w:val="20"/>
    </w:rPr>
  </w:style>
  <w:style w:type="character" w:styleId="Emphasis">
    <w:name w:val="Emphasis"/>
    <w:uiPriority w:val="20"/>
    <w:qFormat/>
    <w:rsid w:val="00894CFC"/>
    <w:rPr>
      <w:i/>
      <w:iCs/>
    </w:rPr>
  </w:style>
  <w:style w:type="paragraph" w:styleId="BalloonText">
    <w:name w:val="Balloon Text"/>
    <w:basedOn w:val="Normal"/>
    <w:semiHidden/>
    <w:rsid w:val="000558D3"/>
    <w:rPr>
      <w:rFonts w:ascii="Tahoma" w:hAnsi="Tahoma" w:cs="Tahoma"/>
      <w:sz w:val="16"/>
      <w:szCs w:val="16"/>
    </w:rPr>
  </w:style>
  <w:style w:type="character" w:styleId="PageNumber">
    <w:name w:val="page number"/>
    <w:basedOn w:val="DefaultParagraphFont"/>
    <w:rsid w:val="00C42499"/>
  </w:style>
  <w:style w:type="paragraph" w:styleId="ListParagraph">
    <w:name w:val="List Paragraph"/>
    <w:basedOn w:val="Normal"/>
    <w:uiPriority w:val="34"/>
    <w:qFormat/>
    <w:rsid w:val="00E821BD"/>
    <w:pPr>
      <w:ind w:left="720"/>
      <w:contextualSpacing/>
    </w:pPr>
  </w:style>
  <w:style w:type="character" w:styleId="CommentReference">
    <w:name w:val="annotation reference"/>
    <w:basedOn w:val="DefaultParagraphFont"/>
    <w:rsid w:val="00784098"/>
    <w:rPr>
      <w:sz w:val="16"/>
      <w:szCs w:val="16"/>
    </w:rPr>
  </w:style>
  <w:style w:type="paragraph" w:styleId="CommentSubject">
    <w:name w:val="annotation subject"/>
    <w:basedOn w:val="CommentText"/>
    <w:next w:val="CommentText"/>
    <w:link w:val="CommentSubjectChar"/>
    <w:rsid w:val="00784098"/>
    <w:rPr>
      <w:b/>
      <w:bCs/>
      <w:sz w:val="20"/>
    </w:rPr>
  </w:style>
  <w:style w:type="character" w:customStyle="1" w:styleId="CommentTextChar">
    <w:name w:val="Comment Text Char"/>
    <w:basedOn w:val="DefaultParagraphFont"/>
    <w:link w:val="CommentText"/>
    <w:semiHidden/>
    <w:rsid w:val="00E821BD"/>
    <w:rPr>
      <w:rFonts w:ascii="Arial" w:eastAsia="SimSun" w:hAnsi="Arial" w:cs="Arial"/>
      <w:sz w:val="18"/>
      <w:lang w:val="fr-CH" w:eastAsia="zh-CN"/>
    </w:rPr>
  </w:style>
  <w:style w:type="character" w:customStyle="1" w:styleId="CommentSubjectChar">
    <w:name w:val="Comment Subject Char"/>
    <w:basedOn w:val="CommentTextChar"/>
    <w:link w:val="CommentSubject"/>
    <w:rsid w:val="00784098"/>
    <w:rPr>
      <w:rFonts w:ascii="Arial" w:eastAsia="SimSun" w:hAnsi="Arial" w:cs="Arial"/>
      <w:b/>
      <w:bCs/>
      <w:sz w:val="18"/>
      <w:szCs w:val="24"/>
      <w:lang w:val="fr-CH" w:eastAsia="zh-CN"/>
    </w:rPr>
  </w:style>
  <w:style w:type="paragraph" w:customStyle="1" w:styleId="Endofdocument-Annex">
    <w:name w:val="[End of document - Annex]"/>
    <w:basedOn w:val="Normal"/>
    <w:rsid w:val="00E821BD"/>
    <w:pPr>
      <w:ind w:left="5534"/>
    </w:pPr>
    <w:rPr>
      <w:lang w:val="en-US"/>
    </w:rPr>
  </w:style>
  <w:style w:type="character" w:customStyle="1" w:styleId="BodyTextChar">
    <w:name w:val="Body Text Char"/>
    <w:basedOn w:val="DefaultParagraphFont"/>
    <w:link w:val="BodyText"/>
    <w:rsid w:val="00E821BD"/>
    <w:rPr>
      <w:rFonts w:ascii="Arial" w:eastAsia="SimSun" w:hAnsi="Arial" w:cs="Arial"/>
      <w:sz w:val="22"/>
      <w:lang w:val="fr-CH" w:eastAsia="zh-CN"/>
    </w:rPr>
  </w:style>
  <w:style w:type="character" w:customStyle="1" w:styleId="EndnoteTextChar">
    <w:name w:val="Endnote Text Char"/>
    <w:basedOn w:val="DefaultParagraphFont"/>
    <w:link w:val="EndnoteText"/>
    <w:semiHidden/>
    <w:rsid w:val="00E821BD"/>
    <w:rPr>
      <w:rFonts w:ascii="Arial" w:eastAsia="SimSun" w:hAnsi="Arial" w:cs="Arial"/>
      <w:sz w:val="18"/>
      <w:lang w:val="fr-CH" w:eastAsia="zh-CN"/>
    </w:rPr>
  </w:style>
  <w:style w:type="character" w:customStyle="1" w:styleId="FooterChar">
    <w:name w:val="Footer Char"/>
    <w:basedOn w:val="DefaultParagraphFont"/>
    <w:link w:val="Footer"/>
    <w:semiHidden/>
    <w:rsid w:val="00E821BD"/>
    <w:rPr>
      <w:rFonts w:ascii="Arial" w:eastAsia="SimSun" w:hAnsi="Arial" w:cs="Arial"/>
      <w:sz w:val="22"/>
      <w:lang w:val="fr-CH" w:eastAsia="zh-CN"/>
    </w:rPr>
  </w:style>
  <w:style w:type="character" w:customStyle="1" w:styleId="FootnoteTextChar">
    <w:name w:val="Footnote Text Char"/>
    <w:basedOn w:val="DefaultParagraphFont"/>
    <w:link w:val="FootnoteText"/>
    <w:semiHidden/>
    <w:rsid w:val="00E821BD"/>
    <w:rPr>
      <w:rFonts w:ascii="Arial" w:eastAsia="SimSun" w:hAnsi="Arial" w:cs="Arial"/>
      <w:sz w:val="18"/>
      <w:lang w:val="fr-CH" w:eastAsia="zh-CN"/>
    </w:rPr>
  </w:style>
  <w:style w:type="character" w:customStyle="1" w:styleId="HeaderChar">
    <w:name w:val="Header Char"/>
    <w:basedOn w:val="DefaultParagraphFont"/>
    <w:link w:val="Header"/>
    <w:uiPriority w:val="99"/>
    <w:rsid w:val="00E821BD"/>
    <w:rPr>
      <w:rFonts w:ascii="Arial" w:eastAsia="SimSun" w:hAnsi="Arial" w:cs="Arial"/>
      <w:sz w:val="22"/>
      <w:lang w:val="fr-CH" w:eastAsia="zh-CN"/>
    </w:rPr>
  </w:style>
  <w:style w:type="character" w:customStyle="1" w:styleId="Heading1Char">
    <w:name w:val="Heading 1 Char"/>
    <w:basedOn w:val="DefaultParagraphFont"/>
    <w:link w:val="Heading1"/>
    <w:rsid w:val="00E821BD"/>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E821BD"/>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2A7671"/>
    <w:rPr>
      <w:rFonts w:ascii="Arial" w:eastAsia="SimSun" w:hAnsi="Arial" w:cs="Arial"/>
      <w:b/>
      <w:bCs/>
      <w:sz w:val="22"/>
      <w:szCs w:val="26"/>
      <w:lang w:val="fr-CH" w:eastAsia="zh-CN"/>
    </w:rPr>
  </w:style>
  <w:style w:type="character" w:customStyle="1" w:styleId="Heading4Char">
    <w:name w:val="Heading 4 Char"/>
    <w:basedOn w:val="DefaultParagraphFont"/>
    <w:link w:val="Heading4"/>
    <w:rsid w:val="00E821BD"/>
    <w:rPr>
      <w:rFonts w:ascii="Arial" w:eastAsia="SimSun" w:hAnsi="Arial" w:cs="Arial"/>
      <w:bCs/>
      <w:i/>
      <w:sz w:val="22"/>
      <w:szCs w:val="28"/>
      <w:lang w:val="fr-CH" w:eastAsia="zh-CN"/>
    </w:rPr>
  </w:style>
  <w:style w:type="paragraph" w:customStyle="1" w:styleId="Meetingplacedate">
    <w:name w:val="Meeting place &amp; date"/>
    <w:basedOn w:val="Normal"/>
    <w:next w:val="Normal"/>
    <w:rsid w:val="00E821BD"/>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E821BD"/>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E821BD"/>
    <w:rPr>
      <w:rFonts w:ascii="Arial" w:eastAsia="SimSun" w:hAnsi="Arial" w:cs="Arial"/>
      <w:sz w:val="22"/>
      <w:lang w:val="fr-CH" w:eastAsia="zh-CN"/>
    </w:rPr>
  </w:style>
  <w:style w:type="character" w:customStyle="1" w:styleId="SignatureChar">
    <w:name w:val="Signature Char"/>
    <w:basedOn w:val="DefaultParagraphFont"/>
    <w:link w:val="Signature"/>
    <w:semiHidden/>
    <w:rsid w:val="00E821BD"/>
    <w:rPr>
      <w:rFonts w:ascii="Arial" w:eastAsia="SimSun" w:hAnsi="Arial" w:cs="Arial"/>
      <w:sz w:val="22"/>
      <w:lang w:val="fr-CH" w:eastAsia="zh-CN"/>
    </w:rPr>
  </w:style>
  <w:style w:type="table" w:styleId="TableGrid">
    <w:name w:val="Table Grid"/>
    <w:basedOn w:val="TableNormal"/>
    <w:rsid w:val="0013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red">
    <w:name w:val="preferred"/>
    <w:basedOn w:val="DefaultParagraphFont"/>
    <w:rsid w:val="00A82CAA"/>
  </w:style>
  <w:style w:type="paragraph" w:customStyle="1" w:styleId="Default">
    <w:name w:val="Default"/>
    <w:rsid w:val="00C33F01"/>
    <w:pPr>
      <w:autoSpaceDE w:val="0"/>
      <w:autoSpaceDN w:val="0"/>
      <w:adjustRightInd w:val="0"/>
    </w:pPr>
    <w:rPr>
      <w:rFonts w:ascii="HelveticaNeueLT Std" w:hAnsi="HelveticaNeueLT Std" w:cs="HelveticaNeueLT Std"/>
      <w:color w:val="000000"/>
      <w:sz w:val="24"/>
      <w:szCs w:val="24"/>
    </w:rPr>
  </w:style>
  <w:style w:type="character" w:customStyle="1" w:styleId="A13">
    <w:name w:val="A13"/>
    <w:uiPriority w:val="99"/>
    <w:rsid w:val="00C33F01"/>
    <w:rPr>
      <w:rFonts w:cs="HelveticaNeueLT Std"/>
      <w:b/>
      <w:bCs/>
      <w:color w:val="FFFFFF"/>
      <w:sz w:val="70"/>
      <w:szCs w:val="70"/>
    </w:rPr>
  </w:style>
  <w:style w:type="character" w:customStyle="1" w:styleId="A3">
    <w:name w:val="A3"/>
    <w:uiPriority w:val="99"/>
    <w:rsid w:val="00C33F01"/>
    <w:rPr>
      <w:rFonts w:cs="HelveticaNeueLT Std Blk Cn"/>
      <w:color w:val="FFFFFF"/>
      <w:sz w:val="48"/>
      <w:szCs w:val="48"/>
    </w:rPr>
  </w:style>
  <w:style w:type="paragraph" w:customStyle="1" w:styleId="Pa7">
    <w:name w:val="Pa7"/>
    <w:basedOn w:val="Default"/>
    <w:next w:val="Default"/>
    <w:uiPriority w:val="99"/>
    <w:rsid w:val="00C33F01"/>
    <w:pPr>
      <w:spacing w:line="241" w:lineRule="atLeast"/>
    </w:pPr>
    <w:rPr>
      <w:rFonts w:ascii="HelveticaNeueLT Std Blk Cn" w:hAnsi="HelveticaNeueLT Std Blk Cn" w:cs="Times New Roman"/>
      <w:color w:val="auto"/>
    </w:rPr>
  </w:style>
  <w:style w:type="character" w:customStyle="1" w:styleId="A8">
    <w:name w:val="A8"/>
    <w:uiPriority w:val="99"/>
    <w:rsid w:val="00C33F01"/>
    <w:rPr>
      <w:rFonts w:ascii="HelveticaNeueLT Std Cn" w:hAnsi="HelveticaNeueLT Std Cn" w:cs="HelveticaNeueLT Std Cn"/>
      <w:color w:val="A2B5C0"/>
      <w:sz w:val="34"/>
      <w:szCs w:val="34"/>
    </w:rPr>
  </w:style>
  <w:style w:type="character" w:customStyle="1" w:styleId="A10">
    <w:name w:val="A10"/>
    <w:uiPriority w:val="99"/>
    <w:rsid w:val="00C33F01"/>
    <w:rPr>
      <w:rFonts w:cs="HelveticaNeueLT Std Blk Cn"/>
      <w:color w:val="FFFFFF"/>
      <w:sz w:val="28"/>
      <w:szCs w:val="28"/>
    </w:rPr>
  </w:style>
  <w:style w:type="character" w:customStyle="1" w:styleId="A2">
    <w:name w:val="A2"/>
    <w:uiPriority w:val="99"/>
    <w:rsid w:val="00C33F01"/>
    <w:rPr>
      <w:rFonts w:cs="HelveticaNeueLT Std Blk Cn"/>
      <w:color w:val="FFFFFF"/>
      <w:sz w:val="20"/>
      <w:szCs w:val="20"/>
    </w:rPr>
  </w:style>
  <w:style w:type="character" w:customStyle="1" w:styleId="A11">
    <w:name w:val="A11"/>
    <w:uiPriority w:val="99"/>
    <w:rsid w:val="00C33F01"/>
    <w:rPr>
      <w:rFonts w:cs="HelveticaNeueLT Std Blk Cn"/>
      <w:color w:val="FFFFFF"/>
      <w:sz w:val="22"/>
      <w:szCs w:val="22"/>
    </w:rPr>
  </w:style>
  <w:style w:type="character" w:customStyle="1" w:styleId="A14">
    <w:name w:val="A14"/>
    <w:uiPriority w:val="99"/>
    <w:rsid w:val="00C33F01"/>
    <w:rPr>
      <w:rFonts w:cs="HelveticaNeueLT Std Blk Cn"/>
      <w:color w:val="FFFFFF"/>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BD"/>
    <w:rPr>
      <w:rFonts w:ascii="Arial" w:eastAsia="SimSun" w:hAnsi="Arial" w:cs="Arial"/>
      <w:sz w:val="22"/>
      <w:lang w:val="fr-CH" w:eastAsia="zh-CN"/>
    </w:rPr>
  </w:style>
  <w:style w:type="paragraph" w:styleId="Heading1">
    <w:name w:val="heading 1"/>
    <w:basedOn w:val="Normal"/>
    <w:next w:val="Normal"/>
    <w:link w:val="Heading1Char"/>
    <w:qFormat/>
    <w:rsid w:val="00E821BD"/>
    <w:pPr>
      <w:keepNext/>
      <w:spacing w:before="240" w:after="60"/>
      <w:outlineLvl w:val="0"/>
    </w:pPr>
    <w:rPr>
      <w:b/>
      <w:bCs/>
      <w:caps/>
      <w:kern w:val="32"/>
      <w:szCs w:val="32"/>
    </w:rPr>
  </w:style>
  <w:style w:type="paragraph" w:styleId="Heading2">
    <w:name w:val="heading 2"/>
    <w:basedOn w:val="Normal"/>
    <w:next w:val="Normal"/>
    <w:link w:val="Heading2Char"/>
    <w:qFormat/>
    <w:rsid w:val="00E821BD"/>
    <w:pPr>
      <w:keepNext/>
      <w:spacing w:before="240" w:after="60"/>
      <w:outlineLvl w:val="1"/>
    </w:pPr>
    <w:rPr>
      <w:bCs/>
      <w:iCs/>
      <w:caps/>
      <w:szCs w:val="28"/>
    </w:rPr>
  </w:style>
  <w:style w:type="paragraph" w:styleId="Heading3">
    <w:name w:val="heading 3"/>
    <w:basedOn w:val="Normal"/>
    <w:next w:val="Normal"/>
    <w:link w:val="Heading3Char"/>
    <w:qFormat/>
    <w:rsid w:val="002A7671"/>
    <w:pPr>
      <w:keepNext/>
      <w:spacing w:before="240" w:after="60"/>
      <w:outlineLvl w:val="2"/>
    </w:pPr>
    <w:rPr>
      <w:b/>
      <w:bCs/>
      <w:szCs w:val="26"/>
    </w:rPr>
  </w:style>
  <w:style w:type="paragraph" w:styleId="Heading4">
    <w:name w:val="heading 4"/>
    <w:basedOn w:val="Normal"/>
    <w:next w:val="Normal"/>
    <w:link w:val="Heading4Char"/>
    <w:qFormat/>
    <w:rsid w:val="00E821B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1BD"/>
    <w:pPr>
      <w:tabs>
        <w:tab w:val="center" w:pos="4536"/>
        <w:tab w:val="right" w:pos="9072"/>
      </w:tabs>
    </w:pPr>
  </w:style>
  <w:style w:type="paragraph" w:styleId="Footer">
    <w:name w:val="footer"/>
    <w:basedOn w:val="Normal"/>
    <w:link w:val="FooterChar"/>
    <w:semiHidden/>
    <w:rsid w:val="00E821BD"/>
    <w:pPr>
      <w:tabs>
        <w:tab w:val="center" w:pos="4320"/>
        <w:tab w:val="right" w:pos="8640"/>
      </w:tabs>
    </w:pPr>
  </w:style>
  <w:style w:type="paragraph" w:styleId="Salutation">
    <w:name w:val="Salutation"/>
    <w:basedOn w:val="Normal"/>
    <w:next w:val="Normal"/>
    <w:link w:val="SalutationChar"/>
    <w:semiHidden/>
    <w:rsid w:val="00E821BD"/>
  </w:style>
  <w:style w:type="paragraph" w:styleId="Signature">
    <w:name w:val="Signature"/>
    <w:basedOn w:val="Normal"/>
    <w:link w:val="SignatureChar"/>
    <w:semiHidden/>
    <w:rsid w:val="00E821BD"/>
    <w:pPr>
      <w:ind w:left="5250"/>
    </w:pPr>
  </w:style>
  <w:style w:type="paragraph" w:styleId="FootnoteText">
    <w:name w:val="footnote text"/>
    <w:basedOn w:val="Normal"/>
    <w:link w:val="FootnoteTextChar"/>
    <w:semiHidden/>
    <w:rsid w:val="00E821BD"/>
    <w:rPr>
      <w:sz w:val="18"/>
    </w:rPr>
  </w:style>
  <w:style w:type="paragraph" w:styleId="EndnoteText">
    <w:name w:val="endnote text"/>
    <w:basedOn w:val="Normal"/>
    <w:link w:val="EndnoteTextChar"/>
    <w:semiHidden/>
    <w:rsid w:val="00E821BD"/>
    <w:rPr>
      <w:sz w:val="18"/>
    </w:rPr>
  </w:style>
  <w:style w:type="paragraph" w:styleId="Caption">
    <w:name w:val="caption"/>
    <w:basedOn w:val="Normal"/>
    <w:next w:val="Normal"/>
    <w:qFormat/>
    <w:rsid w:val="00E821BD"/>
    <w:rPr>
      <w:b/>
      <w:bCs/>
      <w:sz w:val="18"/>
    </w:rPr>
  </w:style>
  <w:style w:type="paragraph" w:styleId="CommentText">
    <w:name w:val="annotation text"/>
    <w:basedOn w:val="Normal"/>
    <w:link w:val="CommentTextChar"/>
    <w:semiHidden/>
    <w:rsid w:val="00E821BD"/>
    <w:rPr>
      <w:sz w:val="18"/>
    </w:rPr>
  </w:style>
  <w:style w:type="paragraph" w:styleId="BodyText">
    <w:name w:val="Body Text"/>
    <w:basedOn w:val="Normal"/>
    <w:link w:val="BodyTextChar"/>
    <w:rsid w:val="00E821BD"/>
    <w:pPr>
      <w:spacing w:after="220"/>
    </w:pPr>
  </w:style>
  <w:style w:type="paragraph" w:customStyle="1" w:styleId="ONUMFS">
    <w:name w:val="ONUM FS"/>
    <w:basedOn w:val="BodyText"/>
    <w:rsid w:val="00E821BD"/>
    <w:pPr>
      <w:numPr>
        <w:numId w:val="17"/>
      </w:numPr>
    </w:pPr>
  </w:style>
  <w:style w:type="paragraph" w:customStyle="1" w:styleId="ONUME">
    <w:name w:val="ONUM E"/>
    <w:basedOn w:val="BodyText"/>
    <w:rsid w:val="00E821BD"/>
    <w:pPr>
      <w:numPr>
        <w:numId w:val="16"/>
      </w:numPr>
    </w:pPr>
  </w:style>
  <w:style w:type="paragraph" w:styleId="ListNumber">
    <w:name w:val="List Number"/>
    <w:basedOn w:val="Normal"/>
    <w:semiHidden/>
    <w:rsid w:val="00E821BD"/>
    <w:pPr>
      <w:numPr>
        <w:numId w:val="15"/>
      </w:numPr>
    </w:pPr>
  </w:style>
  <w:style w:type="character" w:styleId="FootnoteReference">
    <w:name w:val="footnote reference"/>
    <w:semiHidden/>
    <w:rsid w:val="00791331"/>
    <w:rPr>
      <w:vertAlign w:val="superscript"/>
    </w:rPr>
  </w:style>
  <w:style w:type="character" w:styleId="Hyperlink">
    <w:name w:val="Hyperlink"/>
    <w:rsid w:val="00791331"/>
    <w:rPr>
      <w:color w:val="0000FF"/>
      <w:u w:val="single"/>
    </w:rPr>
  </w:style>
  <w:style w:type="character" w:customStyle="1" w:styleId="Thom">
    <w:name w:val="Thom"/>
    <w:semiHidden/>
    <w:rsid w:val="00F4370B"/>
    <w:rPr>
      <w:rFonts w:ascii="Arial" w:hAnsi="Arial" w:cs="Arial"/>
      <w:color w:val="000080"/>
      <w:sz w:val="20"/>
      <w:szCs w:val="20"/>
    </w:rPr>
  </w:style>
  <w:style w:type="character" w:styleId="Emphasis">
    <w:name w:val="Emphasis"/>
    <w:uiPriority w:val="20"/>
    <w:qFormat/>
    <w:rsid w:val="00894CFC"/>
    <w:rPr>
      <w:i/>
      <w:iCs/>
    </w:rPr>
  </w:style>
  <w:style w:type="paragraph" w:styleId="BalloonText">
    <w:name w:val="Balloon Text"/>
    <w:basedOn w:val="Normal"/>
    <w:semiHidden/>
    <w:rsid w:val="000558D3"/>
    <w:rPr>
      <w:rFonts w:ascii="Tahoma" w:hAnsi="Tahoma" w:cs="Tahoma"/>
      <w:sz w:val="16"/>
      <w:szCs w:val="16"/>
    </w:rPr>
  </w:style>
  <w:style w:type="character" w:styleId="PageNumber">
    <w:name w:val="page number"/>
    <w:basedOn w:val="DefaultParagraphFont"/>
    <w:rsid w:val="00C42499"/>
  </w:style>
  <w:style w:type="paragraph" w:styleId="ListParagraph">
    <w:name w:val="List Paragraph"/>
    <w:basedOn w:val="Normal"/>
    <w:uiPriority w:val="34"/>
    <w:qFormat/>
    <w:rsid w:val="00E821BD"/>
    <w:pPr>
      <w:ind w:left="720"/>
      <w:contextualSpacing/>
    </w:pPr>
  </w:style>
  <w:style w:type="character" w:styleId="CommentReference">
    <w:name w:val="annotation reference"/>
    <w:basedOn w:val="DefaultParagraphFont"/>
    <w:rsid w:val="00784098"/>
    <w:rPr>
      <w:sz w:val="16"/>
      <w:szCs w:val="16"/>
    </w:rPr>
  </w:style>
  <w:style w:type="paragraph" w:styleId="CommentSubject">
    <w:name w:val="annotation subject"/>
    <w:basedOn w:val="CommentText"/>
    <w:next w:val="CommentText"/>
    <w:link w:val="CommentSubjectChar"/>
    <w:rsid w:val="00784098"/>
    <w:rPr>
      <w:b/>
      <w:bCs/>
      <w:sz w:val="20"/>
    </w:rPr>
  </w:style>
  <w:style w:type="character" w:customStyle="1" w:styleId="CommentTextChar">
    <w:name w:val="Comment Text Char"/>
    <w:basedOn w:val="DefaultParagraphFont"/>
    <w:link w:val="CommentText"/>
    <w:semiHidden/>
    <w:rsid w:val="00E821BD"/>
    <w:rPr>
      <w:rFonts w:ascii="Arial" w:eastAsia="SimSun" w:hAnsi="Arial" w:cs="Arial"/>
      <w:sz w:val="18"/>
      <w:lang w:val="fr-CH" w:eastAsia="zh-CN"/>
    </w:rPr>
  </w:style>
  <w:style w:type="character" w:customStyle="1" w:styleId="CommentSubjectChar">
    <w:name w:val="Comment Subject Char"/>
    <w:basedOn w:val="CommentTextChar"/>
    <w:link w:val="CommentSubject"/>
    <w:rsid w:val="00784098"/>
    <w:rPr>
      <w:rFonts w:ascii="Arial" w:eastAsia="SimSun" w:hAnsi="Arial" w:cs="Arial"/>
      <w:b/>
      <w:bCs/>
      <w:sz w:val="18"/>
      <w:szCs w:val="24"/>
      <w:lang w:val="fr-CH" w:eastAsia="zh-CN"/>
    </w:rPr>
  </w:style>
  <w:style w:type="paragraph" w:customStyle="1" w:styleId="Endofdocument-Annex">
    <w:name w:val="[End of document - Annex]"/>
    <w:basedOn w:val="Normal"/>
    <w:rsid w:val="00E821BD"/>
    <w:pPr>
      <w:ind w:left="5534"/>
    </w:pPr>
    <w:rPr>
      <w:lang w:val="en-US"/>
    </w:rPr>
  </w:style>
  <w:style w:type="character" w:customStyle="1" w:styleId="BodyTextChar">
    <w:name w:val="Body Text Char"/>
    <w:basedOn w:val="DefaultParagraphFont"/>
    <w:link w:val="BodyText"/>
    <w:rsid w:val="00E821BD"/>
    <w:rPr>
      <w:rFonts w:ascii="Arial" w:eastAsia="SimSun" w:hAnsi="Arial" w:cs="Arial"/>
      <w:sz w:val="22"/>
      <w:lang w:val="fr-CH" w:eastAsia="zh-CN"/>
    </w:rPr>
  </w:style>
  <w:style w:type="character" w:customStyle="1" w:styleId="EndnoteTextChar">
    <w:name w:val="Endnote Text Char"/>
    <w:basedOn w:val="DefaultParagraphFont"/>
    <w:link w:val="EndnoteText"/>
    <w:semiHidden/>
    <w:rsid w:val="00E821BD"/>
    <w:rPr>
      <w:rFonts w:ascii="Arial" w:eastAsia="SimSun" w:hAnsi="Arial" w:cs="Arial"/>
      <w:sz w:val="18"/>
      <w:lang w:val="fr-CH" w:eastAsia="zh-CN"/>
    </w:rPr>
  </w:style>
  <w:style w:type="character" w:customStyle="1" w:styleId="FooterChar">
    <w:name w:val="Footer Char"/>
    <w:basedOn w:val="DefaultParagraphFont"/>
    <w:link w:val="Footer"/>
    <w:semiHidden/>
    <w:rsid w:val="00E821BD"/>
    <w:rPr>
      <w:rFonts w:ascii="Arial" w:eastAsia="SimSun" w:hAnsi="Arial" w:cs="Arial"/>
      <w:sz w:val="22"/>
      <w:lang w:val="fr-CH" w:eastAsia="zh-CN"/>
    </w:rPr>
  </w:style>
  <w:style w:type="character" w:customStyle="1" w:styleId="FootnoteTextChar">
    <w:name w:val="Footnote Text Char"/>
    <w:basedOn w:val="DefaultParagraphFont"/>
    <w:link w:val="FootnoteText"/>
    <w:semiHidden/>
    <w:rsid w:val="00E821BD"/>
    <w:rPr>
      <w:rFonts w:ascii="Arial" w:eastAsia="SimSun" w:hAnsi="Arial" w:cs="Arial"/>
      <w:sz w:val="18"/>
      <w:lang w:val="fr-CH" w:eastAsia="zh-CN"/>
    </w:rPr>
  </w:style>
  <w:style w:type="character" w:customStyle="1" w:styleId="HeaderChar">
    <w:name w:val="Header Char"/>
    <w:basedOn w:val="DefaultParagraphFont"/>
    <w:link w:val="Header"/>
    <w:uiPriority w:val="99"/>
    <w:rsid w:val="00E821BD"/>
    <w:rPr>
      <w:rFonts w:ascii="Arial" w:eastAsia="SimSun" w:hAnsi="Arial" w:cs="Arial"/>
      <w:sz w:val="22"/>
      <w:lang w:val="fr-CH" w:eastAsia="zh-CN"/>
    </w:rPr>
  </w:style>
  <w:style w:type="character" w:customStyle="1" w:styleId="Heading1Char">
    <w:name w:val="Heading 1 Char"/>
    <w:basedOn w:val="DefaultParagraphFont"/>
    <w:link w:val="Heading1"/>
    <w:rsid w:val="00E821BD"/>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E821BD"/>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2A7671"/>
    <w:rPr>
      <w:rFonts w:ascii="Arial" w:eastAsia="SimSun" w:hAnsi="Arial" w:cs="Arial"/>
      <w:b/>
      <w:bCs/>
      <w:sz w:val="22"/>
      <w:szCs w:val="26"/>
      <w:lang w:val="fr-CH" w:eastAsia="zh-CN"/>
    </w:rPr>
  </w:style>
  <w:style w:type="character" w:customStyle="1" w:styleId="Heading4Char">
    <w:name w:val="Heading 4 Char"/>
    <w:basedOn w:val="DefaultParagraphFont"/>
    <w:link w:val="Heading4"/>
    <w:rsid w:val="00E821BD"/>
    <w:rPr>
      <w:rFonts w:ascii="Arial" w:eastAsia="SimSun" w:hAnsi="Arial" w:cs="Arial"/>
      <w:bCs/>
      <w:i/>
      <w:sz w:val="22"/>
      <w:szCs w:val="28"/>
      <w:lang w:val="fr-CH" w:eastAsia="zh-CN"/>
    </w:rPr>
  </w:style>
  <w:style w:type="paragraph" w:customStyle="1" w:styleId="Meetingplacedate">
    <w:name w:val="Meeting place &amp; date"/>
    <w:basedOn w:val="Normal"/>
    <w:next w:val="Normal"/>
    <w:rsid w:val="00E821BD"/>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E821BD"/>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E821BD"/>
    <w:rPr>
      <w:rFonts w:ascii="Arial" w:eastAsia="SimSun" w:hAnsi="Arial" w:cs="Arial"/>
      <w:sz w:val="22"/>
      <w:lang w:val="fr-CH" w:eastAsia="zh-CN"/>
    </w:rPr>
  </w:style>
  <w:style w:type="character" w:customStyle="1" w:styleId="SignatureChar">
    <w:name w:val="Signature Char"/>
    <w:basedOn w:val="DefaultParagraphFont"/>
    <w:link w:val="Signature"/>
    <w:semiHidden/>
    <w:rsid w:val="00E821BD"/>
    <w:rPr>
      <w:rFonts w:ascii="Arial" w:eastAsia="SimSun" w:hAnsi="Arial" w:cs="Arial"/>
      <w:sz w:val="22"/>
      <w:lang w:val="fr-CH" w:eastAsia="zh-CN"/>
    </w:rPr>
  </w:style>
  <w:style w:type="table" w:styleId="TableGrid">
    <w:name w:val="Table Grid"/>
    <w:basedOn w:val="TableNormal"/>
    <w:rsid w:val="0013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red">
    <w:name w:val="preferred"/>
    <w:basedOn w:val="DefaultParagraphFont"/>
    <w:rsid w:val="00A82CAA"/>
  </w:style>
  <w:style w:type="paragraph" w:customStyle="1" w:styleId="Default">
    <w:name w:val="Default"/>
    <w:rsid w:val="00C33F01"/>
    <w:pPr>
      <w:autoSpaceDE w:val="0"/>
      <w:autoSpaceDN w:val="0"/>
      <w:adjustRightInd w:val="0"/>
    </w:pPr>
    <w:rPr>
      <w:rFonts w:ascii="HelveticaNeueLT Std" w:hAnsi="HelveticaNeueLT Std" w:cs="HelveticaNeueLT Std"/>
      <w:color w:val="000000"/>
      <w:sz w:val="24"/>
      <w:szCs w:val="24"/>
    </w:rPr>
  </w:style>
  <w:style w:type="character" w:customStyle="1" w:styleId="A13">
    <w:name w:val="A13"/>
    <w:uiPriority w:val="99"/>
    <w:rsid w:val="00C33F01"/>
    <w:rPr>
      <w:rFonts w:cs="HelveticaNeueLT Std"/>
      <w:b/>
      <w:bCs/>
      <w:color w:val="FFFFFF"/>
      <w:sz w:val="70"/>
      <w:szCs w:val="70"/>
    </w:rPr>
  </w:style>
  <w:style w:type="character" w:customStyle="1" w:styleId="A3">
    <w:name w:val="A3"/>
    <w:uiPriority w:val="99"/>
    <w:rsid w:val="00C33F01"/>
    <w:rPr>
      <w:rFonts w:cs="HelveticaNeueLT Std Blk Cn"/>
      <w:color w:val="FFFFFF"/>
      <w:sz w:val="48"/>
      <w:szCs w:val="48"/>
    </w:rPr>
  </w:style>
  <w:style w:type="paragraph" w:customStyle="1" w:styleId="Pa7">
    <w:name w:val="Pa7"/>
    <w:basedOn w:val="Default"/>
    <w:next w:val="Default"/>
    <w:uiPriority w:val="99"/>
    <w:rsid w:val="00C33F01"/>
    <w:pPr>
      <w:spacing w:line="241" w:lineRule="atLeast"/>
    </w:pPr>
    <w:rPr>
      <w:rFonts w:ascii="HelveticaNeueLT Std Blk Cn" w:hAnsi="HelveticaNeueLT Std Blk Cn" w:cs="Times New Roman"/>
      <w:color w:val="auto"/>
    </w:rPr>
  </w:style>
  <w:style w:type="character" w:customStyle="1" w:styleId="A8">
    <w:name w:val="A8"/>
    <w:uiPriority w:val="99"/>
    <w:rsid w:val="00C33F01"/>
    <w:rPr>
      <w:rFonts w:ascii="HelveticaNeueLT Std Cn" w:hAnsi="HelveticaNeueLT Std Cn" w:cs="HelveticaNeueLT Std Cn"/>
      <w:color w:val="A2B5C0"/>
      <w:sz w:val="34"/>
      <w:szCs w:val="34"/>
    </w:rPr>
  </w:style>
  <w:style w:type="character" w:customStyle="1" w:styleId="A10">
    <w:name w:val="A10"/>
    <w:uiPriority w:val="99"/>
    <w:rsid w:val="00C33F01"/>
    <w:rPr>
      <w:rFonts w:cs="HelveticaNeueLT Std Blk Cn"/>
      <w:color w:val="FFFFFF"/>
      <w:sz w:val="28"/>
      <w:szCs w:val="28"/>
    </w:rPr>
  </w:style>
  <w:style w:type="character" w:customStyle="1" w:styleId="A2">
    <w:name w:val="A2"/>
    <w:uiPriority w:val="99"/>
    <w:rsid w:val="00C33F01"/>
    <w:rPr>
      <w:rFonts w:cs="HelveticaNeueLT Std Blk Cn"/>
      <w:color w:val="FFFFFF"/>
      <w:sz w:val="20"/>
      <w:szCs w:val="20"/>
    </w:rPr>
  </w:style>
  <w:style w:type="character" w:customStyle="1" w:styleId="A11">
    <w:name w:val="A11"/>
    <w:uiPriority w:val="99"/>
    <w:rsid w:val="00C33F01"/>
    <w:rPr>
      <w:rFonts w:cs="HelveticaNeueLT Std Blk Cn"/>
      <w:color w:val="FFFFFF"/>
      <w:sz w:val="22"/>
      <w:szCs w:val="22"/>
    </w:rPr>
  </w:style>
  <w:style w:type="character" w:customStyle="1" w:styleId="A14">
    <w:name w:val="A14"/>
    <w:uiPriority w:val="99"/>
    <w:rsid w:val="00C33F01"/>
    <w:rPr>
      <w:rFonts w:cs="HelveticaNeueLT Std Blk Cn"/>
      <w:color w:val="FFFFF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41CC-DF80-4729-832B-EF14DBFA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14285</Words>
  <Characters>81428</Characters>
  <Application>Microsoft Office Word</Application>
  <DocSecurity>0</DocSecurity>
  <Lines>678</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 normal.dot file</vt:lpstr>
      <vt:lpstr>Wipo normal.dot file</vt:lpstr>
    </vt:vector>
  </TitlesOfParts>
  <Company>WIPO</Company>
  <LinksUpToDate>false</LinksUpToDate>
  <CharactersWithSpaces>95522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 normal.dot file</dc:title>
  <dc:subject>Wipo Templates</dc:subject>
  <dc:creator>Gurry</dc:creator>
  <cp:lastModifiedBy>MARIN-CUDRAZ DAVI Nicoletta</cp:lastModifiedBy>
  <cp:revision>5</cp:revision>
  <cp:lastPrinted>2016-10-27T15:15:00Z</cp:lastPrinted>
  <dcterms:created xsi:type="dcterms:W3CDTF">2016-12-09T09:37:00Z</dcterms:created>
  <dcterms:modified xsi:type="dcterms:W3CDTF">2016-12-12T14:17:00Z</dcterms:modified>
</cp:coreProperties>
</file>