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F0854" w:rsidRPr="006F0679" w:rsidTr="00E5257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F1319" w:rsidRPr="006F0679" w:rsidRDefault="002F1319" w:rsidP="001A46B7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F1319" w:rsidRPr="006F0679" w:rsidRDefault="002F1319" w:rsidP="001A46B7">
            <w:pPr>
              <w:rPr>
                <w:lang w:val="fr-FR"/>
              </w:rPr>
            </w:pPr>
            <w:r w:rsidRPr="006F0679">
              <w:rPr>
                <w:noProof/>
              </w:rPr>
              <w:drawing>
                <wp:inline distT="0" distB="0" distL="0" distR="0" wp14:anchorId="625D2273" wp14:editId="29FF780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F1319" w:rsidRPr="006F0679" w:rsidRDefault="002F1319" w:rsidP="001A46B7">
            <w:pPr>
              <w:jc w:val="right"/>
              <w:rPr>
                <w:lang w:val="fr-FR"/>
              </w:rPr>
            </w:pPr>
            <w:r w:rsidRPr="006F067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F0854" w:rsidRPr="006F0679" w:rsidTr="001A46B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F1319" w:rsidRPr="006F0679" w:rsidRDefault="002F1319" w:rsidP="001A46B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F0679">
              <w:rPr>
                <w:rFonts w:ascii="Arial Black" w:hAnsi="Arial Black"/>
                <w:caps/>
                <w:sz w:val="15"/>
                <w:lang w:val="fr-FR"/>
              </w:rPr>
              <w:t>A/55/</w:t>
            </w:r>
            <w:bookmarkStart w:id="0" w:name="Code"/>
            <w:bookmarkEnd w:id="0"/>
            <w:r w:rsidRPr="006F0679">
              <w:rPr>
                <w:rFonts w:ascii="Arial Black" w:hAnsi="Arial Black"/>
                <w:caps/>
                <w:sz w:val="15"/>
                <w:lang w:val="fr-FR"/>
              </w:rPr>
              <w:t xml:space="preserve">INF/5 </w:t>
            </w:r>
          </w:p>
        </w:tc>
      </w:tr>
      <w:tr w:rsidR="002F0854" w:rsidRPr="006F0679" w:rsidTr="001A46B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F1319" w:rsidRPr="006F0679" w:rsidRDefault="002F1319" w:rsidP="001A46B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F067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069CA" w:rsidRPr="006F067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F0679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="00795DB9">
              <w:rPr>
                <w:rFonts w:ascii="Arial Black" w:hAnsi="Arial Black"/>
                <w:caps/>
                <w:sz w:val="15"/>
                <w:lang w:val="fr-FR"/>
              </w:rPr>
              <w:t>ang</w:t>
            </w:r>
            <w:r w:rsidRPr="006F0679">
              <w:rPr>
                <w:rFonts w:ascii="Arial Black" w:hAnsi="Arial Black"/>
                <w:caps/>
                <w:sz w:val="15"/>
                <w:lang w:val="fr-FR"/>
              </w:rPr>
              <w:t>lais</w:t>
            </w:r>
          </w:p>
        </w:tc>
      </w:tr>
      <w:tr w:rsidR="002F0854" w:rsidRPr="006F0679" w:rsidTr="001A46B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F1319" w:rsidRPr="006F0679" w:rsidRDefault="002F1319" w:rsidP="001A46B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F067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069CA" w:rsidRPr="006F067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F0679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6F0679">
              <w:rPr>
                <w:rFonts w:ascii="Arial Black" w:hAnsi="Arial Black"/>
                <w:caps/>
                <w:sz w:val="15"/>
                <w:lang w:val="fr-FR"/>
              </w:rPr>
              <w:t>4 août 2015</w:t>
            </w:r>
          </w:p>
        </w:tc>
      </w:tr>
    </w:tbl>
    <w:p w:rsidR="002F1319" w:rsidRPr="006F0679" w:rsidRDefault="002F1319" w:rsidP="002F1319">
      <w:pPr>
        <w:rPr>
          <w:lang w:val="fr-FR"/>
        </w:rPr>
      </w:pPr>
    </w:p>
    <w:p w:rsidR="002F1319" w:rsidRPr="006F0679" w:rsidRDefault="002F1319" w:rsidP="002F1319">
      <w:pPr>
        <w:rPr>
          <w:lang w:val="fr-FR"/>
        </w:rPr>
      </w:pPr>
    </w:p>
    <w:p w:rsidR="002F1319" w:rsidRPr="006F0679" w:rsidRDefault="002F1319" w:rsidP="002F1319">
      <w:pPr>
        <w:rPr>
          <w:lang w:val="fr-FR"/>
        </w:rPr>
      </w:pPr>
    </w:p>
    <w:p w:rsidR="002F1319" w:rsidRPr="006F0679" w:rsidRDefault="002F1319" w:rsidP="002F1319">
      <w:pPr>
        <w:rPr>
          <w:lang w:val="fr-FR"/>
        </w:rPr>
      </w:pPr>
    </w:p>
    <w:p w:rsidR="002F1319" w:rsidRPr="006F0679" w:rsidRDefault="002F1319" w:rsidP="002F1319">
      <w:pPr>
        <w:rPr>
          <w:lang w:val="fr-FR"/>
        </w:rPr>
      </w:pPr>
    </w:p>
    <w:p w:rsidR="002F1319" w:rsidRPr="006F0679" w:rsidRDefault="002F1319" w:rsidP="002F1319">
      <w:pPr>
        <w:rPr>
          <w:lang w:val="fr-FR"/>
        </w:rPr>
      </w:pPr>
      <w:r w:rsidRPr="006F0679">
        <w:rPr>
          <w:b/>
          <w:sz w:val="28"/>
          <w:szCs w:val="28"/>
          <w:lang w:val="fr-FR"/>
        </w:rPr>
        <w:t>Assemblées des États membres de l</w:t>
      </w:r>
      <w:r w:rsidR="00E91F2D" w:rsidRPr="006F0679">
        <w:rPr>
          <w:b/>
          <w:sz w:val="28"/>
          <w:szCs w:val="28"/>
          <w:lang w:val="fr-FR"/>
        </w:rPr>
        <w:t>’</w:t>
      </w:r>
      <w:r w:rsidRPr="006F0679">
        <w:rPr>
          <w:b/>
          <w:sz w:val="28"/>
          <w:szCs w:val="28"/>
          <w:lang w:val="fr-FR"/>
        </w:rPr>
        <w:t>OMPI</w:t>
      </w:r>
    </w:p>
    <w:p w:rsidR="002F1319" w:rsidRPr="006F0679" w:rsidRDefault="002F1319" w:rsidP="002F1319">
      <w:pPr>
        <w:rPr>
          <w:lang w:val="fr-FR"/>
        </w:rPr>
      </w:pPr>
    </w:p>
    <w:p w:rsidR="002F1319" w:rsidRPr="006F0679" w:rsidRDefault="002F1319" w:rsidP="002F1319">
      <w:pPr>
        <w:rPr>
          <w:lang w:val="fr-FR"/>
        </w:rPr>
      </w:pPr>
    </w:p>
    <w:p w:rsidR="002F1319" w:rsidRPr="006F0679" w:rsidRDefault="002F1319" w:rsidP="002F1319">
      <w:pPr>
        <w:rPr>
          <w:b/>
          <w:sz w:val="24"/>
          <w:szCs w:val="24"/>
          <w:lang w:val="fr-FR"/>
        </w:rPr>
      </w:pPr>
      <w:r w:rsidRPr="006F0679">
        <w:rPr>
          <w:b/>
          <w:sz w:val="24"/>
          <w:szCs w:val="24"/>
          <w:lang w:val="fr-FR"/>
        </w:rPr>
        <w:t>Cinquante</w:t>
      </w:r>
      <w:r w:rsidR="006F0679" w:rsidRPr="006F0679">
        <w:rPr>
          <w:b/>
          <w:sz w:val="24"/>
          <w:szCs w:val="24"/>
          <w:lang w:val="fr-FR"/>
        </w:rPr>
        <w:noBreakHyphen/>
      </w:r>
      <w:r w:rsidRPr="006F0679">
        <w:rPr>
          <w:b/>
          <w:sz w:val="24"/>
          <w:szCs w:val="24"/>
          <w:lang w:val="fr-FR"/>
        </w:rPr>
        <w:t>cinquième série de réunions</w:t>
      </w:r>
    </w:p>
    <w:p w:rsidR="002F1319" w:rsidRPr="006F0679" w:rsidRDefault="002F1319" w:rsidP="002F1319">
      <w:pPr>
        <w:rPr>
          <w:lang w:val="fr-FR"/>
        </w:rPr>
      </w:pPr>
      <w:r w:rsidRPr="006F0679">
        <w:rPr>
          <w:b/>
          <w:sz w:val="24"/>
          <w:szCs w:val="24"/>
          <w:lang w:val="fr-FR"/>
        </w:rPr>
        <w:t>Genève, 5 – 1</w:t>
      </w:r>
      <w:r w:rsidR="00E91F2D" w:rsidRPr="006F0679">
        <w:rPr>
          <w:b/>
          <w:sz w:val="24"/>
          <w:szCs w:val="24"/>
          <w:lang w:val="fr-FR"/>
        </w:rPr>
        <w:t>4 octobre 20</w:t>
      </w:r>
      <w:r w:rsidRPr="006F0679">
        <w:rPr>
          <w:b/>
          <w:sz w:val="24"/>
          <w:szCs w:val="24"/>
          <w:lang w:val="fr-FR"/>
        </w:rPr>
        <w:t>15</w:t>
      </w:r>
    </w:p>
    <w:p w:rsidR="002F1319" w:rsidRPr="006F0679" w:rsidRDefault="002F1319" w:rsidP="002F1319">
      <w:pPr>
        <w:rPr>
          <w:lang w:val="fr-FR"/>
        </w:rPr>
      </w:pPr>
    </w:p>
    <w:p w:rsidR="002F1319" w:rsidRPr="006F0679" w:rsidRDefault="002F1319" w:rsidP="002F1319">
      <w:pPr>
        <w:rPr>
          <w:lang w:val="fr-FR"/>
        </w:rPr>
      </w:pPr>
    </w:p>
    <w:p w:rsidR="004D7733" w:rsidRPr="006F0679" w:rsidRDefault="004D7733" w:rsidP="004D7733">
      <w:pPr>
        <w:rPr>
          <w:caps/>
          <w:sz w:val="24"/>
          <w:lang w:val="fr-FR"/>
        </w:rPr>
      </w:pPr>
      <w:r w:rsidRPr="006F0679">
        <w:rPr>
          <w:caps/>
          <w:sz w:val="24"/>
          <w:lang w:val="fr-FR"/>
        </w:rPr>
        <w:t>S</w:t>
      </w:r>
      <w:r w:rsidR="00E5257A" w:rsidRPr="006F0679">
        <w:rPr>
          <w:caps/>
          <w:sz w:val="24"/>
          <w:lang w:val="fr-FR"/>
        </w:rPr>
        <w:t>tratégie de gestion des</w:t>
      </w:r>
      <w:r w:rsidRPr="006F0679">
        <w:rPr>
          <w:caps/>
          <w:sz w:val="24"/>
          <w:lang w:val="fr-FR"/>
        </w:rPr>
        <w:t xml:space="preserve"> </w:t>
      </w:r>
      <w:r w:rsidR="00E5257A" w:rsidRPr="006F0679">
        <w:rPr>
          <w:caps/>
          <w:sz w:val="24"/>
          <w:lang w:val="fr-FR"/>
        </w:rPr>
        <w:t>connaissances de l</w:t>
      </w:r>
      <w:r w:rsidR="00E91F2D" w:rsidRPr="006F0679">
        <w:rPr>
          <w:caps/>
          <w:sz w:val="24"/>
          <w:lang w:val="fr-FR"/>
        </w:rPr>
        <w:t>’</w:t>
      </w:r>
      <w:r w:rsidRPr="006F0679">
        <w:rPr>
          <w:caps/>
          <w:sz w:val="24"/>
          <w:lang w:val="fr-FR"/>
        </w:rPr>
        <w:t>Organisation Mondiale de la Propriété Intellectuelle (OMPI)</w:t>
      </w:r>
    </w:p>
    <w:p w:rsidR="004D7733" w:rsidRPr="006F0679" w:rsidRDefault="004D7733" w:rsidP="004D7733">
      <w:pPr>
        <w:rPr>
          <w:lang w:val="fr-FR"/>
        </w:rPr>
      </w:pPr>
    </w:p>
    <w:p w:rsidR="004D7733" w:rsidRPr="006F0679" w:rsidRDefault="004D7733" w:rsidP="004D7733">
      <w:pPr>
        <w:rPr>
          <w:i/>
          <w:lang w:val="fr-FR"/>
        </w:rPr>
      </w:pPr>
      <w:bookmarkStart w:id="3" w:name="Prepared"/>
      <w:bookmarkEnd w:id="3"/>
      <w:r w:rsidRPr="006F0679">
        <w:rPr>
          <w:i/>
          <w:lang w:val="fr-FR"/>
        </w:rPr>
        <w:t>Document d</w:t>
      </w:r>
      <w:r w:rsidR="00E91F2D" w:rsidRPr="006F0679">
        <w:rPr>
          <w:i/>
          <w:lang w:val="fr-FR"/>
        </w:rPr>
        <w:t>’</w:t>
      </w:r>
      <w:r w:rsidRPr="006F0679">
        <w:rPr>
          <w:i/>
          <w:lang w:val="fr-FR"/>
        </w:rPr>
        <w:t>information établi par le Secrétariat</w:t>
      </w:r>
    </w:p>
    <w:p w:rsidR="004D7733" w:rsidRPr="006F0679" w:rsidRDefault="004D7733" w:rsidP="004D7733">
      <w:pPr>
        <w:rPr>
          <w:lang w:val="fr-FR"/>
        </w:rPr>
      </w:pPr>
    </w:p>
    <w:p w:rsidR="004D7733" w:rsidRPr="006F0679" w:rsidRDefault="004D7733" w:rsidP="004D7733">
      <w:pPr>
        <w:rPr>
          <w:lang w:val="fr-FR"/>
        </w:rPr>
      </w:pPr>
    </w:p>
    <w:p w:rsidR="004D7733" w:rsidRPr="006F0679" w:rsidRDefault="004D7733" w:rsidP="004D7733">
      <w:pPr>
        <w:rPr>
          <w:lang w:val="fr-FR"/>
        </w:rPr>
      </w:pPr>
    </w:p>
    <w:p w:rsidR="004D7733" w:rsidRPr="006F0679" w:rsidRDefault="004D7733" w:rsidP="004D7733">
      <w:pPr>
        <w:rPr>
          <w:lang w:val="fr-FR"/>
        </w:rPr>
      </w:pPr>
    </w:p>
    <w:p w:rsidR="004D7733" w:rsidRPr="006F0679" w:rsidRDefault="004D7733" w:rsidP="004D7733">
      <w:pPr>
        <w:rPr>
          <w:bCs/>
          <w:spacing w:val="5"/>
          <w:szCs w:val="22"/>
          <w:lang w:val="fr-FR"/>
        </w:rPr>
      </w:pPr>
      <w:r w:rsidRPr="006F0679">
        <w:rPr>
          <w:rStyle w:val="BookTitle"/>
          <w:rFonts w:ascii="Arial" w:hAnsi="Arial"/>
          <w:b w:val="0"/>
          <w:color w:val="auto"/>
          <w:sz w:val="22"/>
          <w:szCs w:val="22"/>
          <w:lang w:val="fr-FR"/>
        </w:rPr>
        <w:t xml:space="preserve">Le présent document contient la Stratégie de gestion des connaissances de </w:t>
      </w:r>
      <w:r w:rsidRPr="006F0679">
        <w:rPr>
          <w:szCs w:val="22"/>
          <w:lang w:val="fr-FR"/>
        </w:rPr>
        <w:t>l</w:t>
      </w:r>
      <w:r w:rsidR="00E91F2D" w:rsidRPr="006F0679">
        <w:rPr>
          <w:szCs w:val="22"/>
          <w:lang w:val="fr-FR"/>
        </w:rPr>
        <w:t>’</w:t>
      </w:r>
      <w:r w:rsidRPr="006F0679">
        <w:rPr>
          <w:szCs w:val="22"/>
          <w:lang w:val="fr-FR"/>
        </w:rPr>
        <w:t>Organisation Mondiale de la Propriété Intellectuelle (OMPI) pour la période</w:t>
      </w:r>
      <w:r w:rsidR="00D069CA" w:rsidRPr="006F0679">
        <w:rPr>
          <w:szCs w:val="22"/>
          <w:lang w:val="fr-FR"/>
        </w:rPr>
        <w:t> </w:t>
      </w:r>
      <w:r w:rsidRPr="006F0679">
        <w:rPr>
          <w:szCs w:val="22"/>
          <w:lang w:val="fr-FR"/>
        </w:rPr>
        <w:t>2015</w:t>
      </w:r>
      <w:r w:rsidR="006F0679" w:rsidRPr="006F0679">
        <w:rPr>
          <w:rStyle w:val="BookTitle"/>
          <w:rFonts w:ascii="Arial" w:hAnsi="Arial"/>
          <w:b w:val="0"/>
          <w:color w:val="auto"/>
          <w:sz w:val="22"/>
          <w:szCs w:val="22"/>
          <w:lang w:val="fr-FR"/>
        </w:rPr>
        <w:noBreakHyphen/>
      </w:r>
      <w:r w:rsidRPr="006F0679">
        <w:rPr>
          <w:szCs w:val="22"/>
          <w:lang w:val="fr-FR"/>
        </w:rPr>
        <w:t>2018.</w:t>
      </w:r>
    </w:p>
    <w:p w:rsidR="004D7733" w:rsidRPr="006F0679" w:rsidRDefault="004D7733" w:rsidP="004D7733">
      <w:pPr>
        <w:tabs>
          <w:tab w:val="left" w:pos="0"/>
        </w:tabs>
        <w:rPr>
          <w:lang w:val="fr-FR"/>
        </w:rPr>
      </w:pPr>
    </w:p>
    <w:p w:rsidR="004D7733" w:rsidRPr="006F0679" w:rsidRDefault="004D7733" w:rsidP="004D7733">
      <w:pPr>
        <w:tabs>
          <w:tab w:val="left" w:pos="0"/>
        </w:tabs>
        <w:rPr>
          <w:lang w:val="fr-FR"/>
        </w:rPr>
      </w:pPr>
    </w:p>
    <w:p w:rsidR="004D7733" w:rsidRPr="006F0679" w:rsidRDefault="004D7733" w:rsidP="004D7733">
      <w:pPr>
        <w:tabs>
          <w:tab w:val="left" w:pos="0"/>
        </w:tabs>
        <w:rPr>
          <w:lang w:val="fr-FR"/>
        </w:rPr>
      </w:pPr>
    </w:p>
    <w:p w:rsidR="004D7733" w:rsidRPr="006F0679" w:rsidRDefault="004D7733" w:rsidP="00E5257A">
      <w:pPr>
        <w:pStyle w:val="Endofdocument-Annex"/>
        <w:rPr>
          <w:lang w:val="fr-FR"/>
        </w:rPr>
      </w:pPr>
      <w:r w:rsidRPr="006F0679">
        <w:rPr>
          <w:lang w:val="fr-FR"/>
        </w:rPr>
        <w:t xml:space="preserve">[La </w:t>
      </w:r>
      <w:r w:rsidRPr="006F0679">
        <w:rPr>
          <w:bCs/>
          <w:lang w:val="fr-FR"/>
        </w:rPr>
        <w:t>Stratégie de gestion des connaissances</w:t>
      </w:r>
      <w:r w:rsidRPr="006F0679">
        <w:rPr>
          <w:lang w:val="fr-FR"/>
        </w:rPr>
        <w:t xml:space="preserve"> suit]</w:t>
      </w:r>
    </w:p>
    <w:p w:rsidR="00E5257A" w:rsidRPr="006F0679" w:rsidRDefault="00E5257A" w:rsidP="00E5257A">
      <w:pPr>
        <w:pStyle w:val="Endofdocument-Annex"/>
        <w:ind w:left="0"/>
        <w:rPr>
          <w:lang w:val="fr-FR"/>
        </w:rPr>
      </w:pPr>
    </w:p>
    <w:p w:rsidR="00E5257A" w:rsidRPr="006F0679" w:rsidRDefault="00E5257A" w:rsidP="00E5257A">
      <w:pPr>
        <w:pStyle w:val="Endofdocument-Annex"/>
        <w:ind w:left="0"/>
        <w:rPr>
          <w:lang w:val="fr-FR"/>
        </w:rPr>
      </w:pPr>
    </w:p>
    <w:p w:rsidR="00E5257A" w:rsidRPr="006F0679" w:rsidRDefault="00E5257A">
      <w:pPr>
        <w:rPr>
          <w:lang w:val="fr-FR"/>
        </w:rPr>
        <w:sectPr w:rsidR="00E5257A" w:rsidRPr="006F0679" w:rsidSect="00E5257A">
          <w:headerReference w:type="default" r:id="rId10"/>
          <w:pgSz w:w="11907" w:h="16840" w:code="9"/>
          <w:pgMar w:top="851" w:right="1134" w:bottom="851" w:left="1418" w:header="510" w:footer="1021" w:gutter="0"/>
          <w:cols w:space="720"/>
          <w:titlePg/>
          <w:docGrid w:linePitch="299"/>
        </w:sectPr>
      </w:pPr>
    </w:p>
    <w:p w:rsidR="004D7733" w:rsidRPr="006F0679" w:rsidRDefault="004D7733">
      <w:pPr>
        <w:rPr>
          <w:lang w:val="fr-FR"/>
        </w:rPr>
      </w:pPr>
    </w:p>
    <w:p w:rsidR="004D7733" w:rsidRPr="006F0679" w:rsidRDefault="004D7733" w:rsidP="004D7733">
      <w:pPr>
        <w:tabs>
          <w:tab w:val="left" w:pos="0"/>
        </w:tabs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E5257A" w:rsidRPr="006F0679" w:rsidTr="00B833E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257A" w:rsidRPr="006F0679" w:rsidRDefault="00E5257A" w:rsidP="001A46B7">
            <w:pPr>
              <w:rPr>
                <w:lang w:val="fr-FR"/>
              </w:rPr>
            </w:pPr>
          </w:p>
        </w:tc>
        <w:tc>
          <w:tcPr>
            <w:tcW w:w="48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257A" w:rsidRPr="006F0679" w:rsidRDefault="00E5257A" w:rsidP="00E5257A">
            <w:pPr>
              <w:rPr>
                <w:lang w:val="fr-FR"/>
              </w:rPr>
            </w:pPr>
            <w:r w:rsidRPr="006F0679">
              <w:rPr>
                <w:noProof/>
              </w:rPr>
              <w:drawing>
                <wp:inline distT="0" distB="0" distL="0" distR="0" wp14:anchorId="48ABC396" wp14:editId="007B29B0">
                  <wp:extent cx="1857375" cy="1323975"/>
                  <wp:effectExtent l="0" t="0" r="9525" b="9525"/>
                  <wp:docPr id="3" name="Picture 3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7733" w:rsidRPr="006F0679" w:rsidRDefault="004D7733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4D7733" w:rsidRPr="006F0679" w:rsidRDefault="00335B4E" w:rsidP="00781563">
      <w:pPr>
        <w:jc w:val="center"/>
        <w:rPr>
          <w:rStyle w:val="BookTitle"/>
          <w:rFonts w:ascii="Arial" w:eastAsia="SimSun" w:hAnsi="Arial"/>
          <w:sz w:val="48"/>
          <w:lang w:val="fr-FR" w:eastAsia="zh-CN"/>
        </w:rPr>
      </w:pPr>
      <w:r w:rsidRPr="006F0679">
        <w:rPr>
          <w:rStyle w:val="BookTitle"/>
          <w:rFonts w:ascii="Arial" w:eastAsia="SimSun" w:hAnsi="Arial"/>
          <w:sz w:val="48"/>
          <w:lang w:val="fr-FR" w:eastAsia="zh-CN"/>
        </w:rPr>
        <w:t>Stratégie de gestion des connaissances</w:t>
      </w:r>
    </w:p>
    <w:p w:rsidR="004D7733" w:rsidRPr="006F0679" w:rsidRDefault="007C0A25" w:rsidP="00781563">
      <w:pPr>
        <w:jc w:val="center"/>
        <w:rPr>
          <w:rStyle w:val="BookTitle"/>
          <w:rFonts w:ascii="Arial" w:eastAsia="SimSun" w:hAnsi="Arial"/>
          <w:sz w:val="40"/>
          <w:lang w:val="fr-FR" w:eastAsia="zh-CN"/>
        </w:rPr>
      </w:pPr>
      <w:r w:rsidRPr="006F0679">
        <w:rPr>
          <w:rStyle w:val="BookTitle"/>
          <w:rFonts w:ascii="Arial" w:eastAsia="SimSun" w:hAnsi="Arial"/>
          <w:sz w:val="40"/>
          <w:lang w:val="fr-FR" w:eastAsia="zh-CN"/>
        </w:rPr>
        <w:t>2015</w:t>
      </w:r>
      <w:r w:rsidR="006F0679" w:rsidRPr="006F0679">
        <w:rPr>
          <w:rStyle w:val="BookTitle"/>
          <w:rFonts w:ascii="Arial" w:eastAsia="SimSun" w:hAnsi="Arial"/>
          <w:sz w:val="40"/>
          <w:lang w:val="fr-FR" w:eastAsia="zh-CN"/>
        </w:rPr>
        <w:noBreakHyphen/>
      </w:r>
      <w:r w:rsidR="00FA4D84" w:rsidRPr="006F0679">
        <w:rPr>
          <w:rStyle w:val="BookTitle"/>
          <w:rFonts w:ascii="Arial" w:eastAsia="SimSun" w:hAnsi="Arial"/>
          <w:sz w:val="40"/>
          <w:lang w:val="fr-FR" w:eastAsia="zh-CN"/>
        </w:rPr>
        <w:t>2018</w:t>
      </w:r>
    </w:p>
    <w:p w:rsidR="004D7733" w:rsidRPr="006F0679" w:rsidRDefault="004D7733" w:rsidP="00781563">
      <w:pPr>
        <w:jc w:val="center"/>
        <w:rPr>
          <w:rStyle w:val="BookTitle"/>
          <w:b w:val="0"/>
          <w:sz w:val="44"/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E5257A" w:rsidRPr="006F0679" w:rsidRDefault="00E5257A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4D7733" w:rsidRPr="006F0679" w:rsidRDefault="004D7733" w:rsidP="00781563">
      <w:pPr>
        <w:rPr>
          <w:lang w:val="fr-FR"/>
        </w:rPr>
      </w:pPr>
    </w:p>
    <w:p w:rsidR="004D7733" w:rsidRPr="006F0679" w:rsidRDefault="00335B4E" w:rsidP="00781563">
      <w:pPr>
        <w:rPr>
          <w:lang w:val="fr-FR"/>
        </w:rPr>
      </w:pPr>
      <w:r w:rsidRPr="006F0679">
        <w:rPr>
          <w:color w:val="000000"/>
          <w:lang w:val="fr-FR"/>
        </w:rPr>
        <w:t>Version : 1.0</w:t>
      </w:r>
    </w:p>
    <w:p w:rsidR="004D7733" w:rsidRPr="006F0679" w:rsidRDefault="007F4E56" w:rsidP="00781563">
      <w:pPr>
        <w:rPr>
          <w:lang w:val="fr-FR"/>
        </w:rPr>
      </w:pPr>
      <w:r>
        <w:rPr>
          <w:color w:val="000000"/>
          <w:lang w:val="fr-FR"/>
        </w:rPr>
        <w:t>Juin </w:t>
      </w:r>
      <w:r w:rsidR="00335B4E" w:rsidRPr="006F0679">
        <w:rPr>
          <w:color w:val="000000"/>
          <w:lang w:val="fr-FR"/>
        </w:rPr>
        <w:t>2015</w:t>
      </w:r>
    </w:p>
    <w:p w:rsidR="004D7733" w:rsidRPr="006F0679" w:rsidRDefault="00E417EE" w:rsidP="00781563">
      <w:pPr>
        <w:rPr>
          <w:rStyle w:val="Strong"/>
          <w:rFonts w:asciiTheme="minorHAnsi" w:eastAsia="MS Gothic" w:hAnsiTheme="minorHAnsi" w:cs="Times New Roman"/>
          <w:b/>
          <w:bCs/>
          <w:color w:val="4F81BD" w:themeColor="accent1"/>
          <w:lang w:val="fr-FR" w:eastAsia="ja-JP"/>
        </w:rPr>
      </w:pPr>
      <w:r w:rsidRPr="006F0679">
        <w:rPr>
          <w:rStyle w:val="Strong"/>
          <w:lang w:val="fr-FR"/>
        </w:rPr>
        <w:br w:type="page"/>
      </w:r>
    </w:p>
    <w:p w:rsidR="004D7733" w:rsidRPr="006F0679" w:rsidRDefault="00335B4E" w:rsidP="00E5257A">
      <w:pPr>
        <w:pStyle w:val="TOCHeading"/>
        <w:ind w:left="0"/>
        <w:rPr>
          <w:rStyle w:val="Strong"/>
          <w:rFonts w:eastAsia="SimSun" w:cs="Arial"/>
          <w:kern w:val="32"/>
          <w:lang w:val="fr-FR" w:eastAsia="zh-CN"/>
        </w:rPr>
      </w:pPr>
      <w:r w:rsidRPr="006F0679">
        <w:rPr>
          <w:rStyle w:val="Strong"/>
          <w:rFonts w:eastAsia="SimSun" w:cs="Arial"/>
          <w:kern w:val="32"/>
          <w:lang w:val="fr-FR" w:eastAsia="zh-CN"/>
        </w:rPr>
        <w:lastRenderedPageBreak/>
        <w:t>Table des matières</w:t>
      </w:r>
    </w:p>
    <w:p w:rsidR="00E5257A" w:rsidRPr="006F0679" w:rsidRDefault="00E5257A" w:rsidP="00E5257A">
      <w:pPr>
        <w:rPr>
          <w:lang w:val="fr-FR" w:eastAsia="zh-CN"/>
        </w:rPr>
      </w:pPr>
    </w:p>
    <w:p w:rsidR="004144F1" w:rsidRPr="006F0679" w:rsidRDefault="004144F1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lang w:val="fr-FR"/>
        </w:rPr>
        <w:fldChar w:fldCharType="begin"/>
      </w:r>
      <w:r w:rsidRPr="006F0679">
        <w:rPr>
          <w:lang w:val="fr-FR"/>
        </w:rPr>
        <w:instrText xml:space="preserve"> TOC \o "1-2" \u </w:instrText>
      </w:r>
      <w:r w:rsidRPr="006F0679">
        <w:rPr>
          <w:lang w:val="fr-FR"/>
        </w:rPr>
        <w:fldChar w:fldCharType="separate"/>
      </w:r>
      <w:r w:rsidRPr="006F0679">
        <w:rPr>
          <w:noProof/>
          <w:lang w:val="fr-FR"/>
        </w:rPr>
        <w:t>Résumé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_Toc426103164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3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Champ d</w:t>
      </w:r>
      <w:r w:rsidR="00E91F2D" w:rsidRPr="006F0679">
        <w:rPr>
          <w:noProof/>
          <w:lang w:val="fr-FR"/>
        </w:rPr>
        <w:t>’</w:t>
      </w:r>
      <w:r w:rsidRPr="006F0679">
        <w:rPr>
          <w:noProof/>
          <w:lang w:val="fr-FR"/>
        </w:rPr>
        <w:t>application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_Toc426103165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4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Définition de la notion de gestion des connaissances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_Toc426103166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4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Arguments en faveur du changement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_Toc426103167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6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Capacités et compétences en matière de gestion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_Toc426103168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6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Gestion de l</w:t>
      </w:r>
      <w:r w:rsidR="00E91F2D" w:rsidRPr="006F0679">
        <w:rPr>
          <w:noProof/>
          <w:lang w:val="fr-FR"/>
        </w:rPr>
        <w:t>’</w:t>
      </w:r>
      <w:r w:rsidRPr="006F0679">
        <w:rPr>
          <w:noProof/>
          <w:lang w:val="fr-FR"/>
        </w:rPr>
        <w:t>extraction et de la distribution des contenus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_Toc426103169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6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Culture et collaboration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_Toc426103170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6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Outils informatiques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_Toc426103171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6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Stratégie</w:t>
      </w:r>
      <w:bookmarkStart w:id="4" w:name="_GoBack"/>
      <w:bookmarkEnd w:id="4"/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_Toc426103172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7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Approche stratégique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_Toc426103173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7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Environnement de gestion des connaissances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_Toc426103174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7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Processus de gestion des connaissances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_Toc426103175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8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Objectifs stratégiques en matière de gestion des connaissances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_Toc426103176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10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Objectif stratégique 1 : création d</w:t>
      </w:r>
      <w:r w:rsidR="00E91F2D" w:rsidRPr="006F0679">
        <w:rPr>
          <w:noProof/>
          <w:lang w:val="fr-FR"/>
        </w:rPr>
        <w:t>’</w:t>
      </w:r>
      <w:r w:rsidRPr="006F0679">
        <w:rPr>
          <w:noProof/>
          <w:lang w:val="fr-FR"/>
        </w:rPr>
        <w:t>une culture de la gestion des connaissances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_Toc426103177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10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Objectif stratégique 2 : mise en œuvre d</w:t>
      </w:r>
      <w:r w:rsidR="00E91F2D" w:rsidRPr="006F0679">
        <w:rPr>
          <w:noProof/>
          <w:lang w:val="fr-FR"/>
        </w:rPr>
        <w:t>’</w:t>
      </w:r>
      <w:r w:rsidRPr="006F0679">
        <w:rPr>
          <w:noProof/>
          <w:lang w:val="fr-FR"/>
        </w:rPr>
        <w:t>un ensemble de processus et d</w:t>
      </w:r>
      <w:r w:rsidR="00E91F2D" w:rsidRPr="006F0679">
        <w:rPr>
          <w:noProof/>
          <w:lang w:val="fr-FR"/>
        </w:rPr>
        <w:t>’</w:t>
      </w:r>
      <w:r w:rsidRPr="006F0679">
        <w:rPr>
          <w:noProof/>
          <w:lang w:val="fr-FR"/>
        </w:rPr>
        <w:t>outils de gestion des connaissances à l</w:t>
      </w:r>
      <w:r w:rsidR="00E91F2D" w:rsidRPr="006F0679">
        <w:rPr>
          <w:noProof/>
          <w:lang w:val="fr-FR"/>
        </w:rPr>
        <w:t>’</w:t>
      </w:r>
      <w:r w:rsidRPr="006F0679">
        <w:rPr>
          <w:noProof/>
          <w:lang w:val="fr-FR"/>
        </w:rPr>
        <w:t>échelle de l</w:t>
      </w:r>
      <w:r w:rsidR="00E91F2D" w:rsidRPr="006F0679">
        <w:rPr>
          <w:noProof/>
          <w:lang w:val="fr-FR"/>
        </w:rPr>
        <w:t>’</w:t>
      </w:r>
      <w:r w:rsidRPr="006F0679">
        <w:rPr>
          <w:noProof/>
          <w:lang w:val="fr-FR"/>
        </w:rPr>
        <w:t>Organisation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_Toc426103178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10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Objectif stratégique 3 : identification et publication d</w:t>
      </w:r>
      <w:r w:rsidR="00E91F2D" w:rsidRPr="006F0679">
        <w:rPr>
          <w:noProof/>
          <w:lang w:val="fr-FR"/>
        </w:rPr>
        <w:t>’</w:t>
      </w:r>
      <w:r w:rsidRPr="006F0679">
        <w:rPr>
          <w:noProof/>
          <w:lang w:val="fr-FR"/>
        </w:rPr>
        <w:t>“une source unique et fiable” pour les actifs fondés sur les connaissances et les informations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_Toc426103179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10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Objectif stratégique 4 : harmonisation et intégration avec la stratégie de l</w:t>
      </w:r>
      <w:r w:rsidR="00E91F2D" w:rsidRPr="006F0679">
        <w:rPr>
          <w:noProof/>
          <w:lang w:val="fr-FR"/>
        </w:rPr>
        <w:t>’</w:t>
      </w:r>
      <w:r w:rsidRPr="006F0679">
        <w:rPr>
          <w:noProof/>
          <w:lang w:val="fr-FR"/>
        </w:rPr>
        <w:t>Organisation en matière de résilience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_Toc426103180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10</w:t>
      </w:r>
      <w:r w:rsidRPr="006F0679">
        <w:rPr>
          <w:noProof/>
          <w:lang w:val="fr-FR"/>
        </w:rPr>
        <w:fldChar w:fldCharType="end"/>
      </w:r>
    </w:p>
    <w:p w:rsidR="004144F1" w:rsidRPr="006F0679" w:rsidRDefault="004144F1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 w:rsidRPr="006F0679">
        <w:rPr>
          <w:noProof/>
          <w:lang w:val="fr-FR"/>
        </w:rPr>
        <w:t>Principes de mise en œuvre de la stratégie</w:t>
      </w:r>
      <w:r w:rsidRPr="006F0679">
        <w:rPr>
          <w:noProof/>
          <w:lang w:val="fr-FR"/>
        </w:rPr>
        <w:tab/>
      </w:r>
      <w:r w:rsidRPr="006F0679">
        <w:rPr>
          <w:noProof/>
          <w:lang w:val="fr-FR"/>
        </w:rPr>
        <w:fldChar w:fldCharType="begin"/>
      </w:r>
      <w:r w:rsidRPr="006F0679">
        <w:rPr>
          <w:noProof/>
          <w:lang w:val="fr-FR"/>
        </w:rPr>
        <w:instrText xml:space="preserve"> PAGEREF _Toc426103181 \h </w:instrText>
      </w:r>
      <w:r w:rsidRPr="006F0679">
        <w:rPr>
          <w:noProof/>
          <w:lang w:val="fr-FR"/>
        </w:rPr>
      </w:r>
      <w:r w:rsidRPr="006F0679">
        <w:rPr>
          <w:noProof/>
          <w:lang w:val="fr-FR"/>
        </w:rPr>
        <w:fldChar w:fldCharType="separate"/>
      </w:r>
      <w:r w:rsidR="00795DB9">
        <w:rPr>
          <w:noProof/>
          <w:lang w:val="fr-FR"/>
        </w:rPr>
        <w:t>11</w:t>
      </w:r>
      <w:r w:rsidRPr="006F0679">
        <w:rPr>
          <w:noProof/>
          <w:lang w:val="fr-FR"/>
        </w:rPr>
        <w:fldChar w:fldCharType="end"/>
      </w:r>
    </w:p>
    <w:p w:rsidR="004D7733" w:rsidRPr="006F0679" w:rsidRDefault="004144F1" w:rsidP="00781563">
      <w:pPr>
        <w:rPr>
          <w:rStyle w:val="Strong"/>
          <w:rFonts w:asciiTheme="minorHAnsi" w:eastAsia="MS Gothic" w:hAnsiTheme="minorHAnsi" w:cs="Times New Roman"/>
          <w:color w:val="4F81BD" w:themeColor="accent1"/>
          <w:sz w:val="36"/>
          <w:szCs w:val="28"/>
          <w:lang w:val="fr-FR" w:eastAsia="ja-JP"/>
        </w:rPr>
      </w:pPr>
      <w:r w:rsidRPr="006F0679">
        <w:rPr>
          <w:lang w:val="fr-FR"/>
        </w:rPr>
        <w:fldChar w:fldCharType="end"/>
      </w:r>
    </w:p>
    <w:p w:rsidR="00FD6822" w:rsidRPr="006F0679" w:rsidRDefault="00335B4E" w:rsidP="00E5257A">
      <w:pPr>
        <w:pStyle w:val="TOCHeading"/>
        <w:ind w:left="0"/>
        <w:rPr>
          <w:rStyle w:val="Strong"/>
          <w:rFonts w:eastAsia="SimSun" w:cs="Arial"/>
          <w:kern w:val="32"/>
          <w:lang w:val="fr-FR" w:eastAsia="zh-CN"/>
        </w:rPr>
      </w:pPr>
      <w:r w:rsidRPr="006F0679">
        <w:rPr>
          <w:rStyle w:val="Strong"/>
          <w:rFonts w:eastAsia="SimSun" w:cs="Arial"/>
          <w:kern w:val="32"/>
          <w:lang w:val="fr-FR" w:eastAsia="zh-CN"/>
        </w:rPr>
        <w:t xml:space="preserve">Liste des sigles </w:t>
      </w:r>
      <w:proofErr w:type="gramStart"/>
      <w:r w:rsidRPr="006F0679">
        <w:rPr>
          <w:rStyle w:val="Strong"/>
          <w:rFonts w:eastAsia="SimSun" w:cs="Arial"/>
          <w:kern w:val="32"/>
          <w:lang w:val="fr-FR" w:eastAsia="zh-CN"/>
        </w:rPr>
        <w:t>utilisés</w:t>
      </w:r>
      <w:proofErr w:type="gramEnd"/>
    </w:p>
    <w:p w:rsidR="00E5257A" w:rsidRPr="006F0679" w:rsidRDefault="00E5257A" w:rsidP="00E5257A">
      <w:pPr>
        <w:rPr>
          <w:lang w:val="fr-FR" w:eastAsia="zh-CN"/>
        </w:rPr>
      </w:pPr>
    </w:p>
    <w:tbl>
      <w:tblPr>
        <w:tblStyle w:val="TableGrid"/>
        <w:tblW w:w="0" w:type="auto"/>
        <w:tblInd w:w="567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052"/>
      </w:tblGrid>
      <w:tr w:rsidR="00E5257A" w:rsidRPr="006F0679" w:rsidTr="00E5257A">
        <w:trPr>
          <w:trHeight w:val="468"/>
        </w:trPr>
        <w:tc>
          <w:tcPr>
            <w:tcW w:w="1668" w:type="dxa"/>
            <w:shd w:val="clear" w:color="auto" w:fill="4F81BD" w:themeFill="accent1"/>
            <w:vAlign w:val="center"/>
          </w:tcPr>
          <w:p w:rsidR="00562357" w:rsidRPr="006F0679" w:rsidRDefault="00335B4E" w:rsidP="00781563">
            <w:pPr>
              <w:rPr>
                <w:b/>
                <w:color w:val="FFFFFF" w:themeColor="background1"/>
                <w:lang w:val="fr-FR"/>
              </w:rPr>
            </w:pPr>
            <w:r w:rsidRPr="006F0679">
              <w:rPr>
                <w:b/>
                <w:color w:val="FFFFFF" w:themeColor="background1"/>
                <w:lang w:val="fr-FR"/>
              </w:rPr>
              <w:t>Sigle</w:t>
            </w:r>
          </w:p>
        </w:tc>
        <w:tc>
          <w:tcPr>
            <w:tcW w:w="7052" w:type="dxa"/>
            <w:shd w:val="clear" w:color="auto" w:fill="4F81BD" w:themeFill="accent1"/>
            <w:vAlign w:val="center"/>
          </w:tcPr>
          <w:p w:rsidR="00562357" w:rsidRPr="006F0679" w:rsidRDefault="00335B4E" w:rsidP="00781563">
            <w:pPr>
              <w:rPr>
                <w:b/>
                <w:color w:val="FFFFFF" w:themeColor="background1"/>
                <w:lang w:val="fr-FR"/>
              </w:rPr>
            </w:pPr>
            <w:r w:rsidRPr="006F0679">
              <w:rPr>
                <w:b/>
                <w:color w:val="FFFFFF" w:themeColor="background1"/>
                <w:lang w:val="fr-FR"/>
              </w:rPr>
              <w:t>Définition</w:t>
            </w:r>
          </w:p>
        </w:tc>
      </w:tr>
      <w:tr w:rsidR="007C2A09" w:rsidRPr="006F0679" w:rsidTr="00E5257A">
        <w:trPr>
          <w:trHeight w:val="418"/>
        </w:trPr>
        <w:tc>
          <w:tcPr>
            <w:tcW w:w="1668" w:type="dxa"/>
          </w:tcPr>
          <w:p w:rsidR="00562357" w:rsidRPr="006F0679" w:rsidRDefault="00630909" w:rsidP="00781563">
            <w:pPr>
              <w:rPr>
                <w:lang w:val="fr-FR"/>
              </w:rPr>
            </w:pPr>
            <w:r w:rsidRPr="006F0679">
              <w:rPr>
                <w:lang w:val="fr-FR"/>
              </w:rPr>
              <w:t>CCI</w:t>
            </w:r>
          </w:p>
        </w:tc>
        <w:tc>
          <w:tcPr>
            <w:tcW w:w="7052" w:type="dxa"/>
          </w:tcPr>
          <w:p w:rsidR="00562357" w:rsidRPr="006F0679" w:rsidRDefault="00630909" w:rsidP="00781563">
            <w:pPr>
              <w:rPr>
                <w:lang w:val="fr-FR"/>
              </w:rPr>
            </w:pPr>
            <w:r w:rsidRPr="006F0679">
              <w:rPr>
                <w:lang w:val="fr-FR"/>
              </w:rPr>
              <w:t>Corps commun d</w:t>
            </w:r>
            <w:r w:rsidR="00E91F2D" w:rsidRPr="006F0679">
              <w:rPr>
                <w:lang w:val="fr-FR"/>
              </w:rPr>
              <w:t>’</w:t>
            </w:r>
            <w:r w:rsidRPr="006F0679">
              <w:rPr>
                <w:lang w:val="fr-FR"/>
              </w:rPr>
              <w:t>inspection</w:t>
            </w:r>
          </w:p>
        </w:tc>
      </w:tr>
      <w:tr w:rsidR="007C2A09" w:rsidRPr="00795DB9" w:rsidTr="00E5257A">
        <w:trPr>
          <w:trHeight w:val="420"/>
        </w:trPr>
        <w:tc>
          <w:tcPr>
            <w:tcW w:w="1668" w:type="dxa"/>
          </w:tcPr>
          <w:p w:rsidR="00562357" w:rsidRPr="006F0679" w:rsidRDefault="00630909" w:rsidP="00781563">
            <w:pPr>
              <w:rPr>
                <w:lang w:val="fr-FR"/>
              </w:rPr>
            </w:pPr>
            <w:r w:rsidRPr="006F0679">
              <w:rPr>
                <w:lang w:val="fr-FR"/>
              </w:rPr>
              <w:t>OMPI</w:t>
            </w:r>
          </w:p>
        </w:tc>
        <w:tc>
          <w:tcPr>
            <w:tcW w:w="7052" w:type="dxa"/>
          </w:tcPr>
          <w:p w:rsidR="00562357" w:rsidRPr="006F0679" w:rsidRDefault="00630909" w:rsidP="00781563">
            <w:pPr>
              <w:rPr>
                <w:lang w:val="fr-FR"/>
              </w:rPr>
            </w:pPr>
            <w:r w:rsidRPr="006F0679">
              <w:rPr>
                <w:lang w:val="fr-FR"/>
              </w:rPr>
              <w:t>Organisation Mondiale de la Propriété Intellectuelle</w:t>
            </w:r>
          </w:p>
        </w:tc>
      </w:tr>
    </w:tbl>
    <w:p w:rsidR="004D7733" w:rsidRPr="006F0679" w:rsidRDefault="004D7733" w:rsidP="00781563">
      <w:pPr>
        <w:rPr>
          <w:lang w:val="fr-FR"/>
        </w:rPr>
      </w:pPr>
    </w:p>
    <w:p w:rsidR="004D7733" w:rsidRPr="006F0679" w:rsidRDefault="003D7822" w:rsidP="00781563">
      <w:pPr>
        <w:rPr>
          <w:rFonts w:asciiTheme="minorHAnsi" w:hAnsiTheme="minorHAnsi"/>
          <w:b/>
          <w:bCs/>
          <w:color w:val="4F81BD" w:themeColor="accent1"/>
          <w:kern w:val="32"/>
          <w:sz w:val="36"/>
          <w:szCs w:val="32"/>
          <w:lang w:val="fr-FR"/>
        </w:rPr>
      </w:pPr>
      <w:r w:rsidRPr="006F0679">
        <w:rPr>
          <w:lang w:val="fr-FR"/>
        </w:rPr>
        <w:br w:type="page"/>
      </w:r>
    </w:p>
    <w:p w:rsidR="004D7733" w:rsidRPr="006F0679" w:rsidRDefault="00630909" w:rsidP="005A16A1">
      <w:pPr>
        <w:pStyle w:val="Heading1"/>
        <w:rPr>
          <w:lang w:val="fr-FR"/>
        </w:rPr>
      </w:pPr>
      <w:bookmarkStart w:id="5" w:name="_Toc426103164"/>
      <w:r w:rsidRPr="006F0679">
        <w:rPr>
          <w:lang w:val="fr-FR"/>
        </w:rPr>
        <w:lastRenderedPageBreak/>
        <w:t>Résumé</w:t>
      </w:r>
      <w:bookmarkEnd w:id="5"/>
    </w:p>
    <w:p w:rsidR="004D7733" w:rsidRPr="006F0679" w:rsidRDefault="004D7733" w:rsidP="0029419E">
      <w:pPr>
        <w:rPr>
          <w:lang w:val="fr-FR"/>
        </w:rPr>
      </w:pPr>
    </w:p>
    <w:p w:rsidR="004D7733" w:rsidRPr="006F0679" w:rsidRDefault="00AB6AD8" w:rsidP="00781563">
      <w:pPr>
        <w:rPr>
          <w:lang w:val="fr-FR"/>
        </w:rPr>
      </w:pPr>
      <w:r w:rsidRPr="006F0679">
        <w:rPr>
          <w:color w:val="000000"/>
          <w:lang w:val="fr-FR"/>
        </w:rPr>
        <w:t>La présente stratégie de gestion des connaissances a été élaborée en réponse aux recommandations faites en</w:t>
      </w:r>
      <w:r w:rsidR="00E76653" w:rsidRPr="006F0679">
        <w:rPr>
          <w:color w:val="000000"/>
          <w:lang w:val="fr-FR"/>
        </w:rPr>
        <w:t> </w:t>
      </w:r>
      <w:r w:rsidRPr="006F0679">
        <w:rPr>
          <w:color w:val="000000"/>
          <w:lang w:val="fr-FR"/>
        </w:rPr>
        <w:t>2014 par le Corps commun d</w:t>
      </w:r>
      <w:r w:rsidR="00E91F2D" w:rsidRPr="006F0679">
        <w:rPr>
          <w:color w:val="000000"/>
          <w:lang w:val="fr-FR"/>
        </w:rPr>
        <w:t>’</w:t>
      </w:r>
      <w:r w:rsidRPr="006F0679">
        <w:rPr>
          <w:color w:val="000000"/>
          <w:lang w:val="fr-FR"/>
        </w:rPr>
        <w:t>inspection (CCI) dans</w:t>
      </w:r>
      <w:r w:rsidR="00AE3DCD" w:rsidRPr="006F0679">
        <w:rPr>
          <w:color w:val="000000"/>
          <w:lang w:val="fr-FR"/>
        </w:rPr>
        <w:t xml:space="preserve"> le cadre de son e</w:t>
      </w:r>
      <w:r w:rsidRPr="006F0679">
        <w:rPr>
          <w:color w:val="000000"/>
          <w:lang w:val="fr-FR"/>
        </w:rPr>
        <w:t>xamen de la gestion et de l</w:t>
      </w:r>
      <w:r w:rsidR="00E91F2D" w:rsidRPr="006F0679">
        <w:rPr>
          <w:color w:val="000000"/>
          <w:lang w:val="fr-FR"/>
        </w:rPr>
        <w:t>’</w:t>
      </w:r>
      <w:r w:rsidRPr="006F0679">
        <w:rPr>
          <w:color w:val="000000"/>
          <w:lang w:val="fr-FR"/>
        </w:rPr>
        <w:t>administration de l</w:t>
      </w:r>
      <w:r w:rsidR="00E91F2D" w:rsidRPr="006F0679">
        <w:rPr>
          <w:color w:val="000000"/>
          <w:lang w:val="fr-FR"/>
        </w:rPr>
        <w:t>’</w:t>
      </w:r>
      <w:r w:rsidRPr="006F0679">
        <w:rPr>
          <w:color w:val="000000"/>
          <w:lang w:val="fr-FR"/>
        </w:rPr>
        <w:t>Organisation Mondiale de la Propriété Intellectuelle (OMPI)</w:t>
      </w:r>
      <w:r w:rsidRPr="006F0679">
        <w:rPr>
          <w:rStyle w:val="FootnoteReference"/>
          <w:color w:val="000000"/>
          <w:lang w:val="fr-FR"/>
        </w:rPr>
        <w:footnoteReference w:id="2"/>
      </w:r>
      <w:r w:rsidR="00AE3DCD" w:rsidRPr="006F0679">
        <w:rPr>
          <w:color w:val="000000"/>
          <w:lang w:val="fr-FR"/>
        </w:rPr>
        <w:t xml:space="preserve">.  Elle </w:t>
      </w:r>
      <w:r w:rsidRPr="006F0679">
        <w:rPr>
          <w:color w:val="000000"/>
          <w:lang w:val="fr-FR"/>
        </w:rPr>
        <w:t>s</w:t>
      </w:r>
      <w:r w:rsidR="00E91F2D" w:rsidRPr="006F0679">
        <w:rPr>
          <w:color w:val="000000"/>
          <w:lang w:val="fr-FR"/>
        </w:rPr>
        <w:t>’</w:t>
      </w:r>
      <w:r w:rsidRPr="006F0679">
        <w:rPr>
          <w:color w:val="000000"/>
          <w:lang w:val="fr-FR"/>
        </w:rPr>
        <w:t xml:space="preserve">appuie sur un certain nombre de recommandations faites </w:t>
      </w:r>
      <w:r w:rsidR="002D4523" w:rsidRPr="006F0679">
        <w:rPr>
          <w:color w:val="000000"/>
          <w:lang w:val="fr-FR"/>
        </w:rPr>
        <w:t>à</w:t>
      </w:r>
      <w:r w:rsidR="00AE3DCD" w:rsidRPr="006F0679">
        <w:rPr>
          <w:color w:val="000000"/>
          <w:lang w:val="fr-FR"/>
        </w:rPr>
        <w:t xml:space="preserve"> la suite </w:t>
      </w:r>
      <w:r w:rsidR="002D4523" w:rsidRPr="006F0679">
        <w:rPr>
          <w:color w:val="000000"/>
          <w:lang w:val="fr-FR"/>
        </w:rPr>
        <w:t>d</w:t>
      </w:r>
      <w:r w:rsidR="00E91F2D" w:rsidRPr="006F0679">
        <w:rPr>
          <w:color w:val="000000"/>
          <w:lang w:val="fr-FR"/>
        </w:rPr>
        <w:t>’</w:t>
      </w:r>
      <w:r w:rsidRPr="006F0679">
        <w:rPr>
          <w:color w:val="000000"/>
          <w:lang w:val="fr-FR"/>
        </w:rPr>
        <w:t xml:space="preserve">une évaluation interne </w:t>
      </w:r>
      <w:r w:rsidR="00A276BE" w:rsidRPr="006F0679">
        <w:rPr>
          <w:color w:val="000000"/>
          <w:lang w:val="fr-FR"/>
        </w:rPr>
        <w:t>de la situation en ce qui concerne le</w:t>
      </w:r>
      <w:r w:rsidRPr="006F0679">
        <w:rPr>
          <w:color w:val="000000"/>
          <w:lang w:val="fr-FR"/>
        </w:rPr>
        <w:t xml:space="preserve"> partage des connaissances</w:t>
      </w:r>
      <w:r w:rsidRPr="006F0679">
        <w:rPr>
          <w:rStyle w:val="FootnoteReference"/>
          <w:color w:val="000000"/>
          <w:lang w:val="fr-FR"/>
        </w:rPr>
        <w:footnoteReference w:id="3"/>
      </w:r>
      <w:r w:rsidRPr="006F0679">
        <w:rPr>
          <w:color w:val="000000"/>
          <w:lang w:val="fr-FR"/>
        </w:rPr>
        <w:t xml:space="preserve"> et </w:t>
      </w:r>
      <w:r w:rsidR="00AE3DCD" w:rsidRPr="006F0679">
        <w:rPr>
          <w:color w:val="000000"/>
          <w:lang w:val="fr-FR"/>
        </w:rPr>
        <w:t>vis</w:t>
      </w:r>
      <w:r w:rsidR="002D4523" w:rsidRPr="006F0679">
        <w:rPr>
          <w:color w:val="000000"/>
          <w:lang w:val="fr-FR"/>
        </w:rPr>
        <w:t>e</w:t>
      </w:r>
      <w:r w:rsidRPr="006F0679">
        <w:rPr>
          <w:color w:val="000000"/>
          <w:lang w:val="fr-FR"/>
        </w:rPr>
        <w:t xml:space="preserve"> à</w:t>
      </w:r>
      <w:r w:rsidR="00AE3DCD" w:rsidRPr="006F0679">
        <w:rPr>
          <w:color w:val="000000"/>
          <w:lang w:val="fr-FR"/>
        </w:rPr>
        <w:t xml:space="preserve"> atteindre</w:t>
      </w:r>
      <w:r w:rsidRPr="006F0679">
        <w:rPr>
          <w:color w:val="000000"/>
          <w:lang w:val="fr-FR"/>
        </w:rPr>
        <w:t xml:space="preserve"> un certain nombre d</w:t>
      </w:r>
      <w:r w:rsidR="00E91F2D" w:rsidRPr="006F0679">
        <w:rPr>
          <w:color w:val="000000"/>
          <w:lang w:val="fr-FR"/>
        </w:rPr>
        <w:t>’</w:t>
      </w:r>
      <w:r w:rsidRPr="006F0679">
        <w:rPr>
          <w:color w:val="000000"/>
          <w:lang w:val="fr-FR"/>
        </w:rPr>
        <w:t>objectifs stratégiques définis dans le Plan stratégique à moyen terme de l</w:t>
      </w:r>
      <w:r w:rsidR="00E91F2D" w:rsidRPr="006F0679">
        <w:rPr>
          <w:color w:val="000000"/>
          <w:lang w:val="fr-FR"/>
        </w:rPr>
        <w:t>’</w:t>
      </w:r>
      <w:r w:rsidRPr="006F0679">
        <w:rPr>
          <w:color w:val="000000"/>
          <w:lang w:val="fr-FR"/>
        </w:rPr>
        <w:t>OMPI pour</w:t>
      </w:r>
      <w:r w:rsidR="00E76653" w:rsidRPr="006F0679">
        <w:rPr>
          <w:color w:val="000000"/>
          <w:lang w:val="fr-FR"/>
        </w:rPr>
        <w:t> </w:t>
      </w:r>
      <w:r w:rsidRPr="006F0679">
        <w:rPr>
          <w:color w:val="000000"/>
          <w:lang w:val="fr-FR"/>
        </w:rPr>
        <w:t>2010</w:t>
      </w:r>
      <w:r w:rsidR="006F0679" w:rsidRPr="006F0679">
        <w:rPr>
          <w:color w:val="000000"/>
          <w:lang w:val="fr-FR"/>
        </w:rPr>
        <w:noBreakHyphen/>
      </w:r>
      <w:r w:rsidRPr="006F0679">
        <w:rPr>
          <w:color w:val="000000"/>
          <w:lang w:val="fr-FR"/>
        </w:rPr>
        <w:t>2015</w:t>
      </w:r>
      <w:r w:rsidRPr="006F0679">
        <w:rPr>
          <w:rStyle w:val="FootnoteReference"/>
          <w:color w:val="000000"/>
          <w:lang w:val="fr-FR"/>
        </w:rPr>
        <w:footnoteReference w:id="4"/>
      </w:r>
      <w:r w:rsidRPr="006F0679">
        <w:rPr>
          <w:color w:val="000000"/>
          <w:lang w:val="fr-FR"/>
        </w:rPr>
        <w:t>.</w:t>
      </w:r>
    </w:p>
    <w:p w:rsidR="004D7733" w:rsidRPr="006F0679" w:rsidRDefault="00AB6AD8" w:rsidP="00E5257A">
      <w:pPr>
        <w:spacing w:after="120"/>
        <w:rPr>
          <w:lang w:val="fr-FR"/>
        </w:rPr>
      </w:pPr>
      <w:r w:rsidRPr="006F0679">
        <w:rPr>
          <w:lang w:val="fr-FR"/>
        </w:rPr>
        <w:t>Cette stratégie vise</w:t>
      </w:r>
      <w:r w:rsidR="00AE3DCD" w:rsidRPr="006F0679">
        <w:rPr>
          <w:lang w:val="fr-FR"/>
        </w:rPr>
        <w:t xml:space="preserve"> en particulier</w:t>
      </w:r>
    </w:p>
    <w:p w:rsidR="004D7733" w:rsidRPr="006F0679" w:rsidRDefault="00AB6AD8" w:rsidP="00E5257A">
      <w:pPr>
        <w:pStyle w:val="ListParagraph"/>
        <w:numPr>
          <w:ilvl w:val="0"/>
          <w:numId w:val="21"/>
        </w:numPr>
        <w:spacing w:after="120"/>
        <w:ind w:left="992" w:hanging="425"/>
        <w:contextualSpacing w:val="0"/>
        <w:rPr>
          <w:lang w:val="fr-FR"/>
        </w:rPr>
      </w:pPr>
      <w:r w:rsidRPr="006F0679">
        <w:rPr>
          <w:lang w:val="fr-FR"/>
        </w:rPr>
        <w:t>à renforcer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environnement de gestion des connaissances actuel au sein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OMPI;  et</w:t>
      </w:r>
    </w:p>
    <w:p w:rsidR="004D7733" w:rsidRPr="006F0679" w:rsidRDefault="00AB6AD8" w:rsidP="00E5257A">
      <w:pPr>
        <w:pStyle w:val="ListParagraph"/>
        <w:numPr>
          <w:ilvl w:val="0"/>
          <w:numId w:val="21"/>
        </w:numPr>
        <w:spacing w:after="120"/>
        <w:ind w:left="992" w:hanging="425"/>
        <w:contextualSpacing w:val="0"/>
        <w:rPr>
          <w:lang w:val="fr-FR"/>
        </w:rPr>
      </w:pPr>
      <w:r w:rsidRPr="006F0679">
        <w:rPr>
          <w:lang w:val="fr-FR"/>
        </w:rPr>
        <w:t>à mettre en œuvre des processus de gestion des connaissances à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échelle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Organisation</w:t>
      </w:r>
      <w:r w:rsidR="001B3898" w:rsidRPr="006F0679">
        <w:rPr>
          <w:lang w:val="fr-FR"/>
        </w:rPr>
        <w:t>.</w:t>
      </w:r>
    </w:p>
    <w:p w:rsidR="00E5257A" w:rsidRPr="006F0679" w:rsidRDefault="00E5257A" w:rsidP="00781563">
      <w:pPr>
        <w:rPr>
          <w:lang w:val="fr-FR"/>
        </w:rPr>
      </w:pPr>
    </w:p>
    <w:p w:rsidR="004D7733" w:rsidRPr="006F0679" w:rsidRDefault="00535B3A" w:rsidP="00E5257A">
      <w:pPr>
        <w:spacing w:after="120"/>
        <w:rPr>
          <w:lang w:val="fr-FR"/>
        </w:rPr>
      </w:pPr>
      <w:r w:rsidRPr="006F0679">
        <w:rPr>
          <w:lang w:val="fr-FR"/>
        </w:rPr>
        <w:t xml:space="preserve">La mise en œuvre de cette stratégie </w:t>
      </w:r>
      <w:r w:rsidR="00AE3DCD" w:rsidRPr="006F0679">
        <w:rPr>
          <w:lang w:val="fr-FR"/>
        </w:rPr>
        <w:t>va permettre</w:t>
      </w:r>
      <w:r w:rsidRPr="006F0679">
        <w:rPr>
          <w:lang w:val="fr-FR"/>
        </w:rPr>
        <w:t xml:space="preserve">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atteindre les quatre</w:t>
      </w:r>
      <w:r w:rsidR="00E76653" w:rsidRPr="006F0679">
        <w:rPr>
          <w:lang w:val="fr-FR"/>
        </w:rPr>
        <w:t> </w:t>
      </w:r>
      <w:r w:rsidRPr="006F0679">
        <w:rPr>
          <w:lang w:val="fr-FR"/>
        </w:rPr>
        <w:t>objectifs stratégiques suivants en matière de gestion des connaissances :</w:t>
      </w:r>
    </w:p>
    <w:p w:rsidR="004D7733" w:rsidRPr="006F0679" w:rsidRDefault="00535B3A" w:rsidP="00E5257A">
      <w:pPr>
        <w:pStyle w:val="ListParagraph"/>
        <w:numPr>
          <w:ilvl w:val="0"/>
          <w:numId w:val="22"/>
        </w:numPr>
        <w:spacing w:after="120"/>
        <w:ind w:left="993" w:hanging="426"/>
        <w:contextualSpacing w:val="0"/>
        <w:rPr>
          <w:lang w:val="fr-FR"/>
        </w:rPr>
      </w:pPr>
      <w:r w:rsidRPr="006F0679">
        <w:rPr>
          <w:lang w:val="fr-FR"/>
        </w:rPr>
        <w:t>la création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une culture de la </w:t>
      </w:r>
      <w:r w:rsidR="00E76653" w:rsidRPr="006F0679">
        <w:rPr>
          <w:lang w:val="fr-FR"/>
        </w:rPr>
        <w:t>“</w:t>
      </w:r>
      <w:r w:rsidRPr="006F0679">
        <w:rPr>
          <w:lang w:val="fr-FR"/>
        </w:rPr>
        <w:t>gestion des connaissances</w:t>
      </w:r>
      <w:r w:rsidR="005E4F2F" w:rsidRPr="006F0679">
        <w:rPr>
          <w:lang w:val="fr-FR"/>
        </w:rPr>
        <w:t>”</w:t>
      </w:r>
      <w:r w:rsidR="0051111A" w:rsidRPr="006F0679">
        <w:rPr>
          <w:lang w:val="fr-FR"/>
        </w:rPr>
        <w:t>;</w:t>
      </w:r>
    </w:p>
    <w:p w:rsidR="004D7733" w:rsidRPr="006F0679" w:rsidRDefault="00535B3A" w:rsidP="00E5257A">
      <w:pPr>
        <w:pStyle w:val="ListParagraph"/>
        <w:numPr>
          <w:ilvl w:val="0"/>
          <w:numId w:val="22"/>
        </w:numPr>
        <w:spacing w:after="120"/>
        <w:ind w:left="993" w:hanging="426"/>
        <w:contextualSpacing w:val="0"/>
        <w:rPr>
          <w:lang w:val="fr-FR"/>
        </w:rPr>
      </w:pPr>
      <w:r w:rsidRPr="006F0679">
        <w:rPr>
          <w:lang w:val="fr-FR"/>
        </w:rPr>
        <w:t>la mise en œuvre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un ensemble de processus et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outils </w:t>
      </w:r>
      <w:r w:rsidR="00A128DA" w:rsidRPr="006F0679">
        <w:rPr>
          <w:lang w:val="fr-FR"/>
        </w:rPr>
        <w:t>de</w:t>
      </w:r>
      <w:r w:rsidRPr="006F0679">
        <w:rPr>
          <w:lang w:val="fr-FR"/>
        </w:rPr>
        <w:t xml:space="preserve"> gestion des connaissances</w:t>
      </w:r>
      <w:r w:rsidR="00A128DA" w:rsidRPr="006F0679">
        <w:rPr>
          <w:lang w:val="fr-FR"/>
        </w:rPr>
        <w:t xml:space="preserve"> à l</w:t>
      </w:r>
      <w:r w:rsidR="00E91F2D" w:rsidRPr="006F0679">
        <w:rPr>
          <w:lang w:val="fr-FR"/>
        </w:rPr>
        <w:t>’</w:t>
      </w:r>
      <w:r w:rsidR="00A128DA" w:rsidRPr="006F0679">
        <w:rPr>
          <w:lang w:val="fr-FR"/>
        </w:rPr>
        <w:t>échelle de l</w:t>
      </w:r>
      <w:r w:rsidR="00E91F2D" w:rsidRPr="006F0679">
        <w:rPr>
          <w:lang w:val="fr-FR"/>
        </w:rPr>
        <w:t>’</w:t>
      </w:r>
      <w:r w:rsidR="00A128DA" w:rsidRPr="006F0679">
        <w:rPr>
          <w:lang w:val="fr-FR"/>
        </w:rPr>
        <w:t>Organisation</w:t>
      </w:r>
      <w:r w:rsidR="0051111A" w:rsidRPr="006F0679">
        <w:rPr>
          <w:lang w:val="fr-FR"/>
        </w:rPr>
        <w:t>;</w:t>
      </w:r>
    </w:p>
    <w:p w:rsidR="004D7733" w:rsidRPr="006F0679" w:rsidRDefault="00A128DA" w:rsidP="00E5257A">
      <w:pPr>
        <w:pStyle w:val="ListParagraph"/>
        <w:numPr>
          <w:ilvl w:val="0"/>
          <w:numId w:val="22"/>
        </w:numPr>
        <w:spacing w:after="120"/>
        <w:ind w:left="993" w:hanging="426"/>
        <w:contextualSpacing w:val="0"/>
        <w:rPr>
          <w:lang w:val="fr-FR"/>
        </w:rPr>
      </w:pPr>
      <w:r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identification</w:t>
      </w:r>
      <w:r w:rsidR="00AF2D2C" w:rsidRPr="006F0679">
        <w:rPr>
          <w:lang w:val="fr-FR"/>
        </w:rPr>
        <w:t xml:space="preserve"> et la publication d</w:t>
      </w:r>
      <w:r w:rsidR="00E91F2D" w:rsidRPr="006F0679">
        <w:rPr>
          <w:lang w:val="fr-FR"/>
        </w:rPr>
        <w:t>’</w:t>
      </w:r>
      <w:r w:rsidR="00E76653" w:rsidRPr="006F0679">
        <w:rPr>
          <w:lang w:val="fr-FR"/>
        </w:rPr>
        <w:t>“</w:t>
      </w:r>
      <w:r w:rsidR="00AF2D2C" w:rsidRPr="006F0679">
        <w:rPr>
          <w:lang w:val="fr-FR"/>
        </w:rPr>
        <w:t>une source unique et fiable</w:t>
      </w:r>
      <w:r w:rsidR="00E76653" w:rsidRPr="006F0679">
        <w:rPr>
          <w:lang w:val="fr-FR"/>
        </w:rPr>
        <w:t>”</w:t>
      </w:r>
      <w:r w:rsidR="00AF2D2C" w:rsidRPr="006F0679">
        <w:rPr>
          <w:lang w:val="fr-FR"/>
        </w:rPr>
        <w:t xml:space="preserve"> pour les actifs fondés sur les connaissances et les informations</w:t>
      </w:r>
      <w:r w:rsidR="0051111A" w:rsidRPr="006F0679">
        <w:rPr>
          <w:lang w:val="fr-FR"/>
        </w:rPr>
        <w:t>;</w:t>
      </w:r>
      <w:r w:rsidR="00AF2D2C" w:rsidRPr="006F0679">
        <w:rPr>
          <w:lang w:val="fr-FR"/>
        </w:rPr>
        <w:t xml:space="preserve">  et</w:t>
      </w:r>
    </w:p>
    <w:p w:rsidR="004D7733" w:rsidRPr="006F0679" w:rsidRDefault="002D4523" w:rsidP="00E5257A">
      <w:pPr>
        <w:pStyle w:val="ListParagraph"/>
        <w:numPr>
          <w:ilvl w:val="0"/>
          <w:numId w:val="22"/>
        </w:numPr>
        <w:spacing w:after="120"/>
        <w:ind w:left="993" w:hanging="426"/>
        <w:contextualSpacing w:val="0"/>
        <w:rPr>
          <w:lang w:val="fr-FR"/>
        </w:rPr>
      </w:pPr>
      <w:r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harmonisation</w:t>
      </w:r>
      <w:r w:rsidR="00AF2D2C" w:rsidRPr="006F0679">
        <w:rPr>
          <w:lang w:val="fr-FR"/>
        </w:rPr>
        <w:t xml:space="preserve"> et l</w:t>
      </w:r>
      <w:r w:rsidR="00E91F2D" w:rsidRPr="006F0679">
        <w:rPr>
          <w:lang w:val="fr-FR"/>
        </w:rPr>
        <w:t>’</w:t>
      </w:r>
      <w:r w:rsidR="00AF2D2C" w:rsidRPr="006F0679">
        <w:rPr>
          <w:lang w:val="fr-FR"/>
        </w:rPr>
        <w:t>intégration de cette stratégie de gestion des connaissances et de la stratégie de l</w:t>
      </w:r>
      <w:r w:rsidR="00E91F2D" w:rsidRPr="006F0679">
        <w:rPr>
          <w:lang w:val="fr-FR"/>
        </w:rPr>
        <w:t>’</w:t>
      </w:r>
      <w:r w:rsidR="00AF2D2C" w:rsidRPr="006F0679">
        <w:rPr>
          <w:lang w:val="fr-FR"/>
        </w:rPr>
        <w:t>OMPI en matière de résilience</w:t>
      </w:r>
      <w:r w:rsidR="0051111A" w:rsidRPr="006F0679">
        <w:rPr>
          <w:lang w:val="fr-FR"/>
        </w:rPr>
        <w:t>.</w:t>
      </w:r>
    </w:p>
    <w:p w:rsidR="004D7733" w:rsidRPr="006F0679" w:rsidRDefault="00843546" w:rsidP="00843546">
      <w:pPr>
        <w:rPr>
          <w:lang w:val="fr-FR"/>
        </w:rPr>
      </w:pPr>
      <w:r w:rsidRPr="006F0679">
        <w:rPr>
          <w:lang w:val="fr-FR"/>
        </w:rPr>
        <w:br w:type="page"/>
      </w:r>
    </w:p>
    <w:p w:rsidR="004D7733" w:rsidRPr="006F0679" w:rsidRDefault="00843546" w:rsidP="005A16A1">
      <w:pPr>
        <w:pStyle w:val="Heading1"/>
        <w:rPr>
          <w:lang w:val="fr-FR"/>
        </w:rPr>
      </w:pPr>
      <w:bookmarkStart w:id="6" w:name="_Toc426103165"/>
      <w:r w:rsidRPr="006F0679">
        <w:rPr>
          <w:lang w:val="fr-FR"/>
        </w:rPr>
        <w:lastRenderedPageBreak/>
        <w:t>Champ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application</w:t>
      </w:r>
      <w:bookmarkEnd w:id="6"/>
    </w:p>
    <w:p w:rsidR="004D7733" w:rsidRPr="006F0679" w:rsidRDefault="004D7733" w:rsidP="0029419E">
      <w:pPr>
        <w:rPr>
          <w:lang w:val="fr-FR"/>
        </w:rPr>
      </w:pPr>
    </w:p>
    <w:p w:rsidR="004D7733" w:rsidRPr="006F0679" w:rsidRDefault="00E23303" w:rsidP="00781563">
      <w:pPr>
        <w:rPr>
          <w:lang w:val="fr-FR"/>
        </w:rPr>
      </w:pPr>
      <w:r w:rsidRPr="006F0679">
        <w:rPr>
          <w:color w:val="000000"/>
          <w:lang w:val="fr-FR"/>
        </w:rPr>
        <w:t>Dans son rapport de</w:t>
      </w:r>
      <w:r w:rsidR="00E76653" w:rsidRPr="006F0679">
        <w:rPr>
          <w:color w:val="000000"/>
          <w:lang w:val="fr-FR"/>
        </w:rPr>
        <w:t> </w:t>
      </w:r>
      <w:r w:rsidRPr="006F0679">
        <w:rPr>
          <w:color w:val="000000"/>
          <w:lang w:val="fr-FR"/>
        </w:rPr>
        <w:t>2014 concernant l</w:t>
      </w:r>
      <w:r w:rsidR="00E91F2D" w:rsidRPr="006F0679">
        <w:rPr>
          <w:color w:val="000000"/>
          <w:lang w:val="fr-FR"/>
        </w:rPr>
        <w:t>’</w:t>
      </w:r>
      <w:r w:rsidRPr="006F0679">
        <w:rPr>
          <w:color w:val="000000"/>
          <w:lang w:val="fr-FR"/>
        </w:rPr>
        <w:t>examen de la gestion et de l</w:t>
      </w:r>
      <w:r w:rsidR="00E91F2D" w:rsidRPr="006F0679">
        <w:rPr>
          <w:color w:val="000000"/>
          <w:lang w:val="fr-FR"/>
        </w:rPr>
        <w:t>’</w:t>
      </w:r>
      <w:r w:rsidRPr="006F0679">
        <w:rPr>
          <w:color w:val="000000"/>
          <w:lang w:val="fr-FR"/>
        </w:rPr>
        <w:t>administration de l</w:t>
      </w:r>
      <w:r w:rsidR="00E91F2D" w:rsidRPr="006F0679">
        <w:rPr>
          <w:color w:val="000000"/>
          <w:lang w:val="fr-FR"/>
        </w:rPr>
        <w:t>’</w:t>
      </w:r>
      <w:r w:rsidRPr="006F0679">
        <w:rPr>
          <w:color w:val="000000"/>
          <w:lang w:val="fr-FR"/>
        </w:rPr>
        <w:t>OMPI</w:t>
      </w:r>
      <w:r w:rsidRPr="006F0679">
        <w:rPr>
          <w:rStyle w:val="FootnoteReference"/>
          <w:color w:val="000000"/>
          <w:lang w:val="fr-FR"/>
        </w:rPr>
        <w:footnoteReference w:id="5"/>
      </w:r>
      <w:r w:rsidRPr="006F0679">
        <w:rPr>
          <w:color w:val="000000"/>
          <w:lang w:val="fr-FR"/>
        </w:rPr>
        <w:t>,</w:t>
      </w:r>
      <w:r w:rsidR="006C37EF" w:rsidRPr="006F0679">
        <w:rPr>
          <w:color w:val="000000"/>
          <w:lang w:val="fr-FR"/>
        </w:rPr>
        <w:t xml:space="preserve"> le CCI</w:t>
      </w:r>
      <w:r w:rsidRPr="006F0679">
        <w:rPr>
          <w:color w:val="000000"/>
          <w:lang w:val="fr-FR"/>
        </w:rPr>
        <w:t xml:space="preserve"> recommande d</w:t>
      </w:r>
      <w:r w:rsidR="00E91F2D" w:rsidRPr="006F0679">
        <w:rPr>
          <w:color w:val="000000"/>
          <w:lang w:val="fr-FR"/>
        </w:rPr>
        <w:t>’</w:t>
      </w:r>
      <w:r w:rsidR="00E76653" w:rsidRPr="006F0679">
        <w:rPr>
          <w:color w:val="4F81BD" w:themeColor="accent1"/>
          <w:lang w:val="fr-FR"/>
        </w:rPr>
        <w:t>“</w:t>
      </w:r>
      <w:r w:rsidRPr="006F0679">
        <w:rPr>
          <w:i/>
          <w:color w:val="4F81BD" w:themeColor="accent1"/>
          <w:lang w:val="fr-FR"/>
        </w:rPr>
        <w:t>arrêter une stratégie globale de gestion des connaissances et [de] la présenter à l</w:t>
      </w:r>
      <w:r w:rsidR="00E91F2D" w:rsidRPr="006F0679">
        <w:rPr>
          <w:i/>
          <w:color w:val="4F81BD" w:themeColor="accent1"/>
          <w:lang w:val="fr-FR"/>
        </w:rPr>
        <w:t>’</w:t>
      </w:r>
      <w:r w:rsidRPr="006F0679">
        <w:rPr>
          <w:i/>
          <w:color w:val="4F81BD" w:themeColor="accent1"/>
          <w:lang w:val="fr-FR"/>
        </w:rPr>
        <w:t>Assemblée générale avant la fin de l</w:t>
      </w:r>
      <w:r w:rsidR="00E91F2D" w:rsidRPr="006F0679">
        <w:rPr>
          <w:i/>
          <w:color w:val="4F81BD" w:themeColor="accent1"/>
          <w:lang w:val="fr-FR"/>
        </w:rPr>
        <w:t>’</w:t>
      </w:r>
      <w:r w:rsidRPr="006F0679">
        <w:rPr>
          <w:i/>
          <w:color w:val="4F81BD" w:themeColor="accent1"/>
          <w:lang w:val="fr-FR"/>
        </w:rPr>
        <w:t>année 2015</w:t>
      </w:r>
      <w:r w:rsidR="00E76653" w:rsidRPr="006F0679">
        <w:rPr>
          <w:color w:val="4F81BD" w:themeColor="accent1"/>
          <w:lang w:val="fr-FR"/>
        </w:rPr>
        <w:t>”</w:t>
      </w:r>
      <w:r w:rsidR="00E76653" w:rsidRPr="006F0679">
        <w:rPr>
          <w:color w:val="000000"/>
          <w:lang w:val="fr-FR"/>
        </w:rPr>
        <w:t>.</w:t>
      </w:r>
      <w:r w:rsidR="00B06EF0" w:rsidRPr="006F0679">
        <w:rPr>
          <w:color w:val="000000"/>
          <w:lang w:val="fr-FR"/>
        </w:rPr>
        <w:t xml:space="preserve">  </w:t>
      </w:r>
      <w:r w:rsidRPr="006F0679">
        <w:rPr>
          <w:lang w:val="fr-FR"/>
        </w:rPr>
        <w:t>Il mentionne également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absence de dispositif structuré pour gérer les connaissances à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échelle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Organisation et indique que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absence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une approche cohérente pourrait </w:t>
      </w:r>
      <w:r w:rsidR="00B06EF0" w:rsidRPr="006F0679">
        <w:rPr>
          <w:i/>
          <w:color w:val="4F81BD" w:themeColor="accent1"/>
          <w:lang w:val="fr-FR"/>
        </w:rPr>
        <w:t>“</w:t>
      </w:r>
      <w:r w:rsidRPr="006F0679">
        <w:rPr>
          <w:i/>
          <w:color w:val="4F81BD" w:themeColor="accent1"/>
          <w:lang w:val="fr-FR"/>
        </w:rPr>
        <w:t>nuire à l</w:t>
      </w:r>
      <w:r w:rsidR="00E91F2D" w:rsidRPr="006F0679">
        <w:rPr>
          <w:i/>
          <w:color w:val="4F81BD" w:themeColor="accent1"/>
          <w:lang w:val="fr-FR"/>
        </w:rPr>
        <w:t>’</w:t>
      </w:r>
      <w:r w:rsidRPr="006F0679">
        <w:rPr>
          <w:i/>
          <w:color w:val="4F81BD" w:themeColor="accent1"/>
          <w:lang w:val="fr-FR"/>
        </w:rPr>
        <w:t>efficacité des opérations courantes de l</w:t>
      </w:r>
      <w:r w:rsidR="00E91F2D" w:rsidRPr="006F0679">
        <w:rPr>
          <w:i/>
          <w:color w:val="4F81BD" w:themeColor="accent1"/>
          <w:lang w:val="fr-FR"/>
        </w:rPr>
        <w:t>’</w:t>
      </w:r>
      <w:r w:rsidRPr="006F0679">
        <w:rPr>
          <w:i/>
          <w:color w:val="4F81BD" w:themeColor="accent1"/>
          <w:lang w:val="fr-FR"/>
        </w:rPr>
        <w:t>OMPI, en tant qu</w:t>
      </w:r>
      <w:r w:rsidR="00E91F2D" w:rsidRPr="006F0679">
        <w:rPr>
          <w:i/>
          <w:color w:val="4F81BD" w:themeColor="accent1"/>
          <w:lang w:val="fr-FR"/>
        </w:rPr>
        <w:t>’</w:t>
      </w:r>
      <w:r w:rsidRPr="006F0679">
        <w:rPr>
          <w:i/>
          <w:color w:val="4F81BD" w:themeColor="accent1"/>
          <w:lang w:val="fr-FR"/>
        </w:rPr>
        <w:t>Organisation fondée de par son mandat et ses activités sur le savoir, et empêcher la bonne diffusion des expériences acquises dans ses secteurs organiques et administratifs</w:t>
      </w:r>
      <w:r w:rsidR="00B06EF0" w:rsidRPr="006F0679">
        <w:rPr>
          <w:i/>
          <w:color w:val="4F81BD" w:themeColor="accent1"/>
          <w:lang w:val="fr-FR"/>
        </w:rPr>
        <w:t>”</w:t>
      </w:r>
      <w:r w:rsidR="00B06EF0" w:rsidRPr="006F0679">
        <w:rPr>
          <w:lang w:val="fr-FR"/>
        </w:rPr>
        <w:t>.</w:t>
      </w:r>
      <w:r w:rsidR="00A34855" w:rsidRPr="006F0679">
        <w:rPr>
          <w:lang w:val="fr-FR"/>
        </w:rPr>
        <w:t xml:space="preserve">  </w:t>
      </w:r>
      <w:r w:rsidRPr="006F0679">
        <w:rPr>
          <w:lang w:val="fr-FR"/>
        </w:rPr>
        <w:t xml:space="preserve">La mise en œuvre de cette stratégie devrait garantir </w:t>
      </w:r>
      <w:r w:rsidR="00A34855" w:rsidRPr="006F0679">
        <w:rPr>
          <w:i/>
          <w:color w:val="4F81BD" w:themeColor="accent1"/>
          <w:lang w:val="fr-FR"/>
        </w:rPr>
        <w:t>“</w:t>
      </w:r>
      <w:r w:rsidRPr="006F0679">
        <w:rPr>
          <w:i/>
          <w:color w:val="4F81BD" w:themeColor="accent1"/>
          <w:lang w:val="fr-FR"/>
        </w:rPr>
        <w:t>que les connaissances élaborées ou reçues par l</w:t>
      </w:r>
      <w:r w:rsidR="00E91F2D" w:rsidRPr="006F0679">
        <w:rPr>
          <w:i/>
          <w:color w:val="4F81BD" w:themeColor="accent1"/>
          <w:lang w:val="fr-FR"/>
        </w:rPr>
        <w:t>’</w:t>
      </w:r>
      <w:r w:rsidRPr="006F0679">
        <w:rPr>
          <w:i/>
          <w:color w:val="4F81BD" w:themeColor="accent1"/>
          <w:lang w:val="fr-FR"/>
        </w:rPr>
        <w:t>Organisation, sa mémoire institutionnelle et les expériences acquises fassent systématiquement l</w:t>
      </w:r>
      <w:r w:rsidR="00E91F2D" w:rsidRPr="006F0679">
        <w:rPr>
          <w:i/>
          <w:color w:val="4F81BD" w:themeColor="accent1"/>
          <w:lang w:val="fr-FR"/>
        </w:rPr>
        <w:t>’</w:t>
      </w:r>
      <w:r w:rsidRPr="006F0679">
        <w:rPr>
          <w:i/>
          <w:color w:val="4F81BD" w:themeColor="accent1"/>
          <w:lang w:val="fr-FR"/>
        </w:rPr>
        <w:t>objet d</w:t>
      </w:r>
      <w:r w:rsidR="00E91F2D" w:rsidRPr="006F0679">
        <w:rPr>
          <w:i/>
          <w:color w:val="4F81BD" w:themeColor="accent1"/>
          <w:lang w:val="fr-FR"/>
        </w:rPr>
        <w:t>’</w:t>
      </w:r>
      <w:r w:rsidRPr="006F0679">
        <w:rPr>
          <w:i/>
          <w:color w:val="4F81BD" w:themeColor="accent1"/>
          <w:lang w:val="fr-FR"/>
        </w:rPr>
        <w:t>une saisie et d</w:t>
      </w:r>
      <w:r w:rsidR="00E91F2D" w:rsidRPr="006F0679">
        <w:rPr>
          <w:i/>
          <w:color w:val="4F81BD" w:themeColor="accent1"/>
          <w:lang w:val="fr-FR"/>
        </w:rPr>
        <w:t>’</w:t>
      </w:r>
      <w:r w:rsidRPr="006F0679">
        <w:rPr>
          <w:i/>
          <w:color w:val="4F81BD" w:themeColor="accent1"/>
          <w:lang w:val="fr-FR"/>
        </w:rPr>
        <w:t>une diffusion dans les différents secteurs de l</w:t>
      </w:r>
      <w:r w:rsidR="00E91F2D" w:rsidRPr="006F0679">
        <w:rPr>
          <w:i/>
          <w:color w:val="4F81BD" w:themeColor="accent1"/>
          <w:lang w:val="fr-FR"/>
        </w:rPr>
        <w:t>’</w:t>
      </w:r>
      <w:r w:rsidRPr="006F0679">
        <w:rPr>
          <w:i/>
          <w:color w:val="4F81BD" w:themeColor="accent1"/>
          <w:lang w:val="fr-FR"/>
        </w:rPr>
        <w:t>Organisation</w:t>
      </w:r>
      <w:r w:rsidR="00A34855" w:rsidRPr="006F0679">
        <w:rPr>
          <w:i/>
          <w:color w:val="4F81BD" w:themeColor="accent1"/>
          <w:lang w:val="fr-FR"/>
        </w:rPr>
        <w:t>”</w:t>
      </w:r>
      <w:r w:rsidRPr="006F0679">
        <w:rPr>
          <w:lang w:val="fr-FR"/>
        </w:rPr>
        <w:t>.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AE3DCD" w:rsidP="00781563">
      <w:pPr>
        <w:rPr>
          <w:color w:val="000000"/>
          <w:lang w:val="fr-FR"/>
        </w:rPr>
      </w:pPr>
      <w:r w:rsidRPr="006F0679">
        <w:rPr>
          <w:color w:val="000000"/>
          <w:lang w:val="fr-FR"/>
        </w:rPr>
        <w:t>La présente</w:t>
      </w:r>
      <w:r w:rsidR="00F70C9D" w:rsidRPr="006F0679">
        <w:rPr>
          <w:color w:val="000000"/>
          <w:lang w:val="fr-FR"/>
        </w:rPr>
        <w:t xml:space="preserve"> stratégie de gestion des connaissances a été élaborée en partie en réponse à la recommandation</w:t>
      </w:r>
      <w:r w:rsidR="006C37EF" w:rsidRPr="006F0679">
        <w:rPr>
          <w:color w:val="000000"/>
          <w:lang w:val="fr-FR"/>
        </w:rPr>
        <w:t xml:space="preserve"> du CCI</w:t>
      </w:r>
      <w:r w:rsidR="00F70C9D" w:rsidRPr="006F0679">
        <w:rPr>
          <w:color w:val="000000"/>
          <w:lang w:val="fr-FR"/>
        </w:rPr>
        <w:t>, mais également pour faciliter la coordination entre un certain nombre d</w:t>
      </w:r>
      <w:r w:rsidR="00E91F2D" w:rsidRPr="006F0679">
        <w:rPr>
          <w:color w:val="000000"/>
          <w:lang w:val="fr-FR"/>
        </w:rPr>
        <w:t>’</w:t>
      </w:r>
      <w:r w:rsidR="00F70C9D" w:rsidRPr="006F0679">
        <w:rPr>
          <w:color w:val="000000"/>
          <w:lang w:val="fr-FR"/>
        </w:rPr>
        <w:t>initiatives en cours visant à promouvoir et à étayer certains aspects de la gestion des connaissances.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F70C9D" w:rsidP="00781563">
      <w:pPr>
        <w:rPr>
          <w:color w:val="000000"/>
          <w:lang w:val="fr-FR"/>
        </w:rPr>
      </w:pPr>
      <w:r w:rsidRPr="006F0679">
        <w:rPr>
          <w:color w:val="000000"/>
          <w:lang w:val="fr-FR"/>
        </w:rPr>
        <w:t xml:space="preserve">Dans le cadre de cette stratégie, les </w:t>
      </w:r>
      <w:r w:rsidR="00E76653" w:rsidRPr="006F0679">
        <w:rPr>
          <w:color w:val="000000"/>
          <w:lang w:val="fr-FR"/>
        </w:rPr>
        <w:t>“</w:t>
      </w:r>
      <w:r w:rsidRPr="006F0679">
        <w:rPr>
          <w:color w:val="000000"/>
          <w:lang w:val="fr-FR"/>
        </w:rPr>
        <w:t>connaissances</w:t>
      </w:r>
      <w:r w:rsidR="00E76653" w:rsidRPr="006F0679">
        <w:rPr>
          <w:color w:val="000000"/>
          <w:lang w:val="fr-FR"/>
        </w:rPr>
        <w:t>”</w:t>
      </w:r>
      <w:r w:rsidRPr="006F0679">
        <w:rPr>
          <w:color w:val="000000"/>
          <w:lang w:val="fr-FR"/>
        </w:rPr>
        <w:t xml:space="preserve"> renvoient aux faits et aux informations acquises par l</w:t>
      </w:r>
      <w:r w:rsidR="00E91F2D" w:rsidRPr="006F0679">
        <w:rPr>
          <w:color w:val="000000"/>
          <w:lang w:val="fr-FR"/>
        </w:rPr>
        <w:t>’</w:t>
      </w:r>
      <w:r w:rsidRPr="006F0679">
        <w:rPr>
          <w:color w:val="000000"/>
          <w:lang w:val="fr-FR"/>
        </w:rPr>
        <w:t xml:space="preserve">expérience tandis que, au niveau conceptuel, la </w:t>
      </w:r>
      <w:r w:rsidR="00E76653" w:rsidRPr="006F0679">
        <w:rPr>
          <w:color w:val="000000"/>
          <w:lang w:val="fr-FR"/>
        </w:rPr>
        <w:t>“</w:t>
      </w:r>
      <w:r w:rsidRPr="006F0679">
        <w:rPr>
          <w:color w:val="000000"/>
          <w:lang w:val="fr-FR"/>
        </w:rPr>
        <w:t>gestion des connaissances</w:t>
      </w:r>
      <w:r w:rsidR="00E76653" w:rsidRPr="006F0679">
        <w:rPr>
          <w:color w:val="000000"/>
          <w:lang w:val="fr-FR"/>
        </w:rPr>
        <w:t>”</w:t>
      </w:r>
      <w:r w:rsidRPr="006F0679">
        <w:rPr>
          <w:color w:val="000000"/>
          <w:lang w:val="fr-FR"/>
        </w:rPr>
        <w:t xml:space="preserve"> renvoie de façon </w:t>
      </w:r>
      <w:r w:rsidR="00AE3DCD" w:rsidRPr="006F0679">
        <w:rPr>
          <w:color w:val="000000"/>
          <w:lang w:val="fr-FR"/>
        </w:rPr>
        <w:t xml:space="preserve">plus </w:t>
      </w:r>
      <w:r w:rsidRPr="006F0679">
        <w:rPr>
          <w:color w:val="000000"/>
          <w:lang w:val="fr-FR"/>
        </w:rPr>
        <w:t xml:space="preserve">générale aux dispositions prises pour </w:t>
      </w:r>
      <w:r w:rsidR="00E76653" w:rsidRPr="006F0679">
        <w:rPr>
          <w:i/>
          <w:color w:val="4F81BD" w:themeColor="accent1"/>
          <w:lang w:val="fr-FR"/>
        </w:rPr>
        <w:t>“</w:t>
      </w:r>
      <w:r w:rsidRPr="006F0679">
        <w:rPr>
          <w:i/>
          <w:color w:val="4F81BD" w:themeColor="accent1"/>
          <w:lang w:val="fr-FR"/>
        </w:rPr>
        <w:t>assurer que les bonnes personnes aient accès aux</w:t>
      </w:r>
      <w:r w:rsidR="00AE3DCD" w:rsidRPr="006F0679">
        <w:rPr>
          <w:i/>
          <w:color w:val="4F81BD" w:themeColor="accent1"/>
          <w:lang w:val="fr-FR"/>
        </w:rPr>
        <w:t xml:space="preserve"> bonnes</w:t>
      </w:r>
      <w:r w:rsidRPr="006F0679">
        <w:rPr>
          <w:i/>
          <w:color w:val="4F81BD" w:themeColor="accent1"/>
          <w:lang w:val="fr-FR"/>
        </w:rPr>
        <w:t xml:space="preserve"> connaissances et </w:t>
      </w:r>
      <w:r w:rsidR="00AE3DCD" w:rsidRPr="006F0679">
        <w:rPr>
          <w:i/>
          <w:color w:val="4F81BD" w:themeColor="accent1"/>
          <w:lang w:val="fr-FR"/>
        </w:rPr>
        <w:t>possèdent les</w:t>
      </w:r>
      <w:r w:rsidRPr="006F0679">
        <w:rPr>
          <w:i/>
          <w:color w:val="4F81BD" w:themeColor="accent1"/>
          <w:lang w:val="fr-FR"/>
        </w:rPr>
        <w:t xml:space="preserve"> compétences nécessaires pour prendre des décisions éclairées</w:t>
      </w:r>
      <w:r w:rsidR="00E76653" w:rsidRPr="006F0679">
        <w:rPr>
          <w:i/>
          <w:color w:val="4F81BD" w:themeColor="accent1"/>
          <w:lang w:val="fr-FR"/>
        </w:rPr>
        <w:t>”</w:t>
      </w:r>
      <w:r w:rsidR="00E76653" w:rsidRPr="006F0679">
        <w:rPr>
          <w:color w:val="000000"/>
          <w:lang w:val="fr-FR"/>
        </w:rPr>
        <w:t>.</w:t>
      </w:r>
      <w:r w:rsidR="003D7822" w:rsidRPr="006F0679">
        <w:rPr>
          <w:color w:val="000000"/>
          <w:lang w:val="fr-FR"/>
        </w:rPr>
        <w:t xml:space="preserve"> </w:t>
      </w:r>
      <w:r w:rsidR="00F33E0E" w:rsidRPr="006F0679">
        <w:rPr>
          <w:color w:val="000000"/>
          <w:lang w:val="fr-FR"/>
        </w:rPr>
        <w:t xml:space="preserve"> </w:t>
      </w:r>
      <w:r w:rsidR="007959BA" w:rsidRPr="006F0679">
        <w:rPr>
          <w:color w:val="000000"/>
          <w:lang w:val="fr-FR"/>
        </w:rPr>
        <w:t>On trouvera plus loi</w:t>
      </w:r>
      <w:r w:rsidR="00FA234B" w:rsidRPr="006F0679">
        <w:rPr>
          <w:color w:val="000000"/>
          <w:lang w:val="fr-FR"/>
        </w:rPr>
        <w:t>n</w:t>
      </w:r>
      <w:r w:rsidR="007959BA" w:rsidRPr="006F0679">
        <w:rPr>
          <w:color w:val="000000"/>
          <w:lang w:val="fr-FR"/>
        </w:rPr>
        <w:t xml:space="preserve"> dans ce document des définitions plus </w:t>
      </w:r>
      <w:r w:rsidR="00AE3DCD" w:rsidRPr="006F0679">
        <w:rPr>
          <w:color w:val="000000"/>
          <w:lang w:val="fr-FR"/>
        </w:rPr>
        <w:t>détaillées</w:t>
      </w:r>
      <w:r w:rsidR="007959BA" w:rsidRPr="006F0679">
        <w:rPr>
          <w:color w:val="000000"/>
          <w:lang w:val="fr-FR"/>
        </w:rPr>
        <w:t xml:space="preserve"> sur la gestion des connaissances dans le contexte de l</w:t>
      </w:r>
      <w:r w:rsidR="00E91F2D" w:rsidRPr="006F0679">
        <w:rPr>
          <w:color w:val="000000"/>
          <w:lang w:val="fr-FR"/>
        </w:rPr>
        <w:t>’</w:t>
      </w:r>
      <w:r w:rsidR="007959BA" w:rsidRPr="006F0679">
        <w:rPr>
          <w:color w:val="000000"/>
          <w:lang w:val="fr-FR"/>
        </w:rPr>
        <w:t>OMPI.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AE3DCD" w:rsidP="00845E81">
      <w:pPr>
        <w:spacing w:after="120"/>
        <w:rPr>
          <w:lang w:val="fr-FR"/>
        </w:rPr>
      </w:pPr>
      <w:r w:rsidRPr="006F0679">
        <w:rPr>
          <w:color w:val="000000"/>
          <w:lang w:val="fr-FR"/>
        </w:rPr>
        <w:t>C</w:t>
      </w:r>
      <w:r w:rsidR="007959BA" w:rsidRPr="006F0679">
        <w:rPr>
          <w:color w:val="000000"/>
          <w:lang w:val="fr-FR"/>
        </w:rPr>
        <w:t xml:space="preserve">ette stratégie de gestion des connaissances </w:t>
      </w:r>
      <w:r w:rsidRPr="006F0679">
        <w:rPr>
          <w:color w:val="000000"/>
          <w:lang w:val="fr-FR"/>
        </w:rPr>
        <w:t>s</w:t>
      </w:r>
      <w:r w:rsidR="00E91F2D" w:rsidRPr="006F0679">
        <w:rPr>
          <w:color w:val="000000"/>
          <w:lang w:val="fr-FR"/>
        </w:rPr>
        <w:t>’</w:t>
      </w:r>
      <w:r w:rsidRPr="006F0679">
        <w:rPr>
          <w:color w:val="000000"/>
          <w:lang w:val="fr-FR"/>
        </w:rPr>
        <w:t>applique</w:t>
      </w:r>
      <w:r w:rsidR="00E76653" w:rsidRPr="006F0679">
        <w:rPr>
          <w:color w:val="000000"/>
          <w:lang w:val="fr-FR"/>
        </w:rPr>
        <w:t> </w:t>
      </w:r>
      <w:r w:rsidR="007959BA" w:rsidRPr="006F0679">
        <w:rPr>
          <w:color w:val="000000"/>
          <w:lang w:val="fr-FR"/>
        </w:rPr>
        <w:t>:</w:t>
      </w:r>
    </w:p>
    <w:p w:rsidR="004D7733" w:rsidRPr="006F0679" w:rsidRDefault="00AE3DCD" w:rsidP="00845E81">
      <w:pPr>
        <w:pStyle w:val="ListParagraph"/>
        <w:spacing w:after="120"/>
        <w:contextualSpacing w:val="0"/>
        <w:rPr>
          <w:lang w:val="fr-FR"/>
        </w:rPr>
      </w:pPr>
      <w:r w:rsidRPr="006F0679">
        <w:rPr>
          <w:lang w:val="fr-FR"/>
        </w:rPr>
        <w:t>aux connaissances créées et gérées</w:t>
      </w:r>
      <w:r w:rsidR="00FA234B" w:rsidRPr="006F0679">
        <w:rPr>
          <w:lang w:val="fr-FR"/>
        </w:rPr>
        <w:t xml:space="preserve"> en interne, résultant des opérations de l</w:t>
      </w:r>
      <w:r w:rsidR="00E91F2D" w:rsidRPr="006F0679">
        <w:rPr>
          <w:lang w:val="fr-FR"/>
        </w:rPr>
        <w:t>’</w:t>
      </w:r>
      <w:r w:rsidR="00FA234B" w:rsidRPr="006F0679">
        <w:rPr>
          <w:lang w:val="fr-FR"/>
        </w:rPr>
        <w:t xml:space="preserve">OMPI, </w:t>
      </w:r>
      <w:r w:rsidR="00E91F2D" w:rsidRPr="006F0679">
        <w:rPr>
          <w:lang w:val="fr-FR"/>
        </w:rPr>
        <w:t>y compris</w:t>
      </w:r>
      <w:r w:rsidR="00FA234B" w:rsidRPr="006F0679">
        <w:rPr>
          <w:lang w:val="fr-FR"/>
        </w:rPr>
        <w:t xml:space="preserve"> des fonctions de gestion et d</w:t>
      </w:r>
      <w:r w:rsidR="00E91F2D" w:rsidRPr="006F0679">
        <w:rPr>
          <w:lang w:val="fr-FR"/>
        </w:rPr>
        <w:t>’</w:t>
      </w:r>
      <w:r w:rsidR="00FA234B" w:rsidRPr="006F0679">
        <w:rPr>
          <w:lang w:val="fr-FR"/>
        </w:rPr>
        <w:t>administration;</w:t>
      </w:r>
    </w:p>
    <w:p w:rsidR="004D7733" w:rsidRPr="006F0679" w:rsidRDefault="00AE3DCD" w:rsidP="00845E81">
      <w:pPr>
        <w:pStyle w:val="ListParagraph"/>
        <w:spacing w:after="120"/>
        <w:contextualSpacing w:val="0"/>
        <w:rPr>
          <w:lang w:val="fr-FR"/>
        </w:rPr>
      </w:pPr>
      <w:r w:rsidRPr="006F0679">
        <w:rPr>
          <w:lang w:val="fr-FR"/>
        </w:rPr>
        <w:t xml:space="preserve">aux connaissances créées et gérées </w:t>
      </w:r>
      <w:r w:rsidR="00FA234B" w:rsidRPr="006F0679">
        <w:rPr>
          <w:lang w:val="fr-FR"/>
        </w:rPr>
        <w:t>en interne, résultant des interactions entre l</w:t>
      </w:r>
      <w:r w:rsidR="00E91F2D" w:rsidRPr="006F0679">
        <w:rPr>
          <w:lang w:val="fr-FR"/>
        </w:rPr>
        <w:t>’</w:t>
      </w:r>
      <w:r w:rsidR="00FA234B" w:rsidRPr="006F0679">
        <w:rPr>
          <w:lang w:val="fr-FR"/>
        </w:rPr>
        <w:t xml:space="preserve">OMPI et ses parties prenantes externes, </w:t>
      </w:r>
      <w:r w:rsidR="00E91F2D" w:rsidRPr="006F0679">
        <w:rPr>
          <w:lang w:val="fr-FR"/>
        </w:rPr>
        <w:t>y compris</w:t>
      </w:r>
      <w:r w:rsidR="00FA234B" w:rsidRPr="006F0679">
        <w:rPr>
          <w:lang w:val="fr-FR"/>
        </w:rPr>
        <w:t xml:space="preserve"> les offices nationaux de propriété intellectuelle;</w:t>
      </w:r>
    </w:p>
    <w:p w:rsidR="004D7733" w:rsidRPr="006F0679" w:rsidRDefault="00AE3DCD" w:rsidP="00845E81">
      <w:pPr>
        <w:pStyle w:val="ListParagraph"/>
        <w:spacing w:after="120"/>
        <w:contextualSpacing w:val="0"/>
        <w:rPr>
          <w:lang w:val="fr-FR"/>
        </w:rPr>
      </w:pPr>
      <w:r w:rsidRPr="006F0679">
        <w:rPr>
          <w:lang w:val="fr-FR"/>
        </w:rPr>
        <w:t xml:space="preserve">aux connaissances </w:t>
      </w:r>
      <w:r w:rsidR="002D4523" w:rsidRPr="006F0679">
        <w:rPr>
          <w:lang w:val="fr-FR"/>
        </w:rPr>
        <w:t>acquises</w:t>
      </w:r>
      <w:r w:rsidRPr="006F0679">
        <w:rPr>
          <w:lang w:val="fr-FR"/>
        </w:rPr>
        <w:t xml:space="preserve"> </w:t>
      </w:r>
      <w:r w:rsidR="00A276BE" w:rsidRPr="006F0679">
        <w:rPr>
          <w:lang w:val="fr-FR"/>
        </w:rPr>
        <w:t>dans le cadre</w:t>
      </w:r>
      <w:r w:rsidRPr="006F0679">
        <w:rPr>
          <w:lang w:val="fr-FR"/>
        </w:rPr>
        <w:t xml:space="preserve"> des interactions avec l</w:t>
      </w:r>
      <w:r w:rsidR="00FA234B" w:rsidRPr="006F0679">
        <w:rPr>
          <w:lang w:val="fr-FR"/>
        </w:rPr>
        <w:t>es parties prenantes externes de l</w:t>
      </w:r>
      <w:r w:rsidR="00E91F2D" w:rsidRPr="006F0679">
        <w:rPr>
          <w:lang w:val="fr-FR"/>
        </w:rPr>
        <w:t>’</w:t>
      </w:r>
      <w:r w:rsidR="00FA234B" w:rsidRPr="006F0679">
        <w:rPr>
          <w:lang w:val="fr-FR"/>
        </w:rPr>
        <w:t xml:space="preserve">OMPI, telles que les experts </w:t>
      </w:r>
      <w:r w:rsidR="002D4523" w:rsidRPr="006F0679">
        <w:rPr>
          <w:lang w:val="fr-FR"/>
        </w:rPr>
        <w:t>dans</w:t>
      </w:r>
      <w:r w:rsidR="005F658B" w:rsidRPr="006F0679">
        <w:rPr>
          <w:lang w:val="fr-FR"/>
        </w:rPr>
        <w:t xml:space="preserve"> différents</w:t>
      </w:r>
      <w:r w:rsidR="00FA234B" w:rsidRPr="006F0679">
        <w:rPr>
          <w:lang w:val="fr-FR"/>
        </w:rPr>
        <w:t xml:space="preserve"> domaines;  et</w:t>
      </w:r>
    </w:p>
    <w:p w:rsidR="004D7733" w:rsidRPr="006F0679" w:rsidRDefault="00AE3DCD" w:rsidP="00845E81">
      <w:pPr>
        <w:pStyle w:val="ListParagraph"/>
        <w:spacing w:after="120"/>
        <w:contextualSpacing w:val="0"/>
        <w:rPr>
          <w:lang w:val="fr-FR"/>
        </w:rPr>
      </w:pPr>
      <w:r w:rsidRPr="006F0679">
        <w:rPr>
          <w:lang w:val="fr-FR"/>
        </w:rPr>
        <w:t xml:space="preserve">aux connaissances créées </w:t>
      </w:r>
      <w:r w:rsidR="005F658B" w:rsidRPr="006F0679">
        <w:rPr>
          <w:lang w:val="fr-FR"/>
        </w:rPr>
        <w:t>de manière spécifique par</w:t>
      </w:r>
      <w:r w:rsidR="00FA234B" w:rsidRPr="006F0679">
        <w:rPr>
          <w:lang w:val="fr-FR"/>
        </w:rPr>
        <w:t xml:space="preserve"> l</w:t>
      </w:r>
      <w:r w:rsidR="00E91F2D" w:rsidRPr="006F0679">
        <w:rPr>
          <w:lang w:val="fr-FR"/>
        </w:rPr>
        <w:t>’</w:t>
      </w:r>
      <w:r w:rsidR="00FA234B" w:rsidRPr="006F0679">
        <w:rPr>
          <w:lang w:val="fr-FR"/>
        </w:rPr>
        <w:t>OMPI pour</w:t>
      </w:r>
      <w:r w:rsidR="005F658B" w:rsidRPr="006F0679">
        <w:rPr>
          <w:lang w:val="fr-FR"/>
        </w:rPr>
        <w:t xml:space="preserve"> être partagées</w:t>
      </w:r>
      <w:r w:rsidR="00FA234B" w:rsidRPr="006F0679">
        <w:rPr>
          <w:lang w:val="fr-FR"/>
        </w:rPr>
        <w:t xml:space="preserve"> avec des parties prenantes externes, </w:t>
      </w:r>
      <w:r w:rsidR="00E91F2D" w:rsidRPr="006F0679">
        <w:rPr>
          <w:lang w:val="fr-FR"/>
        </w:rPr>
        <w:t>y compris</w:t>
      </w:r>
      <w:r w:rsidR="00C6738C" w:rsidRPr="006F0679">
        <w:rPr>
          <w:lang w:val="fr-FR"/>
        </w:rPr>
        <w:t xml:space="preserve"> par l</w:t>
      </w:r>
      <w:r w:rsidR="00E91F2D" w:rsidRPr="006F0679">
        <w:rPr>
          <w:lang w:val="fr-FR"/>
        </w:rPr>
        <w:t>’</w:t>
      </w:r>
      <w:r w:rsidR="00C6738C" w:rsidRPr="006F0679">
        <w:rPr>
          <w:lang w:val="fr-FR"/>
        </w:rPr>
        <w:t>intermédiaire de l</w:t>
      </w:r>
      <w:r w:rsidR="00E91F2D" w:rsidRPr="006F0679">
        <w:rPr>
          <w:lang w:val="fr-FR"/>
        </w:rPr>
        <w:t>’</w:t>
      </w:r>
      <w:r w:rsidR="00C6738C" w:rsidRPr="006F0679">
        <w:rPr>
          <w:lang w:val="fr-FR"/>
        </w:rPr>
        <w:t>Académie de l</w:t>
      </w:r>
      <w:r w:rsidR="00E91F2D" w:rsidRPr="006F0679">
        <w:rPr>
          <w:lang w:val="fr-FR"/>
        </w:rPr>
        <w:t>’</w:t>
      </w:r>
      <w:r w:rsidR="00C6738C" w:rsidRPr="006F0679">
        <w:rPr>
          <w:lang w:val="fr-FR"/>
        </w:rPr>
        <w:t>OMPI</w:t>
      </w:r>
      <w:r w:rsidR="00745511" w:rsidRPr="006F0679">
        <w:rPr>
          <w:lang w:val="fr-FR"/>
        </w:rPr>
        <w:t>.</w:t>
      </w:r>
    </w:p>
    <w:p w:rsidR="004D7733" w:rsidRPr="006F0679" w:rsidRDefault="00B66A9B" w:rsidP="005A16A1">
      <w:pPr>
        <w:pStyle w:val="Heading2"/>
        <w:rPr>
          <w:lang w:val="fr-FR"/>
        </w:rPr>
      </w:pPr>
      <w:bookmarkStart w:id="7" w:name="_Toc426103166"/>
      <w:r w:rsidRPr="006F0679">
        <w:rPr>
          <w:lang w:val="fr-FR"/>
        </w:rPr>
        <w:t>D</w:t>
      </w:r>
      <w:r w:rsidR="00AA3D8B" w:rsidRPr="006F0679">
        <w:rPr>
          <w:lang w:val="fr-FR"/>
        </w:rPr>
        <w:t xml:space="preserve">éfinition de la </w:t>
      </w:r>
      <w:r w:rsidR="005F658B" w:rsidRPr="006F0679">
        <w:rPr>
          <w:lang w:val="fr-FR"/>
        </w:rPr>
        <w:t xml:space="preserve">notion de </w:t>
      </w:r>
      <w:r w:rsidR="00AA3D8B" w:rsidRPr="006F0679">
        <w:rPr>
          <w:lang w:val="fr-FR"/>
        </w:rPr>
        <w:t>gestion des connaissances</w:t>
      </w:r>
      <w:bookmarkEnd w:id="7"/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5F658B" w:rsidP="00781563">
      <w:pPr>
        <w:rPr>
          <w:lang w:val="fr-FR"/>
        </w:rPr>
      </w:pPr>
      <w:r w:rsidRPr="006F0679">
        <w:rPr>
          <w:lang w:val="fr-FR"/>
        </w:rPr>
        <w:t>On trouve</w:t>
      </w:r>
      <w:r w:rsidR="00AA3D8B" w:rsidRPr="006F0679">
        <w:rPr>
          <w:lang w:val="fr-FR"/>
        </w:rPr>
        <w:t xml:space="preserve"> de nombreuses définitions de la</w:t>
      </w:r>
      <w:r w:rsidRPr="006F0679">
        <w:rPr>
          <w:lang w:val="fr-FR"/>
        </w:rPr>
        <w:t xml:space="preserve"> notion de</w:t>
      </w:r>
      <w:r w:rsidR="00AA3D8B" w:rsidRPr="006F0679">
        <w:rPr>
          <w:lang w:val="fr-FR"/>
        </w:rPr>
        <w:t xml:space="preserve"> gestion des connaissances</w:t>
      </w:r>
      <w:r w:rsidRPr="006F0679">
        <w:rPr>
          <w:lang w:val="fr-FR"/>
        </w:rPr>
        <w:t>, que ce soit</w:t>
      </w:r>
      <w:r w:rsidR="00AA3D8B" w:rsidRPr="006F0679">
        <w:rPr>
          <w:lang w:val="fr-FR"/>
        </w:rPr>
        <w:t xml:space="preserve"> dans les </w:t>
      </w:r>
      <w:r w:rsidRPr="006F0679">
        <w:rPr>
          <w:lang w:val="fr-FR"/>
        </w:rPr>
        <w:t>milieux universitaires ou</w:t>
      </w:r>
      <w:r w:rsidR="00AA3D8B" w:rsidRPr="006F0679">
        <w:rPr>
          <w:lang w:val="fr-FR"/>
        </w:rPr>
        <w:t xml:space="preserve"> le secteur privé</w:t>
      </w:r>
      <w:r w:rsidR="00B66A9B" w:rsidRPr="006F0679">
        <w:rPr>
          <w:lang w:val="fr-FR"/>
        </w:rPr>
        <w:t xml:space="preserve">.  </w:t>
      </w:r>
      <w:r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="00AA3D8B" w:rsidRPr="006F0679">
        <w:rPr>
          <w:lang w:val="fr-FR"/>
        </w:rPr>
        <w:t xml:space="preserve">OMPI </w:t>
      </w:r>
      <w:r w:rsidR="00A276BE" w:rsidRPr="006F0679">
        <w:rPr>
          <w:lang w:val="fr-FR"/>
        </w:rPr>
        <w:t>s</w:t>
      </w:r>
      <w:r w:rsidR="00E91F2D" w:rsidRPr="006F0679">
        <w:rPr>
          <w:lang w:val="fr-FR"/>
        </w:rPr>
        <w:t>’</w:t>
      </w:r>
      <w:r w:rsidR="00A276BE" w:rsidRPr="006F0679">
        <w:rPr>
          <w:lang w:val="fr-FR"/>
        </w:rPr>
        <w:t>est inspirée de celles</w:t>
      </w:r>
      <w:r w:rsidR="006F0679" w:rsidRPr="006F0679">
        <w:rPr>
          <w:lang w:val="fr-FR"/>
        </w:rPr>
        <w:noBreakHyphen/>
      </w:r>
      <w:r w:rsidR="00A276BE" w:rsidRPr="006F0679">
        <w:rPr>
          <w:lang w:val="fr-FR"/>
        </w:rPr>
        <w:t>ci pour élaborer</w:t>
      </w:r>
      <w:r w:rsidRPr="006F0679">
        <w:rPr>
          <w:lang w:val="fr-FR"/>
        </w:rPr>
        <w:t xml:space="preserve"> sa propre définition, qui va </w:t>
      </w:r>
      <w:r w:rsidR="00AA3D8B" w:rsidRPr="006F0679">
        <w:rPr>
          <w:lang w:val="fr-FR"/>
        </w:rPr>
        <w:t xml:space="preserve">jouer un rôle central dans la </w:t>
      </w:r>
      <w:r w:rsidR="00A276BE" w:rsidRPr="006F0679">
        <w:rPr>
          <w:lang w:val="fr-FR"/>
        </w:rPr>
        <w:t>délimitation</w:t>
      </w:r>
      <w:r w:rsidR="00AA3D8B" w:rsidRPr="006F0679">
        <w:rPr>
          <w:lang w:val="fr-FR"/>
        </w:rPr>
        <w:t xml:space="preserve"> du champ d</w:t>
      </w:r>
      <w:r w:rsidR="00E91F2D" w:rsidRPr="006F0679">
        <w:rPr>
          <w:lang w:val="fr-FR"/>
        </w:rPr>
        <w:t>’</w:t>
      </w:r>
      <w:r w:rsidR="00AA3D8B" w:rsidRPr="006F0679">
        <w:rPr>
          <w:lang w:val="fr-FR"/>
        </w:rPr>
        <w:t>application de la stratégie de gestion des connaissances :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B66A9B" w:rsidP="00781563">
      <w:pPr>
        <w:rPr>
          <w:i/>
          <w:color w:val="4F81BD" w:themeColor="accent1"/>
          <w:lang w:val="fr-FR"/>
        </w:rPr>
      </w:pPr>
      <w:r w:rsidRPr="006F0679">
        <w:rPr>
          <w:i/>
          <w:color w:val="4F81BD" w:themeColor="accent1"/>
          <w:lang w:val="fr-FR"/>
        </w:rPr>
        <w:t>“</w:t>
      </w:r>
      <w:r w:rsidR="00AA3D8B" w:rsidRPr="006F0679">
        <w:rPr>
          <w:i/>
          <w:color w:val="4F81BD" w:themeColor="accent1"/>
          <w:lang w:val="fr-FR"/>
        </w:rPr>
        <w:t>La gestion des c</w:t>
      </w:r>
      <w:r w:rsidR="00926322" w:rsidRPr="006F0679">
        <w:rPr>
          <w:i/>
          <w:color w:val="4F81BD" w:themeColor="accent1"/>
          <w:lang w:val="fr-FR"/>
        </w:rPr>
        <w:t xml:space="preserve">onnaissances est une discipline qui vise à promouvoir une approche intégrée pour recenser, </w:t>
      </w:r>
      <w:r w:rsidR="005F658B" w:rsidRPr="006F0679">
        <w:rPr>
          <w:i/>
          <w:color w:val="4F81BD" w:themeColor="accent1"/>
          <w:lang w:val="fr-FR"/>
        </w:rPr>
        <w:t>saisir</w:t>
      </w:r>
      <w:r w:rsidR="00926322" w:rsidRPr="006F0679">
        <w:rPr>
          <w:i/>
          <w:color w:val="4F81BD" w:themeColor="accent1"/>
          <w:lang w:val="fr-FR"/>
        </w:rPr>
        <w:t xml:space="preserve">, </w:t>
      </w:r>
      <w:r w:rsidR="00F7264C" w:rsidRPr="006F0679">
        <w:rPr>
          <w:i/>
          <w:color w:val="4F81BD" w:themeColor="accent1"/>
          <w:lang w:val="fr-FR"/>
        </w:rPr>
        <w:t>extraire</w:t>
      </w:r>
      <w:r w:rsidR="00926322" w:rsidRPr="006F0679">
        <w:rPr>
          <w:i/>
          <w:color w:val="4F81BD" w:themeColor="accent1"/>
          <w:lang w:val="fr-FR"/>
        </w:rPr>
        <w:t>, distribuer, partager, utiliser et réutiliser les actifs de l</w:t>
      </w:r>
      <w:r w:rsidR="00E91F2D" w:rsidRPr="006F0679">
        <w:rPr>
          <w:i/>
          <w:color w:val="4F81BD" w:themeColor="accent1"/>
          <w:lang w:val="fr-FR"/>
        </w:rPr>
        <w:t>’</w:t>
      </w:r>
      <w:r w:rsidR="00926322" w:rsidRPr="006F0679">
        <w:rPr>
          <w:i/>
          <w:color w:val="4F81BD" w:themeColor="accent1"/>
          <w:lang w:val="fr-FR"/>
        </w:rPr>
        <w:t>OMPI fondés sur les informations et les connaissances</w:t>
      </w:r>
      <w:r w:rsidRPr="006F0679">
        <w:rPr>
          <w:i/>
          <w:color w:val="4F81BD" w:themeColor="accent1"/>
          <w:lang w:val="fr-FR"/>
        </w:rPr>
        <w:t xml:space="preserve">.  </w:t>
      </w:r>
      <w:r w:rsidR="00926322" w:rsidRPr="006F0679">
        <w:rPr>
          <w:i/>
          <w:color w:val="4F81BD" w:themeColor="accent1"/>
          <w:lang w:val="fr-FR"/>
        </w:rPr>
        <w:t>Cette discipline permettra d</w:t>
      </w:r>
      <w:r w:rsidR="00E91F2D" w:rsidRPr="006F0679">
        <w:rPr>
          <w:i/>
          <w:color w:val="4F81BD" w:themeColor="accent1"/>
          <w:lang w:val="fr-FR"/>
        </w:rPr>
        <w:t>’</w:t>
      </w:r>
      <w:r w:rsidR="00926322" w:rsidRPr="006F0679">
        <w:rPr>
          <w:i/>
          <w:color w:val="4F81BD" w:themeColor="accent1"/>
          <w:lang w:val="fr-FR"/>
        </w:rPr>
        <w:t xml:space="preserve">harmoniser les pratiques </w:t>
      </w:r>
      <w:r w:rsidR="00036E00" w:rsidRPr="006F0679">
        <w:rPr>
          <w:i/>
          <w:color w:val="4F81BD" w:themeColor="accent1"/>
          <w:lang w:val="fr-FR"/>
        </w:rPr>
        <w:t>des fonctionnaires</w:t>
      </w:r>
      <w:r w:rsidR="00926322" w:rsidRPr="006F0679">
        <w:rPr>
          <w:i/>
          <w:color w:val="4F81BD" w:themeColor="accent1"/>
          <w:lang w:val="fr-FR"/>
        </w:rPr>
        <w:t xml:space="preserve">, les processus et les technologies </w:t>
      </w:r>
      <w:r w:rsidR="008235EC" w:rsidRPr="006F0679">
        <w:rPr>
          <w:i/>
          <w:color w:val="4F81BD" w:themeColor="accent1"/>
          <w:lang w:val="fr-FR"/>
        </w:rPr>
        <w:t xml:space="preserve">et ainsi de valoriser ces actifs fondés sur les informations et les connaissances </w:t>
      </w:r>
      <w:r w:rsidR="00A276BE" w:rsidRPr="006F0679">
        <w:rPr>
          <w:i/>
          <w:color w:val="4F81BD" w:themeColor="accent1"/>
          <w:lang w:val="fr-FR"/>
        </w:rPr>
        <w:t>pour pouvoir en</w:t>
      </w:r>
      <w:r w:rsidR="005F658B" w:rsidRPr="006F0679">
        <w:rPr>
          <w:i/>
          <w:color w:val="4F81BD" w:themeColor="accent1"/>
          <w:lang w:val="fr-FR"/>
        </w:rPr>
        <w:t xml:space="preserve"> tirer parti, mais également de</w:t>
      </w:r>
      <w:r w:rsidR="008235EC" w:rsidRPr="006F0679">
        <w:rPr>
          <w:i/>
          <w:color w:val="4F81BD" w:themeColor="accent1"/>
          <w:lang w:val="fr-FR"/>
        </w:rPr>
        <w:t xml:space="preserve"> contribuer à </w:t>
      </w:r>
      <w:r w:rsidR="005F658B" w:rsidRPr="006F0679">
        <w:rPr>
          <w:i/>
          <w:color w:val="4F81BD" w:themeColor="accent1"/>
          <w:lang w:val="fr-FR"/>
        </w:rPr>
        <w:t xml:space="preserve">accroître </w:t>
      </w:r>
      <w:r w:rsidR="008235EC" w:rsidRPr="006F0679">
        <w:rPr>
          <w:i/>
          <w:color w:val="4F81BD" w:themeColor="accent1"/>
          <w:lang w:val="fr-FR"/>
        </w:rPr>
        <w:t>l</w:t>
      </w:r>
      <w:r w:rsidR="00E91F2D" w:rsidRPr="006F0679">
        <w:rPr>
          <w:i/>
          <w:color w:val="4F81BD" w:themeColor="accent1"/>
          <w:lang w:val="fr-FR"/>
        </w:rPr>
        <w:t>’</w:t>
      </w:r>
      <w:r w:rsidR="008235EC" w:rsidRPr="006F0679">
        <w:rPr>
          <w:i/>
          <w:color w:val="4F81BD" w:themeColor="accent1"/>
          <w:lang w:val="fr-FR"/>
        </w:rPr>
        <w:t xml:space="preserve">efficacité, </w:t>
      </w:r>
      <w:r w:rsidR="005F658B" w:rsidRPr="006F0679">
        <w:rPr>
          <w:i/>
          <w:color w:val="4F81BD" w:themeColor="accent1"/>
          <w:lang w:val="fr-FR"/>
        </w:rPr>
        <w:t>l</w:t>
      </w:r>
      <w:r w:rsidR="00E91F2D" w:rsidRPr="006F0679">
        <w:rPr>
          <w:i/>
          <w:color w:val="4F81BD" w:themeColor="accent1"/>
          <w:lang w:val="fr-FR"/>
        </w:rPr>
        <w:t>’</w:t>
      </w:r>
      <w:r w:rsidR="005F658B" w:rsidRPr="006F0679">
        <w:rPr>
          <w:i/>
          <w:color w:val="4F81BD" w:themeColor="accent1"/>
          <w:lang w:val="fr-FR"/>
        </w:rPr>
        <w:t>efficience</w:t>
      </w:r>
      <w:r w:rsidR="008235EC" w:rsidRPr="006F0679">
        <w:rPr>
          <w:i/>
          <w:color w:val="4F81BD" w:themeColor="accent1"/>
          <w:lang w:val="fr-FR"/>
        </w:rPr>
        <w:t xml:space="preserve"> et l</w:t>
      </w:r>
      <w:r w:rsidR="00E91F2D" w:rsidRPr="006F0679">
        <w:rPr>
          <w:i/>
          <w:color w:val="4F81BD" w:themeColor="accent1"/>
          <w:lang w:val="fr-FR"/>
        </w:rPr>
        <w:t>’</w:t>
      </w:r>
      <w:r w:rsidR="008235EC" w:rsidRPr="006F0679">
        <w:rPr>
          <w:i/>
          <w:color w:val="4F81BD" w:themeColor="accent1"/>
          <w:lang w:val="fr-FR"/>
        </w:rPr>
        <w:t>innovation au niveau de l</w:t>
      </w:r>
      <w:r w:rsidR="00E91F2D" w:rsidRPr="006F0679">
        <w:rPr>
          <w:i/>
          <w:color w:val="4F81BD" w:themeColor="accent1"/>
          <w:lang w:val="fr-FR"/>
        </w:rPr>
        <w:t>’</w:t>
      </w:r>
      <w:r w:rsidR="008235EC" w:rsidRPr="006F0679">
        <w:rPr>
          <w:i/>
          <w:color w:val="4F81BD" w:themeColor="accent1"/>
          <w:lang w:val="fr-FR"/>
        </w:rPr>
        <w:t>Organisation.</w:t>
      </w:r>
      <w:r w:rsidRPr="006F0679">
        <w:rPr>
          <w:i/>
          <w:color w:val="4F81BD" w:themeColor="accent1"/>
          <w:lang w:val="fr-FR"/>
        </w:rPr>
        <w:t>”</w:t>
      </w:r>
    </w:p>
    <w:p w:rsidR="004D7733" w:rsidRPr="006F0679" w:rsidRDefault="005F658B" w:rsidP="00781563">
      <w:pPr>
        <w:rPr>
          <w:lang w:val="fr-FR"/>
        </w:rPr>
      </w:pPr>
      <w:r w:rsidRPr="006F0679">
        <w:rPr>
          <w:lang w:val="fr-FR"/>
        </w:rPr>
        <w:lastRenderedPageBreak/>
        <w:t xml:space="preserve">Dans </w:t>
      </w:r>
      <w:r w:rsidR="008235EC" w:rsidRPr="006F0679">
        <w:rPr>
          <w:lang w:val="fr-FR"/>
        </w:rPr>
        <w:t>cette définition</w:t>
      </w:r>
      <w:r w:rsidRPr="006F0679">
        <w:rPr>
          <w:lang w:val="fr-FR"/>
        </w:rPr>
        <w:t>, il importe également</w:t>
      </w:r>
      <w:r w:rsidR="008235EC" w:rsidRPr="006F0679">
        <w:rPr>
          <w:lang w:val="fr-FR"/>
        </w:rPr>
        <w:t xml:space="preserve"> </w:t>
      </w:r>
      <w:r w:rsidR="00A276BE" w:rsidRPr="006F0679">
        <w:rPr>
          <w:lang w:val="fr-FR"/>
        </w:rPr>
        <w:t>de faire une distinction claire</w:t>
      </w:r>
      <w:r w:rsidR="008235EC" w:rsidRPr="006F0679">
        <w:rPr>
          <w:lang w:val="fr-FR"/>
        </w:rPr>
        <w:t xml:space="preserve"> entre les données, les informations et les connaissances :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B66A9B" w:rsidP="00845E81">
      <w:pPr>
        <w:pStyle w:val="ListParagraph"/>
        <w:numPr>
          <w:ilvl w:val="0"/>
          <w:numId w:val="8"/>
        </w:numPr>
        <w:spacing w:after="120"/>
        <w:ind w:left="992" w:hanging="425"/>
        <w:contextualSpacing w:val="0"/>
        <w:rPr>
          <w:lang w:val="fr-FR"/>
        </w:rPr>
      </w:pPr>
      <w:r w:rsidRPr="006F0679">
        <w:rPr>
          <w:b/>
          <w:color w:val="4F81BD" w:themeColor="accent1"/>
          <w:lang w:val="fr-FR"/>
        </w:rPr>
        <w:t>D</w:t>
      </w:r>
      <w:r w:rsidR="008235EC" w:rsidRPr="006F0679">
        <w:rPr>
          <w:b/>
          <w:color w:val="4F81BD" w:themeColor="accent1"/>
          <w:lang w:val="fr-FR"/>
        </w:rPr>
        <w:t>onnées</w:t>
      </w:r>
      <w:r w:rsidRPr="006F0679">
        <w:rPr>
          <w:b/>
          <w:color w:val="1F497D" w:themeColor="text2"/>
          <w:lang w:val="fr-FR"/>
        </w:rPr>
        <w:t xml:space="preserve"> –</w:t>
      </w:r>
      <w:r w:rsidRPr="006F0679">
        <w:rPr>
          <w:lang w:val="fr-FR"/>
        </w:rPr>
        <w:t xml:space="preserve"> </w:t>
      </w:r>
      <w:r w:rsidR="008235EC" w:rsidRPr="006F0679">
        <w:rPr>
          <w:lang w:val="fr-FR"/>
        </w:rPr>
        <w:t>faits et statistiques recueillis ensemble à des fins de référence ou d</w:t>
      </w:r>
      <w:r w:rsidR="00E91F2D" w:rsidRPr="006F0679">
        <w:rPr>
          <w:lang w:val="fr-FR"/>
        </w:rPr>
        <w:t>’</w:t>
      </w:r>
      <w:r w:rsidR="008235EC" w:rsidRPr="006F0679">
        <w:rPr>
          <w:lang w:val="fr-FR"/>
        </w:rPr>
        <w:t>analyse</w:t>
      </w:r>
      <w:r w:rsidRPr="006F0679">
        <w:rPr>
          <w:lang w:val="fr-FR"/>
        </w:rPr>
        <w:t>.</w:t>
      </w:r>
    </w:p>
    <w:p w:rsidR="004D7733" w:rsidRPr="006F0679" w:rsidRDefault="00B66A9B" w:rsidP="00845E81">
      <w:pPr>
        <w:pStyle w:val="ListParagraph"/>
        <w:numPr>
          <w:ilvl w:val="0"/>
          <w:numId w:val="8"/>
        </w:numPr>
        <w:spacing w:after="120"/>
        <w:ind w:left="992" w:hanging="425"/>
        <w:contextualSpacing w:val="0"/>
        <w:rPr>
          <w:lang w:val="fr-FR"/>
        </w:rPr>
      </w:pPr>
      <w:r w:rsidRPr="006F0679">
        <w:rPr>
          <w:b/>
          <w:color w:val="4F81BD" w:themeColor="accent1"/>
          <w:lang w:val="fr-FR"/>
        </w:rPr>
        <w:t>Information</w:t>
      </w:r>
      <w:r w:rsidR="008235EC" w:rsidRPr="006F0679">
        <w:rPr>
          <w:b/>
          <w:color w:val="4F81BD" w:themeColor="accent1"/>
          <w:lang w:val="fr-FR"/>
        </w:rPr>
        <w:t>s</w:t>
      </w:r>
      <w:r w:rsidRPr="006F0679">
        <w:rPr>
          <w:b/>
          <w:color w:val="1F497D" w:themeColor="text2"/>
          <w:lang w:val="fr-FR"/>
        </w:rPr>
        <w:t xml:space="preserve"> –</w:t>
      </w:r>
      <w:r w:rsidRPr="006F0679">
        <w:rPr>
          <w:lang w:val="fr-FR"/>
        </w:rPr>
        <w:t xml:space="preserve"> </w:t>
      </w:r>
      <w:r w:rsidR="008235EC" w:rsidRPr="006F0679">
        <w:rPr>
          <w:lang w:val="fr-FR"/>
        </w:rPr>
        <w:t>données présentées dans un contexte leur donnant un sens et une pertinence</w:t>
      </w:r>
      <w:r w:rsidRPr="006F0679">
        <w:rPr>
          <w:lang w:val="fr-FR"/>
        </w:rPr>
        <w:t>.</w:t>
      </w:r>
    </w:p>
    <w:p w:rsidR="004D7733" w:rsidRPr="006F0679" w:rsidRDefault="008235EC" w:rsidP="00845E81">
      <w:pPr>
        <w:pStyle w:val="ListParagraph"/>
        <w:numPr>
          <w:ilvl w:val="0"/>
          <w:numId w:val="8"/>
        </w:numPr>
        <w:spacing w:after="120"/>
        <w:ind w:left="992" w:hanging="425"/>
        <w:contextualSpacing w:val="0"/>
        <w:rPr>
          <w:lang w:val="fr-FR"/>
        </w:rPr>
      </w:pPr>
      <w:r w:rsidRPr="006F0679">
        <w:rPr>
          <w:b/>
          <w:color w:val="4F81BD" w:themeColor="accent1"/>
          <w:lang w:val="fr-FR"/>
        </w:rPr>
        <w:t>Connaissances</w:t>
      </w:r>
      <w:r w:rsidR="00B66A9B" w:rsidRPr="006F0679">
        <w:rPr>
          <w:b/>
          <w:color w:val="1F497D" w:themeColor="text2"/>
          <w:lang w:val="fr-FR"/>
        </w:rPr>
        <w:t xml:space="preserve"> –</w:t>
      </w:r>
      <w:r w:rsidR="00B66A9B" w:rsidRPr="006F0679">
        <w:rPr>
          <w:lang w:val="fr-FR"/>
        </w:rPr>
        <w:t xml:space="preserve"> </w:t>
      </w:r>
      <w:r w:rsidRPr="006F0679">
        <w:rPr>
          <w:lang w:val="fr-FR"/>
        </w:rPr>
        <w:t>résultent</w:t>
      </w:r>
      <w:r w:rsidR="004B6954" w:rsidRPr="006F0679">
        <w:rPr>
          <w:lang w:val="fr-FR"/>
        </w:rPr>
        <w:t xml:space="preserve"> des informations</w:t>
      </w:r>
      <w:r w:rsidR="002D4523" w:rsidRPr="006F0679">
        <w:rPr>
          <w:lang w:val="fr-FR"/>
        </w:rPr>
        <w:t>,</w:t>
      </w:r>
      <w:r w:rsidRPr="006F0679">
        <w:rPr>
          <w:lang w:val="fr-FR"/>
        </w:rPr>
        <w:t xml:space="preserve">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expérience et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interprétation.</w:t>
      </w:r>
    </w:p>
    <w:p w:rsidR="00845E81" w:rsidRPr="006F0679" w:rsidRDefault="00845E81" w:rsidP="00845E81">
      <w:pPr>
        <w:pStyle w:val="ListParagraph"/>
        <w:numPr>
          <w:ilvl w:val="0"/>
          <w:numId w:val="0"/>
        </w:numPr>
        <w:ind w:left="993"/>
        <w:rPr>
          <w:lang w:val="fr-FR"/>
        </w:rPr>
      </w:pPr>
    </w:p>
    <w:p w:rsidR="004D7733" w:rsidRPr="006F0679" w:rsidRDefault="008235EC" w:rsidP="00781563">
      <w:pPr>
        <w:rPr>
          <w:lang w:val="fr-FR"/>
        </w:rPr>
      </w:pPr>
      <w:r w:rsidRPr="006F0679">
        <w:rPr>
          <w:lang w:val="fr-FR"/>
        </w:rPr>
        <w:t>On distingue trois</w:t>
      </w:r>
      <w:r w:rsidR="00E76653" w:rsidRPr="006F0679">
        <w:rPr>
          <w:lang w:val="fr-FR"/>
        </w:rPr>
        <w:t> </w:t>
      </w:r>
      <w:r w:rsidRPr="006F0679">
        <w:rPr>
          <w:lang w:val="fr-FR"/>
        </w:rPr>
        <w:t>types</w:t>
      </w:r>
      <w:r w:rsidR="004B6954" w:rsidRPr="006F0679">
        <w:rPr>
          <w:lang w:val="fr-FR"/>
        </w:rPr>
        <w:t xml:space="preserve"> distincts</w:t>
      </w:r>
      <w:r w:rsidRPr="006F0679">
        <w:rPr>
          <w:lang w:val="fr-FR"/>
        </w:rPr>
        <w:t xml:space="preserve"> de connaissances </w:t>
      </w:r>
      <w:r w:rsidR="00A276BE" w:rsidRPr="006F0679">
        <w:rPr>
          <w:lang w:val="fr-FR"/>
        </w:rPr>
        <w:t xml:space="preserve">qui </w:t>
      </w:r>
      <w:r w:rsidRPr="006F0679">
        <w:rPr>
          <w:lang w:val="fr-FR"/>
        </w:rPr>
        <w:t>présent</w:t>
      </w:r>
      <w:r w:rsidR="00A276BE" w:rsidRPr="006F0679">
        <w:rPr>
          <w:lang w:val="fr-FR"/>
        </w:rPr>
        <w:t>e</w:t>
      </w:r>
      <w:r w:rsidRPr="006F0679">
        <w:rPr>
          <w:lang w:val="fr-FR"/>
        </w:rPr>
        <w:t>nt chacun</w:t>
      </w:r>
      <w:r w:rsidR="002D4523" w:rsidRPr="006F0679">
        <w:rPr>
          <w:lang w:val="fr-FR"/>
        </w:rPr>
        <w:t>e</w:t>
      </w:r>
      <w:r w:rsidRPr="006F0679">
        <w:rPr>
          <w:lang w:val="fr-FR"/>
        </w:rPr>
        <w:t xml:space="preserve"> </w:t>
      </w:r>
      <w:r w:rsidR="00971ABF" w:rsidRPr="006F0679">
        <w:rPr>
          <w:lang w:val="fr-FR"/>
        </w:rPr>
        <w:t>des</w:t>
      </w:r>
      <w:r w:rsidRPr="006F0679">
        <w:rPr>
          <w:lang w:val="fr-FR"/>
        </w:rPr>
        <w:t xml:space="preserve"> difficultés </w:t>
      </w:r>
      <w:r w:rsidR="004B6954" w:rsidRPr="006F0679">
        <w:rPr>
          <w:lang w:val="fr-FR"/>
        </w:rPr>
        <w:t xml:space="preserve">en termes </w:t>
      </w:r>
      <w:r w:rsidRPr="006F0679">
        <w:rPr>
          <w:lang w:val="fr-FR"/>
        </w:rPr>
        <w:t>de gestion</w:t>
      </w:r>
      <w:r w:rsidR="004B6954" w:rsidRPr="006F0679">
        <w:rPr>
          <w:lang w:val="fr-FR"/>
        </w:rPr>
        <w:t> :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4B6954" w:rsidP="00845E81">
      <w:pPr>
        <w:pStyle w:val="ListParagraph"/>
        <w:spacing w:after="120"/>
        <w:ind w:left="992" w:hanging="425"/>
        <w:contextualSpacing w:val="0"/>
        <w:rPr>
          <w:lang w:val="fr-FR"/>
        </w:rPr>
      </w:pPr>
      <w:r w:rsidRPr="006F0679">
        <w:rPr>
          <w:b/>
          <w:color w:val="4F81BD" w:themeColor="accent1"/>
          <w:lang w:val="fr-FR"/>
        </w:rPr>
        <w:t>l</w:t>
      </w:r>
      <w:r w:rsidR="00971ABF" w:rsidRPr="006F0679">
        <w:rPr>
          <w:b/>
          <w:color w:val="4F81BD" w:themeColor="accent1"/>
          <w:lang w:val="fr-FR"/>
        </w:rPr>
        <w:t>es connaissances explicites</w:t>
      </w:r>
      <w:r w:rsidR="00B66A9B" w:rsidRPr="006F0679">
        <w:rPr>
          <w:b/>
          <w:color w:val="4F81BD" w:themeColor="accent1"/>
          <w:lang w:val="fr-FR"/>
        </w:rPr>
        <w:t xml:space="preserve"> </w:t>
      </w:r>
      <w:r w:rsidR="00E27C4C" w:rsidRPr="006F0679">
        <w:rPr>
          <w:b/>
          <w:color w:val="1F497D" w:themeColor="text2"/>
          <w:lang w:val="fr-FR"/>
        </w:rPr>
        <w:t>–</w:t>
      </w:r>
      <w:r w:rsidR="00B66A9B" w:rsidRPr="006F0679">
        <w:rPr>
          <w:lang w:val="fr-FR"/>
        </w:rPr>
        <w:t xml:space="preserve"> </w:t>
      </w:r>
      <w:r w:rsidRPr="006F0679">
        <w:rPr>
          <w:lang w:val="fr-FR"/>
        </w:rPr>
        <w:t>comprena</w:t>
      </w:r>
      <w:r w:rsidR="00E27C4C" w:rsidRPr="006F0679">
        <w:rPr>
          <w:lang w:val="fr-FR"/>
        </w:rPr>
        <w:t>nt les connaissances officialisées, codifiées et consignées dans des documents et des bases de données</w:t>
      </w:r>
      <w:r w:rsidRPr="006F0679">
        <w:rPr>
          <w:lang w:val="fr-FR"/>
        </w:rPr>
        <w:t xml:space="preserve"> dans</w:t>
      </w:r>
      <w:r w:rsidR="00E27C4C" w:rsidRPr="006F0679">
        <w:rPr>
          <w:lang w:val="fr-FR"/>
        </w:rPr>
        <w:t xml:space="preserve"> de nombreux formats différents, comme par exemple les ordres de service de l</w:t>
      </w:r>
      <w:r w:rsidR="00E91F2D" w:rsidRPr="006F0679">
        <w:rPr>
          <w:lang w:val="fr-FR"/>
        </w:rPr>
        <w:t>’</w:t>
      </w:r>
      <w:r w:rsidR="00E27C4C" w:rsidRPr="006F0679">
        <w:rPr>
          <w:lang w:val="fr-FR"/>
        </w:rPr>
        <w:t>OMPI, les rapports de mission ou encore les textes des traités</w:t>
      </w:r>
      <w:r w:rsidRPr="006F0679">
        <w:rPr>
          <w:lang w:val="fr-FR"/>
        </w:rPr>
        <w:t>;</w:t>
      </w:r>
    </w:p>
    <w:p w:rsidR="004D7733" w:rsidRPr="006F0679" w:rsidRDefault="004B6954" w:rsidP="00845E81">
      <w:pPr>
        <w:pStyle w:val="ListParagraph"/>
        <w:spacing w:after="120"/>
        <w:ind w:left="992" w:hanging="425"/>
        <w:contextualSpacing w:val="0"/>
        <w:rPr>
          <w:lang w:val="fr-FR"/>
        </w:rPr>
      </w:pPr>
      <w:r w:rsidRPr="006F0679">
        <w:rPr>
          <w:b/>
          <w:color w:val="4F81BD" w:themeColor="accent1"/>
          <w:lang w:val="fr-FR"/>
        </w:rPr>
        <w:t>l</w:t>
      </w:r>
      <w:r w:rsidR="00971ABF" w:rsidRPr="006F0679">
        <w:rPr>
          <w:b/>
          <w:color w:val="4F81BD" w:themeColor="accent1"/>
          <w:lang w:val="fr-FR"/>
        </w:rPr>
        <w:t>es connaissances tacites (</w:t>
      </w:r>
      <w:r w:rsidR="00E27C4C" w:rsidRPr="006F0679">
        <w:rPr>
          <w:b/>
          <w:color w:val="4F81BD" w:themeColor="accent1"/>
          <w:lang w:val="fr-FR"/>
        </w:rPr>
        <w:t>individuelles</w:t>
      </w:r>
      <w:r w:rsidR="00B66A9B" w:rsidRPr="006F0679">
        <w:rPr>
          <w:b/>
          <w:color w:val="4F81BD" w:themeColor="accent1"/>
          <w:lang w:val="fr-FR"/>
        </w:rPr>
        <w:t>)</w:t>
      </w:r>
      <w:r w:rsidR="00B66A9B" w:rsidRPr="006F0679">
        <w:rPr>
          <w:b/>
          <w:color w:val="1F497D" w:themeColor="text2"/>
          <w:lang w:val="fr-FR"/>
        </w:rPr>
        <w:t xml:space="preserve"> </w:t>
      </w:r>
      <w:r w:rsidR="00E27C4C" w:rsidRPr="006F0679">
        <w:rPr>
          <w:b/>
          <w:color w:val="1F497D" w:themeColor="text2"/>
          <w:lang w:val="fr-FR"/>
        </w:rPr>
        <w:t>–</w:t>
      </w:r>
      <w:r w:rsidR="00B66A9B" w:rsidRPr="006F0679">
        <w:rPr>
          <w:color w:val="1F497D" w:themeColor="text2"/>
          <w:lang w:val="fr-FR"/>
        </w:rPr>
        <w:t xml:space="preserve"> </w:t>
      </w:r>
      <w:r w:rsidR="00E27C4C" w:rsidRPr="006F0679">
        <w:rPr>
          <w:lang w:val="fr-FR"/>
        </w:rPr>
        <w:t xml:space="preserve">également appelées </w:t>
      </w:r>
      <w:r w:rsidR="00E76653" w:rsidRPr="006F0679">
        <w:rPr>
          <w:lang w:val="fr-FR"/>
        </w:rPr>
        <w:t>“</w:t>
      </w:r>
      <w:r w:rsidR="00E27C4C" w:rsidRPr="006F0679">
        <w:rPr>
          <w:lang w:val="fr-FR"/>
        </w:rPr>
        <w:t>connaissances intuitives</w:t>
      </w:r>
      <w:r w:rsidR="00E76653" w:rsidRPr="006F0679">
        <w:rPr>
          <w:lang w:val="fr-FR"/>
        </w:rPr>
        <w:t>”</w:t>
      </w:r>
      <w:r w:rsidR="00E27C4C" w:rsidRPr="006F0679">
        <w:rPr>
          <w:lang w:val="fr-FR"/>
        </w:rPr>
        <w:t xml:space="preserve"> ou </w:t>
      </w:r>
      <w:r w:rsidR="00E76653" w:rsidRPr="006F0679">
        <w:rPr>
          <w:lang w:val="fr-FR"/>
        </w:rPr>
        <w:t>“</w:t>
      </w:r>
      <w:r w:rsidR="00E27C4C" w:rsidRPr="006F0679">
        <w:rPr>
          <w:lang w:val="fr-FR"/>
        </w:rPr>
        <w:t>savoir</w:t>
      </w:r>
      <w:r w:rsidR="006F0679" w:rsidRPr="006F0679">
        <w:rPr>
          <w:lang w:val="fr-FR"/>
        </w:rPr>
        <w:noBreakHyphen/>
      </w:r>
      <w:r w:rsidR="00E27C4C" w:rsidRPr="006F0679">
        <w:rPr>
          <w:lang w:val="fr-FR"/>
        </w:rPr>
        <w:t>faire</w:t>
      </w:r>
      <w:r w:rsidRPr="006F0679">
        <w:rPr>
          <w:lang w:val="fr-FR"/>
        </w:rPr>
        <w:t>”,</w:t>
      </w:r>
      <w:r w:rsidR="00E27C4C" w:rsidRPr="006F0679">
        <w:rPr>
          <w:lang w:val="fr-FR"/>
        </w:rPr>
        <w:t xml:space="preserve"> </w:t>
      </w:r>
      <w:r w:rsidR="00A276BE" w:rsidRPr="006F0679">
        <w:rPr>
          <w:lang w:val="fr-FR"/>
        </w:rPr>
        <w:t xml:space="preserve">qui </w:t>
      </w:r>
      <w:r w:rsidR="00E27C4C" w:rsidRPr="006F0679">
        <w:rPr>
          <w:lang w:val="fr-FR"/>
        </w:rPr>
        <w:t>sont le fruit de l</w:t>
      </w:r>
      <w:r w:rsidR="00E91F2D" w:rsidRPr="006F0679">
        <w:rPr>
          <w:lang w:val="fr-FR"/>
        </w:rPr>
        <w:t>’</w:t>
      </w:r>
      <w:r w:rsidR="00E27C4C" w:rsidRPr="006F0679">
        <w:rPr>
          <w:lang w:val="fr-FR"/>
        </w:rPr>
        <w:t>expérience</w:t>
      </w:r>
      <w:r w:rsidR="00A276BE" w:rsidRPr="006F0679">
        <w:rPr>
          <w:lang w:val="fr-FR"/>
        </w:rPr>
        <w:t xml:space="preserve"> et donc</w:t>
      </w:r>
      <w:r w:rsidR="00E27C4C" w:rsidRPr="006F0679">
        <w:rPr>
          <w:lang w:val="fr-FR"/>
        </w:rPr>
        <w:t xml:space="preserve"> difficile</w:t>
      </w:r>
      <w:r w:rsidR="00A276BE" w:rsidRPr="006F0679">
        <w:rPr>
          <w:lang w:val="fr-FR"/>
        </w:rPr>
        <w:t>s à</w:t>
      </w:r>
      <w:r w:rsidR="00E27C4C" w:rsidRPr="006F0679">
        <w:rPr>
          <w:lang w:val="fr-FR"/>
        </w:rPr>
        <w:t xml:space="preserve"> codifier dans un document, et </w:t>
      </w:r>
      <w:r w:rsidR="00A276BE" w:rsidRPr="006F0679">
        <w:rPr>
          <w:lang w:val="fr-FR"/>
        </w:rPr>
        <w:t>qui</w:t>
      </w:r>
      <w:r w:rsidR="002D4523" w:rsidRPr="006F0679">
        <w:rPr>
          <w:lang w:val="fr-FR"/>
        </w:rPr>
        <w:t xml:space="preserve"> </w:t>
      </w:r>
      <w:r w:rsidR="00A8128A" w:rsidRPr="006F0679">
        <w:rPr>
          <w:lang w:val="fr-FR"/>
        </w:rPr>
        <w:t xml:space="preserve">sont </w:t>
      </w:r>
      <w:r w:rsidRPr="006F0679">
        <w:rPr>
          <w:lang w:val="fr-FR"/>
        </w:rPr>
        <w:t>détenu</w:t>
      </w:r>
      <w:r w:rsidR="002D4523" w:rsidRPr="006F0679">
        <w:rPr>
          <w:lang w:val="fr-FR"/>
        </w:rPr>
        <w:t>e</w:t>
      </w:r>
      <w:r w:rsidRPr="006F0679">
        <w:rPr>
          <w:lang w:val="fr-FR"/>
        </w:rPr>
        <w:t>s par</w:t>
      </w:r>
      <w:r w:rsidR="00A8128A" w:rsidRPr="006F0679">
        <w:rPr>
          <w:lang w:val="fr-FR"/>
        </w:rPr>
        <w:t xml:space="preserve"> des personnes telles que</w:t>
      </w:r>
      <w:r w:rsidR="00E27C4C" w:rsidRPr="006F0679">
        <w:rPr>
          <w:lang w:val="fr-FR"/>
        </w:rPr>
        <w:t xml:space="preserve"> les chefs de programme de l</w:t>
      </w:r>
      <w:r w:rsidR="00E91F2D" w:rsidRPr="006F0679">
        <w:rPr>
          <w:lang w:val="fr-FR"/>
        </w:rPr>
        <w:t>’</w:t>
      </w:r>
      <w:r w:rsidR="00E27C4C" w:rsidRPr="006F0679">
        <w:rPr>
          <w:lang w:val="fr-FR"/>
        </w:rPr>
        <w:t>OMPI et les examinateurs</w:t>
      </w:r>
      <w:r w:rsidRPr="006F0679">
        <w:rPr>
          <w:lang w:val="fr-FR"/>
        </w:rPr>
        <w:t>;  et</w:t>
      </w:r>
    </w:p>
    <w:p w:rsidR="004D7733" w:rsidRPr="006F0679" w:rsidRDefault="004B6954" w:rsidP="00845E81">
      <w:pPr>
        <w:pStyle w:val="ListParagraph"/>
        <w:spacing w:after="120"/>
        <w:ind w:left="992" w:hanging="425"/>
        <w:contextualSpacing w:val="0"/>
        <w:rPr>
          <w:lang w:val="fr-FR"/>
        </w:rPr>
      </w:pPr>
      <w:r w:rsidRPr="006F0679">
        <w:rPr>
          <w:b/>
          <w:color w:val="4F81BD" w:themeColor="accent1"/>
          <w:lang w:val="fr-FR"/>
        </w:rPr>
        <w:t>l</w:t>
      </w:r>
      <w:r w:rsidR="00971ABF" w:rsidRPr="006F0679">
        <w:rPr>
          <w:b/>
          <w:color w:val="4F81BD" w:themeColor="accent1"/>
          <w:lang w:val="fr-FR"/>
        </w:rPr>
        <w:t>es connaissances intrinsèques</w:t>
      </w:r>
      <w:r w:rsidR="00B66A9B" w:rsidRPr="006F0679">
        <w:rPr>
          <w:b/>
          <w:color w:val="4F81BD" w:themeColor="accent1"/>
          <w:lang w:val="fr-FR"/>
        </w:rPr>
        <w:t xml:space="preserve"> </w:t>
      </w:r>
      <w:r w:rsidR="00B66A9B" w:rsidRPr="006F0679">
        <w:rPr>
          <w:b/>
          <w:color w:val="1F497D" w:themeColor="text2"/>
          <w:lang w:val="fr-FR"/>
        </w:rPr>
        <w:t>–</w:t>
      </w:r>
      <w:r w:rsidR="00B66A9B" w:rsidRPr="006F0679">
        <w:rPr>
          <w:lang w:val="fr-FR"/>
        </w:rPr>
        <w:t xml:space="preserve"> </w:t>
      </w:r>
      <w:r w:rsidR="00A8128A" w:rsidRPr="006F0679">
        <w:rPr>
          <w:lang w:val="fr-FR"/>
        </w:rPr>
        <w:t>compren</w:t>
      </w:r>
      <w:r w:rsidRPr="006F0679">
        <w:rPr>
          <w:lang w:val="fr-FR"/>
        </w:rPr>
        <w:t>a</w:t>
      </w:r>
      <w:r w:rsidR="00A8128A" w:rsidRPr="006F0679">
        <w:rPr>
          <w:lang w:val="fr-FR"/>
        </w:rPr>
        <w:t xml:space="preserve">nt les connaissances qui accompagnent un produit ou un </w:t>
      </w:r>
      <w:r w:rsidRPr="006F0679">
        <w:rPr>
          <w:lang w:val="fr-FR"/>
        </w:rPr>
        <w:t>processus</w:t>
      </w:r>
      <w:r w:rsidR="00A8128A" w:rsidRPr="006F0679">
        <w:rPr>
          <w:lang w:val="fr-FR"/>
        </w:rPr>
        <w:t xml:space="preserve">, </w:t>
      </w:r>
      <w:r w:rsidR="00E91F2D" w:rsidRPr="006F0679">
        <w:rPr>
          <w:lang w:val="fr-FR"/>
        </w:rPr>
        <w:t>y compris</w:t>
      </w:r>
      <w:r w:rsidR="00A8128A" w:rsidRPr="006F0679">
        <w:rPr>
          <w:lang w:val="fr-FR"/>
        </w:rPr>
        <w:t xml:space="preserve"> </w:t>
      </w:r>
      <w:r w:rsidRPr="006F0679">
        <w:rPr>
          <w:lang w:val="fr-FR"/>
        </w:rPr>
        <w:t>les connaissances concernant le fonctionnement des sys</w:t>
      </w:r>
      <w:r w:rsidR="00A8128A" w:rsidRPr="006F0679">
        <w:rPr>
          <w:lang w:val="fr-FR"/>
        </w:rPr>
        <w:t xml:space="preserve">tèmes de traitement des demandes </w:t>
      </w:r>
      <w:r w:rsidR="006C37EF" w:rsidRPr="006F0679">
        <w:rPr>
          <w:lang w:val="fr-FR"/>
        </w:rPr>
        <w:t>du PCT</w:t>
      </w:r>
      <w:r w:rsidR="00A8128A" w:rsidRPr="006F0679">
        <w:rPr>
          <w:lang w:val="fr-FR"/>
        </w:rPr>
        <w:t xml:space="preserve">, de Madrid et de </w:t>
      </w:r>
      <w:r w:rsidR="00E91F2D" w:rsidRPr="006F0679">
        <w:rPr>
          <w:lang w:val="fr-FR"/>
        </w:rPr>
        <w:t>La Haye</w:t>
      </w:r>
      <w:r w:rsidR="00160FD9" w:rsidRPr="006F0679">
        <w:rPr>
          <w:lang w:val="fr-FR"/>
        </w:rPr>
        <w:t>.</w:t>
      </w:r>
    </w:p>
    <w:p w:rsidR="004D7733" w:rsidRPr="006F0679" w:rsidRDefault="00843546">
      <w:pPr>
        <w:rPr>
          <w:lang w:val="fr-FR"/>
        </w:rPr>
      </w:pPr>
      <w:r w:rsidRPr="006F0679">
        <w:rPr>
          <w:lang w:val="fr-FR"/>
        </w:rPr>
        <w:br w:type="page"/>
      </w:r>
    </w:p>
    <w:p w:rsidR="004D7733" w:rsidRPr="006F0679" w:rsidRDefault="00F7264C" w:rsidP="005A16A1">
      <w:pPr>
        <w:pStyle w:val="Heading1"/>
        <w:rPr>
          <w:lang w:val="fr-FR"/>
        </w:rPr>
      </w:pPr>
      <w:bookmarkStart w:id="8" w:name="_Toc426103167"/>
      <w:r w:rsidRPr="006F0679">
        <w:rPr>
          <w:lang w:val="fr-FR"/>
        </w:rPr>
        <w:lastRenderedPageBreak/>
        <w:t>Arguments en faveur du</w:t>
      </w:r>
      <w:r w:rsidR="00A8128A" w:rsidRPr="006F0679">
        <w:rPr>
          <w:lang w:val="fr-FR"/>
        </w:rPr>
        <w:t xml:space="preserve"> changement</w:t>
      </w:r>
      <w:bookmarkEnd w:id="8"/>
    </w:p>
    <w:p w:rsidR="004D7733" w:rsidRPr="006F0679" w:rsidRDefault="004D7733" w:rsidP="0029419E">
      <w:pPr>
        <w:rPr>
          <w:lang w:val="fr-FR"/>
        </w:rPr>
      </w:pPr>
    </w:p>
    <w:p w:rsidR="004D7733" w:rsidRPr="006F0679" w:rsidRDefault="00A8128A" w:rsidP="00781563">
      <w:pPr>
        <w:rPr>
          <w:lang w:val="fr-FR"/>
        </w:rPr>
      </w:pPr>
      <w:r w:rsidRPr="006F0679">
        <w:rPr>
          <w:lang w:val="fr-FR"/>
        </w:rPr>
        <w:t>Récemment (en</w:t>
      </w:r>
      <w:r w:rsidR="00E76653" w:rsidRPr="006F0679">
        <w:rPr>
          <w:lang w:val="fr-FR"/>
        </w:rPr>
        <w:t> </w:t>
      </w:r>
      <w:r w:rsidRPr="006F0679">
        <w:rPr>
          <w:lang w:val="fr-FR"/>
        </w:rPr>
        <w:t>2014), une évaluation indépendante</w:t>
      </w:r>
      <w:r w:rsidR="00177754" w:rsidRPr="006F0679">
        <w:rPr>
          <w:rStyle w:val="FootnoteReference"/>
          <w:lang w:val="fr-FR"/>
        </w:rPr>
        <w:footnoteReference w:id="6"/>
      </w:r>
      <w:r w:rsidR="00177754" w:rsidRPr="006F0679">
        <w:rPr>
          <w:lang w:val="fr-FR"/>
        </w:rPr>
        <w:t xml:space="preserve"> </w:t>
      </w:r>
      <w:r w:rsidRPr="006F0679">
        <w:rPr>
          <w:lang w:val="fr-FR"/>
        </w:rPr>
        <w:t>a été réalisée en réponse au rapport</w:t>
      </w:r>
      <w:r w:rsidR="006C37EF" w:rsidRPr="006F0679">
        <w:rPr>
          <w:lang w:val="fr-FR"/>
        </w:rPr>
        <w:t xml:space="preserve"> du CCI</w:t>
      </w:r>
      <w:r w:rsidRPr="006F0679">
        <w:rPr>
          <w:lang w:val="fr-FR"/>
        </w:rPr>
        <w:t xml:space="preserve"> afin de </w:t>
      </w:r>
      <w:r w:rsidR="004B6954" w:rsidRPr="006F0679">
        <w:rPr>
          <w:lang w:val="fr-FR"/>
        </w:rPr>
        <w:t>faire un état des lieux d</w:t>
      </w:r>
      <w:r w:rsidR="00A276BE" w:rsidRPr="006F0679">
        <w:rPr>
          <w:lang w:val="fr-FR"/>
        </w:rPr>
        <w:t>e la situation en ce qui concerne le</w:t>
      </w:r>
      <w:r w:rsidRPr="006F0679">
        <w:rPr>
          <w:lang w:val="fr-FR"/>
        </w:rPr>
        <w:t xml:space="preserve"> partage des connaissances au sein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</w:t>
      </w:r>
      <w:r w:rsidR="00B66A9B" w:rsidRPr="006F0679">
        <w:rPr>
          <w:lang w:val="fr-FR"/>
        </w:rPr>
        <w:t xml:space="preserve">.  </w:t>
      </w:r>
      <w:r w:rsidRPr="006F0679">
        <w:rPr>
          <w:lang w:val="fr-FR"/>
        </w:rPr>
        <w:t>Cette évaluation était axée exclusivement sur les activités, les processus et la culture à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</w:t>
      </w:r>
      <w:r w:rsidR="009D0BD1" w:rsidRPr="006F0679">
        <w:rPr>
          <w:lang w:val="fr-FR"/>
        </w:rPr>
        <w:t xml:space="preserve">.  </w:t>
      </w:r>
      <w:r w:rsidRPr="006F0679">
        <w:rPr>
          <w:lang w:val="fr-FR"/>
        </w:rPr>
        <w:t xml:space="preserve">Les principales conclusions de cette évaluation </w:t>
      </w:r>
      <w:r w:rsidR="002D4523" w:rsidRPr="006F0679">
        <w:rPr>
          <w:lang w:val="fr-FR"/>
        </w:rPr>
        <w:t>ont</w:t>
      </w:r>
      <w:r w:rsidR="004B6954" w:rsidRPr="006F0679">
        <w:rPr>
          <w:lang w:val="fr-FR"/>
        </w:rPr>
        <w:t xml:space="preserve"> permis d</w:t>
      </w:r>
      <w:r w:rsidR="00E91F2D" w:rsidRPr="006F0679">
        <w:rPr>
          <w:lang w:val="fr-FR"/>
        </w:rPr>
        <w:t>’</w:t>
      </w:r>
      <w:r w:rsidR="004B6954" w:rsidRPr="006F0679">
        <w:rPr>
          <w:lang w:val="fr-FR"/>
        </w:rPr>
        <w:t>obtenir une vue d</w:t>
      </w:r>
      <w:r w:rsidR="00E91F2D" w:rsidRPr="006F0679">
        <w:rPr>
          <w:lang w:val="fr-FR"/>
        </w:rPr>
        <w:t>’</w:t>
      </w:r>
      <w:r w:rsidR="004B6954" w:rsidRPr="006F0679">
        <w:rPr>
          <w:lang w:val="fr-FR"/>
        </w:rPr>
        <w:t>ensemble de</w:t>
      </w:r>
      <w:r w:rsidR="002D4523" w:rsidRPr="006F0679">
        <w:rPr>
          <w:lang w:val="fr-FR"/>
        </w:rPr>
        <w:t xml:space="preserve"> la situation </w:t>
      </w:r>
      <w:r w:rsidR="00A276BE" w:rsidRPr="006F0679">
        <w:rPr>
          <w:lang w:val="fr-FR"/>
        </w:rPr>
        <w:t>et de recenser certains éléments</w:t>
      </w:r>
      <w:r w:rsidR="00F7264C" w:rsidRPr="006F0679">
        <w:rPr>
          <w:lang w:val="fr-FR"/>
        </w:rPr>
        <w:t xml:space="preserve"> présentés ci</w:t>
      </w:r>
      <w:r w:rsidR="006F0679" w:rsidRPr="006F0679">
        <w:rPr>
          <w:lang w:val="fr-FR"/>
        </w:rPr>
        <w:noBreakHyphen/>
      </w:r>
      <w:r w:rsidR="00F7264C" w:rsidRPr="006F0679">
        <w:rPr>
          <w:lang w:val="fr-FR"/>
        </w:rPr>
        <w:t>après de manière détaillée</w:t>
      </w:r>
      <w:r w:rsidR="00D667DF" w:rsidRPr="006F0679">
        <w:rPr>
          <w:lang w:val="fr-FR"/>
        </w:rPr>
        <w:t>.</w:t>
      </w:r>
    </w:p>
    <w:p w:rsidR="004D7733" w:rsidRPr="006F0679" w:rsidRDefault="00F7264C" w:rsidP="005A16A1">
      <w:pPr>
        <w:pStyle w:val="Heading2"/>
        <w:rPr>
          <w:lang w:val="fr-FR"/>
        </w:rPr>
      </w:pPr>
      <w:bookmarkStart w:id="9" w:name="_Toc426103168"/>
      <w:r w:rsidRPr="006F0679">
        <w:rPr>
          <w:lang w:val="fr-FR"/>
        </w:rPr>
        <w:t>Capacités et compétences en matière de gestion</w:t>
      </w:r>
      <w:bookmarkEnd w:id="9"/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F7264C" w:rsidP="00781563">
      <w:pPr>
        <w:rPr>
          <w:lang w:val="fr-FR"/>
        </w:rPr>
      </w:pPr>
      <w:r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 a élaboré un certain nombre de politiques, de processus et de procédures qui n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ont pas forcément </w:t>
      </w:r>
      <w:r w:rsidR="004B6954" w:rsidRPr="006F0679">
        <w:rPr>
          <w:lang w:val="fr-FR"/>
        </w:rPr>
        <w:t>de</w:t>
      </w:r>
      <w:r w:rsidRPr="006F0679">
        <w:rPr>
          <w:lang w:val="fr-FR"/>
        </w:rPr>
        <w:t xml:space="preserve"> lien entre eux et qui ne sont pas</w:t>
      </w:r>
      <w:r w:rsidR="004B6954" w:rsidRPr="006F0679">
        <w:rPr>
          <w:lang w:val="fr-FR"/>
        </w:rPr>
        <w:t xml:space="preserve"> nécessairement</w:t>
      </w:r>
      <w:r w:rsidRPr="006F0679">
        <w:rPr>
          <w:lang w:val="fr-FR"/>
        </w:rPr>
        <w:t xml:space="preserve"> axés sur le partage des connaissances.</w:t>
      </w:r>
      <w:r w:rsidR="00B66A9B" w:rsidRPr="006F0679">
        <w:rPr>
          <w:lang w:val="fr-FR"/>
        </w:rPr>
        <w:t xml:space="preserve"> </w:t>
      </w:r>
      <w:r w:rsidR="00B36920" w:rsidRPr="006F0679">
        <w:rPr>
          <w:lang w:val="fr-FR"/>
        </w:rPr>
        <w:t xml:space="preserve"> </w:t>
      </w:r>
      <w:r w:rsidR="001E1759" w:rsidRPr="006F0679">
        <w:rPr>
          <w:lang w:val="fr-FR"/>
        </w:rPr>
        <w:t>Des approches</w:t>
      </w:r>
      <w:r w:rsidRPr="006F0679">
        <w:rPr>
          <w:lang w:val="fr-FR"/>
        </w:rPr>
        <w:t xml:space="preserve"> </w:t>
      </w:r>
      <w:r w:rsidR="001E1759" w:rsidRPr="006F0679">
        <w:rPr>
          <w:lang w:val="fr-FR"/>
        </w:rPr>
        <w:t>novatrices</w:t>
      </w:r>
      <w:r w:rsidRPr="006F0679">
        <w:rPr>
          <w:lang w:val="fr-FR"/>
        </w:rPr>
        <w:t xml:space="preserve"> ou multidimensionnelles </w:t>
      </w:r>
      <w:r w:rsidR="001E1759" w:rsidRPr="006F0679">
        <w:rPr>
          <w:lang w:val="fr-FR"/>
        </w:rPr>
        <w:t>de partage des connaissances, notamment en matière d</w:t>
      </w:r>
      <w:r w:rsidR="00E91F2D" w:rsidRPr="006F0679">
        <w:rPr>
          <w:lang w:val="fr-FR"/>
        </w:rPr>
        <w:t>’</w:t>
      </w:r>
      <w:r w:rsidR="001E1759" w:rsidRPr="006F0679">
        <w:rPr>
          <w:lang w:val="fr-FR"/>
        </w:rPr>
        <w:t>élaboration de</w:t>
      </w:r>
      <w:r w:rsidR="00A276BE" w:rsidRPr="006F0679">
        <w:rPr>
          <w:lang w:val="fr-FR"/>
        </w:rPr>
        <w:t>s</w:t>
      </w:r>
      <w:r w:rsidR="001E1759" w:rsidRPr="006F0679">
        <w:rPr>
          <w:lang w:val="fr-FR"/>
        </w:rPr>
        <w:t xml:space="preserve"> stratégies ou de planification de</w:t>
      </w:r>
      <w:r w:rsidR="00A276BE" w:rsidRPr="006F0679">
        <w:rPr>
          <w:lang w:val="fr-FR"/>
        </w:rPr>
        <w:t>s</w:t>
      </w:r>
      <w:r w:rsidR="001E1759" w:rsidRPr="006F0679">
        <w:rPr>
          <w:lang w:val="fr-FR"/>
        </w:rPr>
        <w:t xml:space="preserve"> missions, ne prévalent toutefois pas au sein de l</w:t>
      </w:r>
      <w:r w:rsidR="00E91F2D" w:rsidRPr="006F0679">
        <w:rPr>
          <w:lang w:val="fr-FR"/>
        </w:rPr>
        <w:t>’</w:t>
      </w:r>
      <w:r w:rsidR="001E1759" w:rsidRPr="006F0679">
        <w:rPr>
          <w:lang w:val="fr-FR"/>
        </w:rPr>
        <w:t>Organisation</w:t>
      </w:r>
      <w:r w:rsidR="00B66A9B" w:rsidRPr="006F0679">
        <w:rPr>
          <w:lang w:val="fr-FR"/>
        </w:rPr>
        <w:t>.</w:t>
      </w:r>
    </w:p>
    <w:p w:rsidR="004D7733" w:rsidRPr="006F0679" w:rsidRDefault="00F7264C" w:rsidP="005A16A1">
      <w:pPr>
        <w:pStyle w:val="Heading2"/>
        <w:rPr>
          <w:lang w:val="fr-FR"/>
        </w:rPr>
      </w:pPr>
      <w:bookmarkStart w:id="10" w:name="_Toc426103169"/>
      <w:r w:rsidRPr="006F0679">
        <w:rPr>
          <w:lang w:val="fr-FR"/>
        </w:rPr>
        <w:t>Gestion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extraction et de la distribution de</w:t>
      </w:r>
      <w:r w:rsidR="004B6954" w:rsidRPr="006F0679">
        <w:rPr>
          <w:lang w:val="fr-FR"/>
        </w:rPr>
        <w:t>s</w:t>
      </w:r>
      <w:r w:rsidRPr="006F0679">
        <w:rPr>
          <w:lang w:val="fr-FR"/>
        </w:rPr>
        <w:t xml:space="preserve"> contenus</w:t>
      </w:r>
      <w:bookmarkEnd w:id="10"/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1E1759" w:rsidP="00781563">
      <w:pPr>
        <w:rPr>
          <w:lang w:val="fr-FR"/>
        </w:rPr>
      </w:pPr>
      <w:r w:rsidRPr="006F0679">
        <w:rPr>
          <w:lang w:val="fr-FR"/>
        </w:rPr>
        <w:t>La nécessité de renforcer le partage des informations et des connaissances entre les secteurs a été souligné</w:t>
      </w:r>
      <w:r w:rsidR="004B6954" w:rsidRPr="006F0679">
        <w:rPr>
          <w:lang w:val="fr-FR"/>
        </w:rPr>
        <w:t>e</w:t>
      </w:r>
      <w:r w:rsidRPr="006F0679">
        <w:rPr>
          <w:lang w:val="fr-FR"/>
        </w:rPr>
        <w:t>.</w:t>
      </w:r>
      <w:r w:rsidR="00B66A9B" w:rsidRPr="006F0679">
        <w:rPr>
          <w:lang w:val="fr-FR"/>
        </w:rPr>
        <w:t xml:space="preserve">  </w:t>
      </w:r>
      <w:r w:rsidRPr="006F0679">
        <w:rPr>
          <w:lang w:val="fr-FR"/>
        </w:rPr>
        <w:t>Il n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existe aucun </w:t>
      </w:r>
      <w:r w:rsidR="004B6954" w:rsidRPr="006F0679">
        <w:rPr>
          <w:lang w:val="fr-FR"/>
        </w:rPr>
        <w:t>outil ou</w:t>
      </w:r>
      <w:r w:rsidRPr="006F0679">
        <w:rPr>
          <w:lang w:val="fr-FR"/>
        </w:rPr>
        <w:t xml:space="preserve"> processus cohérent à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échelle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Organisation </w:t>
      </w:r>
      <w:r w:rsidR="002D4523" w:rsidRPr="006F0679">
        <w:rPr>
          <w:lang w:val="fr-FR"/>
        </w:rPr>
        <w:t>qui</w:t>
      </w:r>
      <w:r w:rsidR="004B6954" w:rsidRPr="006F0679">
        <w:rPr>
          <w:lang w:val="fr-FR"/>
        </w:rPr>
        <w:t xml:space="preserve"> facilit</w:t>
      </w:r>
      <w:r w:rsidR="002D4523" w:rsidRPr="006F0679">
        <w:rPr>
          <w:lang w:val="fr-FR"/>
        </w:rPr>
        <w:t>e</w:t>
      </w:r>
      <w:r w:rsidRPr="006F0679">
        <w:rPr>
          <w:lang w:val="fr-FR"/>
        </w:rPr>
        <w:t xml:space="preserve"> la gestion des contenus </w:t>
      </w:r>
      <w:r w:rsidR="004B6954" w:rsidRPr="006F0679">
        <w:rPr>
          <w:lang w:val="fr-FR"/>
        </w:rPr>
        <w:t>ou</w:t>
      </w:r>
      <w:r w:rsidRPr="006F0679">
        <w:rPr>
          <w:lang w:val="fr-FR"/>
        </w:rPr>
        <w:t xml:space="preserve"> le partage des connaissances</w:t>
      </w:r>
      <w:r w:rsidR="004B6954" w:rsidRPr="006F0679">
        <w:rPr>
          <w:lang w:val="fr-FR"/>
        </w:rPr>
        <w:t>,</w:t>
      </w:r>
      <w:r w:rsidRPr="006F0679">
        <w:rPr>
          <w:lang w:val="fr-FR"/>
        </w:rPr>
        <w:t xml:space="preserve"> et les rôles et les responsabilités en matière de communication interne et de </w:t>
      </w:r>
      <w:r w:rsidR="007C231D" w:rsidRPr="006F0679">
        <w:rPr>
          <w:lang w:val="fr-FR"/>
        </w:rPr>
        <w:t xml:space="preserve">conservation des données </w:t>
      </w:r>
      <w:r w:rsidR="004B6954" w:rsidRPr="006F0679">
        <w:rPr>
          <w:lang w:val="fr-FR"/>
        </w:rPr>
        <w:t>au sein de l</w:t>
      </w:r>
      <w:r w:rsidR="00E91F2D" w:rsidRPr="006F0679">
        <w:rPr>
          <w:lang w:val="fr-FR"/>
        </w:rPr>
        <w:t>’</w:t>
      </w:r>
      <w:r w:rsidR="004B6954" w:rsidRPr="006F0679">
        <w:rPr>
          <w:lang w:val="fr-FR"/>
        </w:rPr>
        <w:t xml:space="preserve">Organisation </w:t>
      </w:r>
      <w:r w:rsidR="007C231D" w:rsidRPr="006F0679">
        <w:rPr>
          <w:lang w:val="fr-FR"/>
        </w:rPr>
        <w:t xml:space="preserve">ne sont pas </w:t>
      </w:r>
      <w:r w:rsidR="00A276BE" w:rsidRPr="006F0679">
        <w:rPr>
          <w:lang w:val="fr-FR"/>
        </w:rPr>
        <w:t>clairement définis</w:t>
      </w:r>
      <w:r w:rsidR="00B66A9B" w:rsidRPr="006F0679">
        <w:rPr>
          <w:lang w:val="fr-FR"/>
        </w:rPr>
        <w:t>.</w:t>
      </w:r>
    </w:p>
    <w:p w:rsidR="004D7733" w:rsidRPr="006F0679" w:rsidRDefault="00B66A9B" w:rsidP="005A16A1">
      <w:pPr>
        <w:pStyle w:val="Heading2"/>
        <w:rPr>
          <w:lang w:val="fr-FR"/>
        </w:rPr>
      </w:pPr>
      <w:bookmarkStart w:id="11" w:name="_Toc426103170"/>
      <w:r w:rsidRPr="006F0679">
        <w:rPr>
          <w:lang w:val="fr-FR"/>
        </w:rPr>
        <w:t xml:space="preserve">Culture </w:t>
      </w:r>
      <w:r w:rsidR="007C231D" w:rsidRPr="006F0679">
        <w:rPr>
          <w:lang w:val="fr-FR"/>
        </w:rPr>
        <w:t>et collaboration</w:t>
      </w:r>
      <w:bookmarkEnd w:id="11"/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4B6954" w:rsidP="00781563">
      <w:pPr>
        <w:rPr>
          <w:lang w:val="fr-FR"/>
        </w:rPr>
      </w:pPr>
      <w:r w:rsidRPr="006F0679">
        <w:rPr>
          <w:lang w:val="fr-FR"/>
        </w:rPr>
        <w:t>Même si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on constate un certain niveau de collaboration</w:t>
      </w:r>
      <w:r w:rsidR="00F67A18" w:rsidRPr="006F0679">
        <w:rPr>
          <w:lang w:val="fr-FR"/>
        </w:rPr>
        <w:t xml:space="preserve"> </w:t>
      </w:r>
      <w:r w:rsidR="00A276BE" w:rsidRPr="006F0679">
        <w:rPr>
          <w:lang w:val="fr-FR"/>
        </w:rPr>
        <w:t>entre les</w:t>
      </w:r>
      <w:r w:rsidR="00F67A18" w:rsidRPr="006F0679">
        <w:rPr>
          <w:lang w:val="fr-FR"/>
        </w:rPr>
        <w:t xml:space="preserve"> secteurs, il conviendrait d</w:t>
      </w:r>
      <w:r w:rsidR="00E91F2D" w:rsidRPr="006F0679">
        <w:rPr>
          <w:lang w:val="fr-FR"/>
        </w:rPr>
        <w:t>’</w:t>
      </w:r>
      <w:r w:rsidR="00F67A18" w:rsidRPr="006F0679">
        <w:rPr>
          <w:lang w:val="fr-FR"/>
        </w:rPr>
        <w:t>assurer</w:t>
      </w:r>
      <w:r w:rsidR="007C231D" w:rsidRPr="006F0679">
        <w:rPr>
          <w:lang w:val="fr-FR"/>
        </w:rPr>
        <w:t xml:space="preserve"> un partage efficace des connaissances à travers toute l</w:t>
      </w:r>
      <w:r w:rsidR="00E91F2D" w:rsidRPr="006F0679">
        <w:rPr>
          <w:lang w:val="fr-FR"/>
        </w:rPr>
        <w:t>’</w:t>
      </w:r>
      <w:r w:rsidR="007C231D" w:rsidRPr="006F0679">
        <w:rPr>
          <w:lang w:val="fr-FR"/>
        </w:rPr>
        <w:t>Organisation</w:t>
      </w:r>
      <w:r w:rsidR="00B66A9B" w:rsidRPr="006F0679">
        <w:rPr>
          <w:lang w:val="fr-FR"/>
        </w:rPr>
        <w:t xml:space="preserve">.  </w:t>
      </w:r>
      <w:r w:rsidR="007C231D" w:rsidRPr="006F0679">
        <w:rPr>
          <w:lang w:val="fr-FR"/>
        </w:rPr>
        <w:t>Le partage des connaissances n</w:t>
      </w:r>
      <w:r w:rsidR="00E91F2D" w:rsidRPr="006F0679">
        <w:rPr>
          <w:lang w:val="fr-FR"/>
        </w:rPr>
        <w:t>’</w:t>
      </w:r>
      <w:r w:rsidR="007C231D" w:rsidRPr="006F0679">
        <w:rPr>
          <w:lang w:val="fr-FR"/>
        </w:rPr>
        <w:t>est pas encore un</w:t>
      </w:r>
      <w:r w:rsidR="00F67A18" w:rsidRPr="006F0679">
        <w:rPr>
          <w:lang w:val="fr-FR"/>
        </w:rPr>
        <w:t xml:space="preserve"> élément essentiel</w:t>
      </w:r>
      <w:r w:rsidR="007C231D" w:rsidRPr="006F0679">
        <w:rPr>
          <w:lang w:val="fr-FR"/>
        </w:rPr>
        <w:t xml:space="preserve"> de la culture institutionnelle de l</w:t>
      </w:r>
      <w:r w:rsidR="00E91F2D" w:rsidRPr="006F0679">
        <w:rPr>
          <w:lang w:val="fr-FR"/>
        </w:rPr>
        <w:t>’</w:t>
      </w:r>
      <w:r w:rsidR="007C231D" w:rsidRPr="006F0679">
        <w:rPr>
          <w:lang w:val="fr-FR"/>
        </w:rPr>
        <w:t>OMPI.  En outre, d</w:t>
      </w:r>
      <w:r w:rsidR="00E91F2D" w:rsidRPr="006F0679">
        <w:rPr>
          <w:lang w:val="fr-FR"/>
        </w:rPr>
        <w:t>’</w:t>
      </w:r>
      <w:r w:rsidR="007C231D" w:rsidRPr="006F0679">
        <w:rPr>
          <w:lang w:val="fr-FR"/>
        </w:rPr>
        <w:t>autres pratiques, mesures d</w:t>
      </w:r>
      <w:r w:rsidR="00E91F2D" w:rsidRPr="006F0679">
        <w:rPr>
          <w:lang w:val="fr-FR"/>
        </w:rPr>
        <w:t>’</w:t>
      </w:r>
      <w:r w:rsidR="007C231D" w:rsidRPr="006F0679">
        <w:rPr>
          <w:lang w:val="fr-FR"/>
        </w:rPr>
        <w:t xml:space="preserve">incitation et </w:t>
      </w:r>
      <w:r w:rsidR="00F67A18" w:rsidRPr="006F0679">
        <w:rPr>
          <w:lang w:val="fr-FR"/>
        </w:rPr>
        <w:t xml:space="preserve">moyens </w:t>
      </w:r>
      <w:r w:rsidR="007C231D" w:rsidRPr="006F0679">
        <w:rPr>
          <w:lang w:val="fr-FR"/>
        </w:rPr>
        <w:t xml:space="preserve">techniques </w:t>
      </w:r>
      <w:r w:rsidR="00F67A18" w:rsidRPr="006F0679">
        <w:rPr>
          <w:lang w:val="fr-FR"/>
        </w:rPr>
        <w:t xml:space="preserve">doivent être mis en place pour </w:t>
      </w:r>
      <w:r w:rsidR="007C231D" w:rsidRPr="006F0679">
        <w:rPr>
          <w:lang w:val="fr-FR"/>
        </w:rPr>
        <w:t>encourager le partage des connaissances</w:t>
      </w:r>
      <w:r w:rsidR="00D667DF" w:rsidRPr="006F0679">
        <w:rPr>
          <w:lang w:val="fr-FR"/>
        </w:rPr>
        <w:t>.</w:t>
      </w:r>
    </w:p>
    <w:p w:rsidR="004D7733" w:rsidRPr="006F0679" w:rsidRDefault="007C231D" w:rsidP="005A16A1">
      <w:pPr>
        <w:pStyle w:val="Heading2"/>
        <w:rPr>
          <w:lang w:val="fr-FR"/>
        </w:rPr>
      </w:pPr>
      <w:bookmarkStart w:id="12" w:name="_Toc426103171"/>
      <w:r w:rsidRPr="006F0679">
        <w:rPr>
          <w:lang w:val="fr-FR"/>
        </w:rPr>
        <w:t>Outils informatiques</w:t>
      </w:r>
      <w:bookmarkEnd w:id="12"/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F67A18" w:rsidP="00781563">
      <w:pPr>
        <w:rPr>
          <w:lang w:val="fr-FR"/>
        </w:rPr>
      </w:pPr>
      <w:r w:rsidRPr="006F0679">
        <w:rPr>
          <w:lang w:val="fr-FR"/>
        </w:rPr>
        <w:t>Ces dernières années, p</w:t>
      </w:r>
      <w:r w:rsidR="007C231D" w:rsidRPr="006F0679">
        <w:rPr>
          <w:lang w:val="fr-FR"/>
        </w:rPr>
        <w:t xml:space="preserve">lusieurs applications et outils informatiques élaborés et mis en œuvre </w:t>
      </w:r>
      <w:r w:rsidRPr="006F0679">
        <w:rPr>
          <w:lang w:val="fr-FR"/>
        </w:rPr>
        <w:t>(</w:t>
      </w:r>
      <w:r w:rsidR="007C231D" w:rsidRPr="006F0679">
        <w:rPr>
          <w:lang w:val="fr-FR"/>
        </w:rPr>
        <w:t>bien que séparément</w:t>
      </w:r>
      <w:r w:rsidRPr="006F0679">
        <w:rPr>
          <w:lang w:val="fr-FR"/>
        </w:rPr>
        <w:t>)</w:t>
      </w:r>
      <w:r w:rsidR="007C231D" w:rsidRPr="006F0679">
        <w:rPr>
          <w:lang w:val="fr-FR"/>
        </w:rPr>
        <w:t xml:space="preserve"> au sein de l</w:t>
      </w:r>
      <w:r w:rsidR="00E91F2D" w:rsidRPr="006F0679">
        <w:rPr>
          <w:lang w:val="fr-FR"/>
        </w:rPr>
        <w:t>’</w:t>
      </w:r>
      <w:r w:rsidR="007C231D" w:rsidRPr="006F0679">
        <w:rPr>
          <w:lang w:val="fr-FR"/>
        </w:rPr>
        <w:t xml:space="preserve">OMPI </w:t>
      </w:r>
      <w:r w:rsidRPr="006F0679">
        <w:rPr>
          <w:lang w:val="fr-FR"/>
        </w:rPr>
        <w:t>ont eu des répercussions positives sur le partage des informations et des connaissances</w:t>
      </w:r>
      <w:r w:rsidR="007C231D" w:rsidRPr="006F0679">
        <w:rPr>
          <w:lang w:val="fr-FR"/>
        </w:rPr>
        <w:t>,</w:t>
      </w:r>
      <w:r w:rsidRPr="006F0679">
        <w:rPr>
          <w:lang w:val="fr-FR"/>
        </w:rPr>
        <w:t xml:space="preserve"> dont le</w:t>
      </w:r>
      <w:r w:rsidR="007C231D" w:rsidRPr="006F0679">
        <w:rPr>
          <w:lang w:val="fr-FR"/>
        </w:rPr>
        <w:t xml:space="preserve"> site</w:t>
      </w:r>
      <w:r w:rsidR="00E76653" w:rsidRPr="006F0679">
        <w:rPr>
          <w:lang w:val="fr-FR"/>
        </w:rPr>
        <w:t> </w:t>
      </w:r>
      <w:r w:rsidR="007C231D" w:rsidRPr="006F0679">
        <w:rPr>
          <w:lang w:val="fr-FR"/>
        </w:rPr>
        <w:t>Web remodelé, un site Wiki, l</w:t>
      </w:r>
      <w:r w:rsidR="00E91F2D" w:rsidRPr="006F0679">
        <w:rPr>
          <w:lang w:val="fr-FR"/>
        </w:rPr>
        <w:t>’</w:t>
      </w:r>
      <w:r w:rsidR="007C231D" w:rsidRPr="006F0679">
        <w:rPr>
          <w:lang w:val="fr-FR"/>
        </w:rPr>
        <w:t>Intranet et le système de planification des ressources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Organisation.  Il convient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adopter une</w:t>
      </w:r>
      <w:r w:rsidR="007C231D" w:rsidRPr="006F0679">
        <w:rPr>
          <w:lang w:val="fr-FR"/>
        </w:rPr>
        <w:t xml:space="preserve"> approche stratégique </w:t>
      </w:r>
      <w:r w:rsidRPr="006F0679">
        <w:rPr>
          <w:lang w:val="fr-FR"/>
        </w:rPr>
        <w:t xml:space="preserve">en matière </w:t>
      </w:r>
      <w:r w:rsidR="007C231D" w:rsidRPr="006F0679">
        <w:rPr>
          <w:lang w:val="fr-FR"/>
        </w:rPr>
        <w:t xml:space="preserve">de transition numérique et </w:t>
      </w:r>
      <w:r w:rsidRPr="006F0679">
        <w:rPr>
          <w:lang w:val="fr-FR"/>
        </w:rPr>
        <w:t xml:space="preserve">de </w:t>
      </w:r>
      <w:r w:rsidR="007C231D" w:rsidRPr="006F0679">
        <w:rPr>
          <w:lang w:val="fr-FR"/>
        </w:rPr>
        <w:t xml:space="preserve">gestion des contenus </w:t>
      </w:r>
      <w:r w:rsidRPr="006F0679">
        <w:rPr>
          <w:lang w:val="fr-FR"/>
        </w:rPr>
        <w:t>afin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améliorer les méthodes</w:t>
      </w:r>
      <w:r w:rsidR="007C231D" w:rsidRPr="006F0679">
        <w:rPr>
          <w:lang w:val="fr-FR"/>
        </w:rPr>
        <w:t xml:space="preserve"> d</w:t>
      </w:r>
      <w:r w:rsidR="00E91F2D" w:rsidRPr="006F0679">
        <w:rPr>
          <w:lang w:val="fr-FR"/>
        </w:rPr>
        <w:t>’</w:t>
      </w:r>
      <w:r w:rsidR="007C231D" w:rsidRPr="006F0679">
        <w:rPr>
          <w:lang w:val="fr-FR"/>
        </w:rPr>
        <w:t>organisation</w:t>
      </w:r>
      <w:r w:rsidRPr="006F0679">
        <w:rPr>
          <w:lang w:val="fr-FR"/>
        </w:rPr>
        <w:t>,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accès et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utilisation </w:t>
      </w:r>
      <w:r w:rsidR="007C231D" w:rsidRPr="006F0679">
        <w:rPr>
          <w:lang w:val="fr-FR"/>
        </w:rPr>
        <w:t>des données, des informations et des contenus au sein de l</w:t>
      </w:r>
      <w:r w:rsidR="00E91F2D" w:rsidRPr="006F0679">
        <w:rPr>
          <w:lang w:val="fr-FR"/>
        </w:rPr>
        <w:t>’</w:t>
      </w:r>
      <w:r w:rsidR="007C231D" w:rsidRPr="006F0679">
        <w:rPr>
          <w:lang w:val="fr-FR"/>
        </w:rPr>
        <w:t>OMPI</w:t>
      </w:r>
      <w:r w:rsidR="00B66A9B" w:rsidRPr="006F0679">
        <w:rPr>
          <w:lang w:val="fr-FR"/>
        </w:rPr>
        <w:t xml:space="preserve">.  </w:t>
      </w:r>
      <w:r w:rsidR="00AC3402" w:rsidRPr="006F0679">
        <w:rPr>
          <w:lang w:val="fr-FR"/>
        </w:rPr>
        <w:t>La mise en place de nouveaux outils à l</w:t>
      </w:r>
      <w:r w:rsidR="00E91F2D" w:rsidRPr="006F0679">
        <w:rPr>
          <w:lang w:val="fr-FR"/>
        </w:rPr>
        <w:t>’</w:t>
      </w:r>
      <w:r w:rsidR="00AC3402" w:rsidRPr="006F0679">
        <w:rPr>
          <w:lang w:val="fr-FR"/>
        </w:rPr>
        <w:t>OMPI doit contribuer à l</w:t>
      </w:r>
      <w:r w:rsidR="00E91F2D" w:rsidRPr="006F0679">
        <w:rPr>
          <w:lang w:val="fr-FR"/>
        </w:rPr>
        <w:t>’</w:t>
      </w:r>
      <w:r w:rsidR="00AC3402" w:rsidRPr="006F0679">
        <w:rPr>
          <w:lang w:val="fr-FR"/>
        </w:rPr>
        <w:t xml:space="preserve">innovation et à la collaboration </w:t>
      </w:r>
      <w:r w:rsidR="00A276BE" w:rsidRPr="006F0679">
        <w:rPr>
          <w:lang w:val="fr-FR"/>
        </w:rPr>
        <w:t>et non pas</w:t>
      </w:r>
      <w:r w:rsidR="00AC3402" w:rsidRPr="006F0679">
        <w:rPr>
          <w:lang w:val="fr-FR"/>
        </w:rPr>
        <w:t xml:space="preserve"> créer de nouveaux obstacles</w:t>
      </w:r>
      <w:r w:rsidR="00B66A9B" w:rsidRPr="006F0679">
        <w:rPr>
          <w:lang w:val="fr-FR"/>
        </w:rPr>
        <w:t>.</w:t>
      </w:r>
    </w:p>
    <w:p w:rsidR="004D7733" w:rsidRPr="006F0679" w:rsidRDefault="00843546">
      <w:pPr>
        <w:rPr>
          <w:lang w:val="fr-FR"/>
        </w:rPr>
      </w:pPr>
      <w:r w:rsidRPr="006F0679">
        <w:rPr>
          <w:lang w:val="fr-FR"/>
        </w:rPr>
        <w:br w:type="page"/>
      </w:r>
    </w:p>
    <w:p w:rsidR="004D7733" w:rsidRPr="006F0679" w:rsidRDefault="0093550F" w:rsidP="005A16A1">
      <w:pPr>
        <w:pStyle w:val="Heading1"/>
        <w:rPr>
          <w:lang w:val="fr-FR"/>
        </w:rPr>
      </w:pPr>
      <w:bookmarkStart w:id="13" w:name="_Toc426103172"/>
      <w:r w:rsidRPr="006F0679">
        <w:rPr>
          <w:lang w:val="fr-FR"/>
        </w:rPr>
        <w:lastRenderedPageBreak/>
        <w:t>Strat</w:t>
      </w:r>
      <w:r w:rsidR="008F5F5A" w:rsidRPr="006F0679">
        <w:rPr>
          <w:lang w:val="fr-FR"/>
        </w:rPr>
        <w:t>égie</w:t>
      </w:r>
      <w:bookmarkEnd w:id="13"/>
    </w:p>
    <w:p w:rsidR="004D7733" w:rsidRPr="006F0679" w:rsidRDefault="008F5F5A" w:rsidP="005A16A1">
      <w:pPr>
        <w:pStyle w:val="Heading2"/>
        <w:rPr>
          <w:lang w:val="fr-FR"/>
        </w:rPr>
      </w:pPr>
      <w:bookmarkStart w:id="14" w:name="_Toc426103173"/>
      <w:r w:rsidRPr="006F0679">
        <w:rPr>
          <w:lang w:val="fr-FR"/>
        </w:rPr>
        <w:t>Approche stratégique</w:t>
      </w:r>
      <w:bookmarkEnd w:id="14"/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8F5F5A" w:rsidP="00781563">
      <w:pPr>
        <w:rPr>
          <w:lang w:val="fr-FR"/>
        </w:rPr>
      </w:pPr>
      <w:r w:rsidRPr="006F0679">
        <w:rPr>
          <w:lang w:val="fr-FR"/>
        </w:rPr>
        <w:t>Dans le cadre de ses opérations,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 acquiert, crée, traite et stocke une quantité considérable de données et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informations, </w:t>
      </w:r>
      <w:r w:rsidR="001A5FE5" w:rsidRPr="006F0679">
        <w:rPr>
          <w:lang w:val="fr-FR"/>
        </w:rPr>
        <w:t>qu</w:t>
      </w:r>
      <w:r w:rsidR="00E91F2D" w:rsidRPr="006F0679">
        <w:rPr>
          <w:lang w:val="fr-FR"/>
        </w:rPr>
        <w:t>’</w:t>
      </w:r>
      <w:r w:rsidR="001A5FE5" w:rsidRPr="006F0679">
        <w:rPr>
          <w:lang w:val="fr-FR"/>
        </w:rPr>
        <w:t>elle transforme parfois</w:t>
      </w:r>
      <w:r w:rsidRPr="006F0679">
        <w:rPr>
          <w:lang w:val="fr-FR"/>
        </w:rPr>
        <w:t xml:space="preserve"> en connaissances</w:t>
      </w:r>
      <w:r w:rsidR="00F33E0E" w:rsidRPr="006F0679">
        <w:rPr>
          <w:lang w:val="fr-FR"/>
        </w:rPr>
        <w:t xml:space="preserve">.  </w:t>
      </w:r>
      <w:r w:rsidR="00E732F2" w:rsidRPr="006F0679">
        <w:rPr>
          <w:lang w:val="fr-FR"/>
        </w:rPr>
        <w:t xml:space="preserve">Ces connaissances sont précieuses et leur création </w:t>
      </w:r>
      <w:proofErr w:type="gramStart"/>
      <w:r w:rsidR="00E732F2" w:rsidRPr="006F0679">
        <w:rPr>
          <w:lang w:val="fr-FR"/>
        </w:rPr>
        <w:t>a</w:t>
      </w:r>
      <w:proofErr w:type="gramEnd"/>
      <w:r w:rsidR="00E732F2" w:rsidRPr="006F0679">
        <w:rPr>
          <w:lang w:val="fr-FR"/>
        </w:rPr>
        <w:t xml:space="preserve"> un coût, c</w:t>
      </w:r>
      <w:r w:rsidR="00E91F2D" w:rsidRPr="006F0679">
        <w:rPr>
          <w:lang w:val="fr-FR"/>
        </w:rPr>
        <w:t>’</w:t>
      </w:r>
      <w:r w:rsidR="00E732F2" w:rsidRPr="006F0679">
        <w:rPr>
          <w:lang w:val="fr-FR"/>
        </w:rPr>
        <w:t xml:space="preserve">est pourquoi il est absolument essentiel de protéger </w:t>
      </w:r>
      <w:r w:rsidR="001A5FE5" w:rsidRPr="006F0679">
        <w:rPr>
          <w:lang w:val="fr-FR"/>
        </w:rPr>
        <w:t xml:space="preserve">et de rentabiliser </w:t>
      </w:r>
      <w:r w:rsidR="00E732F2" w:rsidRPr="006F0679">
        <w:rPr>
          <w:lang w:val="fr-FR"/>
        </w:rPr>
        <w:t>cet investissement</w:t>
      </w:r>
      <w:r w:rsidR="00F33E0E" w:rsidRPr="006F0679">
        <w:rPr>
          <w:lang w:val="fr-FR"/>
        </w:rPr>
        <w:t xml:space="preserve">.  </w:t>
      </w:r>
      <w:r w:rsidR="001A5FE5" w:rsidRPr="006F0679">
        <w:rPr>
          <w:lang w:val="fr-FR"/>
        </w:rPr>
        <w:t>La présente s</w:t>
      </w:r>
      <w:r w:rsidR="00E732F2" w:rsidRPr="006F0679">
        <w:rPr>
          <w:lang w:val="fr-FR"/>
        </w:rPr>
        <w:t xml:space="preserve">tratégie de gestion des connaissances définit </w:t>
      </w:r>
      <w:r w:rsidR="002D4523" w:rsidRPr="006F0679">
        <w:rPr>
          <w:lang w:val="fr-FR"/>
        </w:rPr>
        <w:t>un cadre qui permettra à</w:t>
      </w:r>
      <w:r w:rsidR="009039C9" w:rsidRPr="006F0679">
        <w:rPr>
          <w:lang w:val="fr-FR"/>
        </w:rPr>
        <w:t xml:space="preserve"> </w:t>
      </w:r>
      <w:r w:rsidR="00FA0ADB"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="00FA0ADB" w:rsidRPr="006F0679">
        <w:rPr>
          <w:lang w:val="fr-FR"/>
        </w:rPr>
        <w:t xml:space="preserve">OMPI </w:t>
      </w:r>
      <w:r w:rsidR="002D4523" w:rsidRPr="006F0679">
        <w:rPr>
          <w:lang w:val="fr-FR"/>
        </w:rPr>
        <w:t>de</w:t>
      </w:r>
      <w:r w:rsidR="00E732F2" w:rsidRPr="006F0679">
        <w:rPr>
          <w:lang w:val="fr-FR"/>
        </w:rPr>
        <w:t xml:space="preserve"> tirer pleinement parti de </w:t>
      </w:r>
      <w:r w:rsidR="00A276BE" w:rsidRPr="006F0679">
        <w:rPr>
          <w:lang w:val="fr-FR"/>
        </w:rPr>
        <w:t>s</w:t>
      </w:r>
      <w:r w:rsidR="009039C9" w:rsidRPr="006F0679">
        <w:rPr>
          <w:lang w:val="fr-FR"/>
        </w:rPr>
        <w:t>es connaissances</w:t>
      </w:r>
      <w:r w:rsidR="00F33E0E" w:rsidRPr="006F0679">
        <w:rPr>
          <w:lang w:val="fr-FR"/>
        </w:rPr>
        <w:t>.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FA0ADB" w:rsidP="00781563">
      <w:pPr>
        <w:rPr>
          <w:lang w:val="fr-FR"/>
        </w:rPr>
      </w:pPr>
      <w:r w:rsidRPr="006F0679">
        <w:rPr>
          <w:lang w:val="fr-FR"/>
        </w:rPr>
        <w:t xml:space="preserve">Pour tirer pleinement parti de ses actifs fondés sur les connaissances, actuels et futurs, </w:t>
      </w:r>
      <w:r w:rsidR="003B3A13"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="003B3A13" w:rsidRPr="006F0679">
        <w:rPr>
          <w:lang w:val="fr-FR"/>
        </w:rPr>
        <w:t xml:space="preserve">OMPI doit tenir compte </w:t>
      </w:r>
      <w:r w:rsidR="00A276BE" w:rsidRPr="006F0679">
        <w:rPr>
          <w:lang w:val="fr-FR"/>
        </w:rPr>
        <w:t xml:space="preserve">de </w:t>
      </w:r>
      <w:r w:rsidR="003B3A13" w:rsidRPr="006F0679">
        <w:rPr>
          <w:lang w:val="fr-FR"/>
        </w:rPr>
        <w:t>de</w:t>
      </w:r>
      <w:r w:rsidR="002D4523" w:rsidRPr="006F0679">
        <w:rPr>
          <w:lang w:val="fr-FR"/>
        </w:rPr>
        <w:t>ux</w:t>
      </w:r>
      <w:r w:rsidR="00D069CA" w:rsidRPr="006F0679">
        <w:rPr>
          <w:lang w:val="fr-FR"/>
        </w:rPr>
        <w:t> </w:t>
      </w:r>
      <w:r w:rsidR="002D4523" w:rsidRPr="006F0679">
        <w:rPr>
          <w:lang w:val="fr-FR"/>
        </w:rPr>
        <w:t>facteurs</w:t>
      </w:r>
      <w:r w:rsidRPr="006F0679">
        <w:rPr>
          <w:lang w:val="fr-FR"/>
        </w:rPr>
        <w:t> :</w:t>
      </w:r>
      <w:r w:rsidR="003D7822" w:rsidRPr="006F0679">
        <w:rPr>
          <w:lang w:val="fr-FR"/>
        </w:rPr>
        <w:t xml:space="preserve"> </w:t>
      </w:r>
      <w:r w:rsidR="00A276BE" w:rsidRPr="006F0679">
        <w:rPr>
          <w:lang w:val="fr-FR"/>
        </w:rPr>
        <w:t>s</w:t>
      </w:r>
      <w:r w:rsidRPr="006F0679">
        <w:rPr>
          <w:lang w:val="fr-FR"/>
        </w:rPr>
        <w:t xml:space="preserve">es capacités </w:t>
      </w:r>
      <w:r w:rsidR="0093566D" w:rsidRPr="006F0679">
        <w:rPr>
          <w:lang w:val="fr-FR"/>
        </w:rPr>
        <w:t>en termes d</w:t>
      </w:r>
      <w:r w:rsidR="00E91F2D" w:rsidRPr="006F0679">
        <w:rPr>
          <w:lang w:val="fr-FR"/>
        </w:rPr>
        <w:t>’</w:t>
      </w:r>
      <w:r w:rsidR="0093566D" w:rsidRPr="006F0679">
        <w:rPr>
          <w:lang w:val="fr-FR"/>
        </w:rPr>
        <w:t xml:space="preserve">environnement </w:t>
      </w:r>
      <w:r w:rsidRPr="006F0679">
        <w:rPr>
          <w:lang w:val="fr-FR"/>
        </w:rPr>
        <w:t>d</w:t>
      </w:r>
      <w:r w:rsidR="00A276BE" w:rsidRPr="006F0679">
        <w:rPr>
          <w:lang w:val="fr-FR"/>
        </w:rPr>
        <w:t>e gestion des connaissances et s</w:t>
      </w:r>
      <w:r w:rsidRPr="006F0679">
        <w:rPr>
          <w:lang w:val="fr-FR"/>
        </w:rPr>
        <w:t xml:space="preserve">es capacités </w:t>
      </w:r>
      <w:r w:rsidR="0093566D" w:rsidRPr="006F0679">
        <w:rPr>
          <w:lang w:val="fr-FR"/>
        </w:rPr>
        <w:t xml:space="preserve">en termes de processus de </w:t>
      </w:r>
      <w:r w:rsidRPr="006F0679">
        <w:rPr>
          <w:lang w:val="fr-FR"/>
        </w:rPr>
        <w:t>gestion des connaissances</w:t>
      </w:r>
      <w:r w:rsidR="009A15D6" w:rsidRPr="006F0679">
        <w:rPr>
          <w:lang w:val="fr-FR"/>
        </w:rPr>
        <w:t>.</w:t>
      </w:r>
    </w:p>
    <w:p w:rsidR="0015000D" w:rsidRPr="006F0679" w:rsidRDefault="0015000D" w:rsidP="00781563">
      <w:pPr>
        <w:rPr>
          <w:lang w:val="fr-FR"/>
        </w:rPr>
      </w:pPr>
    </w:p>
    <w:p w:rsidR="004D7733" w:rsidRPr="006F0679" w:rsidRDefault="00FA0ADB" w:rsidP="00781563">
      <w:pPr>
        <w:rPr>
          <w:lang w:val="fr-FR"/>
        </w:rPr>
      </w:pPr>
      <w:r w:rsidRPr="006F0679">
        <w:rPr>
          <w:lang w:val="fr-FR"/>
        </w:rPr>
        <w:t xml:space="preserve">Les capacités </w:t>
      </w:r>
      <w:r w:rsidR="0093566D" w:rsidRPr="006F0679">
        <w:rPr>
          <w:lang w:val="fr-FR"/>
        </w:rPr>
        <w:t>en termes d</w:t>
      </w:r>
      <w:r w:rsidR="00E91F2D" w:rsidRPr="006F0679">
        <w:rPr>
          <w:lang w:val="fr-FR"/>
        </w:rPr>
        <w:t>’</w:t>
      </w:r>
      <w:r w:rsidR="0093566D" w:rsidRPr="006F0679">
        <w:rPr>
          <w:lang w:val="fr-FR"/>
        </w:rPr>
        <w:t xml:space="preserve">environnement </w:t>
      </w:r>
      <w:r w:rsidRPr="006F0679">
        <w:rPr>
          <w:lang w:val="fr-FR"/>
        </w:rPr>
        <w:t xml:space="preserve">de gestion des connaissances sont mesurées à partir des structures, des politiques, de la culture et des systèmes qui permettront </w:t>
      </w:r>
      <w:r w:rsidR="003B3A13" w:rsidRPr="006F0679">
        <w:rPr>
          <w:lang w:val="fr-FR"/>
        </w:rPr>
        <w:t xml:space="preserve">un développement </w:t>
      </w:r>
      <w:r w:rsidRPr="006F0679">
        <w:rPr>
          <w:lang w:val="fr-FR"/>
        </w:rPr>
        <w:t>de</w:t>
      </w:r>
      <w:r w:rsidR="003B3A13" w:rsidRPr="006F0679">
        <w:rPr>
          <w:lang w:val="fr-FR"/>
        </w:rPr>
        <w:t xml:space="preserve"> la</w:t>
      </w:r>
      <w:r w:rsidRPr="006F0679">
        <w:rPr>
          <w:lang w:val="fr-FR"/>
        </w:rPr>
        <w:t xml:space="preserve"> gestion des connaissances, tandis que les capacités </w:t>
      </w:r>
      <w:r w:rsidR="0093566D" w:rsidRPr="006F0679">
        <w:rPr>
          <w:lang w:val="fr-FR"/>
        </w:rPr>
        <w:t>en termes de processus de</w:t>
      </w:r>
      <w:r w:rsidRPr="006F0679">
        <w:rPr>
          <w:lang w:val="fr-FR"/>
        </w:rPr>
        <w:t xml:space="preserve"> gestion des connaissances sont </w:t>
      </w:r>
      <w:r w:rsidR="002D4523" w:rsidRPr="006F0679">
        <w:rPr>
          <w:lang w:val="fr-FR"/>
        </w:rPr>
        <w:t>mesurées</w:t>
      </w:r>
      <w:r w:rsidR="003B3A13" w:rsidRPr="006F0679">
        <w:rPr>
          <w:lang w:val="fr-FR"/>
        </w:rPr>
        <w:t xml:space="preserve"> compte tenu de</w:t>
      </w:r>
      <w:r w:rsidRPr="006F0679">
        <w:rPr>
          <w:lang w:val="fr-FR"/>
        </w:rPr>
        <w:t xml:space="preserve"> la normalisation du cycle de vie des connaissances au sein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</w:t>
      </w:r>
      <w:r w:rsidR="003D7822" w:rsidRPr="006F0679">
        <w:rPr>
          <w:lang w:val="fr-FR"/>
        </w:rPr>
        <w:t>.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3B3A13" w:rsidP="00781563">
      <w:pPr>
        <w:rPr>
          <w:lang w:val="fr-FR"/>
        </w:rPr>
      </w:pPr>
      <w:r w:rsidRPr="006F0679">
        <w:rPr>
          <w:lang w:val="fr-FR"/>
        </w:rPr>
        <w:t>Partant</w:t>
      </w:r>
      <w:r w:rsidR="00FA0ADB" w:rsidRPr="006F0679">
        <w:rPr>
          <w:lang w:val="fr-FR"/>
        </w:rPr>
        <w:t xml:space="preserve"> des recommandations </w:t>
      </w:r>
      <w:r w:rsidR="00B77F05" w:rsidRPr="006F0679">
        <w:rPr>
          <w:lang w:val="fr-FR"/>
        </w:rPr>
        <w:t xml:space="preserve">émanant </w:t>
      </w:r>
      <w:r w:rsidR="00FA0ADB" w:rsidRPr="006F0679">
        <w:rPr>
          <w:lang w:val="fr-FR"/>
        </w:rPr>
        <w:t>du rapport</w:t>
      </w:r>
      <w:r w:rsidR="006C37EF" w:rsidRPr="006F0679">
        <w:rPr>
          <w:lang w:val="fr-FR"/>
        </w:rPr>
        <w:t xml:space="preserve"> du CCI</w:t>
      </w:r>
      <w:r w:rsidR="00FA0ADB" w:rsidRPr="006F0679">
        <w:rPr>
          <w:lang w:val="fr-FR"/>
        </w:rPr>
        <w:t xml:space="preserve"> et des résultats du rapport d</w:t>
      </w:r>
      <w:r w:rsidR="00E91F2D" w:rsidRPr="006F0679">
        <w:rPr>
          <w:lang w:val="fr-FR"/>
        </w:rPr>
        <w:t>’</w:t>
      </w:r>
      <w:r w:rsidR="00FA0ADB" w:rsidRPr="006F0679">
        <w:rPr>
          <w:lang w:val="fr-FR"/>
        </w:rPr>
        <w:t xml:space="preserve">évaluation sur </w:t>
      </w:r>
      <w:r w:rsidR="00A276BE" w:rsidRPr="006F0679">
        <w:rPr>
          <w:lang w:val="fr-FR"/>
        </w:rPr>
        <w:t xml:space="preserve">la situation en ce qui concerne </w:t>
      </w:r>
      <w:r w:rsidR="00FA0ADB" w:rsidRPr="006F0679">
        <w:rPr>
          <w:lang w:val="fr-FR"/>
        </w:rPr>
        <w:t>le partage des connaissances au sein de l</w:t>
      </w:r>
      <w:r w:rsidR="00E91F2D" w:rsidRPr="006F0679">
        <w:rPr>
          <w:lang w:val="fr-FR"/>
        </w:rPr>
        <w:t>’</w:t>
      </w:r>
      <w:r w:rsidR="00FA0ADB" w:rsidRPr="006F0679">
        <w:rPr>
          <w:lang w:val="fr-FR"/>
        </w:rPr>
        <w:t>OMPI</w:t>
      </w:r>
      <w:r w:rsidR="00B66A9B" w:rsidRPr="006F0679">
        <w:rPr>
          <w:lang w:val="fr-FR"/>
        </w:rPr>
        <w:t xml:space="preserve">, </w:t>
      </w:r>
      <w:r w:rsidR="00FA0ADB"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="00FA0ADB" w:rsidRPr="006F0679">
        <w:rPr>
          <w:lang w:val="fr-FR"/>
        </w:rPr>
        <w:t>Organisation propose d</w:t>
      </w:r>
      <w:r w:rsidR="00E91F2D" w:rsidRPr="006F0679">
        <w:rPr>
          <w:lang w:val="fr-FR"/>
        </w:rPr>
        <w:t>’</w:t>
      </w:r>
      <w:r w:rsidR="00FA0ADB" w:rsidRPr="006F0679">
        <w:rPr>
          <w:lang w:val="fr-FR"/>
        </w:rPr>
        <w:t>articuler sa stratégie autour des éléments suivants :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93566D" w:rsidP="00845E81">
      <w:pPr>
        <w:pStyle w:val="ListParagraph"/>
        <w:numPr>
          <w:ilvl w:val="0"/>
          <w:numId w:val="20"/>
        </w:numPr>
        <w:tabs>
          <w:tab w:val="left" w:pos="993"/>
        </w:tabs>
        <w:spacing w:after="120"/>
        <w:ind w:left="992" w:hanging="425"/>
        <w:contextualSpacing w:val="0"/>
        <w:rPr>
          <w:lang w:val="fr-FR"/>
        </w:rPr>
      </w:pPr>
      <w:r w:rsidRPr="006F0679">
        <w:rPr>
          <w:lang w:val="fr-FR"/>
        </w:rPr>
        <w:t>l</w:t>
      </w:r>
      <w:r w:rsidR="00FA0ADB" w:rsidRPr="006F0679">
        <w:rPr>
          <w:lang w:val="fr-FR"/>
        </w:rPr>
        <w:t>e renforcement des capacités actuelles de l</w:t>
      </w:r>
      <w:r w:rsidR="00E91F2D" w:rsidRPr="006F0679">
        <w:rPr>
          <w:lang w:val="fr-FR"/>
        </w:rPr>
        <w:t>’</w:t>
      </w:r>
      <w:r w:rsidR="00FA0ADB" w:rsidRPr="006F0679">
        <w:rPr>
          <w:lang w:val="fr-FR"/>
        </w:rPr>
        <w:t xml:space="preserve">OMPI </w:t>
      </w:r>
      <w:r w:rsidRPr="006F0679">
        <w:rPr>
          <w:lang w:val="fr-FR"/>
        </w:rPr>
        <w:t xml:space="preserve">en </w:t>
      </w:r>
      <w:r w:rsidR="003B3A13" w:rsidRPr="006F0679">
        <w:rPr>
          <w:lang w:val="fr-FR"/>
        </w:rPr>
        <w:t>termes</w:t>
      </w:r>
      <w:r w:rsidRPr="006F0679">
        <w:rPr>
          <w:lang w:val="fr-FR"/>
        </w:rPr>
        <w:t xml:space="preserve">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environnement de gestion des connaissances</w:t>
      </w:r>
      <w:r w:rsidR="00B66A9B" w:rsidRPr="006F0679">
        <w:rPr>
          <w:lang w:val="fr-FR"/>
        </w:rPr>
        <w:t>;</w:t>
      </w:r>
      <w:r w:rsidR="00FE7A2A" w:rsidRPr="006F0679">
        <w:rPr>
          <w:lang w:val="fr-FR"/>
        </w:rPr>
        <w:t xml:space="preserve"> </w:t>
      </w:r>
      <w:r w:rsidRPr="006F0679">
        <w:rPr>
          <w:lang w:val="fr-FR"/>
        </w:rPr>
        <w:t xml:space="preserve"> et</w:t>
      </w:r>
    </w:p>
    <w:p w:rsidR="004D7733" w:rsidRPr="006F0679" w:rsidRDefault="0093566D" w:rsidP="00845E81">
      <w:pPr>
        <w:pStyle w:val="ListParagraph"/>
        <w:numPr>
          <w:ilvl w:val="0"/>
          <w:numId w:val="20"/>
        </w:numPr>
        <w:spacing w:after="120"/>
        <w:ind w:left="992" w:hanging="425"/>
        <w:contextualSpacing w:val="0"/>
        <w:rPr>
          <w:lang w:val="fr-FR"/>
        </w:rPr>
      </w:pPr>
      <w:r w:rsidRPr="006F0679">
        <w:rPr>
          <w:lang w:val="fr-FR"/>
        </w:rPr>
        <w:t>la mise en place de processus de gestion des connaissances à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échelle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Organisation</w:t>
      </w:r>
      <w:r w:rsidR="00B66A9B" w:rsidRPr="006F0679">
        <w:rPr>
          <w:lang w:val="fr-FR"/>
        </w:rPr>
        <w:t>.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93566D" w:rsidP="00781563">
      <w:pPr>
        <w:rPr>
          <w:lang w:val="fr-FR"/>
        </w:rPr>
      </w:pPr>
      <w:r w:rsidRPr="006F0679">
        <w:rPr>
          <w:lang w:val="fr-FR"/>
        </w:rPr>
        <w:t>La mise en œuvre de cette stratégie contribue à la réalisation de l</w:t>
      </w:r>
      <w:r w:rsidR="00E91F2D" w:rsidRPr="006F0679">
        <w:rPr>
          <w:lang w:val="fr-FR"/>
        </w:rPr>
        <w:t>’</w:t>
      </w:r>
      <w:r w:rsidR="0015000D" w:rsidRPr="006F0679">
        <w:rPr>
          <w:lang w:val="fr-FR"/>
        </w:rPr>
        <w:t>objectif stratégique auxiliaire </w:t>
      </w:r>
      <w:r w:rsidRPr="006F0679">
        <w:rPr>
          <w:lang w:val="fr-FR"/>
        </w:rPr>
        <w:t>IX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OMPI, </w:t>
      </w:r>
      <w:r w:rsidR="00E91F2D" w:rsidRPr="006F0679">
        <w:rPr>
          <w:lang w:val="fr-FR"/>
        </w:rPr>
        <w:t>à savoir</w:t>
      </w:r>
      <w:r w:rsidR="00F64422" w:rsidRPr="006F0679">
        <w:rPr>
          <w:lang w:val="fr-FR"/>
        </w:rPr>
        <w:t xml:space="preserve"> </w:t>
      </w:r>
      <w:r w:rsidR="005E4F2F" w:rsidRPr="006F0679">
        <w:rPr>
          <w:i/>
          <w:lang w:val="fr-FR"/>
        </w:rPr>
        <w:t>“</w:t>
      </w:r>
      <w:r w:rsidR="00F64422" w:rsidRPr="006F0679">
        <w:rPr>
          <w:i/>
          <w:lang w:val="fr-FR"/>
        </w:rPr>
        <w:t>u</w:t>
      </w:r>
      <w:r w:rsidRPr="006F0679">
        <w:rPr>
          <w:i/>
          <w:lang w:val="fr-FR"/>
        </w:rPr>
        <w:t>ne structure d</w:t>
      </w:r>
      <w:r w:rsidR="00E91F2D" w:rsidRPr="006F0679">
        <w:rPr>
          <w:i/>
          <w:lang w:val="fr-FR"/>
        </w:rPr>
        <w:t>’</w:t>
      </w:r>
      <w:r w:rsidRPr="006F0679">
        <w:rPr>
          <w:i/>
          <w:lang w:val="fr-FR"/>
        </w:rPr>
        <w:t>appui administratif et financier efficace afin de permett</w:t>
      </w:r>
      <w:r w:rsidR="00F64422" w:rsidRPr="006F0679">
        <w:rPr>
          <w:i/>
          <w:lang w:val="fr-FR"/>
        </w:rPr>
        <w:t>re</w:t>
      </w:r>
      <w:r w:rsidRPr="006F0679">
        <w:rPr>
          <w:i/>
          <w:lang w:val="fr-FR"/>
        </w:rPr>
        <w:t xml:space="preserve"> à l</w:t>
      </w:r>
      <w:r w:rsidR="00E91F2D" w:rsidRPr="006F0679">
        <w:rPr>
          <w:i/>
          <w:lang w:val="fr-FR"/>
        </w:rPr>
        <w:t>’</w:t>
      </w:r>
      <w:r w:rsidRPr="006F0679">
        <w:rPr>
          <w:i/>
          <w:lang w:val="fr-FR"/>
        </w:rPr>
        <w:t>OMPI d</w:t>
      </w:r>
      <w:r w:rsidR="00E91F2D" w:rsidRPr="006F0679">
        <w:rPr>
          <w:i/>
          <w:lang w:val="fr-FR"/>
        </w:rPr>
        <w:t>’</w:t>
      </w:r>
      <w:r w:rsidRPr="006F0679">
        <w:rPr>
          <w:i/>
          <w:lang w:val="fr-FR"/>
        </w:rPr>
        <w:t>exécuter ses programmes</w:t>
      </w:r>
      <w:r w:rsidR="005E4F2F" w:rsidRPr="006F0679">
        <w:rPr>
          <w:i/>
          <w:lang w:val="fr-FR"/>
        </w:rPr>
        <w:t>”</w:t>
      </w:r>
      <w:r w:rsidRPr="006F0679">
        <w:rPr>
          <w:lang w:val="fr-FR"/>
        </w:rPr>
        <w:t xml:space="preserve">, </w:t>
      </w:r>
      <w:r w:rsidR="003B3A13" w:rsidRPr="006F0679">
        <w:rPr>
          <w:lang w:val="fr-FR"/>
        </w:rPr>
        <w:t xml:space="preserve">et donne à </w:t>
      </w:r>
      <w:r w:rsidR="002D4523"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="002D4523" w:rsidRPr="006F0679">
        <w:rPr>
          <w:lang w:val="fr-FR"/>
        </w:rPr>
        <w:t>Organisation les moyens d</w:t>
      </w:r>
      <w:r w:rsidR="00E91F2D" w:rsidRPr="006F0679">
        <w:rPr>
          <w:lang w:val="fr-FR"/>
        </w:rPr>
        <w:t>’</w:t>
      </w:r>
      <w:r w:rsidR="002D4523" w:rsidRPr="006F0679">
        <w:rPr>
          <w:lang w:val="fr-FR"/>
        </w:rPr>
        <w:t xml:space="preserve">atteindre </w:t>
      </w:r>
      <w:r w:rsidR="003B3A13" w:rsidRPr="006F0679">
        <w:rPr>
          <w:lang w:val="fr-FR"/>
        </w:rPr>
        <w:t>ses</w:t>
      </w:r>
      <w:r w:rsidRPr="006F0679">
        <w:rPr>
          <w:lang w:val="fr-FR"/>
        </w:rPr>
        <w:t xml:space="preserve"> objectifs stratégiques de fond</w:t>
      </w:r>
      <w:r w:rsidR="0015000D" w:rsidRPr="006F0679">
        <w:rPr>
          <w:lang w:val="fr-FR"/>
        </w:rPr>
        <w:t> </w:t>
      </w:r>
      <w:r w:rsidRPr="006F0679">
        <w:rPr>
          <w:lang w:val="fr-FR"/>
        </w:rPr>
        <w:t>I à</w:t>
      </w:r>
      <w:r w:rsidR="0015000D" w:rsidRPr="006F0679">
        <w:rPr>
          <w:lang w:val="fr-FR"/>
        </w:rPr>
        <w:t> </w:t>
      </w:r>
      <w:r w:rsidRPr="006F0679">
        <w:rPr>
          <w:lang w:val="fr-FR"/>
        </w:rPr>
        <w:t>VII</w:t>
      </w:r>
      <w:r w:rsidR="005E4F2F" w:rsidRPr="006F0679">
        <w:rPr>
          <w:lang w:val="fr-FR"/>
        </w:rPr>
        <w:t>.</w:t>
      </w:r>
    </w:p>
    <w:p w:rsidR="004D7733" w:rsidRPr="006F0679" w:rsidRDefault="00F64422" w:rsidP="005A16A1">
      <w:pPr>
        <w:pStyle w:val="Heading2"/>
        <w:rPr>
          <w:lang w:val="fr-FR"/>
        </w:rPr>
      </w:pPr>
      <w:bookmarkStart w:id="15" w:name="_Toc426103174"/>
      <w:r w:rsidRPr="006F0679">
        <w:rPr>
          <w:lang w:val="fr-FR"/>
        </w:rPr>
        <w:t>Environnement de gestion des connaissances</w:t>
      </w:r>
      <w:bookmarkEnd w:id="15"/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F64422" w:rsidP="00781563">
      <w:pPr>
        <w:rPr>
          <w:lang w:val="fr-FR"/>
        </w:rPr>
      </w:pPr>
      <w:r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environnement de gestion des connaissances </w:t>
      </w:r>
      <w:r w:rsidR="003B3A13" w:rsidRPr="006F0679">
        <w:rPr>
          <w:lang w:val="fr-FR"/>
        </w:rPr>
        <w:t>constitue</w:t>
      </w:r>
      <w:r w:rsidRPr="006F0679">
        <w:rPr>
          <w:lang w:val="fr-FR"/>
        </w:rPr>
        <w:t xml:space="preserve"> le cadre d</w:t>
      </w:r>
      <w:r w:rsidR="003B3A13" w:rsidRPr="006F0679">
        <w:rPr>
          <w:lang w:val="fr-FR"/>
        </w:rPr>
        <w:t>ans le</w:t>
      </w:r>
      <w:r w:rsidRPr="006F0679">
        <w:rPr>
          <w:lang w:val="fr-FR"/>
        </w:rPr>
        <w:t>quel s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inscriront les processus de gestion des connaissances</w:t>
      </w:r>
      <w:r w:rsidR="005368B3" w:rsidRPr="006F0679">
        <w:rPr>
          <w:lang w:val="fr-FR"/>
        </w:rPr>
        <w:t xml:space="preserve">.  </w:t>
      </w:r>
      <w:r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 est consciente de </w:t>
      </w:r>
      <w:r w:rsidR="003B3A13" w:rsidRPr="006F0679">
        <w:rPr>
          <w:lang w:val="fr-FR"/>
        </w:rPr>
        <w:t xml:space="preserve">la nécessité </w:t>
      </w:r>
      <w:r w:rsidRPr="006F0679">
        <w:rPr>
          <w:lang w:val="fr-FR"/>
        </w:rPr>
        <w:t>de développer cet environnement,</w:t>
      </w:r>
      <w:r w:rsidR="003B3A13" w:rsidRPr="006F0679">
        <w:rPr>
          <w:lang w:val="fr-FR"/>
        </w:rPr>
        <w:t xml:space="preserve"> sans quoi</w:t>
      </w:r>
      <w:r w:rsidRPr="006F0679">
        <w:rPr>
          <w:lang w:val="fr-FR"/>
        </w:rPr>
        <w:t xml:space="preserve"> la mise en œuvre de</w:t>
      </w:r>
      <w:r w:rsidR="003B3A13" w:rsidRPr="006F0679">
        <w:rPr>
          <w:lang w:val="fr-FR"/>
        </w:rPr>
        <w:t xml:space="preserve"> ce</w:t>
      </w:r>
      <w:r w:rsidRPr="006F0679">
        <w:rPr>
          <w:lang w:val="fr-FR"/>
        </w:rPr>
        <w:t xml:space="preserve">s processus sera </w:t>
      </w:r>
      <w:r w:rsidR="00E76653" w:rsidRPr="006F0679">
        <w:rPr>
          <w:lang w:val="fr-FR"/>
        </w:rPr>
        <w:t>“</w:t>
      </w:r>
      <w:r w:rsidR="003B3A13" w:rsidRPr="006F0679">
        <w:rPr>
          <w:lang w:val="fr-FR"/>
        </w:rPr>
        <w:t>artificielle</w:t>
      </w:r>
      <w:r w:rsidR="00E76653" w:rsidRPr="006F0679">
        <w:rPr>
          <w:lang w:val="fr-FR"/>
        </w:rPr>
        <w:t>”</w:t>
      </w:r>
      <w:r w:rsidRPr="006F0679">
        <w:rPr>
          <w:lang w:val="fr-FR"/>
        </w:rPr>
        <w:t xml:space="preserve"> et </w:t>
      </w:r>
      <w:r w:rsidR="007F4E56">
        <w:rPr>
          <w:lang w:val="fr-FR"/>
        </w:rPr>
        <w:t>non viable</w:t>
      </w:r>
      <w:r w:rsidR="005368B3" w:rsidRPr="006F0679">
        <w:rPr>
          <w:lang w:val="fr-FR"/>
        </w:rPr>
        <w:t>.</w:t>
      </w:r>
    </w:p>
    <w:p w:rsidR="004D7733" w:rsidRPr="006F0679" w:rsidRDefault="00F64422" w:rsidP="005A16A1">
      <w:pPr>
        <w:pStyle w:val="Heading3"/>
        <w:rPr>
          <w:lang w:val="fr-FR"/>
        </w:rPr>
      </w:pPr>
      <w:r w:rsidRPr="006F0679">
        <w:rPr>
          <w:lang w:val="fr-FR"/>
        </w:rPr>
        <w:t xml:space="preserve">Structures </w:t>
      </w:r>
      <w:r w:rsidR="003B3A13" w:rsidRPr="006F0679">
        <w:rPr>
          <w:lang w:val="fr-FR"/>
        </w:rPr>
        <w:t>et contrôles organisationnel</w:t>
      </w:r>
      <w:r w:rsidRPr="006F0679">
        <w:rPr>
          <w:lang w:val="fr-FR"/>
        </w:rPr>
        <w:t>s en matière de gestion des connaissances</w:t>
      </w:r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F64422" w:rsidP="00781563">
      <w:pPr>
        <w:rPr>
          <w:lang w:val="fr-FR"/>
        </w:rPr>
      </w:pPr>
      <w:r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 va </w:t>
      </w:r>
      <w:r w:rsidR="003B3A13" w:rsidRPr="006F0679">
        <w:rPr>
          <w:lang w:val="fr-FR"/>
        </w:rPr>
        <w:t>maintenir l</w:t>
      </w:r>
      <w:r w:rsidRPr="006F0679">
        <w:rPr>
          <w:lang w:val="fr-FR"/>
        </w:rPr>
        <w:t xml:space="preserve">es structures organisationnelles informelles </w:t>
      </w:r>
      <w:r w:rsidR="004D3109" w:rsidRPr="006F0679">
        <w:rPr>
          <w:lang w:val="fr-FR"/>
        </w:rPr>
        <w:t>nécessaires</w:t>
      </w:r>
      <w:r w:rsidRPr="006F0679">
        <w:rPr>
          <w:lang w:val="fr-FR"/>
        </w:rPr>
        <w:t xml:space="preserve"> pour assurer la coordination entre les différents secteurs en termes de gestion des connaissances, tout en veillant à ce que chaque secteur reste maître de ses actifs fondés sur les connaissances</w:t>
      </w:r>
      <w:r w:rsidR="00157720" w:rsidRPr="006F0679">
        <w:rPr>
          <w:lang w:val="fr-FR"/>
        </w:rPr>
        <w:t>.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F64422" w:rsidP="00781563">
      <w:pPr>
        <w:rPr>
          <w:lang w:val="fr-FR"/>
        </w:rPr>
      </w:pPr>
      <w:r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 a élaboré et </w:t>
      </w:r>
      <w:r w:rsidR="00775C9A" w:rsidRPr="006F0679">
        <w:rPr>
          <w:lang w:val="fr-FR"/>
        </w:rPr>
        <w:t xml:space="preserve">déjà </w:t>
      </w:r>
      <w:r w:rsidRPr="006F0679">
        <w:rPr>
          <w:lang w:val="fr-FR"/>
        </w:rPr>
        <w:t>mis en œuvre un certain nombre de politiques qui contribuent indirectement à la gestion des connaissances.  En conséquence, l</w:t>
      </w:r>
      <w:r w:rsidR="00E91F2D" w:rsidRPr="006F0679">
        <w:rPr>
          <w:lang w:val="fr-FR"/>
        </w:rPr>
        <w:t>’</w:t>
      </w:r>
      <w:r w:rsidR="00775C9A" w:rsidRPr="006F0679">
        <w:rPr>
          <w:lang w:val="fr-FR"/>
        </w:rPr>
        <w:t>OMPI va s</w:t>
      </w:r>
      <w:r w:rsidR="00E91F2D" w:rsidRPr="006F0679">
        <w:rPr>
          <w:lang w:val="fr-FR"/>
        </w:rPr>
        <w:t>’</w:t>
      </w:r>
      <w:r w:rsidR="00775C9A" w:rsidRPr="006F0679">
        <w:rPr>
          <w:lang w:val="fr-FR"/>
        </w:rPr>
        <w:t>appuyer</w:t>
      </w:r>
      <w:r w:rsidRPr="006F0679">
        <w:rPr>
          <w:lang w:val="fr-FR"/>
        </w:rPr>
        <w:t xml:space="preserve"> sur </w:t>
      </w:r>
      <w:r w:rsidR="00775C9A" w:rsidRPr="006F0679">
        <w:rPr>
          <w:lang w:val="fr-FR"/>
        </w:rPr>
        <w:t>les</w:t>
      </w:r>
      <w:r w:rsidRPr="006F0679">
        <w:rPr>
          <w:lang w:val="fr-FR"/>
        </w:rPr>
        <w:t xml:space="preserve"> précédentes recomma</w:t>
      </w:r>
      <w:r w:rsidR="00546654" w:rsidRPr="006F0679">
        <w:rPr>
          <w:lang w:val="fr-FR"/>
        </w:rPr>
        <w:t>ndations</w:t>
      </w:r>
      <w:r w:rsidR="00546654" w:rsidRPr="006F0679">
        <w:rPr>
          <w:rStyle w:val="FootnoteReference"/>
          <w:lang w:val="fr-FR"/>
        </w:rPr>
        <w:footnoteReference w:id="7"/>
      </w:r>
      <w:r w:rsidR="00546654" w:rsidRPr="006F0679">
        <w:rPr>
          <w:lang w:val="fr-FR"/>
        </w:rPr>
        <w:t xml:space="preserve"> </w:t>
      </w:r>
      <w:r w:rsidRPr="006F0679">
        <w:rPr>
          <w:lang w:val="fr-FR"/>
        </w:rPr>
        <w:t xml:space="preserve">pour élaborer un ensemble de politiques </w:t>
      </w:r>
      <w:r w:rsidR="00775C9A" w:rsidRPr="006F0679">
        <w:rPr>
          <w:lang w:val="fr-FR"/>
        </w:rPr>
        <w:t xml:space="preserve">en faveur de </w:t>
      </w:r>
      <w:r w:rsidRPr="006F0679">
        <w:rPr>
          <w:lang w:val="fr-FR"/>
        </w:rPr>
        <w:t>la gestion des connaissances</w:t>
      </w:r>
      <w:r w:rsidR="00CC1D14" w:rsidRPr="006F0679">
        <w:rPr>
          <w:lang w:val="fr-FR"/>
        </w:rPr>
        <w:t xml:space="preserve"> et </w:t>
      </w:r>
      <w:r w:rsidR="00775C9A" w:rsidRPr="006F0679">
        <w:rPr>
          <w:lang w:val="fr-FR"/>
        </w:rPr>
        <w:t>va</w:t>
      </w:r>
      <w:r w:rsidR="002D4523" w:rsidRPr="006F0679">
        <w:rPr>
          <w:lang w:val="fr-FR"/>
        </w:rPr>
        <w:t>,</w:t>
      </w:r>
      <w:r w:rsidR="00775C9A" w:rsidRPr="006F0679">
        <w:rPr>
          <w:lang w:val="fr-FR"/>
        </w:rPr>
        <w:t xml:space="preserve"> selon que de besoin</w:t>
      </w:r>
      <w:r w:rsidR="002D4523" w:rsidRPr="006F0679">
        <w:rPr>
          <w:lang w:val="fr-FR"/>
        </w:rPr>
        <w:t>,</w:t>
      </w:r>
      <w:r w:rsidR="00775C9A" w:rsidRPr="006F0679">
        <w:rPr>
          <w:lang w:val="fr-FR"/>
        </w:rPr>
        <w:t xml:space="preserve"> </w:t>
      </w:r>
      <w:r w:rsidR="00CC1D14" w:rsidRPr="006F0679">
        <w:rPr>
          <w:lang w:val="fr-FR"/>
        </w:rPr>
        <w:t>harmoniser</w:t>
      </w:r>
      <w:r w:rsidR="00775C9A" w:rsidRPr="006F0679">
        <w:rPr>
          <w:lang w:val="fr-FR"/>
        </w:rPr>
        <w:t xml:space="preserve"> les politiques en vigueur</w:t>
      </w:r>
      <w:r w:rsidR="002D4523" w:rsidRPr="006F0679">
        <w:rPr>
          <w:lang w:val="fr-FR"/>
        </w:rPr>
        <w:t xml:space="preserve"> à cet égard</w:t>
      </w:r>
      <w:r w:rsidR="00DC497E" w:rsidRPr="006F0679">
        <w:rPr>
          <w:lang w:val="fr-FR"/>
        </w:rPr>
        <w:t>.</w:t>
      </w:r>
    </w:p>
    <w:p w:rsidR="004D7733" w:rsidRPr="006F0679" w:rsidRDefault="00CC1D14" w:rsidP="005A16A1">
      <w:pPr>
        <w:pStyle w:val="Heading3"/>
        <w:rPr>
          <w:lang w:val="fr-FR"/>
        </w:rPr>
      </w:pPr>
      <w:r w:rsidRPr="006F0679">
        <w:rPr>
          <w:lang w:val="fr-FR"/>
        </w:rPr>
        <w:lastRenderedPageBreak/>
        <w:t>Mise en place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une culture de la gestion des connaissances et </w:t>
      </w:r>
      <w:r w:rsidR="00775C9A" w:rsidRPr="006F0679">
        <w:rPr>
          <w:lang w:val="fr-FR"/>
        </w:rPr>
        <w:t>attentes concernant les fonctionnaires</w:t>
      </w:r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CC1D14" w:rsidP="00781563">
      <w:pPr>
        <w:rPr>
          <w:lang w:val="fr-FR"/>
        </w:rPr>
      </w:pPr>
      <w:r w:rsidRPr="006F0679">
        <w:rPr>
          <w:lang w:val="fr-FR"/>
        </w:rPr>
        <w:t>Il est largement reconnu que, pour que la gestion des connaissances soit efficace au sein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une organisation et </w:t>
      </w:r>
      <w:r w:rsidR="004D3109" w:rsidRPr="006F0679">
        <w:rPr>
          <w:lang w:val="fr-FR"/>
        </w:rPr>
        <w:t xml:space="preserve">pour </w:t>
      </w:r>
      <w:r w:rsidRPr="006F0679">
        <w:rPr>
          <w:lang w:val="fr-FR"/>
        </w:rPr>
        <w:t>qu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une organisation </w:t>
      </w:r>
      <w:r w:rsidR="004D3109" w:rsidRPr="006F0679">
        <w:rPr>
          <w:lang w:val="fr-FR"/>
        </w:rPr>
        <w:t>comm</w:t>
      </w:r>
      <w:r w:rsidRPr="006F0679">
        <w:rPr>
          <w:lang w:val="fr-FR"/>
        </w:rPr>
        <w:t>e l</w:t>
      </w:r>
      <w:r w:rsidR="00E91F2D" w:rsidRPr="006F0679">
        <w:rPr>
          <w:lang w:val="fr-FR"/>
        </w:rPr>
        <w:t>’</w:t>
      </w:r>
      <w:r w:rsidR="00775C9A" w:rsidRPr="006F0679">
        <w:rPr>
          <w:lang w:val="fr-FR"/>
        </w:rPr>
        <w:t xml:space="preserve">OMPI soit </w:t>
      </w:r>
      <w:r w:rsidRPr="006F0679">
        <w:rPr>
          <w:lang w:val="fr-FR"/>
        </w:rPr>
        <w:t>véritable</w:t>
      </w:r>
      <w:r w:rsidR="00775C9A" w:rsidRPr="006F0679">
        <w:rPr>
          <w:lang w:val="fr-FR"/>
        </w:rPr>
        <w:t>ment une</w:t>
      </w:r>
      <w:r w:rsidRPr="006F0679">
        <w:rPr>
          <w:lang w:val="fr-FR"/>
        </w:rPr>
        <w:t xml:space="preserve"> </w:t>
      </w:r>
      <w:r w:rsidR="00E76653" w:rsidRPr="006F0679">
        <w:rPr>
          <w:lang w:val="fr-FR"/>
        </w:rPr>
        <w:t>“</w:t>
      </w:r>
      <w:r w:rsidRPr="006F0679">
        <w:rPr>
          <w:lang w:val="fr-FR"/>
        </w:rPr>
        <w:t>organisation fondée sur le</w:t>
      </w:r>
      <w:r w:rsidR="00775C9A" w:rsidRPr="006F0679">
        <w:rPr>
          <w:lang w:val="fr-FR"/>
        </w:rPr>
        <w:t xml:space="preserve"> savoir</w:t>
      </w:r>
      <w:r w:rsidR="00E76653" w:rsidRPr="006F0679">
        <w:rPr>
          <w:lang w:val="fr-FR"/>
        </w:rPr>
        <w:t>”</w:t>
      </w:r>
      <w:r w:rsidRPr="006F0679">
        <w:rPr>
          <w:lang w:val="fr-FR"/>
        </w:rPr>
        <w:t xml:space="preserve">, les activités relatives à la gestion des connaissances doivent </w:t>
      </w:r>
      <w:r w:rsidR="00775C9A" w:rsidRPr="006F0679">
        <w:rPr>
          <w:lang w:val="fr-FR"/>
        </w:rPr>
        <w:t>s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inscri</w:t>
      </w:r>
      <w:r w:rsidR="00775C9A" w:rsidRPr="006F0679">
        <w:rPr>
          <w:lang w:val="fr-FR"/>
        </w:rPr>
        <w:t>r</w:t>
      </w:r>
      <w:r w:rsidRPr="006F0679">
        <w:rPr>
          <w:lang w:val="fr-FR"/>
        </w:rPr>
        <w:t>e</w:t>
      </w:r>
      <w:r w:rsidR="00775C9A" w:rsidRPr="006F0679">
        <w:rPr>
          <w:lang w:val="fr-FR"/>
        </w:rPr>
        <w:t xml:space="preserve"> </w:t>
      </w:r>
      <w:r w:rsidR="004D3109" w:rsidRPr="006F0679">
        <w:rPr>
          <w:lang w:val="fr-FR"/>
        </w:rPr>
        <w:t>pleinement</w:t>
      </w:r>
      <w:r w:rsidRPr="006F0679">
        <w:rPr>
          <w:lang w:val="fr-FR"/>
        </w:rPr>
        <w:t xml:space="preserve"> dans la culture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organisation.</w:t>
      </w:r>
      <w:r w:rsidR="00725E56" w:rsidRPr="006F0679">
        <w:rPr>
          <w:lang w:val="fr-FR"/>
        </w:rPr>
        <w:t xml:space="preserve">  </w:t>
      </w:r>
      <w:r w:rsidRPr="006F0679">
        <w:rPr>
          <w:lang w:val="fr-FR"/>
        </w:rPr>
        <w:t xml:space="preserve">Les </w:t>
      </w:r>
      <w:r w:rsidR="00036E00" w:rsidRPr="006F0679">
        <w:rPr>
          <w:lang w:val="fr-FR"/>
        </w:rPr>
        <w:t>fonctionnaires</w:t>
      </w:r>
      <w:r w:rsidRPr="006F0679">
        <w:rPr>
          <w:lang w:val="fr-FR"/>
        </w:rPr>
        <w:t xml:space="preserve"> doivent réfléchir à la manière dont la gestion des connaissances peut les aider à s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acquitter de leurs tâches et à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incidence</w:t>
      </w:r>
      <w:r w:rsidR="002D4523" w:rsidRPr="006F0679">
        <w:rPr>
          <w:lang w:val="fr-FR"/>
        </w:rPr>
        <w:t xml:space="preserve"> </w:t>
      </w:r>
      <w:r w:rsidR="004D3109" w:rsidRPr="006F0679">
        <w:rPr>
          <w:lang w:val="fr-FR"/>
        </w:rPr>
        <w:t xml:space="preserve">que peuvent avoir </w:t>
      </w:r>
      <w:r w:rsidR="002D4523" w:rsidRPr="006F0679">
        <w:rPr>
          <w:lang w:val="fr-FR"/>
        </w:rPr>
        <w:t>sur les connaissances institutionnelles</w:t>
      </w:r>
      <w:r w:rsidRPr="006F0679">
        <w:rPr>
          <w:lang w:val="fr-FR"/>
        </w:rPr>
        <w:t xml:space="preserve"> chacune de leurs interactions avec un actif fondé sur les informations ou les connaissances</w:t>
      </w:r>
      <w:r w:rsidR="006758B6" w:rsidRPr="006F0679">
        <w:rPr>
          <w:lang w:val="fr-FR"/>
        </w:rPr>
        <w:t>.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E15F48" w:rsidP="00781563">
      <w:pPr>
        <w:rPr>
          <w:lang w:val="fr-FR"/>
        </w:rPr>
      </w:pPr>
      <w:r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 va donc s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attacher à renforcer la culture de la gestion des connaissances au sein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Organisation afin </w:t>
      </w:r>
      <w:r w:rsidR="00775C9A" w:rsidRPr="006F0679">
        <w:rPr>
          <w:lang w:val="fr-FR"/>
        </w:rPr>
        <w:t>que</w:t>
      </w:r>
      <w:r w:rsidRPr="006F0679">
        <w:rPr>
          <w:lang w:val="fr-FR"/>
        </w:rPr>
        <w:t xml:space="preserve"> celle</w:t>
      </w:r>
      <w:r w:rsidR="006F0679" w:rsidRPr="006F0679">
        <w:rPr>
          <w:lang w:val="fr-FR"/>
        </w:rPr>
        <w:noBreakHyphen/>
      </w:r>
      <w:r w:rsidRPr="006F0679">
        <w:rPr>
          <w:lang w:val="fr-FR"/>
        </w:rPr>
        <w:t xml:space="preserve">ci </w:t>
      </w:r>
      <w:r w:rsidR="00775C9A" w:rsidRPr="006F0679">
        <w:rPr>
          <w:lang w:val="fr-FR"/>
        </w:rPr>
        <w:t xml:space="preserve">soit </w:t>
      </w:r>
      <w:r w:rsidRPr="006F0679">
        <w:rPr>
          <w:lang w:val="fr-FR"/>
        </w:rPr>
        <w:t>au cœur des projets qui seront menés dans le cadre de la mise en œuvre de cette stratégie.</w:t>
      </w:r>
    </w:p>
    <w:p w:rsidR="004D7733" w:rsidRPr="006F0679" w:rsidRDefault="008D7A35" w:rsidP="005A16A1">
      <w:pPr>
        <w:pStyle w:val="Heading3"/>
        <w:rPr>
          <w:lang w:val="fr-FR"/>
        </w:rPr>
      </w:pPr>
      <w:r w:rsidRPr="006F0679">
        <w:rPr>
          <w:lang w:val="fr-FR"/>
        </w:rPr>
        <w:t>Protection</w:t>
      </w:r>
      <w:r w:rsidR="00E15F48" w:rsidRPr="006F0679">
        <w:rPr>
          <w:lang w:val="fr-FR"/>
        </w:rPr>
        <w:t xml:space="preserve"> des connaissances et résilience de l</w:t>
      </w:r>
      <w:r w:rsidR="00E91F2D" w:rsidRPr="006F0679">
        <w:rPr>
          <w:lang w:val="fr-FR"/>
        </w:rPr>
        <w:t>’</w:t>
      </w:r>
      <w:r w:rsidR="00E15F48" w:rsidRPr="006F0679">
        <w:rPr>
          <w:lang w:val="fr-FR"/>
        </w:rPr>
        <w:t>Organisation</w:t>
      </w:r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E15F48" w:rsidP="00781563">
      <w:pPr>
        <w:rPr>
          <w:lang w:val="fr-FR"/>
        </w:rPr>
      </w:pPr>
      <w:r w:rsidRPr="006F0679">
        <w:rPr>
          <w:lang w:val="fr-FR"/>
        </w:rPr>
        <w:t>La mise en œuvre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une stratégie de gestion des connaissances peut prendre un certain</w:t>
      </w:r>
      <w:r w:rsidR="008D7A35" w:rsidRPr="006F0679">
        <w:rPr>
          <w:lang w:val="fr-FR"/>
        </w:rPr>
        <w:t xml:space="preserve"> temps, en particulier</w:t>
      </w:r>
      <w:r w:rsidRPr="006F0679">
        <w:rPr>
          <w:lang w:val="fr-FR"/>
        </w:rPr>
        <w:t xml:space="preserve"> </w:t>
      </w:r>
      <w:r w:rsidR="004D3109" w:rsidRPr="006F0679">
        <w:rPr>
          <w:lang w:val="fr-FR"/>
        </w:rPr>
        <w:t>dans</w:t>
      </w:r>
      <w:r w:rsidRPr="006F0679">
        <w:rPr>
          <w:lang w:val="fr-FR"/>
        </w:rPr>
        <w:t xml:space="preserve"> une organisation de la taille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</w:t>
      </w:r>
      <w:r w:rsidR="006758B6" w:rsidRPr="006F0679">
        <w:rPr>
          <w:lang w:val="fr-FR"/>
        </w:rPr>
        <w:t xml:space="preserve">.  </w:t>
      </w:r>
      <w:r w:rsidRPr="006F0679">
        <w:rPr>
          <w:lang w:val="fr-FR"/>
        </w:rPr>
        <w:t>C</w:t>
      </w:r>
      <w:r w:rsidR="00E91F2D" w:rsidRPr="006F0679">
        <w:rPr>
          <w:lang w:val="fr-FR"/>
        </w:rPr>
        <w:t>’</w:t>
      </w:r>
      <w:r w:rsidR="008D7A35" w:rsidRPr="006F0679">
        <w:rPr>
          <w:lang w:val="fr-FR"/>
        </w:rPr>
        <w:t>est pourquoi il importe</w:t>
      </w:r>
      <w:r w:rsidRPr="006F0679">
        <w:rPr>
          <w:lang w:val="fr-FR"/>
        </w:rPr>
        <w:t xml:space="preserve"> de comprendre quelle est la valeur pour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 des différents types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actifs fondés sur les connaissances, quelles sont les conséquences liées à la perte d</w:t>
      </w:r>
      <w:r w:rsidR="008D7A35" w:rsidRPr="006F0679">
        <w:rPr>
          <w:lang w:val="fr-FR"/>
        </w:rPr>
        <w:t>e ces</w:t>
      </w:r>
      <w:r w:rsidRPr="006F0679">
        <w:rPr>
          <w:lang w:val="fr-FR"/>
        </w:rPr>
        <w:t xml:space="preserve"> actif</w:t>
      </w:r>
      <w:r w:rsidR="008D7A35" w:rsidRPr="006F0679">
        <w:rPr>
          <w:lang w:val="fr-FR"/>
        </w:rPr>
        <w:t>s</w:t>
      </w:r>
      <w:r w:rsidRPr="006F0679">
        <w:rPr>
          <w:lang w:val="fr-FR"/>
        </w:rPr>
        <w:t xml:space="preserve"> et quels sont les risques encourus si </w:t>
      </w:r>
      <w:r w:rsidR="008D7A35"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="008D7A35" w:rsidRPr="006F0679">
        <w:rPr>
          <w:lang w:val="fr-FR"/>
        </w:rPr>
        <w:t>on ne protège pas ces</w:t>
      </w:r>
      <w:r w:rsidRPr="006F0679">
        <w:rPr>
          <w:lang w:val="fr-FR"/>
        </w:rPr>
        <w:t xml:space="preserve"> connaissances et </w:t>
      </w:r>
      <w:r w:rsidR="004D3109" w:rsidRPr="006F0679">
        <w:rPr>
          <w:lang w:val="fr-FR"/>
        </w:rPr>
        <w:t>qu</w:t>
      </w:r>
      <w:r w:rsidR="00E91F2D" w:rsidRPr="006F0679">
        <w:rPr>
          <w:lang w:val="fr-FR"/>
        </w:rPr>
        <w:t>’</w:t>
      </w:r>
      <w:r w:rsidR="002D4523" w:rsidRPr="006F0679">
        <w:rPr>
          <w:lang w:val="fr-FR"/>
        </w:rPr>
        <w:t>elles</w:t>
      </w:r>
      <w:r w:rsidRPr="006F0679">
        <w:rPr>
          <w:lang w:val="fr-FR"/>
        </w:rPr>
        <w:t xml:space="preserve"> sont par la suite perdues ou détruites</w:t>
      </w:r>
      <w:r w:rsidR="00927D90" w:rsidRPr="006F0679">
        <w:rPr>
          <w:lang w:val="fr-FR"/>
        </w:rPr>
        <w:t>.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E15F48" w:rsidP="00781563">
      <w:pPr>
        <w:rPr>
          <w:lang w:val="fr-FR"/>
        </w:rPr>
      </w:pPr>
      <w:r w:rsidRPr="006F0679">
        <w:rPr>
          <w:lang w:val="fr-FR"/>
        </w:rPr>
        <w:t xml:space="preserve">Il </w:t>
      </w:r>
      <w:r w:rsidR="008D7A35" w:rsidRPr="006F0679">
        <w:rPr>
          <w:lang w:val="fr-FR"/>
        </w:rPr>
        <w:t>convient</w:t>
      </w:r>
      <w:r w:rsidRPr="006F0679">
        <w:rPr>
          <w:lang w:val="fr-FR"/>
        </w:rPr>
        <w:t xml:space="preserve">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harmoniser cette stratégie de gestion des connaissances, </w:t>
      </w:r>
      <w:r w:rsidR="00E91F2D" w:rsidRPr="006F0679">
        <w:rPr>
          <w:lang w:val="fr-FR"/>
        </w:rPr>
        <w:t>y compris</w:t>
      </w:r>
      <w:r w:rsidRPr="006F0679">
        <w:rPr>
          <w:lang w:val="fr-FR"/>
        </w:rPr>
        <w:t xml:space="preserve"> ses projets de mise en œuvre à venir, et la stratégie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 en matière de résilience</w:t>
      </w:r>
      <w:r w:rsidR="005A4065" w:rsidRPr="006F0679">
        <w:rPr>
          <w:lang w:val="fr-FR"/>
        </w:rPr>
        <w:t xml:space="preserve">.  </w:t>
      </w:r>
      <w:r w:rsidRPr="006F0679">
        <w:rPr>
          <w:lang w:val="fr-FR"/>
        </w:rPr>
        <w:t>La stratégie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 en matière de résilience </w:t>
      </w:r>
      <w:r w:rsidR="008D7A35" w:rsidRPr="006F0679">
        <w:rPr>
          <w:lang w:val="fr-FR"/>
        </w:rPr>
        <w:t>va permettre</w:t>
      </w:r>
      <w:r w:rsidR="00036E00" w:rsidRPr="006F0679">
        <w:rPr>
          <w:lang w:val="fr-FR"/>
        </w:rPr>
        <w:t xml:space="preserve"> de recenser et d</w:t>
      </w:r>
      <w:r w:rsidR="008D7A35" w:rsidRPr="006F0679">
        <w:rPr>
          <w:lang w:val="fr-FR"/>
        </w:rPr>
        <w:t>e surveiller les</w:t>
      </w:r>
      <w:r w:rsidR="00036E00" w:rsidRPr="006F0679">
        <w:rPr>
          <w:lang w:val="fr-FR"/>
        </w:rPr>
        <w:t xml:space="preserve"> actifs fondés sur les connaissances de l</w:t>
      </w:r>
      <w:r w:rsidR="00E91F2D" w:rsidRPr="006F0679">
        <w:rPr>
          <w:lang w:val="fr-FR"/>
        </w:rPr>
        <w:t>’</w:t>
      </w:r>
      <w:r w:rsidR="00036E00" w:rsidRPr="006F0679">
        <w:rPr>
          <w:lang w:val="fr-FR"/>
        </w:rPr>
        <w:t xml:space="preserve">OMPI </w:t>
      </w:r>
      <w:r w:rsidR="008D7A35" w:rsidRPr="006F0679">
        <w:rPr>
          <w:lang w:val="fr-FR"/>
        </w:rPr>
        <w:t xml:space="preserve">qui sont </w:t>
      </w:r>
      <w:r w:rsidR="00036E00" w:rsidRPr="006F0679">
        <w:rPr>
          <w:lang w:val="fr-FR"/>
        </w:rPr>
        <w:t xml:space="preserve">considérés comme essentiels </w:t>
      </w:r>
      <w:r w:rsidR="008D7A35" w:rsidRPr="006F0679">
        <w:rPr>
          <w:lang w:val="fr-FR"/>
        </w:rPr>
        <w:t>pour</w:t>
      </w:r>
      <w:r w:rsidR="00036E00" w:rsidRPr="006F0679">
        <w:rPr>
          <w:lang w:val="fr-FR"/>
        </w:rPr>
        <w:t xml:space="preserve"> l</w:t>
      </w:r>
      <w:r w:rsidR="00E91F2D" w:rsidRPr="006F0679">
        <w:rPr>
          <w:lang w:val="fr-FR"/>
        </w:rPr>
        <w:t>’</w:t>
      </w:r>
      <w:r w:rsidR="00036E00" w:rsidRPr="006F0679">
        <w:rPr>
          <w:lang w:val="fr-FR"/>
        </w:rPr>
        <w:t xml:space="preserve">Organisation ou </w:t>
      </w:r>
      <w:r w:rsidR="004D3109" w:rsidRPr="006F0679">
        <w:rPr>
          <w:lang w:val="fr-FR"/>
        </w:rPr>
        <w:t>s</w:t>
      </w:r>
      <w:r w:rsidR="008D7A35" w:rsidRPr="006F0679">
        <w:rPr>
          <w:lang w:val="fr-FR"/>
        </w:rPr>
        <w:t>es opérations et</w:t>
      </w:r>
      <w:r w:rsidR="003A5665" w:rsidRPr="006F0679">
        <w:rPr>
          <w:lang w:val="fr-FR"/>
        </w:rPr>
        <w:t xml:space="preserve"> </w:t>
      </w:r>
      <w:r w:rsidR="00036E00" w:rsidRPr="006F0679">
        <w:rPr>
          <w:lang w:val="fr-FR"/>
        </w:rPr>
        <w:t>qui pourraient être perdus faute d</w:t>
      </w:r>
      <w:r w:rsidR="00E91F2D" w:rsidRPr="006F0679">
        <w:rPr>
          <w:lang w:val="fr-FR"/>
        </w:rPr>
        <w:t>’</w:t>
      </w:r>
      <w:r w:rsidR="00036E00" w:rsidRPr="006F0679">
        <w:rPr>
          <w:lang w:val="fr-FR"/>
        </w:rPr>
        <w:t xml:space="preserve">anticipation des fonctionnaires ou </w:t>
      </w:r>
      <w:r w:rsidR="008D7A35" w:rsidRPr="006F0679">
        <w:rPr>
          <w:lang w:val="fr-FR"/>
        </w:rPr>
        <w:t>en cas de</w:t>
      </w:r>
      <w:r w:rsidR="00036E00" w:rsidRPr="006F0679">
        <w:rPr>
          <w:lang w:val="fr-FR"/>
        </w:rPr>
        <w:t xml:space="preserve"> situation d</w:t>
      </w:r>
      <w:r w:rsidR="00E91F2D" w:rsidRPr="006F0679">
        <w:rPr>
          <w:lang w:val="fr-FR"/>
        </w:rPr>
        <w:t>’</w:t>
      </w:r>
      <w:r w:rsidR="00036E00" w:rsidRPr="006F0679">
        <w:rPr>
          <w:lang w:val="fr-FR"/>
        </w:rPr>
        <w:t>urgence</w:t>
      </w:r>
      <w:r w:rsidR="005A4065" w:rsidRPr="006F0679">
        <w:rPr>
          <w:lang w:val="fr-FR"/>
        </w:rPr>
        <w:t xml:space="preserve">.  </w:t>
      </w:r>
      <w:r w:rsidR="00036E00" w:rsidRPr="006F0679">
        <w:rPr>
          <w:lang w:val="fr-FR"/>
        </w:rPr>
        <w:t>La stratégie de l</w:t>
      </w:r>
      <w:r w:rsidR="00E91F2D" w:rsidRPr="006F0679">
        <w:rPr>
          <w:lang w:val="fr-FR"/>
        </w:rPr>
        <w:t>’</w:t>
      </w:r>
      <w:r w:rsidR="00036E00" w:rsidRPr="006F0679">
        <w:rPr>
          <w:lang w:val="fr-FR"/>
        </w:rPr>
        <w:t xml:space="preserve">OMPI en matière de résilience </w:t>
      </w:r>
      <w:r w:rsidR="008D7A35" w:rsidRPr="006F0679">
        <w:rPr>
          <w:lang w:val="fr-FR"/>
        </w:rPr>
        <w:t>va</w:t>
      </w:r>
      <w:r w:rsidR="00036E00" w:rsidRPr="006F0679">
        <w:rPr>
          <w:lang w:val="fr-FR"/>
        </w:rPr>
        <w:t xml:space="preserve"> également </w:t>
      </w:r>
      <w:r w:rsidR="008D7A35" w:rsidRPr="006F0679">
        <w:rPr>
          <w:lang w:val="fr-FR"/>
        </w:rPr>
        <w:t xml:space="preserve">permettre </w:t>
      </w:r>
      <w:r w:rsidR="00036E00" w:rsidRPr="006F0679">
        <w:rPr>
          <w:lang w:val="fr-FR"/>
        </w:rPr>
        <w:t xml:space="preserve">de </w:t>
      </w:r>
      <w:r w:rsidR="008D7A35" w:rsidRPr="006F0679">
        <w:rPr>
          <w:lang w:val="fr-FR"/>
        </w:rPr>
        <w:t>recenser les actifs fondés sur l</w:t>
      </w:r>
      <w:r w:rsidR="00036E00" w:rsidRPr="006F0679">
        <w:rPr>
          <w:lang w:val="fr-FR"/>
        </w:rPr>
        <w:t>es connaissances</w:t>
      </w:r>
      <w:r w:rsidR="008D7A35" w:rsidRPr="006F0679">
        <w:rPr>
          <w:lang w:val="fr-FR"/>
        </w:rPr>
        <w:t xml:space="preserve"> qui sont</w:t>
      </w:r>
      <w:r w:rsidR="00036E00" w:rsidRPr="006F0679">
        <w:rPr>
          <w:lang w:val="fr-FR"/>
        </w:rPr>
        <w:t xml:space="preserve"> considéré</w:t>
      </w:r>
      <w:r w:rsidR="008D7A35" w:rsidRPr="006F0679">
        <w:rPr>
          <w:lang w:val="fr-FR"/>
        </w:rPr>
        <w:t>s comme essentiels et qui sont</w:t>
      </w:r>
      <w:r w:rsidR="00036E00" w:rsidRPr="006F0679">
        <w:rPr>
          <w:lang w:val="fr-FR"/>
        </w:rPr>
        <w:t xml:space="preserve"> nécessaires </w:t>
      </w:r>
      <w:r w:rsidR="008D7A35" w:rsidRPr="006F0679">
        <w:rPr>
          <w:lang w:val="fr-FR"/>
        </w:rPr>
        <w:t>à la reprise des opérations</w:t>
      </w:r>
      <w:r w:rsidR="00036E00" w:rsidRPr="006F0679">
        <w:rPr>
          <w:lang w:val="fr-FR"/>
        </w:rPr>
        <w:t xml:space="preserve"> après une situation d</w:t>
      </w:r>
      <w:r w:rsidR="00E91F2D" w:rsidRPr="006F0679">
        <w:rPr>
          <w:lang w:val="fr-FR"/>
        </w:rPr>
        <w:t>’</w:t>
      </w:r>
      <w:r w:rsidR="00036E00" w:rsidRPr="006F0679">
        <w:rPr>
          <w:lang w:val="fr-FR"/>
        </w:rPr>
        <w:t>urgence</w:t>
      </w:r>
      <w:r w:rsidR="003A5665" w:rsidRPr="006F0679">
        <w:rPr>
          <w:lang w:val="fr-FR"/>
        </w:rPr>
        <w:t>.</w:t>
      </w:r>
    </w:p>
    <w:p w:rsidR="004D7733" w:rsidRPr="006F0679" w:rsidRDefault="00600658" w:rsidP="005A16A1">
      <w:pPr>
        <w:pStyle w:val="Heading3"/>
        <w:rPr>
          <w:lang w:val="fr-FR"/>
        </w:rPr>
      </w:pPr>
      <w:r w:rsidRPr="006F0679">
        <w:rPr>
          <w:lang w:val="fr-FR"/>
        </w:rPr>
        <w:t>Systèmes et moyens techniques de gestion des connaissances</w:t>
      </w:r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B77F05" w:rsidP="00781563">
      <w:pPr>
        <w:rPr>
          <w:lang w:val="fr-FR"/>
        </w:rPr>
      </w:pPr>
      <w:r w:rsidRPr="006F0679">
        <w:rPr>
          <w:lang w:val="fr-FR"/>
        </w:rPr>
        <w:t xml:space="preserve">Dans un environnement de travail moderne fondé sur les connaissances, comme </w:t>
      </w:r>
      <w:r w:rsidR="008D7A35" w:rsidRPr="006F0679">
        <w:rPr>
          <w:lang w:val="fr-FR"/>
        </w:rPr>
        <w:t>à</w:t>
      </w:r>
      <w:r w:rsidRPr="006F0679">
        <w:rPr>
          <w:lang w:val="fr-FR"/>
        </w:rPr>
        <w:t xml:space="preserve">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OMPI, la mise en œuvre du système de gestion des connaissances</w:t>
      </w:r>
      <w:r w:rsidR="00321E39" w:rsidRPr="006F0679">
        <w:rPr>
          <w:lang w:val="fr-FR"/>
        </w:rPr>
        <w:t xml:space="preserve"> et son fonctionnement</w:t>
      </w:r>
      <w:r w:rsidRPr="006F0679">
        <w:rPr>
          <w:lang w:val="fr-FR"/>
        </w:rPr>
        <w:t xml:space="preserve"> repose</w:t>
      </w:r>
      <w:r w:rsidR="00321E39" w:rsidRPr="006F0679">
        <w:rPr>
          <w:lang w:val="fr-FR"/>
        </w:rPr>
        <w:t>nt</w:t>
      </w:r>
      <w:r w:rsidRPr="006F0679">
        <w:rPr>
          <w:lang w:val="fr-FR"/>
        </w:rPr>
        <w:t xml:space="preserve"> principalement sur </w:t>
      </w:r>
      <w:r w:rsidR="00321E39" w:rsidRPr="006F0679">
        <w:rPr>
          <w:lang w:val="fr-FR"/>
        </w:rPr>
        <w:t xml:space="preserve">les </w:t>
      </w:r>
      <w:r w:rsidR="004D3109" w:rsidRPr="006F0679">
        <w:rPr>
          <w:lang w:val="fr-FR"/>
        </w:rPr>
        <w:t>moyens</w:t>
      </w:r>
      <w:r w:rsidRPr="006F0679">
        <w:rPr>
          <w:lang w:val="fr-FR"/>
        </w:rPr>
        <w:t xml:space="preserve"> informatiques</w:t>
      </w:r>
      <w:r w:rsidR="004D3109" w:rsidRPr="006F0679">
        <w:rPr>
          <w:lang w:val="fr-FR"/>
        </w:rPr>
        <w:t xml:space="preserve"> à disposition</w:t>
      </w:r>
      <w:r w:rsidR="003972FF" w:rsidRPr="006F0679">
        <w:rPr>
          <w:lang w:val="fr-FR"/>
        </w:rPr>
        <w:t xml:space="preserve">.  </w:t>
      </w:r>
      <w:r w:rsidRPr="006F0679">
        <w:rPr>
          <w:lang w:val="fr-FR"/>
        </w:rPr>
        <w:t>C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est </w:t>
      </w:r>
      <w:r w:rsidR="00321E39" w:rsidRPr="006F0679">
        <w:rPr>
          <w:lang w:val="fr-FR"/>
        </w:rPr>
        <w:t xml:space="preserve">notamment </w:t>
      </w:r>
      <w:r w:rsidRPr="006F0679">
        <w:rPr>
          <w:lang w:val="fr-FR"/>
        </w:rPr>
        <w:t>ce qui ressort du rapport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évaluation</w:t>
      </w:r>
      <w:r w:rsidR="003972FF" w:rsidRPr="006F0679">
        <w:rPr>
          <w:rStyle w:val="FootnoteReference"/>
          <w:lang w:val="fr-FR"/>
        </w:rPr>
        <w:footnoteReference w:id="8"/>
      </w:r>
      <w:r w:rsidR="004D3109" w:rsidRPr="006F0679">
        <w:rPr>
          <w:lang w:val="fr-FR"/>
        </w:rPr>
        <w:t xml:space="preserve">. </w:t>
      </w:r>
      <w:r w:rsidR="00321E39" w:rsidRPr="006F0679">
        <w:rPr>
          <w:lang w:val="fr-FR"/>
        </w:rPr>
        <w:t xml:space="preserve"> </w:t>
      </w:r>
      <w:r w:rsidR="004D3109"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 va</w:t>
      </w:r>
      <w:r w:rsidR="004D3109" w:rsidRPr="006F0679">
        <w:rPr>
          <w:lang w:val="fr-FR"/>
        </w:rPr>
        <w:t xml:space="preserve"> donc</w:t>
      </w:r>
      <w:r w:rsidRPr="006F0679">
        <w:rPr>
          <w:lang w:val="fr-FR"/>
        </w:rPr>
        <w:t xml:space="preserve"> s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appuyer sur les recommandations </w:t>
      </w:r>
      <w:r w:rsidR="00600658" w:rsidRPr="006F0679">
        <w:rPr>
          <w:lang w:val="fr-FR"/>
        </w:rPr>
        <w:t xml:space="preserve">émanant de ce rapport </w:t>
      </w:r>
      <w:r w:rsidR="00321E39" w:rsidRPr="006F0679">
        <w:rPr>
          <w:lang w:val="fr-FR"/>
        </w:rPr>
        <w:t>pour continuer de mettre en œuvre l</w:t>
      </w:r>
      <w:r w:rsidR="00600658" w:rsidRPr="006F0679">
        <w:rPr>
          <w:lang w:val="fr-FR"/>
        </w:rPr>
        <w:t xml:space="preserve">es moyens techniques </w:t>
      </w:r>
      <w:r w:rsidR="00321E39" w:rsidRPr="006F0679">
        <w:rPr>
          <w:lang w:val="fr-FR"/>
        </w:rPr>
        <w:t>permettant d</w:t>
      </w:r>
      <w:r w:rsidR="00E91F2D" w:rsidRPr="006F0679">
        <w:rPr>
          <w:lang w:val="fr-FR"/>
        </w:rPr>
        <w:t>’</w:t>
      </w:r>
      <w:r w:rsidR="00321E39" w:rsidRPr="006F0679">
        <w:rPr>
          <w:lang w:val="fr-FR"/>
        </w:rPr>
        <w:t>a</w:t>
      </w:r>
      <w:r w:rsidR="00600658" w:rsidRPr="006F0679">
        <w:rPr>
          <w:lang w:val="fr-FR"/>
        </w:rPr>
        <w:t>méliorer la structur</w:t>
      </w:r>
      <w:r w:rsidR="00321E39" w:rsidRPr="006F0679">
        <w:rPr>
          <w:lang w:val="fr-FR"/>
        </w:rPr>
        <w:t>e</w:t>
      </w:r>
      <w:r w:rsidR="00600658" w:rsidRPr="006F0679">
        <w:rPr>
          <w:lang w:val="fr-FR"/>
        </w:rPr>
        <w:t>, le stockage e</w:t>
      </w:r>
      <w:r w:rsidR="00321E39" w:rsidRPr="006F0679">
        <w:rPr>
          <w:lang w:val="fr-FR"/>
        </w:rPr>
        <w:t>t l</w:t>
      </w:r>
      <w:r w:rsidR="00E91F2D" w:rsidRPr="006F0679">
        <w:rPr>
          <w:lang w:val="fr-FR"/>
        </w:rPr>
        <w:t>’</w:t>
      </w:r>
      <w:r w:rsidR="00321E39" w:rsidRPr="006F0679">
        <w:rPr>
          <w:lang w:val="fr-FR"/>
        </w:rPr>
        <w:t>extraction</w:t>
      </w:r>
      <w:r w:rsidR="00600658" w:rsidRPr="006F0679">
        <w:rPr>
          <w:lang w:val="fr-FR"/>
        </w:rPr>
        <w:t xml:space="preserve"> systématiques des connaissances</w:t>
      </w:r>
      <w:r w:rsidR="00D44946" w:rsidRPr="006F0679">
        <w:rPr>
          <w:lang w:val="fr-FR"/>
        </w:rPr>
        <w:t>.</w:t>
      </w:r>
    </w:p>
    <w:p w:rsidR="004D7733" w:rsidRPr="006F0679" w:rsidRDefault="00600658" w:rsidP="005A16A1">
      <w:pPr>
        <w:pStyle w:val="Heading2"/>
        <w:rPr>
          <w:lang w:val="fr-FR"/>
        </w:rPr>
      </w:pPr>
      <w:bookmarkStart w:id="16" w:name="_Toc426103175"/>
      <w:r w:rsidRPr="006F0679">
        <w:rPr>
          <w:lang w:val="fr-FR"/>
        </w:rPr>
        <w:t>Processus de gestion des connaissances</w:t>
      </w:r>
      <w:bookmarkEnd w:id="16"/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600658" w:rsidP="00781563">
      <w:pPr>
        <w:rPr>
          <w:lang w:val="fr-FR"/>
        </w:rPr>
      </w:pPr>
      <w:r w:rsidRPr="006F0679">
        <w:rPr>
          <w:lang w:val="fr-FR"/>
        </w:rPr>
        <w:t>Les activités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 génèrent des connaissances à tous les niveaux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Organisation</w:t>
      </w:r>
      <w:r w:rsidR="0067495A" w:rsidRPr="006F0679">
        <w:rPr>
          <w:lang w:val="fr-FR"/>
        </w:rPr>
        <w:t>.</w:t>
      </w:r>
      <w:r w:rsidR="00EA36BB" w:rsidRPr="006F0679">
        <w:rPr>
          <w:lang w:val="fr-FR"/>
        </w:rPr>
        <w:t xml:space="preserve">  </w:t>
      </w:r>
      <w:r w:rsidRPr="006F0679">
        <w:rPr>
          <w:lang w:val="fr-FR"/>
        </w:rPr>
        <w:t>Si ces connaissances ne sont pas gérées dans le cadre de processus bien définis, elle</w:t>
      </w:r>
      <w:r w:rsidR="004B345D" w:rsidRPr="006F0679">
        <w:rPr>
          <w:lang w:val="fr-FR"/>
        </w:rPr>
        <w:t>s</w:t>
      </w:r>
      <w:r w:rsidRPr="006F0679">
        <w:rPr>
          <w:lang w:val="fr-FR"/>
        </w:rPr>
        <w:t xml:space="preserve"> </w:t>
      </w:r>
      <w:r w:rsidR="00321E39" w:rsidRPr="006F0679">
        <w:rPr>
          <w:lang w:val="fr-FR"/>
        </w:rPr>
        <w:t>peuvent</w:t>
      </w:r>
      <w:r w:rsidRPr="006F0679">
        <w:rPr>
          <w:lang w:val="fr-FR"/>
        </w:rPr>
        <w:t xml:space="preserve"> être perdues et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 </w:t>
      </w:r>
      <w:r w:rsidR="004B345D" w:rsidRPr="006F0679">
        <w:rPr>
          <w:lang w:val="fr-FR"/>
        </w:rPr>
        <w:t xml:space="preserve">ne pourrait pas les réutiliser en interne ou les transmettre à ses parties prenantes. </w:t>
      </w:r>
      <w:r w:rsidRPr="006F0679">
        <w:rPr>
          <w:lang w:val="fr-FR"/>
        </w:rPr>
        <w:t xml:space="preserve"> </w:t>
      </w:r>
      <w:r w:rsidR="004B345D" w:rsidRPr="006F0679">
        <w:rPr>
          <w:lang w:val="fr-FR"/>
        </w:rPr>
        <w:t xml:space="preserve">La mise en place de processus </w:t>
      </w:r>
      <w:r w:rsidR="004D3109" w:rsidRPr="006F0679">
        <w:rPr>
          <w:lang w:val="fr-FR"/>
        </w:rPr>
        <w:t>permettant d</w:t>
      </w:r>
      <w:r w:rsidR="00E91F2D" w:rsidRPr="006F0679">
        <w:rPr>
          <w:lang w:val="fr-FR"/>
        </w:rPr>
        <w:t>’</w:t>
      </w:r>
      <w:r w:rsidR="004B345D" w:rsidRPr="006F0679">
        <w:rPr>
          <w:lang w:val="fr-FR"/>
        </w:rPr>
        <w:t>assurer la bonne gestion des connaissances est essentielle pour l</w:t>
      </w:r>
      <w:r w:rsidR="00E91F2D" w:rsidRPr="006F0679">
        <w:rPr>
          <w:lang w:val="fr-FR"/>
        </w:rPr>
        <w:t>’</w:t>
      </w:r>
      <w:r w:rsidR="004B345D" w:rsidRPr="006F0679">
        <w:rPr>
          <w:lang w:val="fr-FR"/>
        </w:rPr>
        <w:t>Organisation dans sa recherche de l</w:t>
      </w:r>
      <w:r w:rsidR="00E91F2D" w:rsidRPr="006F0679">
        <w:rPr>
          <w:lang w:val="fr-FR"/>
        </w:rPr>
        <w:t>’</w:t>
      </w:r>
      <w:r w:rsidR="004B345D" w:rsidRPr="006F0679">
        <w:rPr>
          <w:lang w:val="fr-FR"/>
        </w:rPr>
        <w:t>efficacité</w:t>
      </w:r>
      <w:r w:rsidR="000F16A6" w:rsidRPr="006F0679">
        <w:rPr>
          <w:lang w:val="fr-FR"/>
        </w:rPr>
        <w:t>.</w:t>
      </w:r>
    </w:p>
    <w:p w:rsidR="004D7733" w:rsidRPr="006F0679" w:rsidRDefault="004B345D" w:rsidP="005A16A1">
      <w:pPr>
        <w:pStyle w:val="Heading3"/>
        <w:rPr>
          <w:lang w:val="fr-FR"/>
        </w:rPr>
      </w:pPr>
      <w:r w:rsidRPr="006F0679">
        <w:rPr>
          <w:lang w:val="fr-FR"/>
        </w:rPr>
        <w:lastRenderedPageBreak/>
        <w:t xml:space="preserve">Processus de </w:t>
      </w:r>
      <w:r w:rsidR="00321E39" w:rsidRPr="006F0679">
        <w:rPr>
          <w:lang w:val="fr-FR"/>
        </w:rPr>
        <w:t>recherche</w:t>
      </w:r>
      <w:r w:rsidRPr="006F0679">
        <w:rPr>
          <w:lang w:val="fr-FR"/>
        </w:rPr>
        <w:t xml:space="preserve"> et de détection de connaissances</w:t>
      </w:r>
    </w:p>
    <w:p w:rsidR="00845E81" w:rsidRPr="006F0679" w:rsidRDefault="00845E81" w:rsidP="00845E81">
      <w:pPr>
        <w:keepNext/>
        <w:keepLines/>
        <w:rPr>
          <w:lang w:val="fr-FR"/>
        </w:rPr>
      </w:pPr>
    </w:p>
    <w:p w:rsidR="004D7733" w:rsidRPr="006F0679" w:rsidRDefault="004B345D" w:rsidP="00845E81">
      <w:pPr>
        <w:keepNext/>
        <w:keepLines/>
        <w:rPr>
          <w:lang w:val="fr-FR"/>
        </w:rPr>
      </w:pPr>
      <w:r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 va mettre en place des processus de </w:t>
      </w:r>
      <w:r w:rsidR="00321E39" w:rsidRPr="006F0679">
        <w:rPr>
          <w:lang w:val="fr-FR"/>
        </w:rPr>
        <w:t>recherche</w:t>
      </w:r>
      <w:r w:rsidRPr="006F0679">
        <w:rPr>
          <w:lang w:val="fr-FR"/>
        </w:rPr>
        <w:t xml:space="preserve"> et de détection de connaissances pour faciliter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identification de sources de connaissances existantes et pour </w:t>
      </w:r>
      <w:r w:rsidR="00321E39" w:rsidRPr="006F0679">
        <w:rPr>
          <w:lang w:val="fr-FR"/>
        </w:rPr>
        <w:t>rechercher</w:t>
      </w:r>
      <w:r w:rsidRPr="006F0679">
        <w:rPr>
          <w:lang w:val="fr-FR"/>
        </w:rPr>
        <w:t xml:space="preserve">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éventuelle</w:t>
      </w:r>
      <w:r w:rsidR="00321E39" w:rsidRPr="006F0679">
        <w:rPr>
          <w:lang w:val="fr-FR"/>
        </w:rPr>
        <w:t>s connaissances cachées parmi le</w:t>
      </w:r>
      <w:r w:rsidRPr="006F0679">
        <w:rPr>
          <w:lang w:val="fr-FR"/>
        </w:rPr>
        <w:t xml:space="preserve">s données </w:t>
      </w:r>
      <w:r w:rsidR="00321E39" w:rsidRPr="006F0679">
        <w:rPr>
          <w:lang w:val="fr-FR"/>
        </w:rPr>
        <w:t>et l</w:t>
      </w:r>
      <w:r w:rsidRPr="006F0679">
        <w:rPr>
          <w:lang w:val="fr-FR"/>
        </w:rPr>
        <w:t>es informations</w:t>
      </w:r>
      <w:r w:rsidR="00AA0BA3" w:rsidRPr="006F0679">
        <w:rPr>
          <w:lang w:val="fr-FR"/>
        </w:rPr>
        <w:t>.</w:t>
      </w:r>
    </w:p>
    <w:p w:rsidR="004D7733" w:rsidRPr="006F0679" w:rsidRDefault="00B03117" w:rsidP="00781563">
      <w:pPr>
        <w:rPr>
          <w:lang w:val="fr-FR"/>
        </w:rPr>
      </w:pPr>
      <w:r w:rsidRPr="006F0679">
        <w:rPr>
          <w:lang w:val="fr-FR"/>
        </w:rPr>
        <w:t>On trouve c</w:t>
      </w:r>
      <w:r w:rsidR="004B345D" w:rsidRPr="006F0679">
        <w:rPr>
          <w:lang w:val="fr-FR"/>
        </w:rPr>
        <w:t>es connaissances à l</w:t>
      </w:r>
      <w:r w:rsidR="00E91F2D" w:rsidRPr="006F0679">
        <w:rPr>
          <w:lang w:val="fr-FR"/>
        </w:rPr>
        <w:t>’</w:t>
      </w:r>
      <w:r w:rsidR="004B345D" w:rsidRPr="006F0679">
        <w:rPr>
          <w:lang w:val="fr-FR"/>
        </w:rPr>
        <w:t>intérieur de l</w:t>
      </w:r>
      <w:r w:rsidR="00E91F2D" w:rsidRPr="006F0679">
        <w:rPr>
          <w:lang w:val="fr-FR"/>
        </w:rPr>
        <w:t>’</w:t>
      </w:r>
      <w:r w:rsidR="004B345D" w:rsidRPr="006F0679">
        <w:rPr>
          <w:lang w:val="fr-FR"/>
        </w:rPr>
        <w:t>Organisation et à l</w:t>
      </w:r>
      <w:r w:rsidR="00E91F2D" w:rsidRPr="006F0679">
        <w:rPr>
          <w:lang w:val="fr-FR"/>
        </w:rPr>
        <w:t>’</w:t>
      </w:r>
      <w:r w:rsidR="004B345D" w:rsidRPr="006F0679">
        <w:rPr>
          <w:lang w:val="fr-FR"/>
        </w:rPr>
        <w:t>extérieur, auprès des parties prenantes, tels que les offices nationaux de propriété intellectuelle, les organisations partenaires, les établissement</w:t>
      </w:r>
      <w:r w:rsidR="00402507" w:rsidRPr="006F0679">
        <w:rPr>
          <w:lang w:val="fr-FR"/>
        </w:rPr>
        <w:t>s</w:t>
      </w:r>
      <w:r w:rsidRPr="006F0679">
        <w:rPr>
          <w:lang w:val="fr-FR"/>
        </w:rPr>
        <w:t xml:space="preserve"> universitaires et </w:t>
      </w:r>
      <w:r w:rsidR="004D3109" w:rsidRPr="006F0679">
        <w:rPr>
          <w:lang w:val="fr-FR"/>
        </w:rPr>
        <w:t>les prestataires</w:t>
      </w:r>
      <w:r w:rsidR="00EA36BB" w:rsidRPr="006F0679">
        <w:rPr>
          <w:lang w:val="fr-FR"/>
        </w:rPr>
        <w:t>.</w:t>
      </w:r>
    </w:p>
    <w:p w:rsidR="004D7733" w:rsidRPr="006F0679" w:rsidRDefault="00402507" w:rsidP="005A16A1">
      <w:pPr>
        <w:pStyle w:val="Heading3"/>
        <w:rPr>
          <w:lang w:val="fr-FR"/>
        </w:rPr>
      </w:pPr>
      <w:r w:rsidRPr="006F0679">
        <w:rPr>
          <w:lang w:val="fr-FR"/>
        </w:rPr>
        <w:t>Évaluation et organisation des actifs fondés sur les connaissances</w:t>
      </w:r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402507" w:rsidP="00781563">
      <w:pPr>
        <w:rPr>
          <w:lang w:val="fr-FR"/>
        </w:rPr>
      </w:pPr>
      <w:r w:rsidRPr="006F0679">
        <w:rPr>
          <w:lang w:val="fr-FR"/>
        </w:rPr>
        <w:t xml:space="preserve">Considérer les connaissances comme des actifs </w:t>
      </w:r>
      <w:r w:rsidR="00B03117" w:rsidRPr="006F0679">
        <w:rPr>
          <w:lang w:val="fr-FR"/>
        </w:rPr>
        <w:t>n</w:t>
      </w:r>
      <w:r w:rsidR="00E91F2D" w:rsidRPr="006F0679">
        <w:rPr>
          <w:lang w:val="fr-FR"/>
        </w:rPr>
        <w:t>’</w:t>
      </w:r>
      <w:r w:rsidR="00B03117" w:rsidRPr="006F0679">
        <w:rPr>
          <w:lang w:val="fr-FR"/>
        </w:rPr>
        <w:t>a rien de nouveau</w:t>
      </w:r>
      <w:r w:rsidRPr="006F0679">
        <w:rPr>
          <w:lang w:val="fr-FR"/>
        </w:rPr>
        <w:t xml:space="preserve"> et, pour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OMPI, en tant qu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organisation fondée sur le</w:t>
      </w:r>
      <w:r w:rsidR="00B03117" w:rsidRPr="006F0679">
        <w:rPr>
          <w:lang w:val="fr-FR"/>
        </w:rPr>
        <w:t xml:space="preserve"> </w:t>
      </w:r>
      <w:r w:rsidRPr="006F0679">
        <w:rPr>
          <w:lang w:val="fr-FR"/>
        </w:rPr>
        <w:t>s</w:t>
      </w:r>
      <w:r w:rsidR="00B03117" w:rsidRPr="006F0679">
        <w:rPr>
          <w:lang w:val="fr-FR"/>
        </w:rPr>
        <w:t>avoir</w:t>
      </w:r>
      <w:r w:rsidRPr="006F0679">
        <w:rPr>
          <w:lang w:val="fr-FR"/>
        </w:rPr>
        <w:t xml:space="preserve">, </w:t>
      </w:r>
      <w:r w:rsidR="00B03117" w:rsidRPr="006F0679">
        <w:rPr>
          <w:lang w:val="fr-FR"/>
        </w:rPr>
        <w:t>la</w:t>
      </w:r>
      <w:r w:rsidRPr="006F0679">
        <w:rPr>
          <w:lang w:val="fr-FR"/>
        </w:rPr>
        <w:t xml:space="preserve"> valoris</w:t>
      </w:r>
      <w:r w:rsidR="00B03117" w:rsidRPr="006F0679">
        <w:rPr>
          <w:lang w:val="fr-FR"/>
        </w:rPr>
        <w:t>ation de</w:t>
      </w:r>
      <w:r w:rsidRPr="006F0679">
        <w:rPr>
          <w:lang w:val="fr-FR"/>
        </w:rPr>
        <w:t xml:space="preserve"> ces acti</w:t>
      </w:r>
      <w:r w:rsidR="00B03117" w:rsidRPr="006F0679">
        <w:rPr>
          <w:lang w:val="fr-FR"/>
        </w:rPr>
        <w:t>fs fondés sur les connaissances passe</w:t>
      </w:r>
      <w:r w:rsidRPr="006F0679">
        <w:rPr>
          <w:lang w:val="fr-FR"/>
        </w:rPr>
        <w:t xml:space="preserve"> avant </w:t>
      </w:r>
      <w:r w:rsidR="003D55DD" w:rsidRPr="006F0679">
        <w:rPr>
          <w:lang w:val="fr-FR"/>
        </w:rPr>
        <w:t xml:space="preserve">tout </w:t>
      </w:r>
      <w:r w:rsidR="00B03117" w:rsidRPr="006F0679">
        <w:rPr>
          <w:lang w:val="fr-FR"/>
        </w:rPr>
        <w:t>par leur évaluation et leur classement par catégorie.  Les</w:t>
      </w:r>
      <w:r w:rsidRPr="006F0679">
        <w:rPr>
          <w:lang w:val="fr-FR"/>
        </w:rPr>
        <w:t xml:space="preserve"> fonctionnaires et les parties prenantes externes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 sont </w:t>
      </w:r>
      <w:r w:rsidR="00B03117" w:rsidRPr="006F0679">
        <w:rPr>
          <w:lang w:val="fr-FR"/>
        </w:rPr>
        <w:t xml:space="preserve">tous </w:t>
      </w:r>
      <w:r w:rsidRPr="006F0679">
        <w:rPr>
          <w:lang w:val="fr-FR"/>
        </w:rPr>
        <w:t xml:space="preserve">des créateurs de connaissances, mais il </w:t>
      </w:r>
      <w:r w:rsidR="00B03117" w:rsidRPr="006F0679">
        <w:rPr>
          <w:lang w:val="fr-FR"/>
        </w:rPr>
        <w:t>revient</w:t>
      </w:r>
      <w:r w:rsidRPr="006F0679">
        <w:rPr>
          <w:lang w:val="fr-FR"/>
        </w:rPr>
        <w:t xml:space="preserve"> à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 de mettre en place les outils, les politiques et les pratiques recommandées nécessaires pour que ces connaissances puissent être évaluées, </w:t>
      </w:r>
      <w:r w:rsidR="00F41863" w:rsidRPr="006F0679">
        <w:rPr>
          <w:lang w:val="fr-FR"/>
        </w:rPr>
        <w:t>classées</w:t>
      </w:r>
      <w:r w:rsidRPr="006F0679">
        <w:rPr>
          <w:lang w:val="fr-FR"/>
        </w:rPr>
        <w:t xml:space="preserve"> par catégorie et organisées de manière appropriée</w:t>
      </w:r>
      <w:r w:rsidR="00EA36BB" w:rsidRPr="006F0679">
        <w:rPr>
          <w:lang w:val="fr-FR"/>
        </w:rPr>
        <w:t xml:space="preserve">.  </w:t>
      </w:r>
      <w:r w:rsidRPr="006F0679">
        <w:rPr>
          <w:lang w:val="fr-FR"/>
        </w:rPr>
        <w:t>Les actifs fondés sur les connaissances doivent être organisés de sorte qu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ils puissent être identifiés, </w:t>
      </w:r>
      <w:r w:rsidR="00B03117" w:rsidRPr="006F0679">
        <w:rPr>
          <w:lang w:val="fr-FR"/>
        </w:rPr>
        <w:t>extraits</w:t>
      </w:r>
      <w:r w:rsidRPr="006F0679">
        <w:rPr>
          <w:lang w:val="fr-FR"/>
        </w:rPr>
        <w:t xml:space="preserve"> et compris par les utilisateurs.</w:t>
      </w:r>
      <w:r w:rsidR="00D44946" w:rsidRPr="006F0679">
        <w:rPr>
          <w:lang w:val="fr-FR"/>
        </w:rPr>
        <w:t xml:space="preserve">  </w:t>
      </w:r>
      <w:r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 va donc mettre en œuvre des processus </w:t>
      </w:r>
      <w:r w:rsidR="004D3109" w:rsidRPr="006F0679">
        <w:rPr>
          <w:lang w:val="fr-FR"/>
        </w:rPr>
        <w:t>permettant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évaluer et </w:t>
      </w:r>
      <w:r w:rsidR="004D3109" w:rsidRPr="006F0679">
        <w:rPr>
          <w:lang w:val="fr-FR"/>
        </w:rPr>
        <w:t xml:space="preserve">de </w:t>
      </w:r>
      <w:r w:rsidR="00F41863" w:rsidRPr="006F0679">
        <w:rPr>
          <w:lang w:val="fr-FR"/>
        </w:rPr>
        <w:t xml:space="preserve">classer par </w:t>
      </w:r>
      <w:r w:rsidRPr="006F0679">
        <w:rPr>
          <w:lang w:val="fr-FR"/>
        </w:rPr>
        <w:t xml:space="preserve">catégorie </w:t>
      </w:r>
      <w:r w:rsidR="00F41863" w:rsidRPr="006F0679">
        <w:rPr>
          <w:lang w:val="fr-FR"/>
        </w:rPr>
        <w:t xml:space="preserve">ses actifs fondés sur les connaissances, </w:t>
      </w:r>
      <w:r w:rsidR="00E91F2D" w:rsidRPr="006F0679">
        <w:rPr>
          <w:lang w:val="fr-FR"/>
        </w:rPr>
        <w:t>y compris</w:t>
      </w:r>
      <w:r w:rsidR="00F41863" w:rsidRPr="006F0679">
        <w:rPr>
          <w:lang w:val="fr-FR"/>
        </w:rPr>
        <w:t xml:space="preserve"> les connaissances qu</w:t>
      </w:r>
      <w:r w:rsidR="00E91F2D" w:rsidRPr="006F0679">
        <w:rPr>
          <w:lang w:val="fr-FR"/>
        </w:rPr>
        <w:t>’</w:t>
      </w:r>
      <w:r w:rsidR="00F41863" w:rsidRPr="006F0679">
        <w:rPr>
          <w:lang w:val="fr-FR"/>
        </w:rPr>
        <w:t xml:space="preserve">elle </w:t>
      </w:r>
      <w:r w:rsidR="00B03117" w:rsidRPr="006F0679">
        <w:rPr>
          <w:lang w:val="fr-FR"/>
        </w:rPr>
        <w:t>possède</w:t>
      </w:r>
      <w:r w:rsidR="00F41863" w:rsidRPr="006F0679">
        <w:rPr>
          <w:lang w:val="fr-FR"/>
        </w:rPr>
        <w:t xml:space="preserve"> déjà, ainsi que les connaissances en cours de création</w:t>
      </w:r>
      <w:r w:rsidR="005B2BFC" w:rsidRPr="006F0679">
        <w:rPr>
          <w:lang w:val="fr-FR"/>
        </w:rPr>
        <w:t>.</w:t>
      </w:r>
    </w:p>
    <w:p w:rsidR="004D7733" w:rsidRPr="006F0679" w:rsidRDefault="00F41863" w:rsidP="005A16A1">
      <w:pPr>
        <w:pStyle w:val="Heading3"/>
        <w:rPr>
          <w:lang w:val="fr-FR"/>
        </w:rPr>
      </w:pPr>
      <w:r w:rsidRPr="006F0679">
        <w:rPr>
          <w:lang w:val="fr-FR"/>
        </w:rPr>
        <w:t>Processus de partage des connaissances</w:t>
      </w:r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F41863" w:rsidP="00781563">
      <w:pPr>
        <w:rPr>
          <w:lang w:val="fr-FR"/>
        </w:rPr>
      </w:pPr>
      <w:r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 va mettre en place des processus pour le partage des connaissances, car celui</w:t>
      </w:r>
      <w:r w:rsidR="006F0679" w:rsidRPr="006F0679">
        <w:rPr>
          <w:lang w:val="fr-FR"/>
        </w:rPr>
        <w:noBreakHyphen/>
      </w:r>
      <w:r w:rsidRPr="006F0679">
        <w:rPr>
          <w:lang w:val="fr-FR"/>
        </w:rPr>
        <w:t>ci joue un rôle déterminant</w:t>
      </w:r>
      <w:r w:rsidR="00B03117" w:rsidRPr="006F0679">
        <w:rPr>
          <w:lang w:val="fr-FR"/>
        </w:rPr>
        <w:t xml:space="preserve"> à la fois</w:t>
      </w:r>
      <w:r w:rsidRPr="006F0679">
        <w:rPr>
          <w:lang w:val="fr-FR"/>
        </w:rPr>
        <w:t xml:space="preserve"> dans la réutilisation des connaissances et dans la création des connaissances.</w:t>
      </w:r>
      <w:r w:rsidR="00AA0BA3" w:rsidRPr="006F0679">
        <w:rPr>
          <w:lang w:val="fr-FR"/>
        </w:rPr>
        <w:t xml:space="preserve">  </w:t>
      </w:r>
      <w:r w:rsidRPr="006F0679">
        <w:rPr>
          <w:lang w:val="fr-FR"/>
        </w:rPr>
        <w:t>Le partage des connaissances dépend des habitudes et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intérêt que chacun porte </w:t>
      </w:r>
      <w:r w:rsidR="00B03117" w:rsidRPr="006F0679">
        <w:rPr>
          <w:lang w:val="fr-FR"/>
        </w:rPr>
        <w:t>aux</w:t>
      </w:r>
      <w:r w:rsidRPr="006F0679">
        <w:rPr>
          <w:lang w:val="fr-FR"/>
        </w:rPr>
        <w:t xml:space="preserve"> sources de connaissances</w:t>
      </w:r>
      <w:r w:rsidR="00EA36BB" w:rsidRPr="006F0679">
        <w:rPr>
          <w:lang w:val="fr-FR"/>
        </w:rPr>
        <w:t xml:space="preserve">.  </w:t>
      </w:r>
      <w:r w:rsidRPr="006F0679">
        <w:rPr>
          <w:lang w:val="fr-FR"/>
        </w:rPr>
        <w:t xml:space="preserve">Une culture </w:t>
      </w:r>
      <w:r w:rsidR="00B03117" w:rsidRPr="006F0679">
        <w:rPr>
          <w:lang w:val="fr-FR"/>
        </w:rPr>
        <w:t>d</w:t>
      </w:r>
      <w:r w:rsidR="004D3109" w:rsidRPr="006F0679">
        <w:rPr>
          <w:lang w:val="fr-FR"/>
        </w:rPr>
        <w:t>u</w:t>
      </w:r>
      <w:r w:rsidR="00B03117" w:rsidRPr="006F0679">
        <w:rPr>
          <w:lang w:val="fr-FR"/>
        </w:rPr>
        <w:t xml:space="preserve"> partage des connaissances doit exister au sein de l</w:t>
      </w:r>
      <w:r w:rsidR="00E91F2D" w:rsidRPr="006F0679">
        <w:rPr>
          <w:lang w:val="fr-FR"/>
        </w:rPr>
        <w:t>’</w:t>
      </w:r>
      <w:r w:rsidR="00B03117" w:rsidRPr="006F0679">
        <w:rPr>
          <w:lang w:val="fr-FR"/>
        </w:rPr>
        <w:t>Organisation et des</w:t>
      </w:r>
      <w:r w:rsidRPr="006F0679">
        <w:rPr>
          <w:lang w:val="fr-FR"/>
        </w:rPr>
        <w:t xml:space="preserve"> mesures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incitation appropriées doivent </w:t>
      </w:r>
      <w:r w:rsidR="00B03117" w:rsidRPr="006F0679">
        <w:rPr>
          <w:lang w:val="fr-FR"/>
        </w:rPr>
        <w:t>être mises en place et être accompagnées</w:t>
      </w:r>
      <w:r w:rsidRPr="006F0679">
        <w:rPr>
          <w:lang w:val="fr-FR"/>
        </w:rPr>
        <w:t xml:space="preserve">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objectifs en matière de partage des connaissances </w:t>
      </w:r>
      <w:r w:rsidR="004D3109" w:rsidRPr="006F0679">
        <w:rPr>
          <w:lang w:val="fr-FR"/>
        </w:rPr>
        <w:t>qui s</w:t>
      </w:r>
      <w:r w:rsidR="00E91F2D" w:rsidRPr="006F0679">
        <w:rPr>
          <w:lang w:val="fr-FR"/>
        </w:rPr>
        <w:t>’</w:t>
      </w:r>
      <w:r w:rsidR="004D3109" w:rsidRPr="006F0679">
        <w:rPr>
          <w:lang w:val="fr-FR"/>
        </w:rPr>
        <w:t>inscrivent</w:t>
      </w:r>
      <w:r w:rsidRPr="006F0679">
        <w:rPr>
          <w:lang w:val="fr-FR"/>
        </w:rPr>
        <w:t xml:space="preserve"> dans le cadre du système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évaluation des résultats individuels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OMPI, le cas échéant</w:t>
      </w:r>
      <w:r w:rsidR="00D44946" w:rsidRPr="006F0679">
        <w:rPr>
          <w:lang w:val="fr-FR"/>
        </w:rPr>
        <w:t>.</w:t>
      </w:r>
    </w:p>
    <w:p w:rsidR="004D7733" w:rsidRPr="006F0679" w:rsidRDefault="00F41863" w:rsidP="005A16A1">
      <w:pPr>
        <w:pStyle w:val="Heading3"/>
        <w:rPr>
          <w:lang w:val="fr-FR"/>
        </w:rPr>
      </w:pPr>
      <w:r w:rsidRPr="006F0679">
        <w:rPr>
          <w:lang w:val="fr-FR"/>
        </w:rPr>
        <w:t>Création et acquisition des connaissances</w:t>
      </w:r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3374E0" w:rsidP="00781563">
      <w:pPr>
        <w:rPr>
          <w:lang w:val="fr-FR"/>
        </w:rPr>
      </w:pPr>
      <w:r w:rsidRPr="006F0679">
        <w:rPr>
          <w:lang w:val="fr-FR"/>
        </w:rPr>
        <w:t>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 va faciliter la création des connaissances en mettant en place des processus de création des connaissances</w:t>
      </w:r>
      <w:r w:rsidR="00B03117" w:rsidRPr="006F0679">
        <w:rPr>
          <w:lang w:val="fr-FR"/>
        </w:rPr>
        <w:t xml:space="preserve"> qui </w:t>
      </w:r>
      <w:r w:rsidRPr="006F0679">
        <w:rPr>
          <w:lang w:val="fr-FR"/>
        </w:rPr>
        <w:t>s</w:t>
      </w:r>
      <w:r w:rsidR="00E91F2D" w:rsidRPr="006F0679">
        <w:rPr>
          <w:lang w:val="fr-FR"/>
        </w:rPr>
        <w:t>’</w:t>
      </w:r>
      <w:r w:rsidR="00B03117" w:rsidRPr="006F0679">
        <w:rPr>
          <w:lang w:val="fr-FR"/>
        </w:rPr>
        <w:t>appuien</w:t>
      </w:r>
      <w:r w:rsidRPr="006F0679">
        <w:rPr>
          <w:lang w:val="fr-FR"/>
        </w:rPr>
        <w:t>t sur le partage des connaissances, la collaboration et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accès aux données, aux informations et aux connaissances existantes</w:t>
      </w:r>
      <w:r w:rsidR="0067495A" w:rsidRPr="006F0679">
        <w:rPr>
          <w:lang w:val="fr-FR"/>
        </w:rPr>
        <w:t>.</w:t>
      </w:r>
      <w:r w:rsidR="00EA36BB" w:rsidRPr="006F0679">
        <w:rPr>
          <w:lang w:val="fr-FR"/>
        </w:rPr>
        <w:t xml:space="preserve">  </w:t>
      </w:r>
      <w:r w:rsidRPr="006F0679">
        <w:rPr>
          <w:lang w:val="fr-FR"/>
        </w:rPr>
        <w:t>C</w:t>
      </w:r>
      <w:r w:rsidR="00891663" w:rsidRPr="006F0679">
        <w:rPr>
          <w:lang w:val="fr-FR"/>
        </w:rPr>
        <w:t>ette volonté de créer de nouvelles connaissances et de les gérer s</w:t>
      </w:r>
      <w:r w:rsidR="00E91F2D" w:rsidRPr="006F0679">
        <w:rPr>
          <w:lang w:val="fr-FR"/>
        </w:rPr>
        <w:t>’</w:t>
      </w:r>
      <w:r w:rsidR="00891663" w:rsidRPr="006F0679">
        <w:rPr>
          <w:lang w:val="fr-FR"/>
        </w:rPr>
        <w:t>inscrit dans les efforts déployés par l</w:t>
      </w:r>
      <w:r w:rsidR="00E91F2D" w:rsidRPr="006F0679">
        <w:rPr>
          <w:lang w:val="fr-FR"/>
        </w:rPr>
        <w:t>’</w:t>
      </w:r>
      <w:r w:rsidR="00891663" w:rsidRPr="006F0679">
        <w:rPr>
          <w:lang w:val="fr-FR"/>
        </w:rPr>
        <w:t>OMPI pour accroître l</w:t>
      </w:r>
      <w:r w:rsidR="00E91F2D" w:rsidRPr="006F0679">
        <w:rPr>
          <w:lang w:val="fr-FR"/>
        </w:rPr>
        <w:t>’</w:t>
      </w:r>
      <w:r w:rsidR="00891663" w:rsidRPr="006F0679">
        <w:rPr>
          <w:lang w:val="fr-FR"/>
        </w:rPr>
        <w:t>efficacité et l</w:t>
      </w:r>
      <w:r w:rsidR="00E91F2D" w:rsidRPr="006F0679">
        <w:rPr>
          <w:lang w:val="fr-FR"/>
        </w:rPr>
        <w:t>’</w:t>
      </w:r>
      <w:r w:rsidR="00891663" w:rsidRPr="006F0679">
        <w:rPr>
          <w:lang w:val="fr-FR"/>
        </w:rPr>
        <w:t>efficience</w:t>
      </w:r>
      <w:r w:rsidR="00091652" w:rsidRPr="006F0679">
        <w:rPr>
          <w:lang w:val="fr-FR"/>
        </w:rPr>
        <w:t>.</w:t>
      </w:r>
    </w:p>
    <w:p w:rsidR="0015000D" w:rsidRPr="006F0679" w:rsidRDefault="0015000D" w:rsidP="00781563">
      <w:pPr>
        <w:rPr>
          <w:lang w:val="fr-FR"/>
        </w:rPr>
      </w:pPr>
    </w:p>
    <w:p w:rsidR="004D7733" w:rsidRPr="006F0679" w:rsidRDefault="00891663" w:rsidP="00781563">
      <w:pPr>
        <w:rPr>
          <w:lang w:val="fr-FR"/>
        </w:rPr>
      </w:pPr>
      <w:r w:rsidRPr="006F0679">
        <w:rPr>
          <w:lang w:val="fr-FR"/>
        </w:rPr>
        <w:t xml:space="preserve">Par acquisition de connaissances, on entend </w:t>
      </w:r>
      <w:r w:rsidR="002C257E" w:rsidRPr="006F0679">
        <w:rPr>
          <w:lang w:val="fr-FR"/>
        </w:rPr>
        <w:t>les connaissances que l</w:t>
      </w:r>
      <w:r w:rsidR="00E91F2D" w:rsidRPr="006F0679">
        <w:rPr>
          <w:lang w:val="fr-FR"/>
        </w:rPr>
        <w:t>’</w:t>
      </w:r>
      <w:r w:rsidR="002C257E" w:rsidRPr="006F0679">
        <w:rPr>
          <w:lang w:val="fr-FR"/>
        </w:rPr>
        <w:t xml:space="preserve">OMPI </w:t>
      </w:r>
      <w:r w:rsidR="004D3109" w:rsidRPr="006F0679">
        <w:rPr>
          <w:lang w:val="fr-FR"/>
        </w:rPr>
        <w:t>acquiert</w:t>
      </w:r>
      <w:r w:rsidR="002C257E" w:rsidRPr="006F0679">
        <w:rPr>
          <w:lang w:val="fr-FR"/>
        </w:rPr>
        <w:t xml:space="preserve"> dans le cadre de ses opérations </w:t>
      </w:r>
      <w:r w:rsidR="004D3109" w:rsidRPr="006F0679">
        <w:rPr>
          <w:lang w:val="fr-FR"/>
        </w:rPr>
        <w:t>auprès</w:t>
      </w:r>
      <w:r w:rsidR="002C257E" w:rsidRPr="006F0679">
        <w:rPr>
          <w:lang w:val="fr-FR"/>
        </w:rPr>
        <w:t xml:space="preserve"> de sources </w:t>
      </w:r>
      <w:r w:rsidR="00D25BDE" w:rsidRPr="006F0679">
        <w:rPr>
          <w:lang w:val="fr-FR"/>
        </w:rPr>
        <w:t>extérieures</w:t>
      </w:r>
      <w:r w:rsidR="002C257E" w:rsidRPr="006F0679">
        <w:rPr>
          <w:lang w:val="fr-FR"/>
        </w:rPr>
        <w:t>, telles que les experts externes, les partenaires, les offices de propriété intellectuelle, les clients et les fournisseurs</w:t>
      </w:r>
      <w:r w:rsidR="00091652" w:rsidRPr="006F0679">
        <w:rPr>
          <w:lang w:val="fr-FR"/>
        </w:rPr>
        <w:t xml:space="preserve">.  </w:t>
      </w:r>
      <w:r w:rsidR="002C257E" w:rsidRPr="006F0679">
        <w:rPr>
          <w:lang w:val="fr-FR"/>
        </w:rPr>
        <w:t>Les cercles de professionnels peuvent s</w:t>
      </w:r>
      <w:r w:rsidR="00E91F2D" w:rsidRPr="006F0679">
        <w:rPr>
          <w:lang w:val="fr-FR"/>
        </w:rPr>
        <w:t>’</w:t>
      </w:r>
      <w:r w:rsidR="002C257E" w:rsidRPr="006F0679">
        <w:rPr>
          <w:lang w:val="fr-FR"/>
        </w:rPr>
        <w:t>étendre</w:t>
      </w:r>
      <w:r w:rsidR="00D25BDE" w:rsidRPr="006F0679">
        <w:rPr>
          <w:lang w:val="fr-FR"/>
        </w:rPr>
        <w:t xml:space="preserve"> bien</w:t>
      </w:r>
      <w:r w:rsidR="002C257E" w:rsidRPr="006F0679">
        <w:rPr>
          <w:lang w:val="fr-FR"/>
        </w:rPr>
        <w:t xml:space="preserve"> au</w:t>
      </w:r>
      <w:r w:rsidR="006F0679" w:rsidRPr="006F0679">
        <w:rPr>
          <w:lang w:val="fr-FR"/>
        </w:rPr>
        <w:noBreakHyphen/>
      </w:r>
      <w:r w:rsidR="002C257E" w:rsidRPr="006F0679">
        <w:rPr>
          <w:lang w:val="fr-FR"/>
        </w:rPr>
        <w:t>delà de l</w:t>
      </w:r>
      <w:r w:rsidR="00E91F2D" w:rsidRPr="006F0679">
        <w:rPr>
          <w:lang w:val="fr-FR"/>
        </w:rPr>
        <w:t>’</w:t>
      </w:r>
      <w:r w:rsidR="002C257E" w:rsidRPr="006F0679">
        <w:rPr>
          <w:lang w:val="fr-FR"/>
        </w:rPr>
        <w:t xml:space="preserve">Organisation, </w:t>
      </w:r>
      <w:r w:rsidR="004D3109" w:rsidRPr="006F0679">
        <w:rPr>
          <w:lang w:val="fr-FR"/>
        </w:rPr>
        <w:t xml:space="preserve">aussi bien </w:t>
      </w:r>
      <w:r w:rsidR="002C257E" w:rsidRPr="006F0679">
        <w:rPr>
          <w:lang w:val="fr-FR"/>
        </w:rPr>
        <w:t xml:space="preserve">aux parties prenantes externes qui vont contribuer à la création de connaissances </w:t>
      </w:r>
      <w:r w:rsidR="004D3109" w:rsidRPr="006F0679">
        <w:rPr>
          <w:lang w:val="fr-FR"/>
        </w:rPr>
        <w:t>qu</w:t>
      </w:r>
      <w:r w:rsidR="00E91F2D" w:rsidRPr="006F0679">
        <w:rPr>
          <w:lang w:val="fr-FR"/>
        </w:rPr>
        <w:t>’</w:t>
      </w:r>
      <w:r w:rsidR="004D3109" w:rsidRPr="006F0679">
        <w:rPr>
          <w:lang w:val="fr-FR"/>
        </w:rPr>
        <w:t>à celles qui vont</w:t>
      </w:r>
      <w:r w:rsidR="002C257E" w:rsidRPr="006F0679">
        <w:rPr>
          <w:lang w:val="fr-FR"/>
        </w:rPr>
        <w:t xml:space="preserve"> bénéficier des</w:t>
      </w:r>
      <w:r w:rsidR="00091652" w:rsidRPr="006F0679">
        <w:rPr>
          <w:lang w:val="fr-FR"/>
        </w:rPr>
        <w:t xml:space="preserve"> </w:t>
      </w:r>
      <w:r w:rsidR="002C257E" w:rsidRPr="006F0679">
        <w:rPr>
          <w:lang w:val="fr-FR"/>
        </w:rPr>
        <w:t xml:space="preserve">avantages </w:t>
      </w:r>
      <w:r w:rsidR="004D3109" w:rsidRPr="006F0679">
        <w:rPr>
          <w:lang w:val="fr-FR"/>
        </w:rPr>
        <w:t xml:space="preserve">qui </w:t>
      </w:r>
      <w:r w:rsidR="002C257E" w:rsidRPr="006F0679">
        <w:rPr>
          <w:lang w:val="fr-FR"/>
        </w:rPr>
        <w:t>découl</w:t>
      </w:r>
      <w:r w:rsidR="004D3109" w:rsidRPr="006F0679">
        <w:rPr>
          <w:lang w:val="fr-FR"/>
        </w:rPr>
        <w:t>e</w:t>
      </w:r>
      <w:r w:rsidR="002C257E" w:rsidRPr="006F0679">
        <w:rPr>
          <w:lang w:val="fr-FR"/>
        </w:rPr>
        <w:t>nt de la mise en œuvre de la stratégie de gestion des connaissances de l</w:t>
      </w:r>
      <w:r w:rsidR="00E91F2D" w:rsidRPr="006F0679">
        <w:rPr>
          <w:lang w:val="fr-FR"/>
        </w:rPr>
        <w:t>’</w:t>
      </w:r>
      <w:r w:rsidR="002C257E" w:rsidRPr="006F0679">
        <w:rPr>
          <w:lang w:val="fr-FR"/>
        </w:rPr>
        <w:t>OMPI</w:t>
      </w:r>
      <w:r w:rsidR="00091652" w:rsidRPr="006F0679">
        <w:rPr>
          <w:lang w:val="fr-FR"/>
        </w:rPr>
        <w:t>.</w:t>
      </w:r>
    </w:p>
    <w:p w:rsidR="004D7733" w:rsidRPr="006F0679" w:rsidRDefault="002C257E" w:rsidP="005A16A1">
      <w:pPr>
        <w:pStyle w:val="Heading3"/>
        <w:rPr>
          <w:lang w:val="fr-FR"/>
        </w:rPr>
      </w:pPr>
      <w:r w:rsidRPr="006F0679">
        <w:rPr>
          <w:lang w:val="fr-FR"/>
        </w:rPr>
        <w:t>Réutilisation des connaissances</w:t>
      </w:r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7F48FA" w:rsidP="00781563">
      <w:pPr>
        <w:rPr>
          <w:lang w:val="fr-FR"/>
        </w:rPr>
      </w:pPr>
      <w:r w:rsidRPr="006F0679">
        <w:rPr>
          <w:lang w:val="fr-FR"/>
        </w:rPr>
        <w:t>Lorsque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 pourra réutiliser sa base de connaissances actuelle, elle sera plus </w:t>
      </w:r>
      <w:r w:rsidR="00D25BDE" w:rsidRPr="006F0679">
        <w:rPr>
          <w:lang w:val="fr-FR"/>
        </w:rPr>
        <w:t>efficiente</w:t>
      </w:r>
      <w:r w:rsidRPr="006F0679">
        <w:rPr>
          <w:lang w:val="fr-FR"/>
        </w:rPr>
        <w:t>, car elle ne devra</w:t>
      </w:r>
      <w:r w:rsidR="00D25BDE" w:rsidRPr="006F0679">
        <w:rPr>
          <w:lang w:val="fr-FR"/>
        </w:rPr>
        <w:t xml:space="preserve"> pas</w:t>
      </w:r>
      <w:r w:rsidRPr="006F0679">
        <w:rPr>
          <w:lang w:val="fr-FR"/>
        </w:rPr>
        <w:t xml:space="preserve"> investir </w:t>
      </w:r>
      <w:r w:rsidR="00D25BDE" w:rsidRPr="006F0679">
        <w:rPr>
          <w:lang w:val="fr-FR"/>
        </w:rPr>
        <w:t>de</w:t>
      </w:r>
      <w:r w:rsidRPr="006F0679">
        <w:rPr>
          <w:lang w:val="fr-FR"/>
        </w:rPr>
        <w:t xml:space="preserve"> temps et </w:t>
      </w:r>
      <w:r w:rsidR="00D25BDE" w:rsidRPr="006F0679">
        <w:rPr>
          <w:lang w:val="fr-FR"/>
        </w:rPr>
        <w:t>de</w:t>
      </w:r>
      <w:r w:rsidRPr="006F0679">
        <w:rPr>
          <w:lang w:val="fr-FR"/>
        </w:rPr>
        <w:t xml:space="preserve"> ressources dans la création de nouvelles connaissances</w:t>
      </w:r>
      <w:r w:rsidR="00451A8A" w:rsidRPr="006F0679">
        <w:rPr>
          <w:lang w:val="fr-FR"/>
        </w:rPr>
        <w:t>.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7F48FA" w:rsidP="00781563">
      <w:pPr>
        <w:rPr>
          <w:lang w:val="fr-FR"/>
        </w:rPr>
      </w:pPr>
      <w:r w:rsidRPr="006F0679">
        <w:rPr>
          <w:lang w:val="fr-FR"/>
        </w:rPr>
        <w:lastRenderedPageBreak/>
        <w:t>Par conséquent, grâce aux processus de gestion des connaissances qu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elle va mettre en œuvre, </w:t>
      </w:r>
      <w:r w:rsidR="00E91F2D" w:rsidRPr="006F0679">
        <w:rPr>
          <w:lang w:val="fr-FR"/>
        </w:rPr>
        <w:t>y compris</w:t>
      </w:r>
      <w:r w:rsidRPr="006F0679">
        <w:rPr>
          <w:lang w:val="fr-FR"/>
        </w:rPr>
        <w:t xml:space="preserve"> pour la </w:t>
      </w:r>
      <w:r w:rsidR="00D25BDE" w:rsidRPr="006F0679">
        <w:rPr>
          <w:lang w:val="fr-FR"/>
        </w:rPr>
        <w:t>recherche</w:t>
      </w:r>
      <w:r w:rsidRPr="006F0679">
        <w:rPr>
          <w:lang w:val="fr-FR"/>
        </w:rPr>
        <w:t xml:space="preserve"> et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organisation des connaissances,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 va pouvoir réutiliser plus efficacement les connaissances qu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elle </w:t>
      </w:r>
      <w:r w:rsidR="00D25BDE" w:rsidRPr="006F0679">
        <w:rPr>
          <w:lang w:val="fr-FR"/>
        </w:rPr>
        <w:t xml:space="preserve">a </w:t>
      </w:r>
      <w:r w:rsidRPr="006F0679">
        <w:rPr>
          <w:lang w:val="fr-FR"/>
        </w:rPr>
        <w:t>créé</w:t>
      </w:r>
      <w:r w:rsidR="00D25BDE" w:rsidRPr="006F0679">
        <w:rPr>
          <w:lang w:val="fr-FR"/>
        </w:rPr>
        <w:t>es</w:t>
      </w:r>
      <w:r w:rsidRPr="006F0679">
        <w:rPr>
          <w:lang w:val="fr-FR"/>
        </w:rPr>
        <w:t xml:space="preserve"> </w:t>
      </w:r>
      <w:r w:rsidR="004D3109" w:rsidRPr="006F0679">
        <w:rPr>
          <w:lang w:val="fr-FR"/>
        </w:rPr>
        <w:t>ou</w:t>
      </w:r>
      <w:r w:rsidRPr="006F0679">
        <w:rPr>
          <w:lang w:val="fr-FR"/>
        </w:rPr>
        <w:t xml:space="preserve"> qu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elle </w:t>
      </w:r>
      <w:r w:rsidR="00D25BDE" w:rsidRPr="006F0679">
        <w:rPr>
          <w:lang w:val="fr-FR"/>
        </w:rPr>
        <w:t>a acquises</w:t>
      </w:r>
      <w:r w:rsidRPr="006F0679">
        <w:rPr>
          <w:lang w:val="fr-FR"/>
        </w:rPr>
        <w:t>.</w:t>
      </w:r>
      <w:r w:rsidR="00451A8A" w:rsidRPr="006F0679">
        <w:rPr>
          <w:lang w:val="fr-FR"/>
        </w:rPr>
        <w:t xml:space="preserve">  </w:t>
      </w:r>
      <w:r w:rsidRPr="006F0679">
        <w:rPr>
          <w:lang w:val="fr-FR"/>
        </w:rPr>
        <w:t>Elle va donc mettre en place des processus qui contribuent à une meilleure réutilisation des connaissances.</w:t>
      </w:r>
    </w:p>
    <w:p w:rsidR="00845E81" w:rsidRPr="006F0679" w:rsidRDefault="00845E81" w:rsidP="00781563">
      <w:pPr>
        <w:rPr>
          <w:lang w:val="fr-FR"/>
        </w:rPr>
      </w:pPr>
    </w:p>
    <w:p w:rsidR="004D7733" w:rsidRPr="006F0679" w:rsidRDefault="007F48FA" w:rsidP="005A16A1">
      <w:pPr>
        <w:pStyle w:val="Heading1"/>
        <w:rPr>
          <w:lang w:val="fr-FR"/>
        </w:rPr>
      </w:pPr>
      <w:bookmarkStart w:id="17" w:name="_Toc426103176"/>
      <w:r w:rsidRPr="006F0679">
        <w:rPr>
          <w:lang w:val="fr-FR"/>
        </w:rPr>
        <w:t>Objectifs stratégiques en matière de gestion des connaissances</w:t>
      </w:r>
      <w:bookmarkEnd w:id="17"/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346FAA" w:rsidP="00781563">
      <w:pPr>
        <w:rPr>
          <w:lang w:val="fr-FR"/>
        </w:rPr>
      </w:pPr>
      <w:r w:rsidRPr="006F0679">
        <w:rPr>
          <w:lang w:val="fr-FR"/>
        </w:rPr>
        <w:t>La stratégie en matière de gestion des connaissances</w:t>
      </w:r>
      <w:r w:rsidR="00D25BDE" w:rsidRPr="006F0679">
        <w:rPr>
          <w:lang w:val="fr-FR"/>
        </w:rPr>
        <w:t xml:space="preserve"> de l</w:t>
      </w:r>
      <w:r w:rsidR="00E91F2D" w:rsidRPr="006F0679">
        <w:rPr>
          <w:lang w:val="fr-FR"/>
        </w:rPr>
        <w:t>’</w:t>
      </w:r>
      <w:r w:rsidR="00D25BDE" w:rsidRPr="006F0679">
        <w:rPr>
          <w:lang w:val="fr-FR"/>
        </w:rPr>
        <w:t>OMPI</w:t>
      </w:r>
      <w:r w:rsidRPr="006F0679">
        <w:rPr>
          <w:lang w:val="fr-FR"/>
        </w:rPr>
        <w:t>, bien qu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elle s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inspire des stratégies existantes, e</w:t>
      </w:r>
      <w:r w:rsidR="00D25BDE" w:rsidRPr="006F0679">
        <w:rPr>
          <w:lang w:val="fr-FR"/>
        </w:rPr>
        <w:t>s</w:t>
      </w:r>
      <w:r w:rsidRPr="006F0679">
        <w:rPr>
          <w:lang w:val="fr-FR"/>
        </w:rPr>
        <w:t>t résolument tournée vers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avenir et vise en particulier quatre</w:t>
      </w:r>
      <w:r w:rsidR="00E76653" w:rsidRPr="006F0679">
        <w:rPr>
          <w:lang w:val="fr-FR"/>
        </w:rPr>
        <w:t> </w:t>
      </w:r>
      <w:r w:rsidRPr="006F0679">
        <w:rPr>
          <w:lang w:val="fr-FR"/>
        </w:rPr>
        <w:t>objectifs stratégiques qui permettront de renforcer considérablement les capacités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 en </w:t>
      </w:r>
      <w:r w:rsidR="004D3109" w:rsidRPr="006F0679">
        <w:rPr>
          <w:lang w:val="fr-FR"/>
        </w:rPr>
        <w:t>ce qui concerne la</w:t>
      </w:r>
      <w:r w:rsidRPr="006F0679">
        <w:rPr>
          <w:lang w:val="fr-FR"/>
        </w:rPr>
        <w:t xml:space="preserve"> gestion des connaissances</w:t>
      </w:r>
      <w:r w:rsidR="004D3109" w:rsidRPr="006F0679">
        <w:rPr>
          <w:lang w:val="fr-FR"/>
        </w:rPr>
        <w:t>, notamment en termes de ressources de processus et de</w:t>
      </w:r>
      <w:r w:rsidRPr="006F0679">
        <w:rPr>
          <w:lang w:val="fr-FR"/>
        </w:rPr>
        <w:t xml:space="preserve"> technologies, tout en contribuant à la réalisation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objectif stratégique IX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OMPI, </w:t>
      </w:r>
      <w:r w:rsidR="00E91F2D" w:rsidRPr="006F0679">
        <w:rPr>
          <w:lang w:val="fr-FR"/>
        </w:rPr>
        <w:t>à savoir</w:t>
      </w:r>
      <w:r w:rsidRPr="006F0679">
        <w:rPr>
          <w:lang w:val="fr-FR"/>
        </w:rPr>
        <w:t xml:space="preserve"> une structure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appui administratif et financier efficace afin de permettre à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exécuter ses programmes</w:t>
      </w:r>
      <w:r w:rsidR="003A58CD" w:rsidRPr="006F0679">
        <w:rPr>
          <w:lang w:val="fr-FR"/>
        </w:rPr>
        <w:t>.</w:t>
      </w:r>
    </w:p>
    <w:p w:rsidR="004D7733" w:rsidRPr="006F0679" w:rsidRDefault="00346FAA" w:rsidP="005A16A1">
      <w:pPr>
        <w:pStyle w:val="Heading2"/>
        <w:rPr>
          <w:lang w:val="fr-FR"/>
        </w:rPr>
      </w:pPr>
      <w:bookmarkStart w:id="18" w:name="_Toc426103177"/>
      <w:r w:rsidRPr="006F0679">
        <w:rPr>
          <w:lang w:val="fr-FR"/>
        </w:rPr>
        <w:t xml:space="preserve">Objectif </w:t>
      </w:r>
      <w:r w:rsidR="007F4E56">
        <w:rPr>
          <w:lang w:val="fr-FR"/>
        </w:rPr>
        <w:t>STRATÉGIQUE </w:t>
      </w:r>
      <w:r w:rsidR="006758B6" w:rsidRPr="006F0679">
        <w:rPr>
          <w:lang w:val="fr-FR"/>
        </w:rPr>
        <w:t>1</w:t>
      </w:r>
      <w:r w:rsidR="00A128DA" w:rsidRPr="006F0679">
        <w:rPr>
          <w:lang w:val="fr-FR"/>
        </w:rPr>
        <w:t> :</w:t>
      </w:r>
      <w:r w:rsidR="006758B6" w:rsidRPr="006F0679">
        <w:rPr>
          <w:lang w:val="fr-FR"/>
        </w:rPr>
        <w:t xml:space="preserve"> </w:t>
      </w:r>
      <w:r w:rsidR="00D25BDE" w:rsidRPr="006F0679">
        <w:rPr>
          <w:lang w:val="fr-FR"/>
        </w:rPr>
        <w:t>création</w:t>
      </w:r>
      <w:r w:rsidRPr="006F0679">
        <w:rPr>
          <w:lang w:val="fr-FR"/>
        </w:rPr>
        <w:t xml:space="preserve"> </w:t>
      </w:r>
      <w:r w:rsidR="00D25BDE" w:rsidRPr="006F0679">
        <w:rPr>
          <w:lang w:val="fr-FR"/>
        </w:rPr>
        <w:t>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une culture de la gestion des connaissances</w:t>
      </w:r>
      <w:bookmarkEnd w:id="18"/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346FAA" w:rsidP="00781563">
      <w:pPr>
        <w:rPr>
          <w:lang w:val="fr-FR"/>
        </w:rPr>
      </w:pPr>
      <w:r w:rsidRPr="006F0679">
        <w:rPr>
          <w:lang w:val="fr-FR"/>
        </w:rPr>
        <w:t>Cet objectif vise à assurer que la gestion des connaissances soit considérée comme faisant partie intégrante des tâches quotidiennes et que les fonctionnaires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 </w:t>
      </w:r>
      <w:r w:rsidR="00A128DA" w:rsidRPr="006F0679">
        <w:rPr>
          <w:lang w:val="fr-FR"/>
        </w:rPr>
        <w:t>soient conscients de leurs responsabilités et de l</w:t>
      </w:r>
      <w:r w:rsidR="00E91F2D" w:rsidRPr="006F0679">
        <w:rPr>
          <w:lang w:val="fr-FR"/>
        </w:rPr>
        <w:t>’</w:t>
      </w:r>
      <w:r w:rsidR="00A128DA" w:rsidRPr="006F0679">
        <w:rPr>
          <w:lang w:val="fr-FR"/>
        </w:rPr>
        <w:t>incidence de la gestion des connaissances sur leurs activités quotidiennes, mais également de l</w:t>
      </w:r>
      <w:r w:rsidR="00E91F2D" w:rsidRPr="006F0679">
        <w:rPr>
          <w:lang w:val="fr-FR"/>
        </w:rPr>
        <w:t>’</w:t>
      </w:r>
      <w:r w:rsidR="00A128DA" w:rsidRPr="006F0679">
        <w:rPr>
          <w:lang w:val="fr-FR"/>
        </w:rPr>
        <w:t>incidence de leurs activités quotidiennes sur la gestion des connaissances</w:t>
      </w:r>
      <w:r w:rsidR="006758B6" w:rsidRPr="006F0679">
        <w:rPr>
          <w:lang w:val="fr-FR"/>
        </w:rPr>
        <w:t xml:space="preserve">.  </w:t>
      </w:r>
      <w:r w:rsidR="00D25BDE" w:rsidRPr="006F0679">
        <w:rPr>
          <w:lang w:val="fr-FR"/>
        </w:rPr>
        <w:t>La réalisation de cet objectif contribuera</w:t>
      </w:r>
      <w:r w:rsidR="00A128DA" w:rsidRPr="006F0679">
        <w:rPr>
          <w:lang w:val="fr-FR"/>
        </w:rPr>
        <w:t xml:space="preserve"> à une meilleure gouvernance en ce qui concerne les actifs fondés sur les connaissances</w:t>
      </w:r>
      <w:r w:rsidR="004D3109" w:rsidRPr="006F0679">
        <w:rPr>
          <w:lang w:val="fr-FR"/>
        </w:rPr>
        <w:t xml:space="preserve"> et</w:t>
      </w:r>
      <w:r w:rsidR="00A128DA" w:rsidRPr="006F0679">
        <w:rPr>
          <w:lang w:val="fr-FR"/>
        </w:rPr>
        <w:t xml:space="preserve"> une meilleure responsabilisation en ce qui concerne les activités de gestion des connaissances</w:t>
      </w:r>
      <w:r w:rsidR="004D3109" w:rsidRPr="006F0679">
        <w:rPr>
          <w:lang w:val="fr-FR"/>
        </w:rPr>
        <w:t>,</w:t>
      </w:r>
      <w:r w:rsidR="00A128DA" w:rsidRPr="006F0679">
        <w:rPr>
          <w:lang w:val="fr-FR"/>
        </w:rPr>
        <w:t xml:space="preserve"> et suscitera un sentiment d</w:t>
      </w:r>
      <w:r w:rsidR="00E91F2D" w:rsidRPr="006F0679">
        <w:rPr>
          <w:lang w:val="fr-FR"/>
        </w:rPr>
        <w:t>’</w:t>
      </w:r>
      <w:r w:rsidR="00A128DA" w:rsidRPr="006F0679">
        <w:rPr>
          <w:lang w:val="fr-FR"/>
        </w:rPr>
        <w:t xml:space="preserve">appartenance tout en générant des avantages </w:t>
      </w:r>
      <w:r w:rsidR="00D25BDE" w:rsidRPr="006F0679">
        <w:rPr>
          <w:lang w:val="fr-FR"/>
        </w:rPr>
        <w:t>qui découlent</w:t>
      </w:r>
      <w:r w:rsidR="00A128DA" w:rsidRPr="006F0679">
        <w:rPr>
          <w:lang w:val="fr-FR"/>
        </w:rPr>
        <w:t xml:space="preserve"> de la gestion des connaissances</w:t>
      </w:r>
      <w:r w:rsidR="006758B6" w:rsidRPr="006F0679">
        <w:rPr>
          <w:lang w:val="fr-FR"/>
        </w:rPr>
        <w:t>.</w:t>
      </w:r>
    </w:p>
    <w:p w:rsidR="004D7733" w:rsidRPr="006F0679" w:rsidRDefault="00A128DA" w:rsidP="005A16A1">
      <w:pPr>
        <w:pStyle w:val="Heading2"/>
        <w:rPr>
          <w:lang w:val="fr-FR"/>
        </w:rPr>
      </w:pPr>
      <w:bookmarkStart w:id="19" w:name="_Toc426103178"/>
      <w:r w:rsidRPr="006F0679">
        <w:rPr>
          <w:lang w:val="fr-FR"/>
        </w:rPr>
        <w:t xml:space="preserve">Objectif </w:t>
      </w:r>
      <w:r w:rsidR="007F4E56">
        <w:rPr>
          <w:lang w:val="fr-FR"/>
        </w:rPr>
        <w:t>STRATÉGIQUE </w:t>
      </w:r>
      <w:r w:rsidR="006758B6" w:rsidRPr="006F0679">
        <w:rPr>
          <w:lang w:val="fr-FR"/>
        </w:rPr>
        <w:t>2</w:t>
      </w:r>
      <w:r w:rsidRPr="006F0679">
        <w:rPr>
          <w:lang w:val="fr-FR"/>
        </w:rPr>
        <w:t> :</w:t>
      </w:r>
      <w:r w:rsidR="006758B6" w:rsidRPr="006F0679">
        <w:rPr>
          <w:lang w:val="fr-FR"/>
        </w:rPr>
        <w:t xml:space="preserve"> </w:t>
      </w:r>
      <w:r w:rsidRPr="006F0679">
        <w:rPr>
          <w:lang w:val="fr-FR"/>
        </w:rPr>
        <w:t>mise en œuvre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un ensemble de processus et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outils de gestion des connaissances à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échelle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Organisation</w:t>
      </w:r>
      <w:bookmarkEnd w:id="19"/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A128DA" w:rsidP="00781563">
      <w:pPr>
        <w:rPr>
          <w:lang w:val="fr-FR"/>
        </w:rPr>
      </w:pPr>
      <w:r w:rsidRPr="006F0679">
        <w:rPr>
          <w:lang w:val="fr-FR"/>
        </w:rPr>
        <w:t>Cet objectif vise à assurer qu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un ensemble normalisé de processus et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outils de gestion des connaissances soit mis en œuvre au sein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OMPI, offrant </w:t>
      </w:r>
      <w:r w:rsidR="004D3109" w:rsidRPr="006F0679">
        <w:rPr>
          <w:lang w:val="fr-FR"/>
        </w:rPr>
        <w:t>des</w:t>
      </w:r>
      <w:r w:rsidRPr="006F0679">
        <w:rPr>
          <w:lang w:val="fr-FR"/>
        </w:rPr>
        <w:t xml:space="preserve"> points </w:t>
      </w:r>
      <w:r w:rsidR="00D25BDE" w:rsidRPr="006F0679">
        <w:rPr>
          <w:lang w:val="fr-FR"/>
        </w:rPr>
        <w:t>d</w:t>
      </w:r>
      <w:r w:rsidR="00E91F2D" w:rsidRPr="006F0679">
        <w:rPr>
          <w:lang w:val="fr-FR"/>
        </w:rPr>
        <w:t>’</w:t>
      </w:r>
      <w:r w:rsidR="00D25BDE" w:rsidRPr="006F0679">
        <w:rPr>
          <w:lang w:val="fr-FR"/>
        </w:rPr>
        <w:t>accès</w:t>
      </w:r>
      <w:r w:rsidR="001566B6" w:rsidRPr="006F0679">
        <w:rPr>
          <w:lang w:val="fr-FR"/>
        </w:rPr>
        <w:t xml:space="preserve"> préc</w:t>
      </w:r>
      <w:r w:rsidRPr="006F0679">
        <w:rPr>
          <w:lang w:val="fr-FR"/>
        </w:rPr>
        <w:t>is aux processus de gestion des connaissances pour les fonctionnaires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</w:t>
      </w:r>
      <w:r w:rsidR="006758B6" w:rsidRPr="006F0679">
        <w:rPr>
          <w:lang w:val="fr-FR"/>
        </w:rPr>
        <w:t>.</w:t>
      </w:r>
    </w:p>
    <w:p w:rsidR="004D7733" w:rsidRPr="006F0679" w:rsidRDefault="00A128DA" w:rsidP="005A16A1">
      <w:pPr>
        <w:pStyle w:val="Heading2"/>
        <w:rPr>
          <w:lang w:val="fr-FR"/>
        </w:rPr>
      </w:pPr>
      <w:bookmarkStart w:id="20" w:name="_Toc426103179"/>
      <w:r w:rsidRPr="006F0679">
        <w:rPr>
          <w:lang w:val="fr-FR"/>
        </w:rPr>
        <w:t xml:space="preserve">Objectif </w:t>
      </w:r>
      <w:r w:rsidR="007F4E56">
        <w:rPr>
          <w:lang w:val="fr-FR"/>
        </w:rPr>
        <w:t>STRATÉGIQUE </w:t>
      </w:r>
      <w:r w:rsidR="006758B6" w:rsidRPr="006F0679">
        <w:rPr>
          <w:lang w:val="fr-FR"/>
        </w:rPr>
        <w:t>3</w:t>
      </w:r>
      <w:r w:rsidRPr="006F0679">
        <w:rPr>
          <w:lang w:val="fr-FR"/>
        </w:rPr>
        <w:t> :</w:t>
      </w:r>
      <w:r w:rsidR="006758B6" w:rsidRPr="006F0679">
        <w:rPr>
          <w:lang w:val="fr-FR"/>
        </w:rPr>
        <w:t xml:space="preserve"> </w:t>
      </w:r>
      <w:r w:rsidR="00D25BDE" w:rsidRPr="006F0679">
        <w:rPr>
          <w:lang w:val="fr-FR"/>
        </w:rPr>
        <w:t xml:space="preserve">identification et </w:t>
      </w:r>
      <w:r w:rsidRPr="006F0679">
        <w:rPr>
          <w:lang w:val="fr-FR"/>
        </w:rPr>
        <w:t>publication d</w:t>
      </w:r>
      <w:r w:rsidR="00E91F2D" w:rsidRPr="006F0679">
        <w:rPr>
          <w:lang w:val="fr-FR"/>
        </w:rPr>
        <w:t>’</w:t>
      </w:r>
      <w:r w:rsidR="00E76653" w:rsidRPr="006F0679">
        <w:rPr>
          <w:lang w:val="fr-FR"/>
        </w:rPr>
        <w:t>“</w:t>
      </w:r>
      <w:r w:rsidRPr="006F0679">
        <w:rPr>
          <w:lang w:val="fr-FR"/>
        </w:rPr>
        <w:t>une source unique et fiable</w:t>
      </w:r>
      <w:r w:rsidR="00E76653" w:rsidRPr="006F0679">
        <w:rPr>
          <w:lang w:val="fr-FR"/>
        </w:rPr>
        <w:t>”</w:t>
      </w:r>
      <w:r w:rsidRPr="006F0679">
        <w:rPr>
          <w:lang w:val="fr-FR"/>
        </w:rPr>
        <w:t xml:space="preserve"> pour les actifs fond</w:t>
      </w:r>
      <w:r w:rsidR="00DA7EF7" w:rsidRPr="006F0679">
        <w:rPr>
          <w:lang w:val="fr-FR"/>
        </w:rPr>
        <w:t>és sur les connaissances et les </w:t>
      </w:r>
      <w:r w:rsidRPr="006F0679">
        <w:rPr>
          <w:lang w:val="fr-FR"/>
        </w:rPr>
        <w:t>informations</w:t>
      </w:r>
      <w:bookmarkEnd w:id="20"/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A128DA" w:rsidP="00781563">
      <w:pPr>
        <w:rPr>
          <w:lang w:val="fr-FR"/>
        </w:rPr>
      </w:pPr>
      <w:r w:rsidRPr="006F0679">
        <w:rPr>
          <w:lang w:val="fr-FR"/>
        </w:rPr>
        <w:t>Cet objectif vise à assurer que</w:t>
      </w:r>
      <w:r w:rsidR="00D25BDE" w:rsidRPr="006F0679">
        <w:rPr>
          <w:lang w:val="fr-FR"/>
        </w:rPr>
        <w:t>,</w:t>
      </w:r>
      <w:r w:rsidRPr="006F0679">
        <w:rPr>
          <w:lang w:val="fr-FR"/>
        </w:rPr>
        <w:t xml:space="preserve"> pour chaque type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actif fondé sur des données, des informations ou des connaissances, la source </w:t>
      </w:r>
      <w:r w:rsidR="00D25BDE" w:rsidRPr="006F0679">
        <w:rPr>
          <w:lang w:val="fr-FR"/>
        </w:rPr>
        <w:t>principale</w:t>
      </w:r>
      <w:r w:rsidRPr="006F0679">
        <w:rPr>
          <w:lang w:val="fr-FR"/>
        </w:rPr>
        <w:t xml:space="preserve"> soit connue et </w:t>
      </w:r>
      <w:r w:rsidR="00D25BDE" w:rsidRPr="006F0679">
        <w:rPr>
          <w:lang w:val="fr-FR"/>
        </w:rPr>
        <w:t xml:space="preserve">que </w:t>
      </w:r>
      <w:r w:rsidRPr="006F0679">
        <w:rPr>
          <w:lang w:val="fr-FR"/>
        </w:rPr>
        <w:t>les informations sur cette source soient communiquées à toutes les parties prenantes concernées, afin de permettre une meilleure réutilisation des actifs fondés sur les données, les informations et les connaissances au sein de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</w:t>
      </w:r>
      <w:r w:rsidR="006758B6" w:rsidRPr="006F0679">
        <w:rPr>
          <w:lang w:val="fr-FR"/>
        </w:rPr>
        <w:t>.</w:t>
      </w:r>
    </w:p>
    <w:p w:rsidR="004D7733" w:rsidRPr="006F0679" w:rsidRDefault="00A128DA" w:rsidP="005A16A1">
      <w:pPr>
        <w:pStyle w:val="Heading2"/>
        <w:rPr>
          <w:lang w:val="fr-FR"/>
        </w:rPr>
      </w:pPr>
      <w:bookmarkStart w:id="21" w:name="_Toc426103180"/>
      <w:r w:rsidRPr="006F0679">
        <w:rPr>
          <w:lang w:val="fr-FR"/>
        </w:rPr>
        <w:t xml:space="preserve">Objectif </w:t>
      </w:r>
      <w:r w:rsidR="007F4E56">
        <w:rPr>
          <w:lang w:val="fr-FR"/>
        </w:rPr>
        <w:t>STRATÉGIQUE </w:t>
      </w:r>
      <w:r w:rsidR="006758B6" w:rsidRPr="006F0679">
        <w:rPr>
          <w:lang w:val="fr-FR"/>
        </w:rPr>
        <w:t>4</w:t>
      </w:r>
      <w:r w:rsidRPr="006F0679">
        <w:rPr>
          <w:lang w:val="fr-FR"/>
        </w:rPr>
        <w:t> :</w:t>
      </w:r>
      <w:r w:rsidR="006758B6" w:rsidRPr="006F0679">
        <w:rPr>
          <w:lang w:val="fr-FR"/>
        </w:rPr>
        <w:t xml:space="preserve"> </w:t>
      </w:r>
      <w:r w:rsidRPr="006F0679">
        <w:rPr>
          <w:lang w:val="fr-FR"/>
        </w:rPr>
        <w:t xml:space="preserve">harmonisation et intégration </w:t>
      </w:r>
      <w:r w:rsidR="004C56B0" w:rsidRPr="006F0679">
        <w:rPr>
          <w:lang w:val="fr-FR"/>
        </w:rPr>
        <w:t>avec la stratégie de l</w:t>
      </w:r>
      <w:r w:rsidR="00E91F2D" w:rsidRPr="006F0679">
        <w:rPr>
          <w:lang w:val="fr-FR"/>
        </w:rPr>
        <w:t>’</w:t>
      </w:r>
      <w:r w:rsidR="004C56B0" w:rsidRPr="006F0679">
        <w:rPr>
          <w:lang w:val="fr-FR"/>
        </w:rPr>
        <w:t>Organisation en matière de résilience</w:t>
      </w:r>
      <w:bookmarkEnd w:id="21"/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4C56B0" w:rsidP="00781563">
      <w:pPr>
        <w:rPr>
          <w:lang w:val="fr-FR"/>
        </w:rPr>
      </w:pPr>
      <w:r w:rsidRPr="006F0679">
        <w:rPr>
          <w:lang w:val="fr-FR"/>
        </w:rPr>
        <w:t>Cet objectif vise à assurer que les actifs fondés sur les connaissances nécessaires à l</w:t>
      </w:r>
      <w:r w:rsidR="00E91F2D" w:rsidRPr="006F0679">
        <w:rPr>
          <w:lang w:val="fr-FR"/>
        </w:rPr>
        <w:t>’</w:t>
      </w:r>
      <w:r w:rsidR="001566B6" w:rsidRPr="006F0679">
        <w:rPr>
          <w:lang w:val="fr-FR"/>
        </w:rPr>
        <w:t>OMPI soient identifié</w:t>
      </w:r>
      <w:r w:rsidRPr="006F0679">
        <w:rPr>
          <w:lang w:val="fr-FR"/>
        </w:rPr>
        <w:t>s et gérés de manière appropriée, même en cas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 xml:space="preserve">interruption ou de changement, </w:t>
      </w:r>
      <w:r w:rsidR="00E91F2D" w:rsidRPr="006F0679">
        <w:rPr>
          <w:lang w:val="fr-FR"/>
        </w:rPr>
        <w:t>y compris</w:t>
      </w:r>
      <w:r w:rsidRPr="006F0679">
        <w:rPr>
          <w:lang w:val="fr-FR"/>
        </w:rPr>
        <w:t xml:space="preserve"> à la suite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un mouvement de personnel</w:t>
      </w:r>
      <w:r w:rsidR="00D25BDE" w:rsidRPr="006F0679">
        <w:rPr>
          <w:lang w:val="fr-FR"/>
        </w:rPr>
        <w:t xml:space="preserve"> non prévu</w:t>
      </w:r>
      <w:r w:rsidR="001566B6" w:rsidRPr="006F0679">
        <w:rPr>
          <w:lang w:val="fr-FR"/>
        </w:rPr>
        <w:t xml:space="preserve"> ou </w:t>
      </w:r>
      <w:r w:rsidRPr="006F0679">
        <w:rPr>
          <w:lang w:val="fr-FR"/>
        </w:rPr>
        <w:t>e</w:t>
      </w:r>
      <w:r w:rsidR="00D25BDE" w:rsidRPr="006F0679">
        <w:rPr>
          <w:lang w:val="fr-FR"/>
        </w:rPr>
        <w:t>n cas de</w:t>
      </w:r>
      <w:r w:rsidRPr="006F0679">
        <w:rPr>
          <w:lang w:val="fr-FR"/>
        </w:rPr>
        <w:t xml:space="preserve"> situation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urgence</w:t>
      </w:r>
      <w:r w:rsidR="005B08A9" w:rsidRPr="006F0679">
        <w:rPr>
          <w:lang w:val="fr-FR"/>
        </w:rPr>
        <w:t>.</w:t>
      </w:r>
    </w:p>
    <w:p w:rsidR="004D7733" w:rsidRPr="006F0679" w:rsidRDefault="004C56B0" w:rsidP="005A16A1">
      <w:pPr>
        <w:pStyle w:val="Heading2"/>
        <w:rPr>
          <w:lang w:val="fr-FR"/>
        </w:rPr>
      </w:pPr>
      <w:bookmarkStart w:id="22" w:name="_Toc426103181"/>
      <w:r w:rsidRPr="006F0679">
        <w:rPr>
          <w:lang w:val="fr-FR"/>
        </w:rPr>
        <w:lastRenderedPageBreak/>
        <w:t>Principes de mise en œuvre de la stratégie</w:t>
      </w:r>
      <w:bookmarkEnd w:id="22"/>
    </w:p>
    <w:p w:rsidR="004D7733" w:rsidRPr="006F0679" w:rsidRDefault="00D25BDE" w:rsidP="005A16A1">
      <w:pPr>
        <w:pStyle w:val="Heading3"/>
        <w:rPr>
          <w:lang w:val="fr-FR"/>
        </w:rPr>
      </w:pPr>
      <w:r w:rsidRPr="006F0679">
        <w:rPr>
          <w:lang w:val="fr-FR"/>
        </w:rPr>
        <w:t>Mise en œuvre axée sur les av</w:t>
      </w:r>
      <w:r w:rsidR="004C56B0" w:rsidRPr="006F0679">
        <w:rPr>
          <w:lang w:val="fr-FR"/>
        </w:rPr>
        <w:t>antages</w:t>
      </w:r>
    </w:p>
    <w:p w:rsidR="00845E81" w:rsidRPr="006F0679" w:rsidRDefault="00845E81" w:rsidP="00845E81">
      <w:pPr>
        <w:keepNext/>
        <w:keepLines/>
        <w:rPr>
          <w:lang w:val="fr-FR"/>
        </w:rPr>
      </w:pPr>
    </w:p>
    <w:p w:rsidR="004D7733" w:rsidRPr="006F0679" w:rsidRDefault="00D25BDE" w:rsidP="00845E81">
      <w:pPr>
        <w:keepNext/>
        <w:keepLines/>
        <w:rPr>
          <w:lang w:val="fr-FR"/>
        </w:rPr>
      </w:pPr>
      <w:r w:rsidRPr="006F0679">
        <w:rPr>
          <w:lang w:val="fr-FR"/>
        </w:rPr>
        <w:t>C</w:t>
      </w:r>
      <w:r w:rsidR="004C56B0" w:rsidRPr="006F0679">
        <w:rPr>
          <w:lang w:val="fr-FR"/>
        </w:rPr>
        <w:t xml:space="preserve">haque projet </w:t>
      </w:r>
      <w:r w:rsidRPr="006F0679">
        <w:rPr>
          <w:lang w:val="fr-FR"/>
        </w:rPr>
        <w:t>ou</w:t>
      </w:r>
      <w:r w:rsidR="004C56B0" w:rsidRPr="006F0679">
        <w:rPr>
          <w:lang w:val="fr-FR"/>
        </w:rPr>
        <w:t xml:space="preserve"> initiative </w:t>
      </w:r>
      <w:r w:rsidRPr="006F0679">
        <w:rPr>
          <w:lang w:val="fr-FR"/>
        </w:rPr>
        <w:t>mis en œuvre dans le cadre de cette stratégie</w:t>
      </w:r>
      <w:r w:rsidR="004C56B0" w:rsidRPr="006F0679">
        <w:rPr>
          <w:lang w:val="fr-FR"/>
        </w:rPr>
        <w:t xml:space="preserve"> devra profiter directement à l</w:t>
      </w:r>
      <w:r w:rsidR="00E91F2D" w:rsidRPr="006F0679">
        <w:rPr>
          <w:lang w:val="fr-FR"/>
        </w:rPr>
        <w:t>’</w:t>
      </w:r>
      <w:r w:rsidR="004C56B0" w:rsidRPr="006F0679">
        <w:rPr>
          <w:lang w:val="fr-FR"/>
        </w:rPr>
        <w:t>OMPI ou à ses parties prenantes externes, plutôt que simplement s</w:t>
      </w:r>
      <w:r w:rsidR="00E91F2D" w:rsidRPr="006F0679">
        <w:rPr>
          <w:lang w:val="fr-FR"/>
        </w:rPr>
        <w:t>’</w:t>
      </w:r>
      <w:r w:rsidR="004C56B0" w:rsidRPr="006F0679">
        <w:rPr>
          <w:lang w:val="fr-FR"/>
        </w:rPr>
        <w:t xml:space="preserve">inscrire </w:t>
      </w:r>
      <w:r w:rsidR="003539CE" w:rsidRPr="006F0679">
        <w:rPr>
          <w:lang w:val="fr-FR"/>
        </w:rPr>
        <w:t xml:space="preserve">comme une étape </w:t>
      </w:r>
      <w:r w:rsidR="001566B6" w:rsidRPr="006F0679">
        <w:rPr>
          <w:lang w:val="fr-FR"/>
        </w:rPr>
        <w:t xml:space="preserve">de plus </w:t>
      </w:r>
      <w:r w:rsidR="004C56B0" w:rsidRPr="006F0679">
        <w:rPr>
          <w:lang w:val="fr-FR"/>
        </w:rPr>
        <w:t>dans la feuille de route concerna</w:t>
      </w:r>
      <w:r w:rsidR="003539CE" w:rsidRPr="006F0679">
        <w:rPr>
          <w:lang w:val="fr-FR"/>
        </w:rPr>
        <w:t>nt la gestion des connaissances.</w:t>
      </w:r>
    </w:p>
    <w:p w:rsidR="004D7733" w:rsidRPr="006F0679" w:rsidRDefault="004C56B0" w:rsidP="005A16A1">
      <w:pPr>
        <w:pStyle w:val="Heading3"/>
        <w:rPr>
          <w:lang w:val="fr-FR"/>
        </w:rPr>
      </w:pPr>
      <w:r w:rsidRPr="006F0679">
        <w:rPr>
          <w:lang w:val="fr-FR"/>
        </w:rPr>
        <w:t>Les avantages découlant de la gestion des connaissances ne concerne</w:t>
      </w:r>
      <w:r w:rsidR="003539CE" w:rsidRPr="006F0679">
        <w:rPr>
          <w:lang w:val="fr-FR"/>
        </w:rPr>
        <w:t>nt</w:t>
      </w:r>
      <w:r w:rsidRPr="006F0679">
        <w:rPr>
          <w:lang w:val="fr-FR"/>
        </w:rPr>
        <w:t xml:space="preserve"> pas </w:t>
      </w:r>
      <w:r w:rsidR="003539CE" w:rsidRPr="006F0679">
        <w:rPr>
          <w:lang w:val="fr-FR"/>
        </w:rPr>
        <w:t>uniquement</w:t>
      </w:r>
      <w:r w:rsidRPr="006F0679">
        <w:rPr>
          <w:lang w:val="fr-FR"/>
        </w:rPr>
        <w:t xml:space="preserve"> l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OMPI</w:t>
      </w:r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4C56B0" w:rsidP="00781563">
      <w:pPr>
        <w:rPr>
          <w:lang w:val="fr-FR"/>
        </w:rPr>
      </w:pPr>
      <w:r w:rsidRPr="006F0679">
        <w:rPr>
          <w:lang w:val="fr-FR"/>
        </w:rPr>
        <w:t>Durant la mise en œuvre de cette stratégie et des projets et initiatives connexes, il conviendra de tenir compte des attentes des parties prenantes externes</w:t>
      </w:r>
      <w:r w:rsidR="001566B6" w:rsidRPr="006F0679">
        <w:rPr>
          <w:lang w:val="fr-FR"/>
        </w:rPr>
        <w:t>,</w:t>
      </w:r>
      <w:r w:rsidRPr="006F0679">
        <w:rPr>
          <w:lang w:val="fr-FR"/>
        </w:rPr>
        <w:t xml:space="preserve"> des parties prenantes</w:t>
      </w:r>
      <w:r w:rsidR="00B0319C" w:rsidRPr="006F0679">
        <w:rPr>
          <w:lang w:val="fr-FR"/>
        </w:rPr>
        <w:t xml:space="preserve"> </w:t>
      </w:r>
      <w:r w:rsidR="003539CE" w:rsidRPr="006F0679">
        <w:rPr>
          <w:lang w:val="fr-FR"/>
        </w:rPr>
        <w:t xml:space="preserve">internes </w:t>
      </w:r>
      <w:r w:rsidR="00B0319C" w:rsidRPr="006F0679">
        <w:rPr>
          <w:lang w:val="fr-FR"/>
        </w:rPr>
        <w:t>et des utilisateurs</w:t>
      </w:r>
      <w:r w:rsidRPr="006F0679">
        <w:rPr>
          <w:lang w:val="fr-FR"/>
        </w:rPr>
        <w:t xml:space="preserve"> </w:t>
      </w:r>
      <w:r w:rsidR="00B0319C" w:rsidRPr="006F0679">
        <w:rPr>
          <w:lang w:val="fr-FR"/>
        </w:rPr>
        <w:t>pour tirer parti au maximum de la gestion des connaissances</w:t>
      </w:r>
      <w:r w:rsidR="007F409A" w:rsidRPr="006F0679">
        <w:rPr>
          <w:lang w:val="fr-FR"/>
        </w:rPr>
        <w:t>.</w:t>
      </w:r>
    </w:p>
    <w:p w:rsidR="004D7733" w:rsidRPr="006F0679" w:rsidRDefault="00B0319C" w:rsidP="005A16A1">
      <w:pPr>
        <w:pStyle w:val="Heading3"/>
        <w:rPr>
          <w:lang w:val="fr-FR"/>
        </w:rPr>
      </w:pPr>
      <w:r w:rsidRPr="006F0679">
        <w:rPr>
          <w:lang w:val="fr-FR"/>
        </w:rPr>
        <w:t>Dans la gestion des connaissances, c</w:t>
      </w:r>
      <w:r w:rsidR="00E91F2D" w:rsidRPr="006F0679">
        <w:rPr>
          <w:lang w:val="fr-FR"/>
        </w:rPr>
        <w:t>’</w:t>
      </w:r>
      <w:r w:rsidR="001566B6" w:rsidRPr="006F0679">
        <w:rPr>
          <w:lang w:val="fr-FR"/>
        </w:rPr>
        <w:t>est le chemin qui compte, pas l</w:t>
      </w:r>
      <w:r w:rsidR="00E91F2D" w:rsidRPr="006F0679">
        <w:rPr>
          <w:lang w:val="fr-FR"/>
        </w:rPr>
        <w:t>’</w:t>
      </w:r>
      <w:r w:rsidR="001566B6" w:rsidRPr="006F0679">
        <w:rPr>
          <w:lang w:val="fr-FR"/>
        </w:rPr>
        <w:t>arrivée</w:t>
      </w:r>
    </w:p>
    <w:p w:rsidR="00845E81" w:rsidRPr="006F0679" w:rsidRDefault="00845E81" w:rsidP="00845E81">
      <w:pPr>
        <w:rPr>
          <w:lang w:val="fr-FR"/>
        </w:rPr>
      </w:pPr>
    </w:p>
    <w:p w:rsidR="004D7733" w:rsidRPr="006F0679" w:rsidRDefault="00B0319C" w:rsidP="00781563">
      <w:pPr>
        <w:rPr>
          <w:lang w:val="fr-FR"/>
        </w:rPr>
      </w:pPr>
      <w:r w:rsidRPr="006F0679">
        <w:rPr>
          <w:lang w:val="fr-FR"/>
        </w:rPr>
        <w:t xml:space="preserve">Durant la mise en œuvre de cette stratégie et des stratégies futures </w:t>
      </w:r>
      <w:r w:rsidR="003539CE" w:rsidRPr="006F0679">
        <w:rPr>
          <w:lang w:val="fr-FR"/>
        </w:rPr>
        <w:t>en matière de</w:t>
      </w:r>
      <w:r w:rsidRPr="006F0679">
        <w:rPr>
          <w:lang w:val="fr-FR"/>
        </w:rPr>
        <w:t xml:space="preserve"> gesti</w:t>
      </w:r>
      <w:r w:rsidR="003D55DD" w:rsidRPr="006F0679">
        <w:rPr>
          <w:lang w:val="fr-FR"/>
        </w:rPr>
        <w:t>on des connaissances, il importe</w:t>
      </w:r>
      <w:r w:rsidRPr="006F0679">
        <w:rPr>
          <w:lang w:val="fr-FR"/>
        </w:rPr>
        <w:t xml:space="preserve"> de considérer la gestion des connaissances comme une activité sur le long terme dans laquelle </w:t>
      </w:r>
      <w:r w:rsidR="001566B6" w:rsidRPr="006F0679">
        <w:rPr>
          <w:lang w:val="fr-FR"/>
        </w:rPr>
        <w:t>doivent s</w:t>
      </w:r>
      <w:r w:rsidR="00E91F2D" w:rsidRPr="006F0679">
        <w:rPr>
          <w:lang w:val="fr-FR"/>
        </w:rPr>
        <w:t>’</w:t>
      </w:r>
      <w:r w:rsidR="001566B6" w:rsidRPr="006F0679">
        <w:rPr>
          <w:lang w:val="fr-FR"/>
        </w:rPr>
        <w:t>inscrire</w:t>
      </w:r>
      <w:r w:rsidRPr="006F0679">
        <w:rPr>
          <w:lang w:val="fr-FR"/>
        </w:rPr>
        <w:t xml:space="preserve"> des améliorations continues en termes d</w:t>
      </w:r>
      <w:r w:rsidR="00E91F2D" w:rsidRPr="006F0679">
        <w:rPr>
          <w:lang w:val="fr-FR"/>
        </w:rPr>
        <w:t>’</w:t>
      </w:r>
      <w:r w:rsidRPr="006F0679">
        <w:rPr>
          <w:lang w:val="fr-FR"/>
        </w:rPr>
        <w:t>environnement et de processus</w:t>
      </w:r>
      <w:r w:rsidR="007F409A" w:rsidRPr="006F0679">
        <w:rPr>
          <w:lang w:val="fr-FR"/>
        </w:rPr>
        <w:t>.</w:t>
      </w:r>
    </w:p>
    <w:p w:rsidR="004D7733" w:rsidRPr="006F0679" w:rsidRDefault="004D7733" w:rsidP="00845E81">
      <w:pPr>
        <w:pStyle w:val="Endofdocument-Annex"/>
        <w:rPr>
          <w:lang w:val="fr-FR"/>
        </w:rPr>
      </w:pPr>
    </w:p>
    <w:p w:rsidR="00845E81" w:rsidRPr="006F0679" w:rsidRDefault="00845E81" w:rsidP="00845E81">
      <w:pPr>
        <w:pStyle w:val="Endofdocument-Annex"/>
        <w:rPr>
          <w:lang w:val="fr-FR"/>
        </w:rPr>
      </w:pPr>
    </w:p>
    <w:p w:rsidR="00845E81" w:rsidRPr="006F0679" w:rsidRDefault="00845E81" w:rsidP="00845E81">
      <w:pPr>
        <w:pStyle w:val="Endofdocument-Annex"/>
        <w:rPr>
          <w:lang w:val="fr-FR"/>
        </w:rPr>
      </w:pPr>
    </w:p>
    <w:p w:rsidR="004D7733" w:rsidRPr="006F0679" w:rsidRDefault="00F05E99" w:rsidP="00845E81">
      <w:pPr>
        <w:pStyle w:val="Endofdocument-Annex"/>
        <w:rPr>
          <w:lang w:val="fr-FR"/>
        </w:rPr>
      </w:pPr>
      <w:r w:rsidRPr="006F0679">
        <w:rPr>
          <w:lang w:val="fr-FR"/>
        </w:rPr>
        <w:t>[</w:t>
      </w:r>
      <w:r w:rsidR="00B0319C" w:rsidRPr="006F0679">
        <w:rPr>
          <w:lang w:val="fr-FR"/>
        </w:rPr>
        <w:t>Fin du</w:t>
      </w:r>
      <w:r w:rsidRPr="006F0679">
        <w:rPr>
          <w:lang w:val="fr-FR"/>
        </w:rPr>
        <w:t xml:space="preserve"> document]</w:t>
      </w:r>
    </w:p>
    <w:p w:rsidR="004D7733" w:rsidRPr="006F0679" w:rsidRDefault="004D7733" w:rsidP="00781563">
      <w:pPr>
        <w:rPr>
          <w:lang w:val="fr-FR"/>
        </w:rPr>
      </w:pPr>
    </w:p>
    <w:sectPr w:rsidR="004D7733" w:rsidRPr="006F0679" w:rsidSect="00845E81">
      <w:headerReference w:type="default" r:id="rId11"/>
      <w:footerReference w:type="first" r:id="rId12"/>
      <w:pgSz w:w="11907" w:h="16840" w:code="9"/>
      <w:pgMar w:top="851" w:right="1134" w:bottom="85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4E0" w:rsidRDefault="003374E0" w:rsidP="00AA0BA3">
      <w:r>
        <w:separator/>
      </w:r>
    </w:p>
  </w:endnote>
  <w:endnote w:type="continuationSeparator" w:id="0">
    <w:p w:rsidR="003374E0" w:rsidRDefault="003374E0" w:rsidP="00AA0BA3">
      <w:r>
        <w:separator/>
      </w:r>
    </w:p>
    <w:p w:rsidR="003374E0" w:rsidRPr="00A326CA" w:rsidRDefault="003374E0" w:rsidP="00AA0BA3">
      <w:r>
        <w:t>[Endnote continued from previous page]</w:t>
      </w:r>
    </w:p>
  </w:endnote>
  <w:endnote w:type="continuationNotice" w:id="1">
    <w:p w:rsidR="003374E0" w:rsidRPr="00A326CA" w:rsidRDefault="003374E0" w:rsidP="00AA0BA3">
      <w:r w:rsidRPr="000C7343">
        <w:t>[Endnot</w:t>
      </w:r>
      <w: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57A" w:rsidRPr="00E5257A" w:rsidRDefault="00E5257A" w:rsidP="00E52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4E0" w:rsidRDefault="003374E0" w:rsidP="00AA0BA3">
      <w:r>
        <w:separator/>
      </w:r>
    </w:p>
  </w:footnote>
  <w:footnote w:type="continuationSeparator" w:id="0">
    <w:p w:rsidR="003374E0" w:rsidRDefault="003374E0" w:rsidP="00AA0BA3">
      <w:r>
        <w:separator/>
      </w:r>
    </w:p>
    <w:p w:rsidR="003374E0" w:rsidRPr="00A326CA" w:rsidRDefault="003374E0" w:rsidP="00AA0BA3">
      <w:r w:rsidRPr="00ED77FB">
        <w:t>[Footnot</w:t>
      </w:r>
      <w:r>
        <w:t>e continued from previous page]</w:t>
      </w:r>
    </w:p>
  </w:footnote>
  <w:footnote w:type="continuationNotice" w:id="1">
    <w:p w:rsidR="003374E0" w:rsidRPr="00A326CA" w:rsidRDefault="003374E0" w:rsidP="00AA0BA3">
      <w:r w:rsidRPr="000C7343">
        <w:t>[F</w:t>
      </w:r>
      <w:r>
        <w:t>ootnote continued on next page]</w:t>
      </w:r>
    </w:p>
  </w:footnote>
  <w:footnote w:id="2">
    <w:p w:rsidR="003374E0" w:rsidRPr="00AB6AD8" w:rsidRDefault="003374E0" w:rsidP="00781563">
      <w:pPr>
        <w:pStyle w:val="FootnoteText"/>
        <w:rPr>
          <w:lang w:val="fr-FR"/>
        </w:rPr>
      </w:pPr>
      <w:r w:rsidRPr="00AB6AD8">
        <w:rPr>
          <w:rStyle w:val="FootnoteReference"/>
          <w:lang w:val="fr-FR"/>
        </w:rPr>
        <w:footnoteRef/>
      </w:r>
      <w:r w:rsidRPr="00AB6AD8">
        <w:rPr>
          <w:lang w:val="fr-FR"/>
        </w:rPr>
        <w:t xml:space="preserve"> </w:t>
      </w:r>
      <w:r w:rsidR="0067495A">
        <w:rPr>
          <w:lang w:val="fr-FR"/>
        </w:rPr>
        <w:tab/>
      </w:r>
      <w:r>
        <w:rPr>
          <w:lang w:val="fr-FR"/>
        </w:rPr>
        <w:t xml:space="preserve">Document </w:t>
      </w:r>
      <w:r w:rsidRPr="00AB6AD8">
        <w:rPr>
          <w:lang w:val="fr-FR"/>
        </w:rPr>
        <w:t>JIU/REP/2014/2 : Examen de la gestion et de l’administration de l’Organisation Mondiale de la Propriété Intellectuelle (OMPI)</w:t>
      </w:r>
      <w:r w:rsidR="00E5257A">
        <w:rPr>
          <w:lang w:val="fr-FR"/>
        </w:rPr>
        <w:t>.</w:t>
      </w:r>
    </w:p>
  </w:footnote>
  <w:footnote w:id="3">
    <w:p w:rsidR="003374E0" w:rsidRPr="00AB6AD8" w:rsidRDefault="003374E0" w:rsidP="00781563">
      <w:pPr>
        <w:pStyle w:val="FootnoteText"/>
        <w:rPr>
          <w:lang w:val="fr-FR"/>
        </w:rPr>
      </w:pPr>
      <w:r w:rsidRPr="00AB6AD8">
        <w:rPr>
          <w:rStyle w:val="FootnoteReference"/>
          <w:lang w:val="fr-FR"/>
        </w:rPr>
        <w:footnoteRef/>
      </w:r>
      <w:r w:rsidRPr="00AB6AD8">
        <w:rPr>
          <w:lang w:val="fr-FR"/>
        </w:rPr>
        <w:t xml:space="preserve"> </w:t>
      </w:r>
      <w:r w:rsidR="0067495A">
        <w:rPr>
          <w:lang w:val="fr-FR"/>
        </w:rPr>
        <w:tab/>
      </w:r>
      <w:r w:rsidRPr="00AB6AD8">
        <w:rPr>
          <w:lang w:val="fr-FR"/>
        </w:rPr>
        <w:t>Division de l’audit et de la supervision internes de l’OMPI</w:t>
      </w:r>
      <w:r>
        <w:rPr>
          <w:lang w:val="fr-FR"/>
        </w:rPr>
        <w:t xml:space="preserve"> -</w:t>
      </w:r>
      <w:r w:rsidR="00DC48B7">
        <w:rPr>
          <w:lang w:val="fr-FR"/>
        </w:rPr>
        <w:t xml:space="preserve"> Rapport d’évaluation </w:t>
      </w:r>
      <w:r w:rsidR="00AE3DCD">
        <w:rPr>
          <w:lang w:val="fr-FR"/>
        </w:rPr>
        <w:t>sur le p</w:t>
      </w:r>
      <w:r w:rsidRPr="00AB6AD8">
        <w:rPr>
          <w:lang w:val="fr-FR"/>
        </w:rPr>
        <w:t>artage des connaissances au sein de l’OMPI (</w:t>
      </w:r>
      <w:r w:rsidR="00AE3DCD">
        <w:rPr>
          <w:lang w:val="fr-FR"/>
        </w:rPr>
        <w:t>d</w:t>
      </w:r>
      <w:r>
        <w:rPr>
          <w:lang w:val="fr-FR"/>
        </w:rPr>
        <w:t xml:space="preserve">ocument </w:t>
      </w:r>
      <w:r w:rsidR="00E5257A">
        <w:rPr>
          <w:lang w:val="fr-FR"/>
        </w:rPr>
        <w:t>EVAL 2014</w:t>
      </w:r>
      <w:r w:rsidR="00E5257A">
        <w:rPr>
          <w:lang w:val="fr-FR"/>
        </w:rPr>
        <w:noBreakHyphen/>
      </w:r>
      <w:r w:rsidRPr="00AB6AD8">
        <w:rPr>
          <w:lang w:val="fr-FR"/>
        </w:rPr>
        <w:t>02)</w:t>
      </w:r>
      <w:r w:rsidR="00E5257A">
        <w:rPr>
          <w:lang w:val="fr-FR"/>
        </w:rPr>
        <w:t>.</w:t>
      </w:r>
    </w:p>
  </w:footnote>
  <w:footnote w:id="4">
    <w:p w:rsidR="003374E0" w:rsidRPr="00AB6AD8" w:rsidRDefault="003374E0" w:rsidP="00781563">
      <w:pPr>
        <w:pStyle w:val="FootnoteText"/>
        <w:rPr>
          <w:lang w:val="fr-FR"/>
        </w:rPr>
      </w:pPr>
      <w:r w:rsidRPr="00AB6AD8">
        <w:rPr>
          <w:rStyle w:val="FootnoteReference"/>
          <w:lang w:val="fr-FR"/>
        </w:rPr>
        <w:footnoteRef/>
      </w:r>
      <w:r w:rsidRPr="00AB6AD8">
        <w:rPr>
          <w:lang w:val="fr-FR"/>
        </w:rPr>
        <w:t xml:space="preserve"> </w:t>
      </w:r>
      <w:r w:rsidR="0067495A">
        <w:rPr>
          <w:lang w:val="fr-FR"/>
        </w:rPr>
        <w:tab/>
      </w:r>
      <w:r>
        <w:rPr>
          <w:lang w:val="fr-FR"/>
        </w:rPr>
        <w:t xml:space="preserve">Document OMPI </w:t>
      </w:r>
      <w:r w:rsidRPr="00AB6AD8">
        <w:rPr>
          <w:lang w:val="fr-FR"/>
        </w:rPr>
        <w:t>A/48/3</w:t>
      </w:r>
      <w:r>
        <w:rPr>
          <w:lang w:val="fr-FR"/>
        </w:rPr>
        <w:t> :</w:t>
      </w:r>
      <w:r w:rsidRPr="00AB6AD8">
        <w:rPr>
          <w:lang w:val="fr-FR"/>
        </w:rPr>
        <w:t xml:space="preserve"> </w:t>
      </w:r>
      <w:r>
        <w:rPr>
          <w:lang w:val="fr-FR"/>
        </w:rPr>
        <w:t xml:space="preserve">Plan stratégique à </w:t>
      </w:r>
      <w:r w:rsidR="00E5257A">
        <w:rPr>
          <w:lang w:val="fr-FR"/>
        </w:rPr>
        <w:t>moyen terme de l’OMPI pour 2010</w:t>
      </w:r>
      <w:r w:rsidR="00E5257A">
        <w:rPr>
          <w:lang w:val="fr-FR"/>
        </w:rPr>
        <w:noBreakHyphen/>
      </w:r>
      <w:r>
        <w:rPr>
          <w:lang w:val="fr-FR"/>
        </w:rPr>
        <w:t>2015</w:t>
      </w:r>
      <w:r w:rsidR="00E5257A">
        <w:rPr>
          <w:lang w:val="fr-FR"/>
        </w:rPr>
        <w:t>.</w:t>
      </w:r>
    </w:p>
  </w:footnote>
  <w:footnote w:id="5">
    <w:p w:rsidR="003374E0" w:rsidRPr="00E23303" w:rsidRDefault="003374E0" w:rsidP="00781563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4D7733">
        <w:rPr>
          <w:lang w:val="fr-CH"/>
        </w:rPr>
        <w:t xml:space="preserve"> </w:t>
      </w:r>
      <w:r w:rsidR="00076E4E" w:rsidRPr="004D7733">
        <w:rPr>
          <w:lang w:val="fr-CH"/>
        </w:rPr>
        <w:tab/>
      </w:r>
      <w:r w:rsidRPr="004D7733">
        <w:rPr>
          <w:lang w:val="fr-CH"/>
        </w:rPr>
        <w:t xml:space="preserve">Document </w:t>
      </w:r>
      <w:r>
        <w:rPr>
          <w:lang w:val="fr-CH"/>
        </w:rPr>
        <w:t xml:space="preserve">JIU/REP/2014/2 : Examen de la gestion et de l’administration de l’Organisation </w:t>
      </w:r>
      <w:r w:rsidR="00AE3DCD">
        <w:rPr>
          <w:lang w:val="fr-CH"/>
        </w:rPr>
        <w:t>M</w:t>
      </w:r>
      <w:r>
        <w:rPr>
          <w:lang w:val="fr-CH"/>
        </w:rPr>
        <w:t>ondiale de la Propriété Intellectuelle (OMPI)</w:t>
      </w:r>
      <w:r w:rsidR="00845E81">
        <w:rPr>
          <w:lang w:val="fr-CH"/>
        </w:rPr>
        <w:t>.</w:t>
      </w:r>
    </w:p>
  </w:footnote>
  <w:footnote w:id="6">
    <w:p w:rsidR="003374E0" w:rsidRPr="00AB6AD8" w:rsidRDefault="003374E0" w:rsidP="00781563">
      <w:pPr>
        <w:pStyle w:val="FootnoteText"/>
        <w:rPr>
          <w:lang w:val="fr-FR"/>
        </w:rPr>
      </w:pPr>
      <w:r w:rsidRPr="00AB6AD8">
        <w:rPr>
          <w:rStyle w:val="FootnoteReference"/>
          <w:lang w:val="fr-FR"/>
        </w:rPr>
        <w:footnoteRef/>
      </w:r>
      <w:r w:rsidRPr="00AB6AD8">
        <w:rPr>
          <w:lang w:val="fr-FR"/>
        </w:rPr>
        <w:t xml:space="preserve"> </w:t>
      </w:r>
      <w:r w:rsidR="00076E4E">
        <w:rPr>
          <w:lang w:val="fr-FR"/>
        </w:rPr>
        <w:tab/>
      </w:r>
      <w:r>
        <w:rPr>
          <w:lang w:val="fr-FR"/>
        </w:rPr>
        <w:t>Division de l’audit et de la supervision internes de l’OMPI</w:t>
      </w:r>
      <w:r w:rsidRPr="00AB6AD8">
        <w:rPr>
          <w:lang w:val="fr-FR"/>
        </w:rPr>
        <w:t xml:space="preserve"> </w:t>
      </w:r>
      <w:r>
        <w:rPr>
          <w:lang w:val="fr-FR"/>
        </w:rPr>
        <w:t>–</w:t>
      </w:r>
      <w:r w:rsidRPr="00AB6AD8">
        <w:rPr>
          <w:lang w:val="fr-FR"/>
        </w:rPr>
        <w:t xml:space="preserve"> </w:t>
      </w:r>
      <w:r>
        <w:rPr>
          <w:lang w:val="fr-FR"/>
        </w:rPr>
        <w:t>Rapport d’évaluation</w:t>
      </w:r>
      <w:r w:rsidR="00F67A18">
        <w:rPr>
          <w:lang w:val="fr-FR"/>
        </w:rPr>
        <w:t xml:space="preserve"> sur le p</w:t>
      </w:r>
      <w:r>
        <w:rPr>
          <w:lang w:val="fr-FR"/>
        </w:rPr>
        <w:t xml:space="preserve">artage des connaissances au sein de l’OMPI </w:t>
      </w:r>
      <w:r w:rsidRPr="00AB6AD8">
        <w:rPr>
          <w:lang w:val="fr-FR"/>
        </w:rPr>
        <w:t>(</w:t>
      </w:r>
      <w:r w:rsidR="00F67A18">
        <w:rPr>
          <w:lang w:val="fr-FR"/>
        </w:rPr>
        <w:t>d</w:t>
      </w:r>
      <w:r>
        <w:rPr>
          <w:lang w:val="fr-FR"/>
        </w:rPr>
        <w:t xml:space="preserve">ocument </w:t>
      </w:r>
      <w:r w:rsidR="00845E81">
        <w:rPr>
          <w:lang w:val="fr-FR"/>
        </w:rPr>
        <w:t>EVAL 2014</w:t>
      </w:r>
      <w:r w:rsidR="00845E81">
        <w:rPr>
          <w:lang w:val="fr-FR"/>
        </w:rPr>
        <w:noBreakHyphen/>
      </w:r>
      <w:r w:rsidRPr="00AB6AD8">
        <w:rPr>
          <w:lang w:val="fr-FR"/>
        </w:rPr>
        <w:t>02)</w:t>
      </w:r>
      <w:r w:rsidR="00845E81">
        <w:rPr>
          <w:lang w:val="fr-FR"/>
        </w:rPr>
        <w:t>.</w:t>
      </w:r>
    </w:p>
  </w:footnote>
  <w:footnote w:id="7">
    <w:p w:rsidR="003374E0" w:rsidRPr="00AB6AD8" w:rsidRDefault="003374E0" w:rsidP="00781563">
      <w:pPr>
        <w:pStyle w:val="FootnoteText"/>
        <w:rPr>
          <w:lang w:val="fr-FR"/>
        </w:rPr>
      </w:pPr>
      <w:r w:rsidRPr="00AB6AD8">
        <w:rPr>
          <w:rStyle w:val="FootnoteReference"/>
          <w:lang w:val="fr-FR"/>
        </w:rPr>
        <w:footnoteRef/>
      </w:r>
      <w:r w:rsidRPr="00AB6AD8">
        <w:rPr>
          <w:lang w:val="fr-FR"/>
        </w:rPr>
        <w:t xml:space="preserve"> </w:t>
      </w:r>
      <w:r w:rsidR="0067495A">
        <w:rPr>
          <w:lang w:val="fr-FR"/>
        </w:rPr>
        <w:tab/>
      </w:r>
      <w:r>
        <w:rPr>
          <w:lang w:val="fr-FR"/>
        </w:rPr>
        <w:t>Division de l’audit et de la supervision internes de l’OMPI</w:t>
      </w:r>
      <w:r w:rsidRPr="00AB6AD8">
        <w:rPr>
          <w:lang w:val="fr-FR"/>
        </w:rPr>
        <w:t xml:space="preserve"> </w:t>
      </w:r>
      <w:r>
        <w:rPr>
          <w:lang w:val="fr-FR"/>
        </w:rPr>
        <w:t>–</w:t>
      </w:r>
      <w:r w:rsidRPr="00AB6AD8">
        <w:rPr>
          <w:lang w:val="fr-FR"/>
        </w:rPr>
        <w:t xml:space="preserve"> </w:t>
      </w:r>
      <w:r>
        <w:rPr>
          <w:lang w:val="fr-FR"/>
        </w:rPr>
        <w:t>Rapport d’évaluation</w:t>
      </w:r>
      <w:r w:rsidR="00775C9A">
        <w:rPr>
          <w:lang w:val="fr-FR"/>
        </w:rPr>
        <w:t xml:space="preserve"> sur le p</w:t>
      </w:r>
      <w:r>
        <w:rPr>
          <w:lang w:val="fr-FR"/>
        </w:rPr>
        <w:t xml:space="preserve">artage des connaissances au sein de l’OMPI </w:t>
      </w:r>
      <w:r w:rsidRPr="00AB6AD8">
        <w:rPr>
          <w:lang w:val="fr-FR"/>
        </w:rPr>
        <w:t>(</w:t>
      </w:r>
      <w:r w:rsidR="00775C9A">
        <w:rPr>
          <w:lang w:val="fr-FR"/>
        </w:rPr>
        <w:t>d</w:t>
      </w:r>
      <w:r>
        <w:rPr>
          <w:lang w:val="fr-FR"/>
        </w:rPr>
        <w:t xml:space="preserve">ocument </w:t>
      </w:r>
      <w:r w:rsidR="00845E81">
        <w:rPr>
          <w:lang w:val="fr-FR"/>
        </w:rPr>
        <w:t>EVAL 2014</w:t>
      </w:r>
      <w:r w:rsidR="00845E81">
        <w:rPr>
          <w:lang w:val="fr-FR"/>
        </w:rPr>
        <w:noBreakHyphen/>
      </w:r>
      <w:r w:rsidRPr="00AB6AD8">
        <w:rPr>
          <w:lang w:val="fr-FR"/>
        </w:rPr>
        <w:t>02)</w:t>
      </w:r>
      <w:r w:rsidR="00845E81">
        <w:rPr>
          <w:lang w:val="fr-FR"/>
        </w:rPr>
        <w:t>.</w:t>
      </w:r>
    </w:p>
  </w:footnote>
  <w:footnote w:id="8">
    <w:p w:rsidR="003374E0" w:rsidRPr="00AB6AD8" w:rsidRDefault="003374E0" w:rsidP="00781563">
      <w:pPr>
        <w:pStyle w:val="FootnoteText"/>
        <w:rPr>
          <w:lang w:val="fr-FR"/>
        </w:rPr>
      </w:pPr>
      <w:r w:rsidRPr="00AB6AD8">
        <w:rPr>
          <w:rStyle w:val="FootnoteReference"/>
          <w:lang w:val="fr-FR"/>
        </w:rPr>
        <w:footnoteRef/>
      </w:r>
      <w:r w:rsidRPr="00AB6AD8">
        <w:rPr>
          <w:lang w:val="fr-FR"/>
        </w:rPr>
        <w:t xml:space="preserve"> </w:t>
      </w:r>
      <w:r w:rsidR="0067495A">
        <w:rPr>
          <w:lang w:val="fr-FR"/>
        </w:rPr>
        <w:tab/>
      </w:r>
      <w:r>
        <w:rPr>
          <w:lang w:val="fr-FR"/>
        </w:rPr>
        <w:t>Division de l’audit et de la supervision internes de l’OMPI</w:t>
      </w:r>
      <w:r w:rsidRPr="00AB6AD8">
        <w:rPr>
          <w:lang w:val="fr-FR"/>
        </w:rPr>
        <w:t xml:space="preserve"> </w:t>
      </w:r>
      <w:r>
        <w:rPr>
          <w:lang w:val="fr-FR"/>
        </w:rPr>
        <w:t>–</w:t>
      </w:r>
      <w:r w:rsidRPr="00AB6AD8">
        <w:rPr>
          <w:lang w:val="fr-FR"/>
        </w:rPr>
        <w:t xml:space="preserve"> </w:t>
      </w:r>
      <w:r>
        <w:rPr>
          <w:lang w:val="fr-FR"/>
        </w:rPr>
        <w:t>Rapport d’évaluation</w:t>
      </w:r>
      <w:r w:rsidR="00321E39">
        <w:rPr>
          <w:lang w:val="fr-FR"/>
        </w:rPr>
        <w:t xml:space="preserve"> sur le p</w:t>
      </w:r>
      <w:r>
        <w:rPr>
          <w:lang w:val="fr-FR"/>
        </w:rPr>
        <w:t xml:space="preserve">artage des connaissances au sein de l’OMPI </w:t>
      </w:r>
      <w:r w:rsidRPr="00AB6AD8">
        <w:rPr>
          <w:lang w:val="fr-FR"/>
        </w:rPr>
        <w:t>(</w:t>
      </w:r>
      <w:r w:rsidR="00321E39">
        <w:rPr>
          <w:lang w:val="fr-FR"/>
        </w:rPr>
        <w:t>d</w:t>
      </w:r>
      <w:r>
        <w:rPr>
          <w:lang w:val="fr-FR"/>
        </w:rPr>
        <w:t xml:space="preserve">ocument </w:t>
      </w:r>
      <w:r w:rsidR="00845E81">
        <w:rPr>
          <w:lang w:val="fr-FR"/>
        </w:rPr>
        <w:t>EVAL 2014</w:t>
      </w:r>
      <w:r w:rsidR="00845E81">
        <w:rPr>
          <w:lang w:val="fr-FR"/>
        </w:rPr>
        <w:noBreakHyphen/>
      </w:r>
      <w:r w:rsidR="00321E39">
        <w:rPr>
          <w:lang w:val="fr-FR"/>
        </w:rPr>
        <w:t>02) – c</w:t>
      </w:r>
      <w:r w:rsidRPr="00AB6AD8">
        <w:rPr>
          <w:lang w:val="fr-FR"/>
        </w:rPr>
        <w:t>onclusion</w:t>
      </w:r>
      <w:r>
        <w:rPr>
          <w:lang w:val="fr-FR"/>
        </w:rPr>
        <w:t xml:space="preserve"> n° </w:t>
      </w:r>
      <w:r w:rsidRPr="00AB6AD8">
        <w:rPr>
          <w:lang w:val="fr-FR"/>
        </w:rPr>
        <w:t>10</w:t>
      </w:r>
      <w:r w:rsidR="00845E81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E0" w:rsidRDefault="003374E0" w:rsidP="005330D4">
    <w:pPr>
      <w:pStyle w:val="Header"/>
      <w:rPr>
        <w:rFonts w:asciiTheme="minorHAnsi" w:hAnsiTheme="minorHAnsi"/>
        <w:b/>
        <w:color w:val="4F81BD" w:themeColor="accent1"/>
        <w:lang w:val="fr-FR"/>
      </w:rPr>
    </w:pPr>
    <w:r w:rsidRPr="00630909">
      <w:rPr>
        <w:rFonts w:asciiTheme="minorHAnsi" w:hAnsiTheme="minorHAnsi"/>
        <w:b/>
        <w:color w:val="4F81BD" w:themeColor="accent1"/>
        <w:lang w:val="fr-FR"/>
      </w:rPr>
      <w:tab/>
    </w:r>
    <w:r w:rsidRPr="00630909">
      <w:rPr>
        <w:rFonts w:asciiTheme="minorHAnsi" w:hAnsiTheme="minorHAnsi"/>
        <w:b/>
        <w:color w:val="4F81BD" w:themeColor="accent1"/>
        <w:lang w:val="fr-FR"/>
      </w:rPr>
      <w:tab/>
      <w:t>Stratégie de gestion des connaissances de l’OMPI</w:t>
    </w:r>
  </w:p>
  <w:p w:rsidR="00E5257A" w:rsidRDefault="00E5257A" w:rsidP="005330D4">
    <w:pPr>
      <w:pStyle w:val="Header"/>
      <w:rPr>
        <w:rFonts w:asciiTheme="minorHAnsi" w:hAnsiTheme="minorHAnsi"/>
        <w:b/>
        <w:color w:val="4F81BD" w:themeColor="accent1"/>
        <w:lang w:val="fr-FR"/>
      </w:rPr>
    </w:pPr>
  </w:p>
  <w:p w:rsidR="00E5257A" w:rsidRPr="00630909" w:rsidRDefault="00E5257A" w:rsidP="005330D4">
    <w:pPr>
      <w:pStyle w:val="Header"/>
      <w:rPr>
        <w:rFonts w:asciiTheme="minorHAnsi" w:hAnsiTheme="minorHAnsi"/>
        <w:b/>
        <w:color w:val="4F81BD" w:themeColor="accent1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57A" w:rsidRPr="00795DB9" w:rsidRDefault="00E5257A" w:rsidP="00E5257A">
    <w:pPr>
      <w:pStyle w:val="Header"/>
      <w:jc w:val="right"/>
      <w:rPr>
        <w:rFonts w:eastAsia="SimSun"/>
        <w:color w:val="0070C0"/>
        <w:lang w:val="fr-CH" w:eastAsia="zh-CN"/>
      </w:rPr>
    </w:pPr>
    <w:r w:rsidRPr="00795DB9">
      <w:rPr>
        <w:rFonts w:eastAsia="SimSun"/>
        <w:color w:val="0070C0"/>
        <w:lang w:val="fr-CH" w:eastAsia="zh-CN"/>
      </w:rPr>
      <w:t>Stratégie de gestion des connaissances de l’OMPI</w:t>
    </w:r>
  </w:p>
  <w:p w:rsidR="00E5257A" w:rsidRPr="00E5257A" w:rsidRDefault="00E5257A" w:rsidP="00E5257A">
    <w:pPr>
      <w:pStyle w:val="Header"/>
      <w:jc w:val="right"/>
      <w:rPr>
        <w:lang w:val="fr-FR"/>
      </w:rPr>
    </w:pPr>
    <w:proofErr w:type="gramStart"/>
    <w:r w:rsidRPr="00E5257A">
      <w:rPr>
        <w:lang w:val="fr-FR"/>
      </w:rPr>
      <w:t>page</w:t>
    </w:r>
    <w:proofErr w:type="gramEnd"/>
    <w:r w:rsidRPr="00E5257A">
      <w:rPr>
        <w:lang w:val="fr-FR"/>
      </w:rPr>
      <w:t xml:space="preserve"> </w:t>
    </w:r>
    <w:r w:rsidRPr="00E5257A">
      <w:rPr>
        <w:lang w:val="fr-FR"/>
      </w:rPr>
      <w:fldChar w:fldCharType="begin"/>
    </w:r>
    <w:r w:rsidRPr="00E5257A">
      <w:rPr>
        <w:lang w:val="fr-FR"/>
      </w:rPr>
      <w:instrText>PAGE   \* MERGEFORMAT</w:instrText>
    </w:r>
    <w:r w:rsidRPr="00E5257A">
      <w:rPr>
        <w:lang w:val="fr-FR"/>
      </w:rPr>
      <w:fldChar w:fldCharType="separate"/>
    </w:r>
    <w:r w:rsidR="00795DB9">
      <w:rPr>
        <w:noProof/>
        <w:lang w:val="fr-FR"/>
      </w:rPr>
      <w:t>7</w:t>
    </w:r>
    <w:r w:rsidRPr="00E5257A">
      <w:rPr>
        <w:lang w:val="fr-FR"/>
      </w:rPr>
      <w:fldChar w:fldCharType="end"/>
    </w:r>
  </w:p>
  <w:p w:rsidR="00E5257A" w:rsidRPr="00E5257A" w:rsidRDefault="00E5257A" w:rsidP="00E5257A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E8A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ED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5F89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CC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76BE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246A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8668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849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A5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079F168B"/>
    <w:multiLevelType w:val="hybridMultilevel"/>
    <w:tmpl w:val="7640FA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2162EF"/>
    <w:multiLevelType w:val="hybridMultilevel"/>
    <w:tmpl w:val="F1A4BD10"/>
    <w:lvl w:ilvl="0" w:tplc="C45ED6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EF72F87"/>
    <w:multiLevelType w:val="hybridMultilevel"/>
    <w:tmpl w:val="27B84A04"/>
    <w:lvl w:ilvl="0" w:tplc="C45ED6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C45ED612">
      <w:start w:val="1"/>
      <w:numFmt w:val="bullet"/>
      <w:lvlText w:val=""/>
      <w:lvlJc w:val="left"/>
      <w:pPr>
        <w:ind w:left="1650" w:hanging="570"/>
      </w:pPr>
      <w:rPr>
        <w:rFonts w:ascii="Wingdings" w:hAnsi="Wingdings" w:hint="default"/>
        <w:color w:val="1F497D" w:themeColor="tex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>
    <w:nsid w:val="3CC22873"/>
    <w:multiLevelType w:val="hybridMultilevel"/>
    <w:tmpl w:val="E5C2FA72"/>
    <w:lvl w:ilvl="0" w:tplc="C45ED6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46BE6"/>
    <w:multiLevelType w:val="hybridMultilevel"/>
    <w:tmpl w:val="28662F26"/>
    <w:lvl w:ilvl="0" w:tplc="C45ED61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C87F57"/>
    <w:multiLevelType w:val="hybridMultilevel"/>
    <w:tmpl w:val="F8103BD2"/>
    <w:lvl w:ilvl="0" w:tplc="C45ED612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B996EE4"/>
    <w:multiLevelType w:val="hybridMultilevel"/>
    <w:tmpl w:val="FA263BDE"/>
    <w:lvl w:ilvl="0" w:tplc="C45ED6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39D2BA0E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A10FA3"/>
    <w:multiLevelType w:val="hybridMultilevel"/>
    <w:tmpl w:val="5F34A302"/>
    <w:lvl w:ilvl="0" w:tplc="0C2079A0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31B16"/>
    <w:multiLevelType w:val="hybridMultilevel"/>
    <w:tmpl w:val="1E10AF56"/>
    <w:lvl w:ilvl="0" w:tplc="F60A9B6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362A8E"/>
    <w:multiLevelType w:val="hybridMultilevel"/>
    <w:tmpl w:val="34C61630"/>
    <w:lvl w:ilvl="0" w:tplc="C45ED61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60770E6"/>
    <w:multiLevelType w:val="hybridMultilevel"/>
    <w:tmpl w:val="9C3E6B2A"/>
    <w:lvl w:ilvl="0" w:tplc="D23274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>
    <w:nsid w:val="6D06586A"/>
    <w:multiLevelType w:val="hybridMultilevel"/>
    <w:tmpl w:val="79702976"/>
    <w:lvl w:ilvl="0" w:tplc="F42A7CC0">
      <w:numFmt w:val="bullet"/>
      <w:lvlText w:val="•"/>
      <w:lvlJc w:val="left"/>
      <w:pPr>
        <w:ind w:left="93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6C572C"/>
    <w:multiLevelType w:val="hybridMultilevel"/>
    <w:tmpl w:val="D71A7D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509320D"/>
    <w:multiLevelType w:val="hybridMultilevel"/>
    <w:tmpl w:val="C9F4112A"/>
    <w:lvl w:ilvl="0" w:tplc="C45ED61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2">
    <w:nsid w:val="792B42F8"/>
    <w:multiLevelType w:val="hybridMultilevel"/>
    <w:tmpl w:val="F58CB57E"/>
    <w:lvl w:ilvl="0" w:tplc="C4FED3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147ED"/>
    <w:multiLevelType w:val="multilevel"/>
    <w:tmpl w:val="C2A4B1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21"/>
  </w:num>
  <w:num w:numId="5">
    <w:abstractNumId w:val="10"/>
  </w:num>
  <w:num w:numId="6">
    <w:abstractNumId w:val="15"/>
  </w:num>
  <w:num w:numId="7">
    <w:abstractNumId w:val="33"/>
  </w:num>
  <w:num w:numId="8">
    <w:abstractNumId w:val="20"/>
  </w:num>
  <w:num w:numId="9">
    <w:abstractNumId w:val="11"/>
  </w:num>
  <w:num w:numId="10">
    <w:abstractNumId w:val="22"/>
  </w:num>
  <w:num w:numId="11">
    <w:abstractNumId w:val="18"/>
  </w:num>
  <w:num w:numId="12">
    <w:abstractNumId w:val="26"/>
  </w:num>
  <w:num w:numId="13">
    <w:abstractNumId w:val="23"/>
  </w:num>
  <w:num w:numId="14">
    <w:abstractNumId w:val="28"/>
  </w:num>
  <w:num w:numId="15">
    <w:abstractNumId w:val="12"/>
  </w:num>
  <w:num w:numId="16">
    <w:abstractNumId w:val="32"/>
  </w:num>
  <w:num w:numId="17">
    <w:abstractNumId w:val="16"/>
  </w:num>
  <w:num w:numId="18">
    <w:abstractNumId w:val="29"/>
  </w:num>
  <w:num w:numId="19">
    <w:abstractNumId w:val="14"/>
  </w:num>
  <w:num w:numId="20">
    <w:abstractNumId w:val="25"/>
  </w:num>
  <w:num w:numId="21">
    <w:abstractNumId w:val="30"/>
  </w:num>
  <w:num w:numId="22">
    <w:abstractNumId w:val="17"/>
  </w:num>
  <w:num w:numId="23">
    <w:abstractNumId w:val="24"/>
  </w:num>
  <w:num w:numId="24">
    <w:abstractNumId w:val="31"/>
  </w:num>
  <w:num w:numId="25">
    <w:abstractNumId w:val="27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FD6822"/>
    <w:rsid w:val="00000B2B"/>
    <w:rsid w:val="000348A1"/>
    <w:rsid w:val="00036E00"/>
    <w:rsid w:val="00041F60"/>
    <w:rsid w:val="00071CDC"/>
    <w:rsid w:val="00076E4E"/>
    <w:rsid w:val="00091652"/>
    <w:rsid w:val="000C4C91"/>
    <w:rsid w:val="000F16A6"/>
    <w:rsid w:val="000F5E56"/>
    <w:rsid w:val="00126DBE"/>
    <w:rsid w:val="00145B81"/>
    <w:rsid w:val="00146416"/>
    <w:rsid w:val="0015000D"/>
    <w:rsid w:val="001566B6"/>
    <w:rsid w:val="00157720"/>
    <w:rsid w:val="00160FD9"/>
    <w:rsid w:val="00164C09"/>
    <w:rsid w:val="001663DE"/>
    <w:rsid w:val="001741E4"/>
    <w:rsid w:val="00175B09"/>
    <w:rsid w:val="00177729"/>
    <w:rsid w:val="00177754"/>
    <w:rsid w:val="001A23AF"/>
    <w:rsid w:val="001A3E7F"/>
    <w:rsid w:val="001A5FE5"/>
    <w:rsid w:val="001A739B"/>
    <w:rsid w:val="001B1A68"/>
    <w:rsid w:val="001B3898"/>
    <w:rsid w:val="001C3154"/>
    <w:rsid w:val="001C4A9E"/>
    <w:rsid w:val="001E1759"/>
    <w:rsid w:val="001F31E3"/>
    <w:rsid w:val="002249BE"/>
    <w:rsid w:val="002312AB"/>
    <w:rsid w:val="00233E58"/>
    <w:rsid w:val="002378C7"/>
    <w:rsid w:val="0024154E"/>
    <w:rsid w:val="00261FB6"/>
    <w:rsid w:val="00262A37"/>
    <w:rsid w:val="0029419E"/>
    <w:rsid w:val="00294534"/>
    <w:rsid w:val="00297EF5"/>
    <w:rsid w:val="002B0CF5"/>
    <w:rsid w:val="002B272F"/>
    <w:rsid w:val="002B34AF"/>
    <w:rsid w:val="002B4B76"/>
    <w:rsid w:val="002C257E"/>
    <w:rsid w:val="002C4368"/>
    <w:rsid w:val="002C4905"/>
    <w:rsid w:val="002D4523"/>
    <w:rsid w:val="002F0854"/>
    <w:rsid w:val="002F1319"/>
    <w:rsid w:val="00304726"/>
    <w:rsid w:val="00321967"/>
    <w:rsid w:val="00321E39"/>
    <w:rsid w:val="00325BE4"/>
    <w:rsid w:val="00335B4E"/>
    <w:rsid w:val="003374E0"/>
    <w:rsid w:val="00346FAA"/>
    <w:rsid w:val="003539CE"/>
    <w:rsid w:val="00360C70"/>
    <w:rsid w:val="0039070A"/>
    <w:rsid w:val="003972FF"/>
    <w:rsid w:val="003A5665"/>
    <w:rsid w:val="003A58CD"/>
    <w:rsid w:val="003B3A13"/>
    <w:rsid w:val="003C334B"/>
    <w:rsid w:val="003D1AB0"/>
    <w:rsid w:val="003D55DD"/>
    <w:rsid w:val="003D7822"/>
    <w:rsid w:val="003E1E01"/>
    <w:rsid w:val="003F04E4"/>
    <w:rsid w:val="003F52F0"/>
    <w:rsid w:val="00402507"/>
    <w:rsid w:val="00404635"/>
    <w:rsid w:val="004144F1"/>
    <w:rsid w:val="00451A8A"/>
    <w:rsid w:val="00470D19"/>
    <w:rsid w:val="004824AE"/>
    <w:rsid w:val="00495D77"/>
    <w:rsid w:val="004B345D"/>
    <w:rsid w:val="004B5626"/>
    <w:rsid w:val="004B6954"/>
    <w:rsid w:val="004B6FD2"/>
    <w:rsid w:val="004C0B1B"/>
    <w:rsid w:val="004C56B0"/>
    <w:rsid w:val="004C6249"/>
    <w:rsid w:val="004D3109"/>
    <w:rsid w:val="004D41E3"/>
    <w:rsid w:val="004D7733"/>
    <w:rsid w:val="004D7B9C"/>
    <w:rsid w:val="004E38CA"/>
    <w:rsid w:val="004E4D95"/>
    <w:rsid w:val="0050291B"/>
    <w:rsid w:val="00507B55"/>
    <w:rsid w:val="0051111A"/>
    <w:rsid w:val="00514EDE"/>
    <w:rsid w:val="00516878"/>
    <w:rsid w:val="00522180"/>
    <w:rsid w:val="005330D4"/>
    <w:rsid w:val="00535B3A"/>
    <w:rsid w:val="005368B3"/>
    <w:rsid w:val="00546654"/>
    <w:rsid w:val="00562357"/>
    <w:rsid w:val="005638F6"/>
    <w:rsid w:val="005A0199"/>
    <w:rsid w:val="005A16A1"/>
    <w:rsid w:val="005A4065"/>
    <w:rsid w:val="005B08A9"/>
    <w:rsid w:val="005B13EE"/>
    <w:rsid w:val="005B2BFC"/>
    <w:rsid w:val="005C2119"/>
    <w:rsid w:val="005E063C"/>
    <w:rsid w:val="005E1D3E"/>
    <w:rsid w:val="005E4F2F"/>
    <w:rsid w:val="005F216C"/>
    <w:rsid w:val="005F658B"/>
    <w:rsid w:val="005F66A5"/>
    <w:rsid w:val="00600658"/>
    <w:rsid w:val="00630909"/>
    <w:rsid w:val="00643B26"/>
    <w:rsid w:val="0066618C"/>
    <w:rsid w:val="00667A27"/>
    <w:rsid w:val="0067495A"/>
    <w:rsid w:val="006758B6"/>
    <w:rsid w:val="00677E81"/>
    <w:rsid w:val="006A3FE1"/>
    <w:rsid w:val="006C37EF"/>
    <w:rsid w:val="006D0ADE"/>
    <w:rsid w:val="006D6422"/>
    <w:rsid w:val="006E350A"/>
    <w:rsid w:val="006F0679"/>
    <w:rsid w:val="00704B2E"/>
    <w:rsid w:val="00712602"/>
    <w:rsid w:val="007244AA"/>
    <w:rsid w:val="00725E56"/>
    <w:rsid w:val="007432CE"/>
    <w:rsid w:val="00745511"/>
    <w:rsid w:val="00765424"/>
    <w:rsid w:val="00775505"/>
    <w:rsid w:val="00775C9A"/>
    <w:rsid w:val="00781563"/>
    <w:rsid w:val="007959BA"/>
    <w:rsid w:val="00795DB9"/>
    <w:rsid w:val="0079602A"/>
    <w:rsid w:val="007A4C62"/>
    <w:rsid w:val="007B5CAC"/>
    <w:rsid w:val="007C0A25"/>
    <w:rsid w:val="007C231D"/>
    <w:rsid w:val="007C2A09"/>
    <w:rsid w:val="007D0023"/>
    <w:rsid w:val="007D32A3"/>
    <w:rsid w:val="007E1ED3"/>
    <w:rsid w:val="007E3AC1"/>
    <w:rsid w:val="007F099A"/>
    <w:rsid w:val="007F409A"/>
    <w:rsid w:val="007F48FA"/>
    <w:rsid w:val="007F4E56"/>
    <w:rsid w:val="008015EC"/>
    <w:rsid w:val="008022B8"/>
    <w:rsid w:val="0080443F"/>
    <w:rsid w:val="00823128"/>
    <w:rsid w:val="008235EC"/>
    <w:rsid w:val="00843546"/>
    <w:rsid w:val="00845E81"/>
    <w:rsid w:val="008460DD"/>
    <w:rsid w:val="00866516"/>
    <w:rsid w:val="00891663"/>
    <w:rsid w:val="008A36A2"/>
    <w:rsid w:val="008D7342"/>
    <w:rsid w:val="008D7A35"/>
    <w:rsid w:val="008F5F5A"/>
    <w:rsid w:val="009039C9"/>
    <w:rsid w:val="00903A0D"/>
    <w:rsid w:val="009132F0"/>
    <w:rsid w:val="0091369C"/>
    <w:rsid w:val="00914459"/>
    <w:rsid w:val="00926322"/>
    <w:rsid w:val="00927D90"/>
    <w:rsid w:val="00927FBE"/>
    <w:rsid w:val="0093550F"/>
    <w:rsid w:val="0093566D"/>
    <w:rsid w:val="0095474F"/>
    <w:rsid w:val="00971ABF"/>
    <w:rsid w:val="00983C51"/>
    <w:rsid w:val="009929D1"/>
    <w:rsid w:val="00992B89"/>
    <w:rsid w:val="009A15D6"/>
    <w:rsid w:val="009A66EA"/>
    <w:rsid w:val="009B09E9"/>
    <w:rsid w:val="009C216E"/>
    <w:rsid w:val="009C2186"/>
    <w:rsid w:val="009C68AB"/>
    <w:rsid w:val="009C7C75"/>
    <w:rsid w:val="009D0BD1"/>
    <w:rsid w:val="009E2FB2"/>
    <w:rsid w:val="009F1255"/>
    <w:rsid w:val="00A12766"/>
    <w:rsid w:val="00A128DA"/>
    <w:rsid w:val="00A16459"/>
    <w:rsid w:val="00A2012E"/>
    <w:rsid w:val="00A248F6"/>
    <w:rsid w:val="00A276BE"/>
    <w:rsid w:val="00A326CA"/>
    <w:rsid w:val="00A34855"/>
    <w:rsid w:val="00A363DD"/>
    <w:rsid w:val="00A5423E"/>
    <w:rsid w:val="00A60684"/>
    <w:rsid w:val="00A66AAF"/>
    <w:rsid w:val="00A8128A"/>
    <w:rsid w:val="00A8265B"/>
    <w:rsid w:val="00A94544"/>
    <w:rsid w:val="00A953E1"/>
    <w:rsid w:val="00AA0BA3"/>
    <w:rsid w:val="00AA3D8B"/>
    <w:rsid w:val="00AB6AD8"/>
    <w:rsid w:val="00AC3402"/>
    <w:rsid w:val="00AE3DCD"/>
    <w:rsid w:val="00AF2D2C"/>
    <w:rsid w:val="00B03117"/>
    <w:rsid w:val="00B0319C"/>
    <w:rsid w:val="00B06EF0"/>
    <w:rsid w:val="00B103E5"/>
    <w:rsid w:val="00B16292"/>
    <w:rsid w:val="00B21D0F"/>
    <w:rsid w:val="00B36920"/>
    <w:rsid w:val="00B4756F"/>
    <w:rsid w:val="00B66A9B"/>
    <w:rsid w:val="00B760A7"/>
    <w:rsid w:val="00B77F05"/>
    <w:rsid w:val="00BB13F9"/>
    <w:rsid w:val="00BB24BB"/>
    <w:rsid w:val="00BD3691"/>
    <w:rsid w:val="00C236F6"/>
    <w:rsid w:val="00C63D62"/>
    <w:rsid w:val="00C640FF"/>
    <w:rsid w:val="00C6738C"/>
    <w:rsid w:val="00C90726"/>
    <w:rsid w:val="00CB0689"/>
    <w:rsid w:val="00CB1438"/>
    <w:rsid w:val="00CC1D14"/>
    <w:rsid w:val="00CD1E0C"/>
    <w:rsid w:val="00CD5ED0"/>
    <w:rsid w:val="00CE1497"/>
    <w:rsid w:val="00CE3967"/>
    <w:rsid w:val="00CE39D0"/>
    <w:rsid w:val="00CF1061"/>
    <w:rsid w:val="00D001F8"/>
    <w:rsid w:val="00D03376"/>
    <w:rsid w:val="00D069CA"/>
    <w:rsid w:val="00D10D53"/>
    <w:rsid w:val="00D25BDE"/>
    <w:rsid w:val="00D44946"/>
    <w:rsid w:val="00D54A74"/>
    <w:rsid w:val="00D667DF"/>
    <w:rsid w:val="00D74352"/>
    <w:rsid w:val="00D754A0"/>
    <w:rsid w:val="00D77768"/>
    <w:rsid w:val="00D872E7"/>
    <w:rsid w:val="00D90445"/>
    <w:rsid w:val="00DA48AF"/>
    <w:rsid w:val="00DA7EF7"/>
    <w:rsid w:val="00DB60CA"/>
    <w:rsid w:val="00DC48B7"/>
    <w:rsid w:val="00DC497E"/>
    <w:rsid w:val="00DD4C78"/>
    <w:rsid w:val="00DE392F"/>
    <w:rsid w:val="00DE6474"/>
    <w:rsid w:val="00DE732A"/>
    <w:rsid w:val="00DF7F4D"/>
    <w:rsid w:val="00E07F69"/>
    <w:rsid w:val="00E104F2"/>
    <w:rsid w:val="00E15F48"/>
    <w:rsid w:val="00E209BA"/>
    <w:rsid w:val="00E209C5"/>
    <w:rsid w:val="00E23303"/>
    <w:rsid w:val="00E27C4C"/>
    <w:rsid w:val="00E344B8"/>
    <w:rsid w:val="00E378D5"/>
    <w:rsid w:val="00E417EE"/>
    <w:rsid w:val="00E43EB6"/>
    <w:rsid w:val="00E5257A"/>
    <w:rsid w:val="00E63271"/>
    <w:rsid w:val="00E732F2"/>
    <w:rsid w:val="00E76653"/>
    <w:rsid w:val="00E83DE8"/>
    <w:rsid w:val="00E84E0C"/>
    <w:rsid w:val="00E87979"/>
    <w:rsid w:val="00E90A77"/>
    <w:rsid w:val="00E91F2D"/>
    <w:rsid w:val="00E95CB2"/>
    <w:rsid w:val="00EA0D46"/>
    <w:rsid w:val="00EA36BB"/>
    <w:rsid w:val="00EB5103"/>
    <w:rsid w:val="00EC23AF"/>
    <w:rsid w:val="00ED43FA"/>
    <w:rsid w:val="00EE346B"/>
    <w:rsid w:val="00F05E99"/>
    <w:rsid w:val="00F31A61"/>
    <w:rsid w:val="00F33E0E"/>
    <w:rsid w:val="00F41863"/>
    <w:rsid w:val="00F46ABF"/>
    <w:rsid w:val="00F56302"/>
    <w:rsid w:val="00F64422"/>
    <w:rsid w:val="00F67A18"/>
    <w:rsid w:val="00F70C9D"/>
    <w:rsid w:val="00F7264C"/>
    <w:rsid w:val="00F80CA6"/>
    <w:rsid w:val="00F84DED"/>
    <w:rsid w:val="00F91E9F"/>
    <w:rsid w:val="00F952CC"/>
    <w:rsid w:val="00FA0ADB"/>
    <w:rsid w:val="00FA234B"/>
    <w:rsid w:val="00FA4D84"/>
    <w:rsid w:val="00FA7FFC"/>
    <w:rsid w:val="00FC0B2C"/>
    <w:rsid w:val="00FD6822"/>
    <w:rsid w:val="00FD76E7"/>
    <w:rsid w:val="00FE7A2A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57A"/>
    <w:pPr>
      <w:spacing w:after="0" w:line="240" w:lineRule="auto"/>
    </w:pPr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4144F1"/>
    <w:pPr>
      <w:keepNext/>
      <w:spacing w:before="240" w:after="60"/>
      <w:outlineLvl w:val="0"/>
    </w:pPr>
    <w:rPr>
      <w:rFonts w:eastAsia="SimSun"/>
      <w:b/>
      <w:bCs/>
      <w:caps/>
      <w:color w:val="0070C0"/>
      <w:kern w:val="32"/>
      <w:szCs w:val="32"/>
    </w:rPr>
  </w:style>
  <w:style w:type="paragraph" w:styleId="Heading2">
    <w:name w:val="heading 2"/>
    <w:basedOn w:val="Normal"/>
    <w:next w:val="Normal"/>
    <w:qFormat/>
    <w:rsid w:val="004144F1"/>
    <w:pPr>
      <w:keepNext/>
      <w:spacing w:before="240" w:after="60"/>
      <w:outlineLvl w:val="1"/>
    </w:pPr>
    <w:rPr>
      <w:rFonts w:eastAsia="SimSun"/>
      <w:bCs/>
      <w:iCs/>
      <w:caps/>
      <w:color w:val="0070C0"/>
      <w:szCs w:val="28"/>
    </w:rPr>
  </w:style>
  <w:style w:type="paragraph" w:styleId="Heading3">
    <w:name w:val="heading 3"/>
    <w:basedOn w:val="Normal"/>
    <w:next w:val="Normal"/>
    <w:qFormat/>
    <w:rsid w:val="004144F1"/>
    <w:pPr>
      <w:keepNext/>
      <w:spacing w:before="240" w:after="60"/>
      <w:outlineLvl w:val="2"/>
    </w:pPr>
    <w:rPr>
      <w:rFonts w:eastAsia="SimSun"/>
      <w:bCs/>
      <w:color w:val="0070C0"/>
      <w:szCs w:val="26"/>
      <w:u w:val="single"/>
    </w:rPr>
  </w:style>
  <w:style w:type="paragraph" w:styleId="Heading4">
    <w:name w:val="heading 4"/>
    <w:basedOn w:val="Normal"/>
    <w:next w:val="Normal"/>
    <w:qFormat/>
    <w:rsid w:val="002F0854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0854"/>
    <w:pPr>
      <w:spacing w:after="220"/>
    </w:pPr>
  </w:style>
  <w:style w:type="paragraph" w:styleId="Caption">
    <w:name w:val="caption"/>
    <w:basedOn w:val="Normal"/>
    <w:next w:val="Normal"/>
    <w:qFormat/>
    <w:rsid w:val="002F085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2F0854"/>
    <w:rPr>
      <w:sz w:val="18"/>
    </w:rPr>
  </w:style>
  <w:style w:type="paragraph" w:styleId="EndnoteText">
    <w:name w:val="endnote text"/>
    <w:basedOn w:val="Normal"/>
    <w:semiHidden/>
    <w:rsid w:val="002F0854"/>
    <w:rPr>
      <w:sz w:val="18"/>
    </w:rPr>
  </w:style>
  <w:style w:type="paragraph" w:styleId="Footer">
    <w:name w:val="footer"/>
    <w:basedOn w:val="Normal"/>
    <w:link w:val="FooterChar"/>
    <w:rsid w:val="002F085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F0854"/>
    <w:rPr>
      <w:sz w:val="18"/>
    </w:rPr>
  </w:style>
  <w:style w:type="paragraph" w:styleId="Header">
    <w:name w:val="header"/>
    <w:basedOn w:val="Normal"/>
    <w:semiHidden/>
    <w:rsid w:val="002F085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F0854"/>
    <w:pPr>
      <w:numPr>
        <w:numId w:val="23"/>
      </w:numPr>
    </w:pPr>
  </w:style>
  <w:style w:type="paragraph" w:customStyle="1" w:styleId="ONUME">
    <w:name w:val="ONUM E"/>
    <w:basedOn w:val="BodyText"/>
    <w:rsid w:val="002F0854"/>
    <w:pPr>
      <w:numPr>
        <w:numId w:val="24"/>
      </w:numPr>
    </w:pPr>
  </w:style>
  <w:style w:type="paragraph" w:customStyle="1" w:styleId="ONUMFS">
    <w:name w:val="ONUM FS"/>
    <w:basedOn w:val="BodyText"/>
    <w:rsid w:val="002F0854"/>
    <w:pPr>
      <w:numPr>
        <w:numId w:val="25"/>
      </w:numPr>
    </w:pPr>
  </w:style>
  <w:style w:type="paragraph" w:styleId="Salutation">
    <w:name w:val="Salutation"/>
    <w:basedOn w:val="Normal"/>
    <w:next w:val="Normal"/>
    <w:semiHidden/>
    <w:rsid w:val="002F0854"/>
  </w:style>
  <w:style w:type="paragraph" w:styleId="Signature">
    <w:name w:val="Signature"/>
    <w:basedOn w:val="Normal"/>
    <w:semiHidden/>
    <w:rsid w:val="002F0854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styleId="TOCHeading">
    <w:name w:val="TOC Heading"/>
    <w:basedOn w:val="Heading1"/>
    <w:next w:val="Normal"/>
    <w:uiPriority w:val="39"/>
    <w:unhideWhenUsed/>
    <w:qFormat/>
    <w:rsid w:val="0080443F"/>
    <w:pPr>
      <w:keepLines/>
      <w:spacing w:before="480"/>
      <w:ind w:left="567"/>
      <w:outlineLvl w:val="9"/>
    </w:pPr>
    <w:rPr>
      <w:rFonts w:eastAsia="MS Gothic" w:cs="Times New Roman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4144F1"/>
    <w:pPr>
      <w:ind w:left="567"/>
    </w:pPr>
  </w:style>
  <w:style w:type="paragraph" w:styleId="TOC2">
    <w:name w:val="toc 2"/>
    <w:basedOn w:val="Normal"/>
    <w:next w:val="Normal"/>
    <w:autoRedefine/>
    <w:uiPriority w:val="39"/>
    <w:rsid w:val="00EC23AF"/>
    <w:pPr>
      <w:ind w:left="1134"/>
    </w:pPr>
  </w:style>
  <w:style w:type="paragraph" w:styleId="TOC3">
    <w:name w:val="toc 3"/>
    <w:basedOn w:val="Normal"/>
    <w:next w:val="Normal"/>
    <w:autoRedefine/>
    <w:uiPriority w:val="39"/>
    <w:rsid w:val="0093550F"/>
    <w:pPr>
      <w:ind w:left="440"/>
    </w:pPr>
  </w:style>
  <w:style w:type="character" w:styleId="Hyperlink">
    <w:name w:val="Hyperlink"/>
    <w:uiPriority w:val="99"/>
    <w:unhideWhenUsed/>
    <w:rsid w:val="0093550F"/>
    <w:rPr>
      <w:color w:val="0000FF"/>
      <w:u w:val="single"/>
    </w:rPr>
  </w:style>
  <w:style w:type="character" w:styleId="Strong">
    <w:name w:val="Strong"/>
    <w:basedOn w:val="DefaultParagraphFont"/>
    <w:qFormat/>
    <w:rsid w:val="00E417EE"/>
    <w:rPr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B510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5103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rsid w:val="0091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459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7E1E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A7FFC"/>
    <w:pPr>
      <w:numPr>
        <w:numId w:val="13"/>
      </w:numPr>
      <w:ind w:left="993" w:hanging="426"/>
      <w:contextualSpacing/>
    </w:pPr>
  </w:style>
  <w:style w:type="table" w:styleId="TableGrid">
    <w:name w:val="Table Grid"/>
    <w:basedOn w:val="TableNormal"/>
    <w:rsid w:val="00ED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rsid w:val="00546654"/>
    <w:rPr>
      <w:vertAlign w:val="superscript"/>
    </w:rPr>
  </w:style>
  <w:style w:type="character" w:customStyle="1" w:styleId="FooterChar">
    <w:name w:val="Footer Char"/>
    <w:basedOn w:val="DefaultParagraphFont"/>
    <w:link w:val="Footer"/>
    <w:rsid w:val="00FA4D84"/>
    <w:rPr>
      <w:rFonts w:ascii="Arial" w:hAnsi="Arial" w:cs="Arial"/>
      <w:sz w:val="22"/>
    </w:rPr>
  </w:style>
  <w:style w:type="character" w:styleId="LineNumber">
    <w:name w:val="line number"/>
    <w:basedOn w:val="DefaultParagraphFont"/>
    <w:rsid w:val="00CE39D0"/>
  </w:style>
  <w:style w:type="paragraph" w:customStyle="1" w:styleId="Default">
    <w:name w:val="Default"/>
    <w:rsid w:val="00CE39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4E38CA"/>
    <w:rPr>
      <w:rFonts w:asciiTheme="minorHAnsi" w:hAnsiTheme="minorHAnsi"/>
      <w:b/>
      <w:bCs/>
      <w:color w:val="4F81BD" w:themeColor="accent1"/>
      <w:spacing w:val="5"/>
      <w:sz w:val="52"/>
    </w:rPr>
  </w:style>
  <w:style w:type="paragraph" w:customStyle="1" w:styleId="Endofdocument-Annex">
    <w:name w:val="[End of document - Annex]"/>
    <w:basedOn w:val="Normal"/>
    <w:rsid w:val="00E5257A"/>
    <w:pPr>
      <w:ind w:left="5534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E5257A"/>
    <w:rPr>
      <w:rFonts w:ascii="Arial" w:hAnsi="Arial" w:cs="Arial"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E5257A"/>
    <w:rPr>
      <w:rFonts w:ascii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57A"/>
    <w:pPr>
      <w:spacing w:after="0" w:line="240" w:lineRule="auto"/>
    </w:pPr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4144F1"/>
    <w:pPr>
      <w:keepNext/>
      <w:spacing w:before="240" w:after="60"/>
      <w:outlineLvl w:val="0"/>
    </w:pPr>
    <w:rPr>
      <w:rFonts w:eastAsia="SimSun"/>
      <w:b/>
      <w:bCs/>
      <w:caps/>
      <w:color w:val="0070C0"/>
      <w:kern w:val="32"/>
      <w:szCs w:val="32"/>
    </w:rPr>
  </w:style>
  <w:style w:type="paragraph" w:styleId="Heading2">
    <w:name w:val="heading 2"/>
    <w:basedOn w:val="Normal"/>
    <w:next w:val="Normal"/>
    <w:qFormat/>
    <w:rsid w:val="004144F1"/>
    <w:pPr>
      <w:keepNext/>
      <w:spacing w:before="240" w:after="60"/>
      <w:outlineLvl w:val="1"/>
    </w:pPr>
    <w:rPr>
      <w:rFonts w:eastAsia="SimSun"/>
      <w:bCs/>
      <w:iCs/>
      <w:caps/>
      <w:color w:val="0070C0"/>
      <w:szCs w:val="28"/>
    </w:rPr>
  </w:style>
  <w:style w:type="paragraph" w:styleId="Heading3">
    <w:name w:val="heading 3"/>
    <w:basedOn w:val="Normal"/>
    <w:next w:val="Normal"/>
    <w:qFormat/>
    <w:rsid w:val="004144F1"/>
    <w:pPr>
      <w:keepNext/>
      <w:spacing w:before="240" w:after="60"/>
      <w:outlineLvl w:val="2"/>
    </w:pPr>
    <w:rPr>
      <w:rFonts w:eastAsia="SimSun"/>
      <w:bCs/>
      <w:color w:val="0070C0"/>
      <w:szCs w:val="26"/>
      <w:u w:val="single"/>
    </w:rPr>
  </w:style>
  <w:style w:type="paragraph" w:styleId="Heading4">
    <w:name w:val="heading 4"/>
    <w:basedOn w:val="Normal"/>
    <w:next w:val="Normal"/>
    <w:qFormat/>
    <w:rsid w:val="002F0854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0854"/>
    <w:pPr>
      <w:spacing w:after="220"/>
    </w:pPr>
  </w:style>
  <w:style w:type="paragraph" w:styleId="Caption">
    <w:name w:val="caption"/>
    <w:basedOn w:val="Normal"/>
    <w:next w:val="Normal"/>
    <w:qFormat/>
    <w:rsid w:val="002F085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2F0854"/>
    <w:rPr>
      <w:sz w:val="18"/>
    </w:rPr>
  </w:style>
  <w:style w:type="paragraph" w:styleId="EndnoteText">
    <w:name w:val="endnote text"/>
    <w:basedOn w:val="Normal"/>
    <w:semiHidden/>
    <w:rsid w:val="002F0854"/>
    <w:rPr>
      <w:sz w:val="18"/>
    </w:rPr>
  </w:style>
  <w:style w:type="paragraph" w:styleId="Footer">
    <w:name w:val="footer"/>
    <w:basedOn w:val="Normal"/>
    <w:link w:val="FooterChar"/>
    <w:rsid w:val="002F085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F0854"/>
    <w:rPr>
      <w:sz w:val="18"/>
    </w:rPr>
  </w:style>
  <w:style w:type="paragraph" w:styleId="Header">
    <w:name w:val="header"/>
    <w:basedOn w:val="Normal"/>
    <w:semiHidden/>
    <w:rsid w:val="002F085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F0854"/>
    <w:pPr>
      <w:numPr>
        <w:numId w:val="23"/>
      </w:numPr>
    </w:pPr>
  </w:style>
  <w:style w:type="paragraph" w:customStyle="1" w:styleId="ONUME">
    <w:name w:val="ONUM E"/>
    <w:basedOn w:val="BodyText"/>
    <w:rsid w:val="002F0854"/>
    <w:pPr>
      <w:numPr>
        <w:numId w:val="24"/>
      </w:numPr>
    </w:pPr>
  </w:style>
  <w:style w:type="paragraph" w:customStyle="1" w:styleId="ONUMFS">
    <w:name w:val="ONUM FS"/>
    <w:basedOn w:val="BodyText"/>
    <w:rsid w:val="002F0854"/>
    <w:pPr>
      <w:numPr>
        <w:numId w:val="25"/>
      </w:numPr>
    </w:pPr>
  </w:style>
  <w:style w:type="paragraph" w:styleId="Salutation">
    <w:name w:val="Salutation"/>
    <w:basedOn w:val="Normal"/>
    <w:next w:val="Normal"/>
    <w:semiHidden/>
    <w:rsid w:val="002F0854"/>
  </w:style>
  <w:style w:type="paragraph" w:styleId="Signature">
    <w:name w:val="Signature"/>
    <w:basedOn w:val="Normal"/>
    <w:semiHidden/>
    <w:rsid w:val="002F0854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styleId="TOCHeading">
    <w:name w:val="TOC Heading"/>
    <w:basedOn w:val="Heading1"/>
    <w:next w:val="Normal"/>
    <w:uiPriority w:val="39"/>
    <w:unhideWhenUsed/>
    <w:qFormat/>
    <w:rsid w:val="0080443F"/>
    <w:pPr>
      <w:keepLines/>
      <w:spacing w:before="480"/>
      <w:ind w:left="567"/>
      <w:outlineLvl w:val="9"/>
    </w:pPr>
    <w:rPr>
      <w:rFonts w:eastAsia="MS Gothic" w:cs="Times New Roman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4144F1"/>
    <w:pPr>
      <w:ind w:left="567"/>
    </w:pPr>
  </w:style>
  <w:style w:type="paragraph" w:styleId="TOC2">
    <w:name w:val="toc 2"/>
    <w:basedOn w:val="Normal"/>
    <w:next w:val="Normal"/>
    <w:autoRedefine/>
    <w:uiPriority w:val="39"/>
    <w:rsid w:val="00EC23AF"/>
    <w:pPr>
      <w:ind w:left="1134"/>
    </w:pPr>
  </w:style>
  <w:style w:type="paragraph" w:styleId="TOC3">
    <w:name w:val="toc 3"/>
    <w:basedOn w:val="Normal"/>
    <w:next w:val="Normal"/>
    <w:autoRedefine/>
    <w:uiPriority w:val="39"/>
    <w:rsid w:val="0093550F"/>
    <w:pPr>
      <w:ind w:left="440"/>
    </w:pPr>
  </w:style>
  <w:style w:type="character" w:styleId="Hyperlink">
    <w:name w:val="Hyperlink"/>
    <w:uiPriority w:val="99"/>
    <w:unhideWhenUsed/>
    <w:rsid w:val="0093550F"/>
    <w:rPr>
      <w:color w:val="0000FF"/>
      <w:u w:val="single"/>
    </w:rPr>
  </w:style>
  <w:style w:type="character" w:styleId="Strong">
    <w:name w:val="Strong"/>
    <w:basedOn w:val="DefaultParagraphFont"/>
    <w:qFormat/>
    <w:rsid w:val="00E417EE"/>
    <w:rPr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B510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5103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rsid w:val="0091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459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7E1E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A7FFC"/>
    <w:pPr>
      <w:numPr>
        <w:numId w:val="13"/>
      </w:numPr>
      <w:ind w:left="993" w:hanging="426"/>
      <w:contextualSpacing/>
    </w:pPr>
  </w:style>
  <w:style w:type="table" w:styleId="TableGrid">
    <w:name w:val="Table Grid"/>
    <w:basedOn w:val="TableNormal"/>
    <w:rsid w:val="00ED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rsid w:val="00546654"/>
    <w:rPr>
      <w:vertAlign w:val="superscript"/>
    </w:rPr>
  </w:style>
  <w:style w:type="character" w:customStyle="1" w:styleId="FooterChar">
    <w:name w:val="Footer Char"/>
    <w:basedOn w:val="DefaultParagraphFont"/>
    <w:link w:val="Footer"/>
    <w:rsid w:val="00FA4D84"/>
    <w:rPr>
      <w:rFonts w:ascii="Arial" w:hAnsi="Arial" w:cs="Arial"/>
      <w:sz w:val="22"/>
    </w:rPr>
  </w:style>
  <w:style w:type="character" w:styleId="LineNumber">
    <w:name w:val="line number"/>
    <w:basedOn w:val="DefaultParagraphFont"/>
    <w:rsid w:val="00CE39D0"/>
  </w:style>
  <w:style w:type="paragraph" w:customStyle="1" w:styleId="Default">
    <w:name w:val="Default"/>
    <w:rsid w:val="00CE39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4E38CA"/>
    <w:rPr>
      <w:rFonts w:asciiTheme="minorHAnsi" w:hAnsiTheme="minorHAnsi"/>
      <w:b/>
      <w:bCs/>
      <w:color w:val="4F81BD" w:themeColor="accent1"/>
      <w:spacing w:val="5"/>
      <w:sz w:val="52"/>
    </w:rPr>
  </w:style>
  <w:style w:type="paragraph" w:customStyle="1" w:styleId="Endofdocument-Annex">
    <w:name w:val="[End of document - Annex]"/>
    <w:basedOn w:val="Normal"/>
    <w:rsid w:val="00E5257A"/>
    <w:pPr>
      <w:ind w:left="5534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E5257A"/>
    <w:rPr>
      <w:rFonts w:ascii="Arial" w:hAnsi="Arial" w:cs="Arial"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E5257A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DCCA6-0C1C-4D80-9FE8-6AB62CFD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3678</Words>
  <Characters>21784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 Knowledge Management Strategy 2015 - 2018</vt:lpstr>
    </vt:vector>
  </TitlesOfParts>
  <Company>WIPO</Company>
  <LinksUpToDate>false</LinksUpToDate>
  <CharactersWithSpaces>25412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 Knowledge Management Strategy 2015 - 2018</dc:title>
  <dc:creator>Beaver Graham</dc:creator>
  <cp:keywords>NGG/ko</cp:keywords>
  <cp:lastModifiedBy>GAMBLE Elizabeth Lynne</cp:lastModifiedBy>
  <cp:revision>3</cp:revision>
  <cp:lastPrinted>2015-08-03T12:10:00Z</cp:lastPrinted>
  <dcterms:created xsi:type="dcterms:W3CDTF">2015-08-03T11:57:00Z</dcterms:created>
  <dcterms:modified xsi:type="dcterms:W3CDTF">2015-08-03T12:11:00Z</dcterms:modified>
  <cp:category>Strategy</cp:category>
  <cp:contentStatus>DRAFT - Embargoed Content</cp:contentStatus>
</cp:coreProperties>
</file>