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25146" w:rsidRPr="00E20359" w:rsidTr="00E2035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25146" w:rsidRPr="00E20359" w:rsidRDefault="00425146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25146" w:rsidRPr="00E20359" w:rsidRDefault="00E20359" w:rsidP="00916EE2">
            <w:pPr>
              <w:rPr>
                <w:lang w:val="fr-FR"/>
              </w:rPr>
            </w:pPr>
            <w:r w:rsidRPr="00E20359">
              <w:rPr>
                <w:noProof/>
                <w:color w:val="FFFFFF"/>
                <w:lang w:eastAsia="en-US"/>
              </w:rPr>
              <w:drawing>
                <wp:inline distT="0" distB="0" distL="0" distR="0" wp14:anchorId="660B7164" wp14:editId="6009ECE8">
                  <wp:extent cx="1854835" cy="1326515"/>
                  <wp:effectExtent l="0" t="0" r="0" b="6985"/>
                  <wp:docPr id="6" name="Image 6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25146" w:rsidRPr="00E20359" w:rsidRDefault="00E20359" w:rsidP="00916EE2">
            <w:pPr>
              <w:jc w:val="right"/>
              <w:rPr>
                <w:lang w:val="fr-FR"/>
              </w:rPr>
            </w:pPr>
            <w:r w:rsidRPr="00E2035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25146" w:rsidRPr="00E20359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25146" w:rsidRPr="00E20359" w:rsidRDefault="00425146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20359">
              <w:rPr>
                <w:rFonts w:ascii="Arial Black" w:hAnsi="Arial Black"/>
                <w:caps/>
                <w:sz w:val="15"/>
                <w:lang w:val="fr-FR"/>
              </w:rPr>
              <w:t xml:space="preserve">A/51/6  </w:t>
            </w:r>
          </w:p>
        </w:tc>
      </w:tr>
      <w:tr w:rsidR="00425146" w:rsidRPr="00E20359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25146" w:rsidRPr="00E20359" w:rsidRDefault="00425146" w:rsidP="00E2035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20359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E20359" w:rsidRPr="00E2035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Pr="00E20359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r w:rsidR="00E20359" w:rsidRPr="00E20359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425146" w:rsidRPr="00E2035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25146" w:rsidRPr="00E20359" w:rsidRDefault="00425146" w:rsidP="00E2035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20359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E20359" w:rsidRPr="00E2035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Pr="00E20359">
              <w:rPr>
                <w:rFonts w:ascii="Arial Black" w:hAnsi="Arial Black"/>
                <w:caps/>
                <w:sz w:val="15"/>
                <w:lang w:val="fr-FR"/>
              </w:rPr>
              <w:t>: 5</w:t>
            </w:r>
            <w:r w:rsidR="00E20359" w:rsidRPr="00E20359">
              <w:rPr>
                <w:rFonts w:ascii="Arial Black" w:hAnsi="Arial Black"/>
                <w:caps/>
                <w:sz w:val="15"/>
                <w:lang w:val="fr-FR"/>
              </w:rPr>
              <w:t xml:space="preserve"> août</w:t>
            </w:r>
            <w:r w:rsidRPr="00E20359">
              <w:rPr>
                <w:rFonts w:ascii="Arial Black" w:hAnsi="Arial Black"/>
                <w:caps/>
                <w:sz w:val="15"/>
                <w:lang w:val="fr-FR"/>
              </w:rPr>
              <w:t xml:space="preserve"> 2013</w:t>
            </w:r>
          </w:p>
        </w:tc>
      </w:tr>
    </w:tbl>
    <w:p w:rsidR="00FE7985" w:rsidRPr="00E20359" w:rsidRDefault="00FE7985" w:rsidP="008B2CC1">
      <w:pPr>
        <w:rPr>
          <w:lang w:val="fr-FR"/>
        </w:rPr>
      </w:pPr>
    </w:p>
    <w:p w:rsidR="00FE7985" w:rsidRPr="00E20359" w:rsidRDefault="00FE7985" w:rsidP="008B2CC1">
      <w:pPr>
        <w:rPr>
          <w:lang w:val="fr-FR"/>
        </w:rPr>
      </w:pPr>
    </w:p>
    <w:p w:rsidR="00FE7985" w:rsidRPr="00E20359" w:rsidRDefault="00FE7985" w:rsidP="008B2CC1">
      <w:pPr>
        <w:rPr>
          <w:lang w:val="fr-FR"/>
        </w:rPr>
      </w:pPr>
    </w:p>
    <w:p w:rsidR="00FE7985" w:rsidRPr="00E20359" w:rsidRDefault="00FE7985" w:rsidP="008B2CC1">
      <w:pPr>
        <w:rPr>
          <w:lang w:val="fr-FR"/>
        </w:rPr>
      </w:pPr>
    </w:p>
    <w:p w:rsidR="00FE7985" w:rsidRPr="00E20359" w:rsidRDefault="00FE7985" w:rsidP="008B2CC1">
      <w:pPr>
        <w:rPr>
          <w:lang w:val="fr-FR"/>
        </w:rPr>
      </w:pPr>
    </w:p>
    <w:p w:rsidR="00E20359" w:rsidRPr="00E20359" w:rsidRDefault="00E20359" w:rsidP="00E20359">
      <w:pPr>
        <w:rPr>
          <w:b/>
          <w:sz w:val="28"/>
          <w:szCs w:val="28"/>
          <w:lang w:val="fr-FR"/>
        </w:rPr>
      </w:pPr>
      <w:r w:rsidRPr="00E20359">
        <w:rPr>
          <w:b/>
          <w:sz w:val="28"/>
          <w:szCs w:val="28"/>
          <w:lang w:val="fr-FR"/>
        </w:rPr>
        <w:t>Assemblées des États membres de l’OMPI</w:t>
      </w:r>
    </w:p>
    <w:p w:rsidR="00E20359" w:rsidRPr="00E20359" w:rsidRDefault="00E20359" w:rsidP="00E20359">
      <w:pPr>
        <w:rPr>
          <w:lang w:val="fr-FR"/>
        </w:rPr>
      </w:pPr>
    </w:p>
    <w:p w:rsidR="00E20359" w:rsidRPr="00E20359" w:rsidRDefault="00E20359" w:rsidP="00E20359">
      <w:pPr>
        <w:rPr>
          <w:lang w:val="fr-FR"/>
        </w:rPr>
      </w:pPr>
    </w:p>
    <w:p w:rsidR="00E20359" w:rsidRPr="00E20359" w:rsidRDefault="00E20359" w:rsidP="00E20359">
      <w:pPr>
        <w:rPr>
          <w:b/>
          <w:sz w:val="24"/>
          <w:szCs w:val="24"/>
          <w:lang w:val="fr-FR"/>
        </w:rPr>
      </w:pPr>
      <w:r w:rsidRPr="00E20359">
        <w:rPr>
          <w:b/>
          <w:sz w:val="24"/>
          <w:szCs w:val="24"/>
          <w:lang w:val="fr-FR"/>
        </w:rPr>
        <w:t>Cinquante et unième série de réunions</w:t>
      </w:r>
    </w:p>
    <w:p w:rsidR="00FE7985" w:rsidRPr="00E20359" w:rsidRDefault="00E20359" w:rsidP="00E20359">
      <w:pPr>
        <w:rPr>
          <w:lang w:val="fr-FR"/>
        </w:rPr>
      </w:pPr>
      <w:r w:rsidRPr="00E20359">
        <w:rPr>
          <w:b/>
          <w:sz w:val="24"/>
          <w:szCs w:val="24"/>
          <w:lang w:val="fr-FR"/>
        </w:rPr>
        <w:t>Genève, 23 septembre – 2 octobre 2013</w:t>
      </w:r>
    </w:p>
    <w:p w:rsidR="00FE7985" w:rsidRPr="00E20359" w:rsidRDefault="00FE7985" w:rsidP="008B2CC1">
      <w:pPr>
        <w:rPr>
          <w:lang w:val="fr-FR"/>
        </w:rPr>
      </w:pPr>
    </w:p>
    <w:p w:rsidR="00FE7985" w:rsidRPr="00E20359" w:rsidRDefault="00FE7985" w:rsidP="008B2CC1">
      <w:pPr>
        <w:rPr>
          <w:lang w:val="fr-FR"/>
        </w:rPr>
      </w:pPr>
    </w:p>
    <w:p w:rsidR="00FE7985" w:rsidRPr="00E20359" w:rsidRDefault="00FE7985" w:rsidP="00FE7985">
      <w:pPr>
        <w:rPr>
          <w:caps/>
          <w:sz w:val="24"/>
          <w:lang w:val="fr-FR"/>
        </w:rPr>
      </w:pPr>
      <w:r w:rsidRPr="00E20359">
        <w:rPr>
          <w:sz w:val="24"/>
          <w:lang w:val="fr-FR"/>
        </w:rPr>
        <w:t>NIVEAU D’UTILISATION DES RÉSERVES</w:t>
      </w:r>
    </w:p>
    <w:p w:rsidR="00FE7985" w:rsidRPr="00E20359" w:rsidRDefault="00FE7985" w:rsidP="008B2CC1">
      <w:pPr>
        <w:rPr>
          <w:lang w:val="fr-FR"/>
        </w:rPr>
      </w:pPr>
    </w:p>
    <w:p w:rsidR="00FE7985" w:rsidRPr="00E20359" w:rsidRDefault="00FE7985" w:rsidP="00FE7985">
      <w:pPr>
        <w:rPr>
          <w:i/>
          <w:lang w:val="fr-FR"/>
        </w:rPr>
      </w:pPr>
      <w:r w:rsidRPr="00E20359">
        <w:rPr>
          <w:i/>
          <w:lang w:val="fr-FR"/>
        </w:rPr>
        <w:t>Document établi par le Secrétariat</w:t>
      </w:r>
    </w:p>
    <w:p w:rsidR="00FE7985" w:rsidRPr="00E20359" w:rsidRDefault="00FE7985">
      <w:pPr>
        <w:rPr>
          <w:lang w:val="fr-FR"/>
        </w:rPr>
      </w:pPr>
    </w:p>
    <w:p w:rsidR="00FE7985" w:rsidRPr="00E20359" w:rsidRDefault="00FE7985">
      <w:pPr>
        <w:rPr>
          <w:lang w:val="fr-FR"/>
        </w:rPr>
      </w:pPr>
    </w:p>
    <w:p w:rsidR="00FE7985" w:rsidRPr="00E20359" w:rsidRDefault="00FE7985">
      <w:pPr>
        <w:rPr>
          <w:lang w:val="fr-FR"/>
        </w:rPr>
      </w:pPr>
    </w:p>
    <w:p w:rsidR="00FE7985" w:rsidRPr="00E20359" w:rsidRDefault="00FE7985" w:rsidP="0053057A">
      <w:pPr>
        <w:rPr>
          <w:lang w:val="fr-FR"/>
        </w:rPr>
      </w:pPr>
    </w:p>
    <w:p w:rsidR="00FE7985" w:rsidRPr="00E20359" w:rsidRDefault="00FE7985" w:rsidP="00DF432A">
      <w:pPr>
        <w:rPr>
          <w:lang w:val="fr-FR"/>
        </w:rPr>
      </w:pPr>
    </w:p>
    <w:p w:rsidR="00FE7985" w:rsidRPr="00E20359" w:rsidRDefault="00FE7985" w:rsidP="00FE7985">
      <w:pPr>
        <w:numPr>
          <w:ilvl w:val="0"/>
          <w:numId w:val="13"/>
        </w:numPr>
        <w:tabs>
          <w:tab w:val="num" w:pos="550"/>
        </w:tabs>
        <w:ind w:left="0" w:firstLine="0"/>
        <w:rPr>
          <w:lang w:val="fr-FR"/>
        </w:rPr>
      </w:pPr>
      <w:r w:rsidRPr="00E20359">
        <w:rPr>
          <w:lang w:val="fr-FR"/>
        </w:rPr>
        <w:t xml:space="preserve">Le présent document </w:t>
      </w:r>
      <w:r w:rsidRPr="00E20359">
        <w:rPr>
          <w:color w:val="000000"/>
          <w:lang w:val="fr-FR"/>
        </w:rPr>
        <w:t xml:space="preserve">présente le </w:t>
      </w:r>
      <w:r w:rsidRPr="00E20359">
        <w:rPr>
          <w:lang w:val="fr-FR"/>
        </w:rPr>
        <w:t>niveau d’utilisation des réserves (document WO/PBC/21/7), qui est soumis au Comité du programme et budget (PBC) de l’OMPI à sa</w:t>
      </w:r>
      <w:r w:rsidR="00E20359">
        <w:rPr>
          <w:lang w:val="fr-FR"/>
        </w:rPr>
        <w:t> </w:t>
      </w:r>
      <w:r w:rsidRPr="00E20359">
        <w:rPr>
          <w:color w:val="000000"/>
          <w:lang w:val="fr-FR"/>
        </w:rPr>
        <w:t>vingt</w:t>
      </w:r>
      <w:r w:rsidR="00E20359">
        <w:rPr>
          <w:color w:val="000000"/>
          <w:lang w:val="fr-FR"/>
        </w:rPr>
        <w:t> </w:t>
      </w:r>
      <w:r w:rsidRPr="00E20359">
        <w:rPr>
          <w:color w:val="000000"/>
          <w:lang w:val="fr-FR"/>
        </w:rPr>
        <w:t>et</w:t>
      </w:r>
      <w:r w:rsidR="00E20359">
        <w:rPr>
          <w:color w:val="000000"/>
          <w:lang w:val="fr-FR"/>
        </w:rPr>
        <w:t> </w:t>
      </w:r>
      <w:r w:rsidRPr="00E20359">
        <w:rPr>
          <w:color w:val="000000"/>
          <w:lang w:val="fr-FR"/>
        </w:rPr>
        <w:t>unième</w:t>
      </w:r>
      <w:r w:rsidRPr="00E20359">
        <w:rPr>
          <w:lang w:val="fr-FR"/>
        </w:rPr>
        <w:t> session (9 – 13 septembre 2013).</w:t>
      </w:r>
    </w:p>
    <w:p w:rsidR="00FE7985" w:rsidRPr="00E20359" w:rsidRDefault="00FE7985" w:rsidP="00DF432A">
      <w:pPr>
        <w:tabs>
          <w:tab w:val="num" w:pos="550"/>
        </w:tabs>
        <w:rPr>
          <w:lang w:val="fr-FR"/>
        </w:rPr>
      </w:pPr>
    </w:p>
    <w:p w:rsidR="00FE7985" w:rsidRPr="00E20359" w:rsidRDefault="00FE7985" w:rsidP="00FE7985">
      <w:pPr>
        <w:numPr>
          <w:ilvl w:val="0"/>
          <w:numId w:val="13"/>
        </w:numPr>
        <w:tabs>
          <w:tab w:val="num" w:pos="550"/>
        </w:tabs>
        <w:ind w:left="0" w:firstLine="0"/>
        <w:rPr>
          <w:lang w:val="fr-FR"/>
        </w:rPr>
      </w:pPr>
      <w:r w:rsidRPr="00E20359">
        <w:rPr>
          <w:lang w:val="fr-FR"/>
        </w:rPr>
        <w:t>La recommandation du</w:t>
      </w:r>
      <w:r w:rsidR="00E20359">
        <w:rPr>
          <w:lang w:val="fr-FR"/>
        </w:rPr>
        <w:t> </w:t>
      </w:r>
      <w:r w:rsidRPr="00E20359">
        <w:rPr>
          <w:lang w:val="fr-FR"/>
        </w:rPr>
        <w:t>PBC concernant ce document figurera dans le “Résumé des</w:t>
      </w:r>
      <w:r w:rsidR="00E20359">
        <w:rPr>
          <w:lang w:val="fr-FR"/>
        </w:rPr>
        <w:t> </w:t>
      </w:r>
      <w:r w:rsidRPr="00E20359">
        <w:rPr>
          <w:lang w:val="fr-FR"/>
        </w:rPr>
        <w:t>décisions et recommandations formulées par le Comité du programme et budget à sa</w:t>
      </w:r>
      <w:r w:rsidR="00E20359">
        <w:rPr>
          <w:lang w:val="fr-FR"/>
        </w:rPr>
        <w:t> </w:t>
      </w:r>
      <w:r w:rsidRPr="00E20359">
        <w:rPr>
          <w:lang w:val="fr-FR"/>
        </w:rPr>
        <w:t>vingt</w:t>
      </w:r>
      <w:r w:rsidR="00E20359">
        <w:rPr>
          <w:lang w:val="fr-FR"/>
        </w:rPr>
        <w:t> </w:t>
      </w:r>
      <w:r w:rsidRPr="00E20359">
        <w:rPr>
          <w:lang w:val="fr-FR"/>
        </w:rPr>
        <w:t>et</w:t>
      </w:r>
      <w:r w:rsidR="00E20359">
        <w:rPr>
          <w:lang w:val="fr-FR"/>
        </w:rPr>
        <w:t> </w:t>
      </w:r>
      <w:r w:rsidRPr="00E20359">
        <w:rPr>
          <w:lang w:val="fr-FR"/>
        </w:rPr>
        <w:t>unième</w:t>
      </w:r>
      <w:r w:rsidR="00E20359">
        <w:rPr>
          <w:lang w:val="fr-FR"/>
        </w:rPr>
        <w:t> </w:t>
      </w:r>
      <w:r w:rsidRPr="00E20359">
        <w:rPr>
          <w:lang w:val="fr-FR"/>
        </w:rPr>
        <w:t>session (9 – 13 septembre 2013)” (document A/51/14).</w:t>
      </w:r>
      <w:r w:rsidR="00425146" w:rsidRPr="00E20359">
        <w:rPr>
          <w:lang w:val="fr-FR"/>
        </w:rPr>
        <w:t xml:space="preserve"> </w:t>
      </w:r>
    </w:p>
    <w:p w:rsidR="00FE7985" w:rsidRPr="00E20359" w:rsidRDefault="00FE7985" w:rsidP="00DF432A">
      <w:pPr>
        <w:ind w:left="1696" w:hanging="675"/>
        <w:rPr>
          <w:lang w:val="fr-FR"/>
        </w:rPr>
      </w:pPr>
    </w:p>
    <w:p w:rsidR="00FE7985" w:rsidRPr="00E20359" w:rsidRDefault="00FE7985" w:rsidP="00FA2279">
      <w:pPr>
        <w:pStyle w:val="DecisionInvitingPara"/>
        <w:numPr>
          <w:ilvl w:val="0"/>
          <w:numId w:val="13"/>
        </w:numPr>
        <w:ind w:left="5534" w:firstLine="0"/>
        <w:rPr>
          <w:rStyle w:val="DecisionInvitingParaChar"/>
          <w:i/>
          <w:iCs/>
          <w:sz w:val="22"/>
          <w:szCs w:val="22"/>
          <w:lang w:val="fr-FR"/>
        </w:rPr>
      </w:pPr>
      <w:r w:rsidRPr="00E20359">
        <w:rPr>
          <w:sz w:val="22"/>
          <w:szCs w:val="22"/>
          <w:lang w:val="fr-FR"/>
        </w:rPr>
        <w:t xml:space="preserve">Les assemblées des États membres de l’OMPI et des unions administrées par l’OMPI, chacune pour ce qui la concerne, sont invitées à prendre note du contenu du document WO/PBC/21/7, en tenant compte de toute recommandation formulée </w:t>
      </w:r>
      <w:r w:rsidRPr="00E20359">
        <w:rPr>
          <w:color w:val="000000"/>
          <w:sz w:val="22"/>
          <w:szCs w:val="22"/>
          <w:lang w:val="fr-FR"/>
        </w:rPr>
        <w:t xml:space="preserve">à cet égard </w:t>
      </w:r>
      <w:r w:rsidRPr="00E20359">
        <w:rPr>
          <w:sz w:val="22"/>
          <w:szCs w:val="22"/>
          <w:lang w:val="fr-FR"/>
        </w:rPr>
        <w:t>par le Comité du</w:t>
      </w:r>
      <w:r w:rsidR="00FA2279">
        <w:rPr>
          <w:sz w:val="22"/>
          <w:szCs w:val="22"/>
          <w:lang w:val="fr-FR"/>
        </w:rPr>
        <w:t> </w:t>
      </w:r>
      <w:r w:rsidRPr="00E20359">
        <w:rPr>
          <w:sz w:val="22"/>
          <w:szCs w:val="22"/>
          <w:lang w:val="fr-FR"/>
        </w:rPr>
        <w:t>programme et budget, telle qu’elle figure dans le document A/51/14.</w:t>
      </w:r>
    </w:p>
    <w:p w:rsidR="00FE7985" w:rsidRPr="00E20359" w:rsidRDefault="00FE7985" w:rsidP="00FA2279">
      <w:pPr>
        <w:pStyle w:val="DecisionInvitingPara"/>
        <w:spacing w:after="0" w:line="240" w:lineRule="auto"/>
        <w:rPr>
          <w:rStyle w:val="DecisionInvitingParaChar"/>
          <w:iCs/>
          <w:sz w:val="22"/>
          <w:szCs w:val="22"/>
          <w:lang w:val="fr-FR"/>
        </w:rPr>
      </w:pPr>
    </w:p>
    <w:p w:rsidR="00FE7985" w:rsidRDefault="00FE7985" w:rsidP="00FA2279">
      <w:pPr>
        <w:ind w:left="5534"/>
        <w:rPr>
          <w:lang w:val="fr-FR"/>
        </w:rPr>
      </w:pPr>
    </w:p>
    <w:p w:rsidR="00425146" w:rsidRPr="00E20359" w:rsidRDefault="00FE7985" w:rsidP="00FE7985">
      <w:pPr>
        <w:pStyle w:val="Endofdocument-Annex"/>
        <w:rPr>
          <w:lang w:val="fr-FR"/>
        </w:rPr>
        <w:sectPr w:rsidR="00425146" w:rsidRPr="00E20359" w:rsidSect="00E20359">
          <w:headerReference w:type="default" r:id="rId10"/>
          <w:foot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E20359">
        <w:rPr>
          <w:lang w:val="fr-FR"/>
        </w:rPr>
        <w:t>[Le document WO/PBC/21/7 suit]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A0F4A" w:rsidRPr="00CC022F" w:rsidTr="00DF432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A0F4A" w:rsidRPr="00CC022F" w:rsidRDefault="00FA0F4A" w:rsidP="00DF432A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A0F4A" w:rsidRPr="00CC022F" w:rsidRDefault="00FA0F4A" w:rsidP="00DF432A">
            <w:pPr>
              <w:rPr>
                <w:lang w:val="fr-FR"/>
              </w:rPr>
            </w:pPr>
            <w:r w:rsidRPr="00CC022F">
              <w:rPr>
                <w:noProof/>
                <w:lang w:eastAsia="en-US"/>
              </w:rPr>
              <w:drawing>
                <wp:inline distT="0" distB="0" distL="0" distR="0" wp14:anchorId="3BC92904" wp14:editId="2F374D34">
                  <wp:extent cx="1854835" cy="1326515"/>
                  <wp:effectExtent l="0" t="0" r="0" b="6985"/>
                  <wp:docPr id="5" name="Image 5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A0F4A" w:rsidRPr="00CC022F" w:rsidRDefault="00FA0F4A" w:rsidP="00DF432A">
            <w:pPr>
              <w:jc w:val="right"/>
              <w:rPr>
                <w:lang w:val="fr-FR"/>
              </w:rPr>
            </w:pPr>
            <w:r w:rsidRPr="00CC022F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FA0F4A" w:rsidRPr="00CC022F" w:rsidTr="00DF432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A0F4A" w:rsidRPr="00CC022F" w:rsidRDefault="00FA0F4A" w:rsidP="00DF432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C022F">
              <w:rPr>
                <w:rFonts w:ascii="Arial Black" w:hAnsi="Arial Black"/>
                <w:caps/>
                <w:sz w:val="15"/>
                <w:lang w:val="fr-FR"/>
              </w:rPr>
              <w:t>WO/PBC/21/</w:t>
            </w:r>
            <w:bookmarkStart w:id="0" w:name="Code"/>
            <w:bookmarkEnd w:id="0"/>
            <w:r w:rsidRPr="00CC022F">
              <w:rPr>
                <w:rFonts w:ascii="Arial Black" w:hAnsi="Arial Black"/>
                <w:caps/>
                <w:sz w:val="15"/>
                <w:lang w:val="fr-FR"/>
              </w:rPr>
              <w:t xml:space="preserve">7    </w:t>
            </w:r>
          </w:p>
        </w:tc>
      </w:tr>
      <w:tr w:rsidR="00FA0F4A" w:rsidRPr="00CC022F" w:rsidTr="00DF432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A0F4A" w:rsidRPr="00CC022F" w:rsidRDefault="00FA0F4A" w:rsidP="00DF432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C022F">
              <w:rPr>
                <w:rFonts w:ascii="Arial Black" w:hAnsi="Arial Black"/>
                <w:caps/>
                <w:sz w:val="15"/>
                <w:lang w:val="fr-FR"/>
              </w:rPr>
              <w:t>ORIGINAL : anglais</w:t>
            </w:r>
          </w:p>
        </w:tc>
      </w:tr>
      <w:tr w:rsidR="00FA0F4A" w:rsidRPr="00CC022F" w:rsidTr="00DF432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A0F4A" w:rsidRPr="00CC022F" w:rsidRDefault="00FA0F4A" w:rsidP="00DF432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C022F">
              <w:rPr>
                <w:rFonts w:ascii="Arial Black" w:hAnsi="Arial Black"/>
                <w:caps/>
                <w:sz w:val="15"/>
                <w:lang w:val="fr-FR"/>
              </w:rPr>
              <w:t xml:space="preserve">DATE : </w:t>
            </w:r>
            <w:bookmarkStart w:id="1" w:name="Date"/>
            <w:bookmarkEnd w:id="1"/>
            <w:r w:rsidRPr="00CC022F">
              <w:rPr>
                <w:rFonts w:ascii="Arial Black" w:hAnsi="Arial Black"/>
                <w:caps/>
                <w:sz w:val="15"/>
                <w:lang w:val="fr-FR"/>
              </w:rPr>
              <w:t>31 juillet 2013</w:t>
            </w:r>
          </w:p>
        </w:tc>
      </w:tr>
    </w:tbl>
    <w:p w:rsidR="00FA0F4A" w:rsidRPr="00CC022F" w:rsidRDefault="00FA0F4A" w:rsidP="00FA0F4A">
      <w:pPr>
        <w:rPr>
          <w:lang w:val="fr-FR"/>
        </w:rPr>
      </w:pPr>
    </w:p>
    <w:p w:rsidR="00FA0F4A" w:rsidRPr="00CC022F" w:rsidRDefault="00FA0F4A" w:rsidP="00FA0F4A">
      <w:pPr>
        <w:rPr>
          <w:lang w:val="fr-FR"/>
        </w:rPr>
      </w:pPr>
    </w:p>
    <w:p w:rsidR="00FA0F4A" w:rsidRPr="00CC022F" w:rsidRDefault="00FA0F4A" w:rsidP="00FA0F4A">
      <w:pPr>
        <w:rPr>
          <w:lang w:val="fr-FR"/>
        </w:rPr>
      </w:pPr>
    </w:p>
    <w:p w:rsidR="00FA0F4A" w:rsidRPr="00CC022F" w:rsidRDefault="00FA0F4A" w:rsidP="00FA0F4A">
      <w:pPr>
        <w:rPr>
          <w:lang w:val="fr-FR"/>
        </w:rPr>
      </w:pPr>
    </w:p>
    <w:p w:rsidR="00FA0F4A" w:rsidRPr="00CC022F" w:rsidRDefault="00FA0F4A" w:rsidP="00FA0F4A">
      <w:pPr>
        <w:rPr>
          <w:b/>
          <w:sz w:val="28"/>
          <w:szCs w:val="28"/>
          <w:lang w:val="fr-FR"/>
        </w:rPr>
      </w:pPr>
      <w:r w:rsidRPr="00CC022F">
        <w:rPr>
          <w:b/>
          <w:sz w:val="28"/>
          <w:szCs w:val="28"/>
          <w:lang w:val="fr-FR"/>
        </w:rPr>
        <w:t>Comité du programme et budget</w:t>
      </w:r>
    </w:p>
    <w:p w:rsidR="00FA0F4A" w:rsidRPr="00CC022F" w:rsidRDefault="00FA0F4A" w:rsidP="00FA0F4A">
      <w:pPr>
        <w:rPr>
          <w:lang w:val="fr-FR"/>
        </w:rPr>
      </w:pPr>
    </w:p>
    <w:p w:rsidR="00FA0F4A" w:rsidRPr="00CC022F" w:rsidRDefault="00FA0F4A" w:rsidP="00FA0F4A">
      <w:pPr>
        <w:rPr>
          <w:lang w:val="fr-FR"/>
        </w:rPr>
      </w:pPr>
    </w:p>
    <w:p w:rsidR="00FA0F4A" w:rsidRPr="00CC022F" w:rsidRDefault="00FA0F4A" w:rsidP="00FA0F4A">
      <w:pPr>
        <w:rPr>
          <w:b/>
          <w:sz w:val="24"/>
          <w:szCs w:val="24"/>
          <w:lang w:val="fr-FR"/>
        </w:rPr>
      </w:pPr>
      <w:r w:rsidRPr="00CC022F">
        <w:rPr>
          <w:b/>
          <w:sz w:val="24"/>
          <w:szCs w:val="24"/>
          <w:lang w:val="fr-FR"/>
        </w:rPr>
        <w:t>Vingt et unième session</w:t>
      </w:r>
    </w:p>
    <w:p w:rsidR="00FA0F4A" w:rsidRPr="00CC022F" w:rsidRDefault="00FA0F4A" w:rsidP="00FA0F4A">
      <w:pPr>
        <w:rPr>
          <w:b/>
          <w:sz w:val="24"/>
          <w:szCs w:val="24"/>
          <w:lang w:val="fr-FR"/>
        </w:rPr>
      </w:pPr>
      <w:r w:rsidRPr="00CC022F">
        <w:rPr>
          <w:b/>
          <w:sz w:val="24"/>
          <w:szCs w:val="24"/>
          <w:lang w:val="fr-FR"/>
        </w:rPr>
        <w:t>Genève, 9 – 13 septembre 2013</w:t>
      </w:r>
    </w:p>
    <w:p w:rsidR="00FA0F4A" w:rsidRPr="00CC022F" w:rsidRDefault="00FA0F4A" w:rsidP="00FA0F4A">
      <w:pPr>
        <w:rPr>
          <w:lang w:val="fr-FR"/>
        </w:rPr>
      </w:pPr>
    </w:p>
    <w:p w:rsidR="00FA0F4A" w:rsidRPr="00CC022F" w:rsidRDefault="00FA0F4A" w:rsidP="00FA0F4A">
      <w:pPr>
        <w:rPr>
          <w:lang w:val="fr-FR"/>
        </w:rPr>
      </w:pPr>
    </w:p>
    <w:p w:rsidR="00FA0F4A" w:rsidRPr="00CC022F" w:rsidRDefault="00FA0F4A" w:rsidP="00FA0F4A">
      <w:pPr>
        <w:rPr>
          <w:lang w:val="fr-FR"/>
        </w:rPr>
      </w:pPr>
    </w:p>
    <w:p w:rsidR="00FA0F4A" w:rsidRPr="00CC022F" w:rsidRDefault="00FA0F4A" w:rsidP="00FA0F4A">
      <w:pPr>
        <w:rPr>
          <w:caps/>
          <w:sz w:val="24"/>
          <w:lang w:val="fr-FR"/>
        </w:rPr>
      </w:pPr>
      <w:bookmarkStart w:id="2" w:name="TitleOfDoc"/>
      <w:bookmarkEnd w:id="2"/>
      <w:r w:rsidRPr="00CC022F">
        <w:rPr>
          <w:sz w:val="24"/>
          <w:lang w:val="fr-FR"/>
        </w:rPr>
        <w:t>NIVEAU D’UTILISATION DES RÉSERVES</w:t>
      </w:r>
    </w:p>
    <w:p w:rsidR="00FA0F4A" w:rsidRPr="00CC022F" w:rsidRDefault="00FA0F4A" w:rsidP="00FA0F4A">
      <w:pPr>
        <w:rPr>
          <w:lang w:val="fr-FR"/>
        </w:rPr>
      </w:pPr>
    </w:p>
    <w:p w:rsidR="00FA0F4A" w:rsidRPr="00CC022F" w:rsidRDefault="00FA0F4A" w:rsidP="00FA0F4A">
      <w:pPr>
        <w:rPr>
          <w:i/>
          <w:lang w:val="fr-FR"/>
        </w:rPr>
      </w:pPr>
      <w:bookmarkStart w:id="3" w:name="Prepared"/>
      <w:bookmarkEnd w:id="3"/>
      <w:r w:rsidRPr="00CC022F">
        <w:rPr>
          <w:i/>
          <w:lang w:val="fr-FR"/>
        </w:rPr>
        <w:t>Document établi par le Secrétariat</w:t>
      </w:r>
    </w:p>
    <w:p w:rsidR="00FA0F4A" w:rsidRPr="00CC022F" w:rsidRDefault="00FA0F4A" w:rsidP="00FA0F4A">
      <w:pPr>
        <w:rPr>
          <w:lang w:val="fr-FR"/>
        </w:rPr>
      </w:pPr>
    </w:p>
    <w:p w:rsidR="00FA0F4A" w:rsidRPr="00CC022F" w:rsidRDefault="00FA0F4A" w:rsidP="00FA0F4A">
      <w:pPr>
        <w:rPr>
          <w:lang w:val="fr-FR"/>
        </w:rPr>
      </w:pPr>
    </w:p>
    <w:p w:rsidR="00FA0F4A" w:rsidRPr="00CC022F" w:rsidRDefault="00FA0F4A" w:rsidP="00FA0F4A">
      <w:pPr>
        <w:rPr>
          <w:lang w:val="fr-FR"/>
        </w:rPr>
      </w:pPr>
    </w:p>
    <w:p w:rsidR="00FA0F4A" w:rsidRPr="00CC022F" w:rsidRDefault="00FA0F4A" w:rsidP="00FA0F4A">
      <w:pPr>
        <w:rPr>
          <w:lang w:val="fr-FR"/>
        </w:rPr>
      </w:pPr>
    </w:p>
    <w:p w:rsidR="00FA0F4A" w:rsidRPr="00CC022F" w:rsidRDefault="00FA0F4A" w:rsidP="00FA0F4A">
      <w:pPr>
        <w:rPr>
          <w:lang w:val="fr-FR"/>
        </w:rPr>
      </w:pPr>
    </w:p>
    <w:p w:rsidR="00FA0F4A" w:rsidRPr="00CC022F" w:rsidRDefault="00FA0F4A" w:rsidP="00FA0F4A">
      <w:pPr>
        <w:pStyle w:val="ONUMFS"/>
        <w:rPr>
          <w:lang w:val="fr-FR"/>
        </w:rPr>
      </w:pPr>
      <w:r w:rsidRPr="00CC022F">
        <w:rPr>
          <w:lang w:val="fr-FR"/>
        </w:rPr>
        <w:t xml:space="preserve">Le présent document </w:t>
      </w:r>
      <w:r>
        <w:rPr>
          <w:lang w:val="fr-FR"/>
        </w:rPr>
        <w:t>i) </w:t>
      </w:r>
      <w:r w:rsidRPr="00CC022F">
        <w:rPr>
          <w:lang w:val="fr-FR"/>
        </w:rPr>
        <w:t>fait le point sur le niveau des fonds de réserve et de roulement (FRR) après la c</w:t>
      </w:r>
      <w:r>
        <w:rPr>
          <w:lang w:val="fr-FR"/>
        </w:rPr>
        <w:t>lôture de l'année financière 2012  et ii) </w:t>
      </w:r>
      <w:r w:rsidRPr="00CC022F">
        <w:rPr>
          <w:lang w:val="fr-FR"/>
        </w:rPr>
        <w:t>indique le niv</w:t>
      </w:r>
      <w:r>
        <w:rPr>
          <w:lang w:val="fr-FR"/>
        </w:rPr>
        <w:t>eau des crédits alloués sur les </w:t>
      </w:r>
      <w:r w:rsidRPr="00CC022F">
        <w:rPr>
          <w:lang w:val="fr-FR"/>
        </w:rPr>
        <w:t>FRR pour les projets approuvés par les États membres ou propos</w:t>
      </w:r>
      <w:r>
        <w:rPr>
          <w:lang w:val="fr-FR"/>
        </w:rPr>
        <w:t>é</w:t>
      </w:r>
      <w:r w:rsidRPr="00CC022F">
        <w:rPr>
          <w:lang w:val="fr-FR"/>
        </w:rPr>
        <w:t xml:space="preserve">s </w:t>
      </w:r>
      <w:r>
        <w:rPr>
          <w:lang w:val="fr-FR"/>
        </w:rPr>
        <w:t>et soumis à</w:t>
      </w:r>
      <w:r w:rsidRPr="00CC022F">
        <w:rPr>
          <w:lang w:val="fr-FR"/>
        </w:rPr>
        <w:t xml:space="preserve"> leur</w:t>
      </w:r>
      <w:r>
        <w:rPr>
          <w:lang w:val="fr-FR"/>
        </w:rPr>
        <w:t> </w:t>
      </w:r>
      <w:r w:rsidRPr="00CC022F">
        <w:rPr>
          <w:lang w:val="fr-FR"/>
        </w:rPr>
        <w:t xml:space="preserve">approbation en vue d'un financement </w:t>
      </w:r>
      <w:r>
        <w:rPr>
          <w:lang w:val="fr-FR"/>
        </w:rPr>
        <w:t>au moyen des réserves</w:t>
      </w:r>
      <w:r w:rsidRPr="00CC022F">
        <w:rPr>
          <w:lang w:val="fr-FR"/>
        </w:rPr>
        <w:t xml:space="preserve"> de l’Organisation.</w:t>
      </w:r>
    </w:p>
    <w:p w:rsidR="00FA0F4A" w:rsidRPr="00CC022F" w:rsidRDefault="00FA0F4A" w:rsidP="00FA0F4A">
      <w:pPr>
        <w:pStyle w:val="ONUMFS"/>
        <w:rPr>
          <w:lang w:val="fr-FR"/>
        </w:rPr>
      </w:pPr>
      <w:r w:rsidRPr="00CC022F">
        <w:rPr>
          <w:lang w:val="fr-FR"/>
        </w:rPr>
        <w:t xml:space="preserve">Les états financiers de l’OMPI pour l’exercice qui s’est </w:t>
      </w:r>
      <w:r>
        <w:rPr>
          <w:lang w:val="fr-FR"/>
        </w:rPr>
        <w:t>achevé</w:t>
      </w:r>
      <w:r w:rsidRPr="00CC022F">
        <w:rPr>
          <w:lang w:val="fr-FR"/>
        </w:rPr>
        <w:t xml:space="preserve"> le 31 décembre 2012 ont été établis conformément aux Normes comptables internationales du secteur public (normes IPSAS).  </w:t>
      </w:r>
    </w:p>
    <w:p w:rsidR="00FA0F4A" w:rsidRPr="00CC022F" w:rsidRDefault="00FA0F4A" w:rsidP="00FA0F4A">
      <w:pPr>
        <w:pStyle w:val="ONUMFS"/>
        <w:rPr>
          <w:lang w:val="fr-FR"/>
        </w:rPr>
      </w:pPr>
      <w:r w:rsidRPr="00CC022F">
        <w:rPr>
          <w:lang w:val="fr-FR"/>
        </w:rPr>
        <w:t xml:space="preserve">Le </w:t>
      </w:r>
      <w:r>
        <w:rPr>
          <w:lang w:val="fr-FR"/>
        </w:rPr>
        <w:t xml:space="preserve">présent </w:t>
      </w:r>
      <w:r w:rsidRPr="00CC022F">
        <w:rPr>
          <w:lang w:val="fr-FR"/>
        </w:rPr>
        <w:t>document contient les sections suivantes :</w:t>
      </w:r>
    </w:p>
    <w:p w:rsidR="00FA0F4A" w:rsidRPr="00CC022F" w:rsidRDefault="00FA0F4A" w:rsidP="00FA0F4A">
      <w:pPr>
        <w:numPr>
          <w:ilvl w:val="1"/>
          <w:numId w:val="9"/>
        </w:numPr>
        <w:spacing w:after="220"/>
        <w:rPr>
          <w:szCs w:val="22"/>
          <w:lang w:val="fr-FR"/>
        </w:rPr>
      </w:pPr>
      <w:r w:rsidRPr="00CC022F">
        <w:rPr>
          <w:szCs w:val="22"/>
          <w:lang w:val="fr-FR"/>
        </w:rPr>
        <w:t>la premi</w:t>
      </w:r>
      <w:r>
        <w:rPr>
          <w:szCs w:val="22"/>
          <w:lang w:val="fr-FR"/>
        </w:rPr>
        <w:t>ère partie indique le niveau des </w:t>
      </w:r>
      <w:r w:rsidRPr="00CC022F">
        <w:rPr>
          <w:szCs w:val="22"/>
          <w:lang w:val="fr-FR"/>
        </w:rPr>
        <w:t>FRR après la clô</w:t>
      </w:r>
      <w:r>
        <w:rPr>
          <w:szCs w:val="22"/>
          <w:lang w:val="fr-FR"/>
        </w:rPr>
        <w:t>ture de l’exercice financier de 2012</w:t>
      </w:r>
      <w:r w:rsidRPr="00CC022F">
        <w:rPr>
          <w:szCs w:val="22"/>
          <w:lang w:val="fr-FR"/>
        </w:rPr>
        <w:t xml:space="preserve"> en précisant l’incidence des ajustements requis par les normes</w:t>
      </w:r>
      <w:r>
        <w:rPr>
          <w:szCs w:val="22"/>
          <w:lang w:val="fr-FR"/>
        </w:rPr>
        <w:t> </w:t>
      </w:r>
      <w:r w:rsidRPr="00CC022F">
        <w:rPr>
          <w:szCs w:val="22"/>
          <w:lang w:val="fr-FR"/>
        </w:rPr>
        <w:t>IPSAS;</w:t>
      </w:r>
    </w:p>
    <w:p w:rsidR="00FA0F4A" w:rsidRPr="00CC022F" w:rsidRDefault="00FA0F4A" w:rsidP="00FA0F4A">
      <w:pPr>
        <w:numPr>
          <w:ilvl w:val="1"/>
          <w:numId w:val="9"/>
        </w:numPr>
        <w:spacing w:after="220"/>
        <w:rPr>
          <w:szCs w:val="22"/>
          <w:lang w:val="fr-FR"/>
        </w:rPr>
      </w:pPr>
      <w:r w:rsidRPr="00CC022F">
        <w:rPr>
          <w:lang w:val="fr-FR"/>
        </w:rPr>
        <w:t xml:space="preserve">la deuxième partie </w:t>
      </w:r>
      <w:r>
        <w:rPr>
          <w:lang w:val="fr-FR"/>
        </w:rPr>
        <w:t>indique</w:t>
      </w:r>
      <w:r w:rsidRPr="00CC022F">
        <w:rPr>
          <w:lang w:val="fr-FR"/>
        </w:rPr>
        <w:t xml:space="preserve"> le niveau des crédits alloués sur les</w:t>
      </w:r>
      <w:r>
        <w:rPr>
          <w:lang w:val="fr-FR"/>
        </w:rPr>
        <w:t> </w:t>
      </w:r>
      <w:r w:rsidRPr="00CC022F">
        <w:rPr>
          <w:lang w:val="fr-FR"/>
        </w:rPr>
        <w:t xml:space="preserve">FRR approuvés par les États membres </w:t>
      </w:r>
      <w:r>
        <w:rPr>
          <w:lang w:val="fr-FR"/>
        </w:rPr>
        <w:t>ou proposés et</w:t>
      </w:r>
      <w:r w:rsidRPr="00CC022F">
        <w:rPr>
          <w:lang w:val="fr-FR"/>
        </w:rPr>
        <w:t xml:space="preserve"> soumis à leur approbation</w:t>
      </w:r>
      <w:r w:rsidRPr="00CC022F">
        <w:rPr>
          <w:rStyle w:val="FootnoteReference"/>
          <w:color w:val="000000"/>
          <w:szCs w:val="22"/>
          <w:lang w:val="fr-FR"/>
        </w:rPr>
        <w:footnoteReference w:id="2"/>
      </w:r>
      <w:r w:rsidRPr="00CC022F">
        <w:rPr>
          <w:lang w:val="fr-FR"/>
        </w:rPr>
        <w:t>;  et</w:t>
      </w:r>
    </w:p>
    <w:p w:rsidR="00FA0F4A" w:rsidRPr="00CC022F" w:rsidRDefault="00FA0F4A" w:rsidP="00FA0F4A">
      <w:pPr>
        <w:numPr>
          <w:ilvl w:val="1"/>
          <w:numId w:val="9"/>
        </w:numPr>
        <w:spacing w:after="220"/>
        <w:rPr>
          <w:szCs w:val="22"/>
          <w:lang w:val="fr-FR"/>
        </w:rPr>
      </w:pPr>
      <w:r w:rsidRPr="00CC022F">
        <w:rPr>
          <w:lang w:val="fr-FR"/>
        </w:rPr>
        <w:t>la troisième partie donne un aperçu du niveau des</w:t>
      </w:r>
      <w:r>
        <w:rPr>
          <w:lang w:val="fr-FR"/>
        </w:rPr>
        <w:t> </w:t>
      </w:r>
      <w:r w:rsidRPr="00CC022F">
        <w:rPr>
          <w:lang w:val="fr-FR"/>
        </w:rPr>
        <w:t xml:space="preserve">FRR une fois ces crédits prélevés, </w:t>
      </w:r>
      <w:r>
        <w:rPr>
          <w:lang w:val="fr-FR"/>
        </w:rPr>
        <w:t>et de</w:t>
      </w:r>
      <w:r w:rsidRPr="00CC022F">
        <w:rPr>
          <w:lang w:val="fr-FR"/>
        </w:rPr>
        <w:t xml:space="preserve"> la dotation proposée par union pour les sept projets qu'il est proposé de financer </w:t>
      </w:r>
      <w:r>
        <w:rPr>
          <w:lang w:val="fr-FR"/>
        </w:rPr>
        <w:t>au moyen des</w:t>
      </w:r>
      <w:r w:rsidRPr="00CC022F">
        <w:rPr>
          <w:lang w:val="fr-FR"/>
        </w:rPr>
        <w:t xml:space="preserve"> réserves de l'Organisation</w:t>
      </w:r>
      <w:r w:rsidRPr="00CC022F">
        <w:rPr>
          <w:rStyle w:val="FootnoteReference"/>
          <w:color w:val="000000"/>
          <w:szCs w:val="22"/>
          <w:lang w:val="fr-FR"/>
        </w:rPr>
        <w:footnoteReference w:id="3"/>
      </w:r>
      <w:r w:rsidRPr="00CC022F">
        <w:rPr>
          <w:lang w:val="fr-FR"/>
        </w:rPr>
        <w:t>.</w:t>
      </w:r>
    </w:p>
    <w:p w:rsidR="00FA0F4A" w:rsidRPr="00CC022F" w:rsidRDefault="00FA0F4A" w:rsidP="00FA0F4A">
      <w:pPr>
        <w:pageBreakBefore/>
        <w:spacing w:after="220"/>
        <w:rPr>
          <w:b/>
          <w:iCs/>
          <w:szCs w:val="22"/>
          <w:lang w:val="fr-FR"/>
        </w:rPr>
      </w:pPr>
      <w:r w:rsidRPr="00CC022F">
        <w:rPr>
          <w:b/>
          <w:iCs/>
          <w:szCs w:val="22"/>
          <w:lang w:val="fr-FR"/>
        </w:rPr>
        <w:lastRenderedPageBreak/>
        <w:t>NIVEAU DES FONDS DE RÉSERVE ET DE ROULEMENT AU 31 DÉCEMBRE 2012</w:t>
      </w:r>
    </w:p>
    <w:p w:rsidR="00FA0F4A" w:rsidRPr="00CC022F" w:rsidRDefault="00FA0F4A" w:rsidP="00FA0F4A">
      <w:pPr>
        <w:keepNext/>
        <w:keepLines/>
        <w:jc w:val="center"/>
        <w:rPr>
          <w:lang w:val="fr-FR" w:eastAsia="en-US"/>
        </w:rPr>
      </w:pPr>
      <w:r w:rsidRPr="00CC022F">
        <w:rPr>
          <w:lang w:val="fr-FR" w:eastAsia="en-US"/>
        </w:rPr>
        <w:t>Tableau 1.  Résultats préliminaires et FRR par union à la fin de 2012</w:t>
      </w:r>
    </w:p>
    <w:p w:rsidR="00FA0F4A" w:rsidRPr="00CC022F" w:rsidRDefault="00FA0F4A" w:rsidP="00FA0F4A">
      <w:pPr>
        <w:keepNext/>
        <w:keepLines/>
        <w:jc w:val="center"/>
        <w:rPr>
          <w:i/>
          <w:sz w:val="20"/>
          <w:lang w:val="fr-FR" w:eastAsia="en-US"/>
        </w:rPr>
      </w:pPr>
      <w:r w:rsidRPr="00CC022F">
        <w:rPr>
          <w:i/>
          <w:sz w:val="20"/>
          <w:lang w:val="fr-FR" w:eastAsia="en-US"/>
        </w:rPr>
        <w:t>(</w:t>
      </w:r>
      <w:proofErr w:type="gramStart"/>
      <w:r w:rsidRPr="00CC022F">
        <w:rPr>
          <w:i/>
          <w:sz w:val="20"/>
          <w:lang w:val="fr-FR" w:eastAsia="en-US"/>
        </w:rPr>
        <w:t>en</w:t>
      </w:r>
      <w:proofErr w:type="gramEnd"/>
      <w:r w:rsidRPr="00CC022F">
        <w:rPr>
          <w:i/>
          <w:sz w:val="20"/>
          <w:lang w:val="fr-FR" w:eastAsia="en-US"/>
        </w:rPr>
        <w:t xml:space="preserve"> milliers de francs suisses)</w:t>
      </w:r>
    </w:p>
    <w:p w:rsidR="00FA0F4A" w:rsidRPr="00CC022F" w:rsidRDefault="00FA0F4A" w:rsidP="00FA0F4A">
      <w:pPr>
        <w:spacing w:after="220"/>
        <w:jc w:val="center"/>
        <w:rPr>
          <w:b/>
          <w:iCs/>
          <w:szCs w:val="22"/>
          <w:lang w:val="fr-FR"/>
        </w:rPr>
      </w:pPr>
      <w:r w:rsidRPr="002E6A37">
        <w:rPr>
          <w:noProof/>
          <w:lang w:eastAsia="en-US"/>
        </w:rPr>
        <w:drawing>
          <wp:inline distT="0" distB="0" distL="0" distR="0" wp14:anchorId="59FC8010" wp14:editId="46C9DEF9">
            <wp:extent cx="5940425" cy="3506692"/>
            <wp:effectExtent l="0" t="0" r="317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4A" w:rsidRPr="00CC022F" w:rsidRDefault="00FA0F4A" w:rsidP="00FA0F4A">
      <w:pPr>
        <w:pStyle w:val="ONUMFS"/>
        <w:rPr>
          <w:lang w:val="fr-FR"/>
        </w:rPr>
      </w:pPr>
      <w:r w:rsidRPr="00CC022F">
        <w:rPr>
          <w:lang w:val="fr-FR"/>
        </w:rPr>
        <w:t>Le résultat opérationnel de l'Organisation pour 2012 calculé sur la base des normes</w:t>
      </w:r>
      <w:r>
        <w:rPr>
          <w:lang w:val="fr-FR"/>
        </w:rPr>
        <w:t> </w:t>
      </w:r>
      <w:r w:rsidRPr="00CC022F">
        <w:rPr>
          <w:lang w:val="fr-FR"/>
        </w:rPr>
        <w:t>IPSAS s'</w:t>
      </w:r>
      <w:r>
        <w:rPr>
          <w:lang w:val="fr-FR"/>
        </w:rPr>
        <w:t>est élevé</w:t>
      </w:r>
      <w:r w:rsidRPr="00CC022F">
        <w:rPr>
          <w:lang w:val="fr-FR"/>
        </w:rPr>
        <w:t xml:space="preserve"> à 25,6 millions de francs suisses.  Le résultat global pour</w:t>
      </w:r>
      <w:r>
        <w:rPr>
          <w:lang w:val="fr-FR"/>
        </w:rPr>
        <w:t> </w:t>
      </w:r>
      <w:r w:rsidRPr="00CC022F">
        <w:rPr>
          <w:lang w:val="fr-FR"/>
        </w:rPr>
        <w:t>2012, compte tenu des dépenses prélevées sur les réserves et des ajustements correspondants requis par les normes</w:t>
      </w:r>
      <w:r>
        <w:rPr>
          <w:lang w:val="fr-FR"/>
        </w:rPr>
        <w:t> </w:t>
      </w:r>
      <w:r w:rsidRPr="00CC022F">
        <w:rPr>
          <w:lang w:val="fr-FR"/>
        </w:rPr>
        <w:t>IPSAS</w:t>
      </w:r>
      <w:r>
        <w:rPr>
          <w:lang w:val="fr-FR"/>
        </w:rPr>
        <w:t>, a été un excédent de 15,7 </w:t>
      </w:r>
      <w:r w:rsidRPr="00CC022F">
        <w:rPr>
          <w:lang w:val="fr-FR"/>
        </w:rPr>
        <w:t>millions de francs suisses.  Les dépenses prélevées sur les réserves se sont élevées à 14,8</w:t>
      </w:r>
      <w:r>
        <w:rPr>
          <w:lang w:val="fr-FR"/>
        </w:rPr>
        <w:t> </w:t>
      </w:r>
      <w:r w:rsidRPr="00CC022F">
        <w:rPr>
          <w:lang w:val="fr-FR"/>
        </w:rPr>
        <w:t xml:space="preserve">millions de francs suisses </w:t>
      </w:r>
      <w:r>
        <w:rPr>
          <w:lang w:val="fr-FR"/>
        </w:rPr>
        <w:t>selon</w:t>
      </w:r>
      <w:r w:rsidRPr="00CC022F">
        <w:rPr>
          <w:lang w:val="fr-FR"/>
        </w:rPr>
        <w:t xml:space="preserve"> la</w:t>
      </w:r>
      <w:r>
        <w:rPr>
          <w:lang w:val="fr-FR"/>
        </w:rPr>
        <w:t> comptabilité budgétaire (9,9 </w:t>
      </w:r>
      <w:r w:rsidRPr="00CC022F">
        <w:rPr>
          <w:lang w:val="fr-FR"/>
        </w:rPr>
        <w:t>millions de francs suisses après réalisation des ajustements requis par les normes</w:t>
      </w:r>
      <w:r>
        <w:rPr>
          <w:lang w:val="fr-FR"/>
        </w:rPr>
        <w:t> </w:t>
      </w:r>
      <w:r w:rsidRPr="00CC022F">
        <w:rPr>
          <w:lang w:val="fr-FR"/>
        </w:rPr>
        <w:t xml:space="preserve">IPSAS) pour les projets approuvés par les États membres.  </w:t>
      </w:r>
    </w:p>
    <w:p w:rsidR="00FA0F4A" w:rsidRPr="00CC022F" w:rsidRDefault="00FA0F4A" w:rsidP="00FA0F4A">
      <w:pPr>
        <w:pStyle w:val="ONUMFS"/>
        <w:rPr>
          <w:lang w:val="fr-FR"/>
        </w:rPr>
      </w:pPr>
      <w:r w:rsidRPr="00CC022F">
        <w:rPr>
          <w:lang w:val="fr-FR"/>
        </w:rPr>
        <w:t>Par conséquent, à la fin de l'année 2012, les</w:t>
      </w:r>
      <w:r>
        <w:rPr>
          <w:lang w:val="fr-FR"/>
        </w:rPr>
        <w:t> </w:t>
      </w:r>
      <w:r w:rsidRPr="00CC022F">
        <w:rPr>
          <w:lang w:val="fr-FR"/>
        </w:rPr>
        <w:t xml:space="preserve">FRR de l'OMPI s'élevaient </w:t>
      </w:r>
      <w:r>
        <w:rPr>
          <w:lang w:val="fr-FR"/>
        </w:rPr>
        <w:t xml:space="preserve">au total </w:t>
      </w:r>
      <w:r w:rsidRPr="00CC022F">
        <w:rPr>
          <w:lang w:val="fr-FR"/>
        </w:rPr>
        <w:t>à 178,2</w:t>
      </w:r>
      <w:r>
        <w:rPr>
          <w:lang w:val="fr-FR"/>
        </w:rPr>
        <w:t> </w:t>
      </w:r>
      <w:r w:rsidRPr="00CC022F">
        <w:rPr>
          <w:lang w:val="fr-FR"/>
        </w:rPr>
        <w:t xml:space="preserve">millions de francs suisses </w:t>
      </w:r>
      <w:r>
        <w:rPr>
          <w:lang w:val="fr-FR"/>
        </w:rPr>
        <w:t>alors que leur</w:t>
      </w:r>
      <w:r w:rsidRPr="00CC022F">
        <w:rPr>
          <w:lang w:val="fr-FR"/>
        </w:rPr>
        <w:t xml:space="preserve"> solde d'ouverture </w:t>
      </w:r>
      <w:r>
        <w:rPr>
          <w:lang w:val="fr-FR"/>
        </w:rPr>
        <w:t>était de 162,5 </w:t>
      </w:r>
      <w:r w:rsidRPr="00CC022F">
        <w:rPr>
          <w:lang w:val="fr-FR"/>
        </w:rPr>
        <w:t>millions de francs suisses.  Le</w:t>
      </w:r>
      <w:r>
        <w:rPr>
          <w:lang w:val="fr-FR"/>
        </w:rPr>
        <w:t> </w:t>
      </w:r>
      <w:r w:rsidRPr="00CC022F">
        <w:rPr>
          <w:lang w:val="fr-FR"/>
        </w:rPr>
        <w:t>tableau 2 donne un aperçu des ajustements requis par les normes</w:t>
      </w:r>
      <w:r>
        <w:rPr>
          <w:lang w:val="fr-FR"/>
        </w:rPr>
        <w:t> </w:t>
      </w:r>
      <w:r w:rsidRPr="00CC022F">
        <w:rPr>
          <w:lang w:val="fr-FR"/>
        </w:rPr>
        <w:t>IPSAS pour</w:t>
      </w:r>
      <w:r>
        <w:rPr>
          <w:lang w:val="fr-FR"/>
        </w:rPr>
        <w:t> </w:t>
      </w:r>
      <w:r w:rsidRPr="00CC022F">
        <w:rPr>
          <w:lang w:val="fr-FR"/>
        </w:rPr>
        <w:t xml:space="preserve">l'année 2012 </w:t>
      </w:r>
      <w:r>
        <w:rPr>
          <w:lang w:val="fr-FR"/>
        </w:rPr>
        <w:t>et d</w:t>
      </w:r>
      <w:r w:rsidRPr="00CC022F">
        <w:rPr>
          <w:lang w:val="fr-FR"/>
        </w:rPr>
        <w:t>es ajustements similaires réalisés au cours des deux</w:t>
      </w:r>
      <w:r>
        <w:rPr>
          <w:lang w:val="fr-FR"/>
        </w:rPr>
        <w:t> </w:t>
      </w:r>
      <w:r w:rsidRPr="00CC022F">
        <w:rPr>
          <w:lang w:val="fr-FR"/>
        </w:rPr>
        <w:t>années précédentes.</w:t>
      </w:r>
    </w:p>
    <w:p w:rsidR="00FA0F4A" w:rsidRPr="00CC022F" w:rsidRDefault="00FA0F4A" w:rsidP="00FA0F4A">
      <w:pPr>
        <w:keepNext/>
        <w:keepLines/>
        <w:jc w:val="center"/>
        <w:rPr>
          <w:lang w:val="fr-FR" w:eastAsia="en-US"/>
        </w:rPr>
      </w:pPr>
      <w:r w:rsidRPr="00CC022F">
        <w:rPr>
          <w:lang w:val="fr-FR" w:eastAsia="en-US"/>
        </w:rPr>
        <w:lastRenderedPageBreak/>
        <w:t>Table</w:t>
      </w:r>
      <w:r>
        <w:rPr>
          <w:lang w:val="fr-FR" w:eastAsia="en-US"/>
        </w:rPr>
        <w:t>au</w:t>
      </w:r>
      <w:r w:rsidRPr="00CC022F">
        <w:rPr>
          <w:lang w:val="fr-FR" w:eastAsia="en-US"/>
        </w:rPr>
        <w:t xml:space="preserve"> 2.  </w:t>
      </w:r>
      <w:r>
        <w:rPr>
          <w:lang w:val="fr-FR" w:eastAsia="en-US"/>
        </w:rPr>
        <w:t>Résumé des ajustements</w:t>
      </w:r>
      <w:r w:rsidRPr="00CC022F">
        <w:rPr>
          <w:lang w:val="fr-FR" w:eastAsia="en-US"/>
        </w:rPr>
        <w:t xml:space="preserve"> IPSAS</w:t>
      </w:r>
    </w:p>
    <w:p w:rsidR="00FA0F4A" w:rsidRPr="00CC022F" w:rsidRDefault="00FA0F4A" w:rsidP="00FA0F4A">
      <w:pPr>
        <w:keepNext/>
        <w:keepLines/>
        <w:jc w:val="center"/>
        <w:rPr>
          <w:i/>
          <w:sz w:val="20"/>
          <w:lang w:val="fr-FR" w:eastAsia="en-US"/>
        </w:rPr>
      </w:pPr>
      <w:r>
        <w:rPr>
          <w:i/>
          <w:sz w:val="20"/>
          <w:lang w:val="fr-FR" w:eastAsia="en-US"/>
        </w:rPr>
        <w:t>(</w:t>
      </w:r>
      <w:proofErr w:type="gramStart"/>
      <w:r>
        <w:rPr>
          <w:i/>
          <w:sz w:val="20"/>
          <w:lang w:val="fr-FR" w:eastAsia="en-US"/>
        </w:rPr>
        <w:t>e</w:t>
      </w:r>
      <w:r w:rsidRPr="00CC022F">
        <w:rPr>
          <w:i/>
          <w:sz w:val="20"/>
          <w:lang w:val="fr-FR" w:eastAsia="en-US"/>
        </w:rPr>
        <w:t>n</w:t>
      </w:r>
      <w:proofErr w:type="gramEnd"/>
      <w:r w:rsidRPr="00CC022F">
        <w:rPr>
          <w:i/>
          <w:sz w:val="20"/>
          <w:lang w:val="fr-FR" w:eastAsia="en-US"/>
        </w:rPr>
        <w:t xml:space="preserve"> millions </w:t>
      </w:r>
      <w:r>
        <w:rPr>
          <w:i/>
          <w:sz w:val="20"/>
          <w:lang w:val="fr-FR" w:eastAsia="en-US"/>
        </w:rPr>
        <w:t>de</w:t>
      </w:r>
      <w:r w:rsidRPr="00CC022F">
        <w:rPr>
          <w:i/>
          <w:sz w:val="20"/>
          <w:lang w:val="fr-FR" w:eastAsia="en-US"/>
        </w:rPr>
        <w:t xml:space="preserve"> francs</w:t>
      </w:r>
      <w:r>
        <w:rPr>
          <w:i/>
          <w:sz w:val="20"/>
          <w:lang w:val="fr-FR" w:eastAsia="en-US"/>
        </w:rPr>
        <w:t xml:space="preserve"> suisses</w:t>
      </w:r>
      <w:r w:rsidRPr="00CC022F">
        <w:rPr>
          <w:i/>
          <w:sz w:val="20"/>
          <w:lang w:val="fr-FR" w:eastAsia="en-US"/>
        </w:rPr>
        <w:t>)</w:t>
      </w:r>
    </w:p>
    <w:p w:rsidR="00FA0F4A" w:rsidRPr="00CC022F" w:rsidRDefault="00FA0F4A" w:rsidP="00FA0F4A">
      <w:pPr>
        <w:keepNext/>
        <w:keepLines/>
        <w:jc w:val="center"/>
        <w:rPr>
          <w:i/>
          <w:sz w:val="20"/>
          <w:lang w:val="fr-FR" w:eastAsia="en-US"/>
        </w:rPr>
      </w:pPr>
    </w:p>
    <w:p w:rsidR="00FA0F4A" w:rsidRPr="00CC022F" w:rsidRDefault="00FA0F4A" w:rsidP="00FA0F4A">
      <w:pPr>
        <w:spacing w:after="220"/>
        <w:jc w:val="center"/>
        <w:rPr>
          <w:szCs w:val="22"/>
          <w:lang w:val="fr-FR"/>
        </w:rPr>
      </w:pPr>
      <w:r w:rsidRPr="00BC3405">
        <w:rPr>
          <w:noProof/>
          <w:lang w:eastAsia="en-US"/>
        </w:rPr>
        <w:drawing>
          <wp:inline distT="0" distB="0" distL="0" distR="0" wp14:anchorId="497BC548" wp14:editId="2C4C384B">
            <wp:extent cx="4726305" cy="341312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4A" w:rsidRPr="00CC022F" w:rsidRDefault="00FA0F4A" w:rsidP="00FA0F4A">
      <w:pPr>
        <w:spacing w:after="220"/>
        <w:rPr>
          <w:b/>
          <w:iCs/>
          <w:szCs w:val="22"/>
          <w:lang w:val="fr-FR"/>
        </w:rPr>
      </w:pPr>
    </w:p>
    <w:p w:rsidR="00FA0F4A" w:rsidRDefault="00FA0F4A" w:rsidP="00FA0F4A">
      <w:pPr>
        <w:rPr>
          <w:b/>
          <w:iCs/>
          <w:color w:val="000000"/>
          <w:szCs w:val="22"/>
          <w:lang w:val="fr-FR"/>
        </w:rPr>
      </w:pPr>
      <w:r>
        <w:rPr>
          <w:b/>
          <w:iCs/>
          <w:color w:val="000000"/>
          <w:szCs w:val="22"/>
          <w:lang w:val="fr-FR"/>
        </w:rPr>
        <w:br w:type="page"/>
      </w:r>
    </w:p>
    <w:p w:rsidR="00FA0F4A" w:rsidRPr="00CC022F" w:rsidRDefault="00FA0F4A" w:rsidP="00FA0F4A">
      <w:pPr>
        <w:spacing w:after="220"/>
        <w:rPr>
          <w:b/>
          <w:iCs/>
          <w:szCs w:val="22"/>
          <w:lang w:val="fr-FR"/>
        </w:rPr>
      </w:pPr>
      <w:r w:rsidRPr="00CC022F">
        <w:rPr>
          <w:b/>
          <w:iCs/>
          <w:color w:val="000000"/>
          <w:szCs w:val="22"/>
          <w:lang w:val="fr-FR"/>
        </w:rPr>
        <w:lastRenderedPageBreak/>
        <w:t>PROJETS FINANCÉS AU MOYEN DES RÉSERVES</w:t>
      </w:r>
    </w:p>
    <w:p w:rsidR="00FA0F4A" w:rsidRPr="00CC022F" w:rsidRDefault="00FA0F4A" w:rsidP="00FA0F4A">
      <w:pPr>
        <w:pStyle w:val="ONUMFS"/>
        <w:rPr>
          <w:lang w:val="fr-FR"/>
        </w:rPr>
      </w:pPr>
      <w:r w:rsidRPr="00CC022F">
        <w:rPr>
          <w:lang w:val="fr-FR"/>
        </w:rPr>
        <w:t>Le tableau 3 donne un aperçu des dépenses consacrées à de grands projets qui sont en</w:t>
      </w:r>
      <w:r>
        <w:rPr>
          <w:lang w:val="fr-FR"/>
        </w:rPr>
        <w:t> </w:t>
      </w:r>
      <w:r w:rsidRPr="00CC022F">
        <w:rPr>
          <w:lang w:val="fr-FR"/>
        </w:rPr>
        <w:t xml:space="preserve">cours d'exécution ou qui ont été </w:t>
      </w:r>
      <w:r>
        <w:rPr>
          <w:lang w:val="fr-FR"/>
        </w:rPr>
        <w:t>proposés et soumis à l’</w:t>
      </w:r>
      <w:r w:rsidRPr="00CC022F">
        <w:rPr>
          <w:lang w:val="fr-FR"/>
        </w:rPr>
        <w:t xml:space="preserve">approbation aux États membres.  </w:t>
      </w:r>
    </w:p>
    <w:p w:rsidR="00FA0F4A" w:rsidRPr="00CC022F" w:rsidRDefault="00FA0F4A" w:rsidP="00FA0F4A">
      <w:pPr>
        <w:keepNext/>
        <w:keepLines/>
        <w:jc w:val="center"/>
        <w:rPr>
          <w:lang w:val="fr-FR"/>
        </w:rPr>
      </w:pPr>
      <w:r w:rsidRPr="00CC022F">
        <w:rPr>
          <w:lang w:val="fr-FR"/>
        </w:rPr>
        <w:t>Tableau 3.  Aperçu des grands projets</w:t>
      </w:r>
    </w:p>
    <w:p w:rsidR="00FA0F4A" w:rsidRPr="00CC022F" w:rsidRDefault="00FA0F4A" w:rsidP="00FA0F4A">
      <w:pPr>
        <w:keepNext/>
        <w:keepLines/>
        <w:spacing w:line="260" w:lineRule="atLeast"/>
        <w:jc w:val="center"/>
        <w:rPr>
          <w:i/>
          <w:sz w:val="20"/>
          <w:lang w:val="fr-FR"/>
        </w:rPr>
      </w:pPr>
      <w:r w:rsidRPr="00CC022F">
        <w:rPr>
          <w:i/>
          <w:sz w:val="20"/>
          <w:lang w:val="fr-FR"/>
        </w:rPr>
        <w:t>(</w:t>
      </w:r>
      <w:proofErr w:type="gramStart"/>
      <w:r w:rsidRPr="00CC022F">
        <w:rPr>
          <w:i/>
          <w:sz w:val="20"/>
          <w:lang w:val="fr-FR"/>
        </w:rPr>
        <w:t>en</w:t>
      </w:r>
      <w:proofErr w:type="gramEnd"/>
      <w:r w:rsidRPr="00CC022F">
        <w:rPr>
          <w:i/>
          <w:sz w:val="20"/>
          <w:lang w:val="fr-FR"/>
        </w:rPr>
        <w:t xml:space="preserve"> milliers de francs suisses)</w:t>
      </w:r>
    </w:p>
    <w:p w:rsidR="00FA0F4A" w:rsidRPr="00CC022F" w:rsidRDefault="00FA0F4A" w:rsidP="00FA0F4A">
      <w:pPr>
        <w:keepNext/>
        <w:keepLines/>
        <w:spacing w:line="260" w:lineRule="atLeast"/>
        <w:jc w:val="center"/>
        <w:rPr>
          <w:szCs w:val="22"/>
          <w:lang w:val="fr-FR"/>
        </w:rPr>
      </w:pPr>
    </w:p>
    <w:p w:rsidR="00FA0F4A" w:rsidRPr="00CC022F" w:rsidRDefault="00FA0F4A" w:rsidP="00FA0F4A">
      <w:pPr>
        <w:keepNext/>
        <w:spacing w:after="240"/>
        <w:jc w:val="center"/>
        <w:rPr>
          <w:szCs w:val="22"/>
          <w:lang w:val="fr-FR"/>
        </w:rPr>
      </w:pPr>
      <w:r w:rsidRPr="002E6A37">
        <w:rPr>
          <w:noProof/>
          <w:lang w:eastAsia="en-US"/>
        </w:rPr>
        <w:drawing>
          <wp:inline distT="0" distB="0" distL="0" distR="0" wp14:anchorId="0318669F" wp14:editId="5A259F47">
            <wp:extent cx="5940425" cy="6759674"/>
            <wp:effectExtent l="0" t="0" r="317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5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4A" w:rsidRPr="00CC022F" w:rsidRDefault="00FA0F4A" w:rsidP="00FA0F4A">
      <w:pPr>
        <w:rPr>
          <w:szCs w:val="22"/>
          <w:lang w:val="fr-FR"/>
        </w:rPr>
      </w:pPr>
      <w:r w:rsidRPr="00CC022F">
        <w:rPr>
          <w:szCs w:val="22"/>
          <w:lang w:val="fr-FR"/>
        </w:rPr>
        <w:br w:type="page"/>
      </w:r>
    </w:p>
    <w:p w:rsidR="00FA0F4A" w:rsidRPr="00CC022F" w:rsidRDefault="00FA0F4A" w:rsidP="00FA0F4A">
      <w:pPr>
        <w:keepNext/>
        <w:keepLines/>
        <w:spacing w:after="220"/>
        <w:rPr>
          <w:b/>
          <w:bCs/>
          <w:szCs w:val="22"/>
          <w:lang w:val="fr-FR"/>
        </w:rPr>
      </w:pPr>
      <w:r w:rsidRPr="00CC022F">
        <w:rPr>
          <w:b/>
          <w:bCs/>
          <w:szCs w:val="22"/>
          <w:lang w:val="fr-FR"/>
        </w:rPr>
        <w:lastRenderedPageBreak/>
        <w:t>SOLDE DES FRR APRÈS PRÉLÈVEMENTS</w:t>
      </w:r>
    </w:p>
    <w:p w:rsidR="00FA0F4A" w:rsidRPr="00CC022F" w:rsidRDefault="00FA0F4A" w:rsidP="00FA0F4A">
      <w:pPr>
        <w:pStyle w:val="ONUMFS"/>
        <w:rPr>
          <w:lang w:val="fr-FR"/>
        </w:rPr>
      </w:pPr>
      <w:r>
        <w:rPr>
          <w:lang w:val="fr-FR"/>
        </w:rPr>
        <w:t>Le tableau 4 donne un aperçu des</w:t>
      </w:r>
      <w:r w:rsidRPr="00CC022F">
        <w:rPr>
          <w:lang w:val="fr-FR"/>
        </w:rPr>
        <w:t xml:space="preserve"> solde</w:t>
      </w:r>
      <w:r>
        <w:rPr>
          <w:lang w:val="fr-FR"/>
        </w:rPr>
        <w:t>s</w:t>
      </w:r>
      <w:r w:rsidRPr="00CC022F">
        <w:rPr>
          <w:lang w:val="fr-FR"/>
        </w:rPr>
        <w:t xml:space="preserve"> des</w:t>
      </w:r>
      <w:r>
        <w:rPr>
          <w:lang w:val="fr-FR"/>
        </w:rPr>
        <w:t> </w:t>
      </w:r>
      <w:r w:rsidRPr="00CC022F">
        <w:rPr>
          <w:lang w:val="fr-FR"/>
        </w:rPr>
        <w:t xml:space="preserve">FRR par union.   Les crédits déjà approuvés mais non encore dépensés </w:t>
      </w:r>
      <w:r>
        <w:rPr>
          <w:lang w:val="fr-FR"/>
        </w:rPr>
        <w:t>se sont élevés</w:t>
      </w:r>
      <w:r w:rsidRPr="00CC022F">
        <w:rPr>
          <w:lang w:val="fr-FR"/>
        </w:rPr>
        <w:t xml:space="preserve"> à 36,9</w:t>
      </w:r>
      <w:r>
        <w:rPr>
          <w:lang w:val="fr-FR"/>
        </w:rPr>
        <w:t> </w:t>
      </w:r>
      <w:r w:rsidRPr="00CC022F">
        <w:rPr>
          <w:lang w:val="fr-FR"/>
        </w:rPr>
        <w:t>millions de francs suisses à la fin de</w:t>
      </w:r>
      <w:r>
        <w:rPr>
          <w:lang w:val="fr-FR"/>
        </w:rPr>
        <w:t> </w:t>
      </w:r>
      <w:r w:rsidRPr="00CC022F">
        <w:rPr>
          <w:lang w:val="fr-FR"/>
        </w:rPr>
        <w:t xml:space="preserve">2012.   Le solde </w:t>
      </w:r>
      <w:r>
        <w:rPr>
          <w:lang w:val="fr-FR"/>
        </w:rPr>
        <w:t>des </w:t>
      </w:r>
      <w:r w:rsidRPr="00CC022F">
        <w:rPr>
          <w:lang w:val="fr-FR"/>
        </w:rPr>
        <w:t xml:space="preserve">FRR après prélèvement des crédits approuvés </w:t>
      </w:r>
      <w:r>
        <w:rPr>
          <w:lang w:val="fr-FR"/>
        </w:rPr>
        <w:t>s’est élevé</w:t>
      </w:r>
      <w:r w:rsidRPr="00CC022F">
        <w:rPr>
          <w:lang w:val="fr-FR"/>
        </w:rPr>
        <w:t xml:space="preserve"> à 141,4</w:t>
      </w:r>
      <w:r>
        <w:rPr>
          <w:lang w:val="fr-FR"/>
        </w:rPr>
        <w:t> </w:t>
      </w:r>
      <w:r w:rsidRPr="00CC022F">
        <w:rPr>
          <w:lang w:val="fr-FR"/>
        </w:rPr>
        <w:t>millions</w:t>
      </w:r>
      <w:r>
        <w:rPr>
          <w:lang w:val="fr-FR"/>
        </w:rPr>
        <w:t> </w:t>
      </w:r>
      <w:r w:rsidRPr="00CC022F">
        <w:rPr>
          <w:lang w:val="fr-FR"/>
        </w:rPr>
        <w:t xml:space="preserve">de francs suisses.  Ce chiffre est à </w:t>
      </w:r>
      <w:r>
        <w:rPr>
          <w:lang w:val="fr-FR"/>
        </w:rPr>
        <w:t>rapprocher de l’objectif fixé pour les FRR, 120,6 </w:t>
      </w:r>
      <w:r w:rsidRPr="00CC022F">
        <w:rPr>
          <w:lang w:val="fr-FR"/>
        </w:rPr>
        <w:t>millions de francs suisses</w:t>
      </w:r>
      <w:r>
        <w:rPr>
          <w:lang w:val="fr-FR"/>
        </w:rPr>
        <w:t>,</w:t>
      </w:r>
      <w:r w:rsidRPr="00CC022F">
        <w:rPr>
          <w:lang w:val="fr-FR"/>
        </w:rPr>
        <w:t xml:space="preserve"> pour l'exercice biennal</w:t>
      </w:r>
      <w:r>
        <w:rPr>
          <w:lang w:val="fr-FR"/>
        </w:rPr>
        <w:t> </w:t>
      </w:r>
      <w:r w:rsidRPr="00CC022F">
        <w:rPr>
          <w:lang w:val="fr-FR"/>
        </w:rPr>
        <w:t>2012</w:t>
      </w:r>
      <w:r w:rsidRPr="00CC022F">
        <w:rPr>
          <w:lang w:val="fr-FR"/>
        </w:rPr>
        <w:noBreakHyphen/>
        <w:t xml:space="preserve">2013.  </w:t>
      </w:r>
      <w:r>
        <w:rPr>
          <w:lang w:val="fr-FR"/>
        </w:rPr>
        <w:t>Si l’on prend en considération les nouvelles propositions de projets relevant du</w:t>
      </w:r>
      <w:r w:rsidRPr="00CC022F">
        <w:rPr>
          <w:lang w:val="fr-FR"/>
        </w:rPr>
        <w:t xml:space="preserve"> plan-cadre d'équipement, le</w:t>
      </w:r>
      <w:r>
        <w:rPr>
          <w:lang w:val="fr-FR"/>
        </w:rPr>
        <w:t> </w:t>
      </w:r>
      <w:r w:rsidRPr="00CC022F">
        <w:rPr>
          <w:lang w:val="fr-FR"/>
        </w:rPr>
        <w:t>s</w:t>
      </w:r>
      <w:r>
        <w:rPr>
          <w:lang w:val="fr-FR"/>
        </w:rPr>
        <w:t>olde des </w:t>
      </w:r>
      <w:r w:rsidRPr="00CC022F">
        <w:rPr>
          <w:lang w:val="fr-FR"/>
        </w:rPr>
        <w:t>FRR continuerait d'excé</w:t>
      </w:r>
      <w:r>
        <w:rPr>
          <w:lang w:val="fr-FR"/>
        </w:rPr>
        <w:t>der de 9,6 </w:t>
      </w:r>
      <w:r w:rsidRPr="00CC022F">
        <w:rPr>
          <w:lang w:val="fr-FR"/>
        </w:rPr>
        <w:t xml:space="preserve">millions de francs suisses </w:t>
      </w:r>
      <w:r>
        <w:rPr>
          <w:lang w:val="fr-FR"/>
        </w:rPr>
        <w:t>l’objectif</w:t>
      </w:r>
      <w:r w:rsidRPr="00CC022F">
        <w:rPr>
          <w:lang w:val="fr-FR"/>
        </w:rPr>
        <w:t xml:space="preserve"> </w:t>
      </w:r>
      <w:r>
        <w:rPr>
          <w:lang w:val="fr-FR"/>
        </w:rPr>
        <w:t>fixé</w:t>
      </w:r>
      <w:r w:rsidRPr="00CC022F">
        <w:rPr>
          <w:lang w:val="fr-FR"/>
        </w:rPr>
        <w:t xml:space="preserve">. </w:t>
      </w:r>
    </w:p>
    <w:p w:rsidR="00FA0F4A" w:rsidRPr="00CC022F" w:rsidRDefault="00FA0F4A" w:rsidP="00FA0F4A">
      <w:pPr>
        <w:tabs>
          <w:tab w:val="num" w:pos="1100"/>
        </w:tabs>
        <w:ind w:left="550"/>
        <w:rPr>
          <w:lang w:val="fr-FR"/>
        </w:rPr>
      </w:pPr>
      <w:bookmarkStart w:id="4" w:name="_GoBack"/>
      <w:bookmarkEnd w:id="4"/>
    </w:p>
    <w:p w:rsidR="00FA0F4A" w:rsidRPr="00CC022F" w:rsidRDefault="00FA0F4A" w:rsidP="00FA0F4A">
      <w:pPr>
        <w:jc w:val="center"/>
        <w:rPr>
          <w:i/>
          <w:iCs/>
          <w:sz w:val="18"/>
          <w:lang w:val="fr-FR"/>
        </w:rPr>
      </w:pPr>
      <w:r w:rsidRPr="00CC022F">
        <w:rPr>
          <w:lang w:val="fr-FR"/>
        </w:rPr>
        <w:t xml:space="preserve">Tableau 4.  </w:t>
      </w:r>
      <w:r>
        <w:rPr>
          <w:lang w:val="fr-FR"/>
        </w:rPr>
        <w:t>Aperçu des FRR par u</w:t>
      </w:r>
      <w:r w:rsidRPr="00CC022F">
        <w:rPr>
          <w:lang w:val="fr-FR"/>
        </w:rPr>
        <w:t>nion</w:t>
      </w:r>
      <w:r w:rsidRPr="00CC022F">
        <w:rPr>
          <w:lang w:val="fr-FR"/>
        </w:rPr>
        <w:br/>
        <w:t>(</w:t>
      </w:r>
      <w:r w:rsidRPr="00646DB5">
        <w:rPr>
          <w:i/>
          <w:sz w:val="20"/>
          <w:lang w:val="fr-FR"/>
        </w:rPr>
        <w:t>en milliers de francs suisses</w:t>
      </w:r>
      <w:r w:rsidRPr="00CC022F">
        <w:rPr>
          <w:lang w:val="fr-FR"/>
        </w:rPr>
        <w:t>)</w:t>
      </w:r>
    </w:p>
    <w:p w:rsidR="00FA0F4A" w:rsidRPr="00CC022F" w:rsidRDefault="00FA0F4A" w:rsidP="00FA0F4A">
      <w:pPr>
        <w:keepNext/>
        <w:keepLines/>
        <w:tabs>
          <w:tab w:val="num" w:pos="1100"/>
        </w:tabs>
        <w:ind w:left="550"/>
        <w:jc w:val="center"/>
        <w:rPr>
          <w:i/>
          <w:iCs/>
          <w:sz w:val="18"/>
          <w:szCs w:val="18"/>
          <w:lang w:val="fr-FR"/>
        </w:rPr>
      </w:pPr>
    </w:p>
    <w:p w:rsidR="00FA0F4A" w:rsidRPr="00CC022F" w:rsidRDefault="00FA0F4A" w:rsidP="00FA0F4A">
      <w:pPr>
        <w:keepNext/>
        <w:keepLines/>
        <w:spacing w:after="220"/>
        <w:ind w:left="-284"/>
        <w:jc w:val="center"/>
        <w:rPr>
          <w:lang w:val="fr-FR"/>
        </w:rPr>
      </w:pPr>
      <w:r w:rsidRPr="000670CE">
        <w:rPr>
          <w:noProof/>
          <w:lang w:eastAsia="en-US"/>
        </w:rPr>
        <w:drawing>
          <wp:inline distT="0" distB="0" distL="0" distR="0" wp14:anchorId="705C4581" wp14:editId="1EE3471F">
            <wp:extent cx="5940425" cy="2069394"/>
            <wp:effectExtent l="0" t="0" r="3175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4A" w:rsidRPr="00CC022F" w:rsidRDefault="00FA0F4A" w:rsidP="00FA0F4A">
      <w:pPr>
        <w:spacing w:after="120" w:line="260" w:lineRule="atLeast"/>
        <w:rPr>
          <w:szCs w:val="22"/>
          <w:lang w:val="fr-FR"/>
        </w:rPr>
      </w:pPr>
    </w:p>
    <w:p w:rsidR="00FA0F4A" w:rsidRPr="00CC022F" w:rsidRDefault="00FA0F4A" w:rsidP="00FA0F4A">
      <w:pPr>
        <w:pStyle w:val="DecisionInvitingPara"/>
        <w:spacing w:line="240" w:lineRule="auto"/>
        <w:ind w:left="5533"/>
        <w:rPr>
          <w:rFonts w:cs="Arial"/>
          <w:iCs/>
          <w:sz w:val="22"/>
          <w:szCs w:val="22"/>
          <w:lang w:val="fr-FR"/>
        </w:rPr>
      </w:pPr>
      <w:r w:rsidRPr="00CC022F">
        <w:rPr>
          <w:rFonts w:cs="Arial"/>
          <w:sz w:val="22"/>
          <w:szCs w:val="22"/>
          <w:lang w:val="fr-FR"/>
        </w:rPr>
        <w:t>8.</w:t>
      </w:r>
      <w:r w:rsidRPr="00CC022F">
        <w:rPr>
          <w:rFonts w:cs="Arial"/>
          <w:color w:val="000000"/>
          <w:sz w:val="22"/>
          <w:szCs w:val="22"/>
          <w:lang w:val="fr-FR"/>
        </w:rPr>
        <w:tab/>
      </w:r>
      <w:r w:rsidRPr="00CC022F">
        <w:rPr>
          <w:rFonts w:cs="Arial"/>
          <w:sz w:val="22"/>
          <w:szCs w:val="22"/>
          <w:lang w:val="fr-FR"/>
        </w:rPr>
        <w:t>Le Comité du programme et budget est invité à recommander aux</w:t>
      </w:r>
      <w:r>
        <w:rPr>
          <w:rFonts w:cs="Arial"/>
          <w:sz w:val="22"/>
          <w:szCs w:val="22"/>
          <w:lang w:val="fr-FR"/>
        </w:rPr>
        <w:t> </w:t>
      </w:r>
      <w:r w:rsidRPr="00CC022F">
        <w:rPr>
          <w:rFonts w:cs="Arial"/>
          <w:sz w:val="22"/>
          <w:szCs w:val="22"/>
          <w:lang w:val="fr-FR"/>
        </w:rPr>
        <w:t>assemblées des États membres de l’OMPI de prendre note du contenu du présent document.</w:t>
      </w:r>
    </w:p>
    <w:p w:rsidR="00FA0F4A" w:rsidRPr="00CC022F" w:rsidRDefault="00FA0F4A" w:rsidP="00FA0F4A">
      <w:pPr>
        <w:pStyle w:val="Endofdocument"/>
        <w:spacing w:after="0" w:line="240" w:lineRule="auto"/>
        <w:rPr>
          <w:rFonts w:cs="Arial"/>
          <w:sz w:val="22"/>
          <w:szCs w:val="22"/>
          <w:lang w:val="fr-FR"/>
        </w:rPr>
      </w:pPr>
    </w:p>
    <w:p w:rsidR="00FA0F4A" w:rsidRPr="00CC022F" w:rsidRDefault="00FA0F4A" w:rsidP="00FA0F4A">
      <w:pPr>
        <w:pStyle w:val="Endofdocument"/>
        <w:spacing w:after="0" w:line="240" w:lineRule="auto"/>
        <w:rPr>
          <w:rFonts w:cs="Arial"/>
          <w:sz w:val="22"/>
          <w:szCs w:val="22"/>
          <w:lang w:val="fr-FR"/>
        </w:rPr>
      </w:pPr>
    </w:p>
    <w:p w:rsidR="002928D3" w:rsidRPr="00E20359" w:rsidRDefault="00FA0F4A" w:rsidP="00FA0F4A">
      <w:pPr>
        <w:pStyle w:val="Endofdocument"/>
        <w:spacing w:after="220" w:line="240" w:lineRule="auto"/>
        <w:rPr>
          <w:lang w:val="fr-FR"/>
        </w:rPr>
      </w:pPr>
      <w:r w:rsidRPr="00CC022F">
        <w:rPr>
          <w:sz w:val="22"/>
          <w:szCs w:val="22"/>
          <w:lang w:val="fr-FR"/>
        </w:rPr>
        <w:t>[Fin du document]</w:t>
      </w:r>
    </w:p>
    <w:sectPr w:rsidR="002928D3" w:rsidRPr="00E20359" w:rsidSect="000A48C3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2A" w:rsidRDefault="00DF432A">
      <w:r>
        <w:separator/>
      </w:r>
    </w:p>
  </w:endnote>
  <w:endnote w:type="continuationSeparator" w:id="0">
    <w:p w:rsidR="00DF432A" w:rsidRDefault="00DF432A" w:rsidP="003B38C1">
      <w:r>
        <w:separator/>
      </w:r>
    </w:p>
    <w:p w:rsidR="00DF432A" w:rsidRPr="003B38C1" w:rsidRDefault="00DF432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F432A" w:rsidRPr="003B38C1" w:rsidRDefault="00DF432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2A" w:rsidRDefault="00DF432A" w:rsidP="00E20359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n:\appgb\2013_a_51\documents_final\a_51\f\a_51_6_f_final.docx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(DB/</w:t>
    </w:r>
    <w:proofErr w:type="spellStart"/>
    <w:r>
      <w:rPr>
        <w:sz w:val="16"/>
      </w:rPr>
      <w:t>cp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>
      <w:rPr>
        <w:noProof/>
        <w:sz w:val="16"/>
      </w:rPr>
      <w:t>7-Aug-13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>
      <w:rPr>
        <w:noProof/>
        <w:sz w:val="16"/>
      </w:rPr>
      <w:t>10:07</w:t>
    </w:r>
    <w:r>
      <w:rPr>
        <w:sz w:val="16"/>
      </w:rPr>
      <w:fldChar w:fldCharType="end"/>
    </w:r>
    <w:r>
      <w:rPr>
        <w:sz w:val="16"/>
      </w:rPr>
      <w:t>)</w:t>
    </w:r>
  </w:p>
  <w:p w:rsidR="00DF432A" w:rsidRDefault="00DF43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2A" w:rsidRPr="00FA0F4A" w:rsidRDefault="00DF432A" w:rsidP="00FA0F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2A" w:rsidRPr="00FA0F4A" w:rsidRDefault="00DF432A" w:rsidP="00FA0F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2A" w:rsidRDefault="00DF432A">
      <w:r>
        <w:separator/>
      </w:r>
    </w:p>
  </w:footnote>
  <w:footnote w:type="continuationSeparator" w:id="0">
    <w:p w:rsidR="00DF432A" w:rsidRDefault="00DF432A" w:rsidP="008B60B2">
      <w:r>
        <w:separator/>
      </w:r>
    </w:p>
    <w:p w:rsidR="00DF432A" w:rsidRPr="00ED77FB" w:rsidRDefault="00DF432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F432A" w:rsidRPr="00ED77FB" w:rsidRDefault="00DF432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F432A" w:rsidRPr="00F00E6A" w:rsidRDefault="00DF432A" w:rsidP="00FA0F4A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F00E6A">
        <w:rPr>
          <w:lang w:val="fr-FR"/>
        </w:rPr>
        <w:t xml:space="preserve"> </w:t>
      </w:r>
      <w:r>
        <w:rPr>
          <w:lang w:val="fr-FR"/>
        </w:rPr>
        <w:tab/>
      </w:r>
      <w:r>
        <w:rPr>
          <w:color w:val="000000"/>
          <w:lang w:val="fr-FR"/>
        </w:rPr>
        <w:t>Voir le</w:t>
      </w:r>
      <w:r w:rsidRPr="00B20DFF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P</w:t>
      </w:r>
      <w:r w:rsidRPr="00B20DFF">
        <w:rPr>
          <w:color w:val="000000"/>
          <w:lang w:val="fr-FR"/>
        </w:rPr>
        <w:t>lan-cadre d’équipement (document WO/PBC/21/18).</w:t>
      </w:r>
    </w:p>
  </w:footnote>
  <w:footnote w:id="3">
    <w:p w:rsidR="00DF432A" w:rsidRPr="003A5BC0" w:rsidRDefault="00DF432A" w:rsidP="00FA0F4A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ab/>
      </w:r>
      <w:r w:rsidRPr="003A5BC0">
        <w:rPr>
          <w:color w:val="000000"/>
          <w:lang w:val="fr-CH"/>
        </w:rPr>
        <w:t>Idem.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2A" w:rsidRDefault="00DF432A" w:rsidP="00477D6B">
    <w:pPr>
      <w:jc w:val="right"/>
    </w:pPr>
    <w:r>
      <w:t>A/51/6</w:t>
    </w:r>
  </w:p>
  <w:p w:rsidR="00DF432A" w:rsidRDefault="00DF432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F432A" w:rsidRDefault="00DF432A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2A" w:rsidRDefault="00DF432A">
    <w:pPr>
      <w:pStyle w:val="Header"/>
      <w:jc w:val="right"/>
    </w:pPr>
    <w:r>
      <w:t>WO/PBC/21/7</w:t>
    </w:r>
  </w:p>
  <w:p w:rsidR="00DF432A" w:rsidRDefault="00DF432A">
    <w:pPr>
      <w:pStyle w:val="Header"/>
      <w:jc w:val="right"/>
    </w:pPr>
    <w:proofErr w:type="gramStart"/>
    <w:r>
      <w:t>page</w:t>
    </w:r>
    <w:proofErr w:type="gramEnd"/>
    <w:r>
      <w:t xml:space="preserve"> </w:t>
    </w:r>
    <w:sdt>
      <w:sdtPr>
        <w:id w:val="-1524009893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46DB5" w:rsidRPr="00646DB5">
          <w:rPr>
            <w:noProof/>
            <w:lang w:val="fr-FR"/>
          </w:rPr>
          <w:t>3</w:t>
        </w:r>
        <w:r>
          <w:fldChar w:fldCharType="end"/>
        </w:r>
      </w:sdtContent>
    </w:sdt>
  </w:p>
  <w:p w:rsidR="00DF432A" w:rsidRDefault="00DF432A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2A" w:rsidRPr="00077035" w:rsidRDefault="00DF432A" w:rsidP="000770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EB0272E"/>
    <w:multiLevelType w:val="hybridMultilevel"/>
    <w:tmpl w:val="A1887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D64876"/>
    <w:multiLevelType w:val="hybridMultilevel"/>
    <w:tmpl w:val="ED9879B0"/>
    <w:lvl w:ilvl="0" w:tplc="EE54B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31209D4"/>
    <w:multiLevelType w:val="multilevel"/>
    <w:tmpl w:val="E9B8BD1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27"/>
        </w:tabs>
        <w:ind w:left="66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38320D6B"/>
    <w:multiLevelType w:val="hybridMultilevel"/>
    <w:tmpl w:val="EF8EAE26"/>
    <w:lvl w:ilvl="0" w:tplc="FFFFFFFF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A0D10B5"/>
    <w:multiLevelType w:val="hybridMultilevel"/>
    <w:tmpl w:val="B3287172"/>
    <w:lvl w:ilvl="0" w:tplc="FFFFFFFF">
      <w:start w:val="1"/>
      <w:numFmt w:val="decimal"/>
      <w:lvlText w:val="%1."/>
      <w:lvlJc w:val="left"/>
      <w:pPr>
        <w:tabs>
          <w:tab w:val="num" w:pos="709"/>
        </w:tabs>
        <w:ind w:left="142" w:firstLine="0"/>
      </w:pPr>
      <w:rPr>
        <w:rFonts w:ascii="Arial" w:hAnsi="Arial" w:hint="default"/>
        <w:b w:val="0"/>
        <w:i w:val="0"/>
        <w:iCs w:val="0"/>
        <w:color w:val="auto"/>
        <w:sz w:val="22"/>
        <w:szCs w:val="22"/>
      </w:rPr>
    </w:lvl>
    <w:lvl w:ilvl="1" w:tplc="FFFFFFFF">
      <w:start w:val="1"/>
      <w:numFmt w:val="lowerRoman"/>
      <w:lvlRestart w:val="0"/>
      <w:lvlText w:val="(%2)."/>
      <w:lvlJc w:val="left"/>
      <w:pPr>
        <w:tabs>
          <w:tab w:val="num" w:pos="1647"/>
        </w:tabs>
        <w:ind w:left="1647" w:hanging="567"/>
      </w:pPr>
      <w:rPr>
        <w:rFonts w:hint="default"/>
        <w:b w:val="0"/>
        <w:i w:val="0"/>
        <w:color w:val="auto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5B3438"/>
    <w:multiLevelType w:val="hybridMultilevel"/>
    <w:tmpl w:val="2D50A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1104F"/>
    <w:multiLevelType w:val="hybridMultilevel"/>
    <w:tmpl w:val="BFB87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New|WIPOTemp"/>
    <w:docVar w:name="TermBaseURL" w:val="empty"/>
    <w:docVar w:name="TextBases" w:val="Budget and Finance\Meetings|Budget and Finance\Other|Budget and Finance\Publications|WorkspaceFTS\Budget|Administrative\Meetings|Administrative\Other|Administrative\Publications|IP in General\Academy|IP in General\Arbitration and Mediation|IP in General\Meetings|IP in General\Other|IP in General\Press Room|IP in General\Publications|Treaties\Model Laws|Treaties\Other Laws and Agreements|Treaties\WIPO-administered|UPOV\Meetings|UPOV\Other|UPOV\Publications|UPOV\Technical Guidelines|Trademarks\Meetings|Trademarks\Other|Trademarks\Publications|Patents\Meetings|Patents\Other|Patents\Publications|Copyright\Meetings|Copyright\Other|Copyright\Publications"/>
    <w:docVar w:name="TextBaseURL" w:val="empty"/>
    <w:docVar w:name="UILng" w:val="en"/>
  </w:docVars>
  <w:rsids>
    <w:rsidRoot w:val="008133FF"/>
    <w:rsid w:val="00043CAA"/>
    <w:rsid w:val="00075432"/>
    <w:rsid w:val="00077035"/>
    <w:rsid w:val="000968ED"/>
    <w:rsid w:val="000A48C3"/>
    <w:rsid w:val="000C5693"/>
    <w:rsid w:val="000F5E56"/>
    <w:rsid w:val="001362EE"/>
    <w:rsid w:val="0015633B"/>
    <w:rsid w:val="001832A6"/>
    <w:rsid w:val="0018512E"/>
    <w:rsid w:val="0019421E"/>
    <w:rsid w:val="001C1D42"/>
    <w:rsid w:val="001E5BBC"/>
    <w:rsid w:val="00232DDE"/>
    <w:rsid w:val="002634C4"/>
    <w:rsid w:val="002928D3"/>
    <w:rsid w:val="00294E2E"/>
    <w:rsid w:val="002F1FE6"/>
    <w:rsid w:val="002F4E68"/>
    <w:rsid w:val="00312F7F"/>
    <w:rsid w:val="00361450"/>
    <w:rsid w:val="003673CF"/>
    <w:rsid w:val="003845C1"/>
    <w:rsid w:val="0038759B"/>
    <w:rsid w:val="003A1A59"/>
    <w:rsid w:val="003A1C74"/>
    <w:rsid w:val="003A6F89"/>
    <w:rsid w:val="003B38C1"/>
    <w:rsid w:val="003F26CD"/>
    <w:rsid w:val="00423E3E"/>
    <w:rsid w:val="00425146"/>
    <w:rsid w:val="00427AF4"/>
    <w:rsid w:val="004315E9"/>
    <w:rsid w:val="004647DA"/>
    <w:rsid w:val="00473B1D"/>
    <w:rsid w:val="00474062"/>
    <w:rsid w:val="00477D6B"/>
    <w:rsid w:val="004A0324"/>
    <w:rsid w:val="004C33E2"/>
    <w:rsid w:val="004D4945"/>
    <w:rsid w:val="004E5188"/>
    <w:rsid w:val="005019FF"/>
    <w:rsid w:val="0053057A"/>
    <w:rsid w:val="0053168E"/>
    <w:rsid w:val="00560A29"/>
    <w:rsid w:val="005B0AF5"/>
    <w:rsid w:val="005C6649"/>
    <w:rsid w:val="005F2F6E"/>
    <w:rsid w:val="005F4250"/>
    <w:rsid w:val="00605430"/>
    <w:rsid w:val="00605827"/>
    <w:rsid w:val="0062562C"/>
    <w:rsid w:val="00646050"/>
    <w:rsid w:val="00646DB5"/>
    <w:rsid w:val="006713CA"/>
    <w:rsid w:val="00675810"/>
    <w:rsid w:val="00676C5C"/>
    <w:rsid w:val="007210DF"/>
    <w:rsid w:val="0074548E"/>
    <w:rsid w:val="00757DF5"/>
    <w:rsid w:val="007D1613"/>
    <w:rsid w:val="008133FF"/>
    <w:rsid w:val="0086766A"/>
    <w:rsid w:val="00876A29"/>
    <w:rsid w:val="008A138C"/>
    <w:rsid w:val="008B2CC1"/>
    <w:rsid w:val="008B60B2"/>
    <w:rsid w:val="008E538F"/>
    <w:rsid w:val="0090731E"/>
    <w:rsid w:val="00916EE2"/>
    <w:rsid w:val="009471B9"/>
    <w:rsid w:val="00966A22"/>
    <w:rsid w:val="0096722F"/>
    <w:rsid w:val="00980843"/>
    <w:rsid w:val="00995A52"/>
    <w:rsid w:val="009A628D"/>
    <w:rsid w:val="009E2791"/>
    <w:rsid w:val="009E3F6F"/>
    <w:rsid w:val="009F499F"/>
    <w:rsid w:val="00A42DAF"/>
    <w:rsid w:val="00A45BD8"/>
    <w:rsid w:val="00A50F60"/>
    <w:rsid w:val="00A56EC7"/>
    <w:rsid w:val="00A869B7"/>
    <w:rsid w:val="00AC205C"/>
    <w:rsid w:val="00AF0A6B"/>
    <w:rsid w:val="00B01DBB"/>
    <w:rsid w:val="00B05A69"/>
    <w:rsid w:val="00B12E7B"/>
    <w:rsid w:val="00B60FDA"/>
    <w:rsid w:val="00B80A73"/>
    <w:rsid w:val="00B9734B"/>
    <w:rsid w:val="00BB0669"/>
    <w:rsid w:val="00BC5D60"/>
    <w:rsid w:val="00C11BFE"/>
    <w:rsid w:val="00C17531"/>
    <w:rsid w:val="00C23DC9"/>
    <w:rsid w:val="00CB2D7B"/>
    <w:rsid w:val="00CB5AC9"/>
    <w:rsid w:val="00CC3704"/>
    <w:rsid w:val="00D1680C"/>
    <w:rsid w:val="00D357BB"/>
    <w:rsid w:val="00D45252"/>
    <w:rsid w:val="00D71B4D"/>
    <w:rsid w:val="00D90F33"/>
    <w:rsid w:val="00D93D55"/>
    <w:rsid w:val="00DB1F46"/>
    <w:rsid w:val="00DF432A"/>
    <w:rsid w:val="00E10920"/>
    <w:rsid w:val="00E20359"/>
    <w:rsid w:val="00E335FE"/>
    <w:rsid w:val="00E37924"/>
    <w:rsid w:val="00EA23CD"/>
    <w:rsid w:val="00EC0FA1"/>
    <w:rsid w:val="00EC4E49"/>
    <w:rsid w:val="00ED77FB"/>
    <w:rsid w:val="00EE45FA"/>
    <w:rsid w:val="00EF2F5E"/>
    <w:rsid w:val="00F42AA2"/>
    <w:rsid w:val="00F4461B"/>
    <w:rsid w:val="00F66152"/>
    <w:rsid w:val="00FA0F4A"/>
    <w:rsid w:val="00FA2279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rsid w:val="008133F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link w:val="DecisionInvitingParaChar"/>
    <w:rsid w:val="008133FF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8133FF"/>
    <w:rPr>
      <w:rFonts w:ascii="Arial" w:eastAsia="SimSun" w:hAnsi="Arial" w:cs="Arial"/>
      <w:sz w:val="18"/>
      <w:lang w:eastAsia="zh-CN"/>
    </w:rPr>
  </w:style>
  <w:style w:type="character" w:customStyle="1" w:styleId="DecisionInvitingParaChar">
    <w:name w:val="Decision Inviting Para. Char"/>
    <w:basedOn w:val="DefaultParagraphFont"/>
    <w:link w:val="DecisionInvitingPara"/>
    <w:locked/>
    <w:rsid w:val="008133FF"/>
    <w:rPr>
      <w:rFonts w:ascii="Arial" w:hAnsi="Arial"/>
      <w:i/>
    </w:rPr>
  </w:style>
  <w:style w:type="paragraph" w:customStyle="1" w:styleId="Endofdocument">
    <w:name w:val="End of document"/>
    <w:basedOn w:val="Normal"/>
    <w:rsid w:val="008133FF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B60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0FDA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95A52"/>
    <w:pPr>
      <w:ind w:left="720"/>
      <w:contextualSpacing/>
    </w:pPr>
  </w:style>
  <w:style w:type="character" w:customStyle="1" w:styleId="tw4winMark">
    <w:name w:val="tw4winMark"/>
    <w:basedOn w:val="DefaultParagraphFont"/>
    <w:rsid w:val="00FE7985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basedOn w:val="DefaultParagraphFont"/>
    <w:link w:val="Header"/>
    <w:uiPriority w:val="99"/>
    <w:rsid w:val="000A48C3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rsid w:val="008133F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link w:val="DecisionInvitingParaChar"/>
    <w:rsid w:val="008133FF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8133FF"/>
    <w:rPr>
      <w:rFonts w:ascii="Arial" w:eastAsia="SimSun" w:hAnsi="Arial" w:cs="Arial"/>
      <w:sz w:val="18"/>
      <w:lang w:eastAsia="zh-CN"/>
    </w:rPr>
  </w:style>
  <w:style w:type="character" w:customStyle="1" w:styleId="DecisionInvitingParaChar">
    <w:name w:val="Decision Inviting Para. Char"/>
    <w:basedOn w:val="DefaultParagraphFont"/>
    <w:link w:val="DecisionInvitingPara"/>
    <w:locked/>
    <w:rsid w:val="008133FF"/>
    <w:rPr>
      <w:rFonts w:ascii="Arial" w:hAnsi="Arial"/>
      <w:i/>
    </w:rPr>
  </w:style>
  <w:style w:type="paragraph" w:customStyle="1" w:styleId="Endofdocument">
    <w:name w:val="End of document"/>
    <w:basedOn w:val="Normal"/>
    <w:rsid w:val="008133FF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B60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0FDA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95A52"/>
    <w:pPr>
      <w:ind w:left="720"/>
      <w:contextualSpacing/>
    </w:pPr>
  </w:style>
  <w:style w:type="character" w:customStyle="1" w:styleId="tw4winMark">
    <w:name w:val="tw4winMark"/>
    <w:basedOn w:val="DefaultParagraphFont"/>
    <w:rsid w:val="00FE7985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basedOn w:val="DefaultParagraphFont"/>
    <w:link w:val="Header"/>
    <w:uiPriority w:val="99"/>
    <w:rsid w:val="000A48C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F9F40-CBA2-46E6-901D-43B6919C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782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WO/PBC/21 (E)</vt:lpstr>
      <vt:lpstr>WO/PBC/21 (E)</vt:lpstr>
    </vt:vector>
  </TitlesOfParts>
  <Company>WIPO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WO/PBC/21 (E)</dc:title>
  <dc:creator>NETTER Iza</dc:creator>
  <cp:keywords>DB/cp</cp:keywords>
  <cp:lastModifiedBy>HÄFLIGER Patience</cp:lastModifiedBy>
  <cp:revision>10</cp:revision>
  <cp:lastPrinted>2013-08-07T08:07:00Z</cp:lastPrinted>
  <dcterms:created xsi:type="dcterms:W3CDTF">2013-08-05T12:32:00Z</dcterms:created>
  <dcterms:modified xsi:type="dcterms:W3CDTF">2013-08-07T09:03:00Z</dcterms:modified>
</cp:coreProperties>
</file>