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6FA8" w:rsidRPr="00A008FA" w:rsidTr="00E726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6FA8" w:rsidRPr="00A008FA" w:rsidRDefault="00816FA8" w:rsidP="00E7265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FA8" w:rsidRPr="00A008FA" w:rsidRDefault="00816FA8" w:rsidP="00E7265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FA8" w:rsidRPr="00A008FA" w:rsidRDefault="00816FA8" w:rsidP="00E7265C">
            <w:pPr>
              <w:jc w:val="right"/>
            </w:pPr>
            <w:r w:rsidRPr="00A008FA">
              <w:rPr>
                <w:b/>
                <w:sz w:val="40"/>
                <w:szCs w:val="40"/>
              </w:rPr>
              <w:t>F</w:t>
            </w:r>
          </w:p>
        </w:tc>
      </w:tr>
      <w:tr w:rsidR="00816FA8" w:rsidRPr="00A008FA" w:rsidTr="00E7265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6FA8" w:rsidRPr="00A008FA" w:rsidRDefault="00816FA8" w:rsidP="00E7265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08FA">
              <w:rPr>
                <w:rFonts w:ascii="Arial Black" w:hAnsi="Arial Black"/>
                <w:caps/>
                <w:sz w:val="15"/>
              </w:rPr>
              <w:t xml:space="preserve">A/51/14  </w:t>
            </w:r>
          </w:p>
        </w:tc>
      </w:tr>
      <w:tr w:rsidR="00816FA8" w:rsidRPr="00A008FA" w:rsidTr="00E726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6FA8" w:rsidRPr="00A008FA" w:rsidRDefault="00816FA8" w:rsidP="00E7265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08FA">
              <w:rPr>
                <w:rFonts w:ascii="Arial Black" w:hAnsi="Arial Black"/>
                <w:caps/>
                <w:sz w:val="15"/>
              </w:rPr>
              <w:t>ORIGINAL : anglais</w:t>
            </w:r>
          </w:p>
        </w:tc>
      </w:tr>
      <w:tr w:rsidR="00816FA8" w:rsidRPr="00A008FA" w:rsidTr="00E726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6FA8" w:rsidRPr="00A008FA" w:rsidRDefault="00816FA8" w:rsidP="00E7265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08FA">
              <w:rPr>
                <w:rFonts w:ascii="Arial Black" w:hAnsi="Arial Black"/>
                <w:caps/>
                <w:sz w:val="15"/>
              </w:rPr>
              <w:t>DATE : 16 septembre 2013</w:t>
            </w:r>
          </w:p>
        </w:tc>
      </w:tr>
    </w:tbl>
    <w:p w:rsidR="00816FA8" w:rsidRPr="00A008FA" w:rsidRDefault="00816FA8" w:rsidP="008B2CC1"/>
    <w:p w:rsidR="00816FA8" w:rsidRPr="00A008FA" w:rsidRDefault="00816FA8" w:rsidP="008B2CC1"/>
    <w:p w:rsidR="00816FA8" w:rsidRPr="00A008FA" w:rsidRDefault="00816FA8" w:rsidP="008B2CC1"/>
    <w:p w:rsidR="00816FA8" w:rsidRPr="00A008FA" w:rsidRDefault="00816FA8" w:rsidP="008B2CC1"/>
    <w:p w:rsidR="00816FA8" w:rsidRPr="00A008FA" w:rsidRDefault="00816FA8" w:rsidP="008B2CC1"/>
    <w:p w:rsidR="00816FA8" w:rsidRPr="00A008FA" w:rsidRDefault="00816FA8" w:rsidP="008B2CC1">
      <w:pPr>
        <w:rPr>
          <w:b/>
          <w:sz w:val="28"/>
          <w:szCs w:val="28"/>
        </w:rPr>
      </w:pPr>
      <w:r w:rsidRPr="00A008FA">
        <w:rPr>
          <w:b/>
          <w:sz w:val="28"/>
          <w:szCs w:val="28"/>
        </w:rPr>
        <w:t>Assemblées des États membres de l’OMPI</w:t>
      </w:r>
    </w:p>
    <w:p w:rsidR="00816FA8" w:rsidRPr="00A008FA" w:rsidRDefault="00816FA8" w:rsidP="003845C1"/>
    <w:p w:rsidR="00816FA8" w:rsidRPr="00A008FA" w:rsidRDefault="00816FA8" w:rsidP="003845C1"/>
    <w:p w:rsidR="00816FA8" w:rsidRPr="00A008FA" w:rsidRDefault="00816FA8" w:rsidP="008B2CC1">
      <w:pPr>
        <w:rPr>
          <w:b/>
          <w:sz w:val="24"/>
          <w:szCs w:val="24"/>
        </w:rPr>
      </w:pPr>
      <w:r w:rsidRPr="00A008FA">
        <w:rPr>
          <w:b/>
          <w:sz w:val="24"/>
          <w:szCs w:val="24"/>
        </w:rPr>
        <w:t>Cinquante et unième série de réunions</w:t>
      </w:r>
    </w:p>
    <w:p w:rsidR="00816FA8" w:rsidRPr="00A008FA" w:rsidRDefault="00816FA8" w:rsidP="008B2CC1">
      <w:pPr>
        <w:rPr>
          <w:b/>
          <w:sz w:val="24"/>
          <w:szCs w:val="24"/>
        </w:rPr>
      </w:pPr>
      <w:r w:rsidRPr="00A008FA">
        <w:rPr>
          <w:b/>
          <w:sz w:val="24"/>
          <w:szCs w:val="24"/>
        </w:rPr>
        <w:t xml:space="preserve">Genève, 23 septembre </w:t>
      </w:r>
      <w:r w:rsidR="00303D4E">
        <w:rPr>
          <w:b/>
          <w:sz w:val="24"/>
          <w:szCs w:val="24"/>
        </w:rPr>
        <w:t>–</w:t>
      </w:r>
      <w:r w:rsidRPr="00A008FA">
        <w:rPr>
          <w:b/>
          <w:sz w:val="24"/>
          <w:szCs w:val="24"/>
        </w:rPr>
        <w:t xml:space="preserve"> 2 octobre 2013</w:t>
      </w:r>
    </w:p>
    <w:p w:rsidR="00816FA8" w:rsidRPr="00A008FA" w:rsidRDefault="00816FA8" w:rsidP="008B2CC1"/>
    <w:p w:rsidR="00816FA8" w:rsidRPr="00A008FA" w:rsidRDefault="00816FA8" w:rsidP="008B2CC1"/>
    <w:p w:rsidR="00816FA8" w:rsidRPr="00A008FA" w:rsidRDefault="00816FA8" w:rsidP="008B2CC1"/>
    <w:p w:rsidR="00816FA8" w:rsidRPr="00A008FA" w:rsidRDefault="00AE4E6D" w:rsidP="00E7265C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RÉ</w:t>
      </w:r>
      <w:r w:rsidR="00816FA8" w:rsidRPr="00A008FA">
        <w:rPr>
          <w:caps/>
          <w:sz w:val="24"/>
        </w:rPr>
        <w:t>sum</w:t>
      </w:r>
      <w:r w:rsidR="00E7265C">
        <w:rPr>
          <w:caps/>
          <w:sz w:val="24"/>
        </w:rPr>
        <w:t>É</w:t>
      </w:r>
      <w:r w:rsidR="00816FA8" w:rsidRPr="00A008FA">
        <w:rPr>
          <w:caps/>
          <w:sz w:val="24"/>
        </w:rPr>
        <w:t xml:space="preserve"> des d</w:t>
      </w:r>
      <w:r w:rsidR="00E7265C">
        <w:rPr>
          <w:caps/>
          <w:sz w:val="24"/>
        </w:rPr>
        <w:t>É</w:t>
      </w:r>
      <w:r w:rsidR="00816FA8" w:rsidRPr="00A008FA">
        <w:rPr>
          <w:caps/>
          <w:sz w:val="24"/>
        </w:rPr>
        <w:t>ci</w:t>
      </w:r>
      <w:r w:rsidR="00E7265C">
        <w:rPr>
          <w:caps/>
          <w:sz w:val="24"/>
        </w:rPr>
        <w:t>sions et recommandations formulÉ</w:t>
      </w:r>
      <w:r w:rsidR="00816FA8" w:rsidRPr="00A008FA">
        <w:rPr>
          <w:caps/>
          <w:sz w:val="24"/>
        </w:rPr>
        <w:t>es par le Comit</w:t>
      </w:r>
      <w:r w:rsidR="00E7265C">
        <w:rPr>
          <w:caps/>
          <w:sz w:val="24"/>
        </w:rPr>
        <w:t>É du programme et budget À</w:t>
      </w:r>
      <w:r w:rsidR="00816FA8" w:rsidRPr="00A008FA">
        <w:rPr>
          <w:caps/>
          <w:sz w:val="24"/>
        </w:rPr>
        <w:t xml:space="preserve"> sa vingt et uni</w:t>
      </w:r>
      <w:r w:rsidR="00E7265C">
        <w:rPr>
          <w:caps/>
          <w:sz w:val="24"/>
        </w:rPr>
        <w:t>È</w:t>
      </w:r>
      <w:r w:rsidR="00816FA8" w:rsidRPr="00A008FA">
        <w:rPr>
          <w:caps/>
          <w:sz w:val="24"/>
        </w:rPr>
        <w:t>me </w:t>
      </w:r>
      <w:proofErr w:type="gramStart"/>
      <w:r w:rsidR="00816FA8" w:rsidRPr="00A008FA">
        <w:rPr>
          <w:caps/>
          <w:sz w:val="24"/>
        </w:rPr>
        <w:t>session</w:t>
      </w:r>
      <w:proofErr w:type="gramEnd"/>
      <w:r w:rsidR="00816FA8" w:rsidRPr="00A008FA">
        <w:rPr>
          <w:caps/>
          <w:sz w:val="24"/>
        </w:rPr>
        <w:br/>
      </w:r>
      <w:bookmarkStart w:id="1" w:name="_GoBack"/>
      <w:r w:rsidR="00816FA8" w:rsidRPr="00A008FA">
        <w:rPr>
          <w:caps/>
          <w:sz w:val="24"/>
        </w:rPr>
        <w:t>(9 – 13 septembre 2013)</w:t>
      </w:r>
      <w:bookmarkEnd w:id="1"/>
    </w:p>
    <w:p w:rsidR="00816FA8" w:rsidRPr="00A008FA" w:rsidRDefault="00816FA8" w:rsidP="008B2CC1"/>
    <w:p w:rsidR="00816FA8" w:rsidRPr="00A008FA" w:rsidRDefault="00816FA8" w:rsidP="008B2CC1">
      <w:pPr>
        <w:rPr>
          <w:i/>
        </w:rPr>
      </w:pPr>
      <w:bookmarkStart w:id="2" w:name="Prepared"/>
      <w:bookmarkEnd w:id="2"/>
      <w:r w:rsidRPr="00A008FA">
        <w:rPr>
          <w:i/>
        </w:rPr>
        <w:t>Document établi par le Secrétariat</w:t>
      </w:r>
    </w:p>
    <w:p w:rsidR="00816FA8" w:rsidRPr="00A008FA" w:rsidRDefault="00816FA8" w:rsidP="003845C1"/>
    <w:p w:rsidR="00816FA8" w:rsidRPr="00A008FA" w:rsidRDefault="00816FA8" w:rsidP="003845C1"/>
    <w:p w:rsidR="00816FA8" w:rsidRPr="00A008FA" w:rsidRDefault="00816FA8" w:rsidP="003845C1"/>
    <w:p w:rsidR="00816FA8" w:rsidRPr="00A008FA" w:rsidRDefault="00816FA8" w:rsidP="003845C1"/>
    <w:p w:rsidR="00816FA8" w:rsidRPr="00A008FA" w:rsidRDefault="00816FA8" w:rsidP="00E7265C">
      <w:pPr>
        <w:pStyle w:val="ONUMFS"/>
        <w:numPr>
          <w:ilvl w:val="0"/>
          <w:numId w:val="0"/>
        </w:numPr>
        <w:spacing w:after="0"/>
        <w:rPr>
          <w:lang w:eastAsia="fr-FR"/>
        </w:rPr>
      </w:pPr>
      <w:r w:rsidRPr="00A008FA">
        <w:rPr>
          <w:lang w:eastAsia="fr-FR"/>
        </w:rPr>
        <w:tab/>
        <w:t>L’annexe du présent document contient le “Résumé des décisions et recommandations” (document WO/PBC/21/21) adopté par le Comité du programme et budget à sa vingt et unième session tenue du 9 au 13 septembre 2013.</w:t>
      </w:r>
    </w:p>
    <w:p w:rsidR="00816FA8" w:rsidRDefault="00816FA8" w:rsidP="00E7265C">
      <w:pPr>
        <w:rPr>
          <w:lang w:eastAsia="fr-FR"/>
        </w:rPr>
      </w:pPr>
    </w:p>
    <w:p w:rsidR="00E7265C" w:rsidRPr="00A008FA" w:rsidRDefault="00E7265C" w:rsidP="00E7265C">
      <w:pPr>
        <w:rPr>
          <w:lang w:eastAsia="fr-FR"/>
        </w:rPr>
      </w:pPr>
    </w:p>
    <w:p w:rsidR="00816FA8" w:rsidRPr="00A008FA" w:rsidRDefault="00816FA8" w:rsidP="00E7265C">
      <w:pPr>
        <w:rPr>
          <w:lang w:eastAsia="fr-FR"/>
        </w:rPr>
      </w:pPr>
    </w:p>
    <w:p w:rsidR="00816FA8" w:rsidRPr="00A008FA" w:rsidRDefault="00816FA8">
      <w:pPr>
        <w:pStyle w:val="Endofdocument-Annex"/>
      </w:pPr>
      <w:r w:rsidRPr="00A008FA">
        <w:t xml:space="preserve">[Le </w:t>
      </w:r>
      <w:r>
        <w:t>document WO/PBC/21/21 suit</w:t>
      </w:r>
      <w:r w:rsidRPr="00A008FA">
        <w:t>]</w:t>
      </w:r>
    </w:p>
    <w:p w:rsidR="00816FA8" w:rsidRPr="00A008FA" w:rsidRDefault="00816FA8" w:rsidP="00E7265C">
      <w:pPr>
        <w:rPr>
          <w:rFonts w:eastAsia="Times New Roman"/>
          <w:szCs w:val="22"/>
          <w:lang w:eastAsia="fr-FR"/>
        </w:rPr>
      </w:pPr>
    </w:p>
    <w:p w:rsidR="00816FA8" w:rsidRPr="00A008FA" w:rsidRDefault="00816FA8"/>
    <w:p w:rsidR="00816FA8" w:rsidRDefault="00816FA8" w:rsidP="005A7694">
      <w:pPr>
        <w:sectPr w:rsidR="00816FA8" w:rsidSect="006F0062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D3161" w:rsidRPr="00025473" w:rsidTr="00EA47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D3161" w:rsidRPr="001A70BB" w:rsidRDefault="00CD3161" w:rsidP="005A7694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3161" w:rsidRPr="00025473" w:rsidRDefault="00816FA8" w:rsidP="005A7694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2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3161" w:rsidRPr="00025473" w:rsidRDefault="00CD3161" w:rsidP="005A7694">
            <w:pPr>
              <w:jc w:val="right"/>
            </w:pPr>
            <w:r w:rsidRPr="00025473">
              <w:rPr>
                <w:b/>
                <w:sz w:val="40"/>
                <w:szCs w:val="40"/>
              </w:rPr>
              <w:t>F</w:t>
            </w:r>
          </w:p>
        </w:tc>
      </w:tr>
      <w:tr w:rsidR="00CD3161" w:rsidRPr="00025473" w:rsidTr="005A769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D3161" w:rsidRPr="00025473" w:rsidRDefault="00CD3161" w:rsidP="0035626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5473">
              <w:rPr>
                <w:rFonts w:ascii="Arial Black" w:hAnsi="Arial Black"/>
                <w:caps/>
                <w:sz w:val="15"/>
              </w:rPr>
              <w:t>WO/PBC/21/</w:t>
            </w:r>
            <w:bookmarkStart w:id="4" w:name="Code"/>
            <w:bookmarkEnd w:id="4"/>
            <w:r w:rsidRPr="00025473">
              <w:rPr>
                <w:rFonts w:ascii="Arial Black" w:hAnsi="Arial Black"/>
                <w:caps/>
                <w:sz w:val="15"/>
              </w:rPr>
              <w:t>21</w:t>
            </w:r>
          </w:p>
        </w:tc>
      </w:tr>
      <w:tr w:rsidR="00CD3161" w:rsidRPr="00025473" w:rsidTr="005A769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D3161" w:rsidRPr="00025473" w:rsidRDefault="00CD3161" w:rsidP="00CD316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5473">
              <w:rPr>
                <w:rFonts w:ascii="Arial Black" w:hAnsi="Arial Black"/>
                <w:caps/>
                <w:sz w:val="15"/>
              </w:rPr>
              <w:t xml:space="preserve">ORIGINAL : </w:t>
            </w:r>
            <w:bookmarkStart w:id="5" w:name="Original"/>
            <w:bookmarkEnd w:id="5"/>
            <w:r w:rsidRPr="00025473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CD3161" w:rsidRPr="00025473" w:rsidTr="005A769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D3161" w:rsidRPr="00025473" w:rsidRDefault="00CD3161" w:rsidP="005A769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5473">
              <w:rPr>
                <w:rFonts w:ascii="Arial Black" w:hAnsi="Arial Black"/>
                <w:caps/>
                <w:sz w:val="15"/>
              </w:rPr>
              <w:t xml:space="preserve">DATE : </w:t>
            </w:r>
            <w:bookmarkStart w:id="6" w:name="Date"/>
            <w:bookmarkEnd w:id="6"/>
            <w:r w:rsidRPr="00025473">
              <w:rPr>
                <w:rFonts w:ascii="Arial Black" w:hAnsi="Arial Black"/>
                <w:caps/>
                <w:sz w:val="15"/>
              </w:rPr>
              <w:t>13 septembre 2013</w:t>
            </w:r>
          </w:p>
        </w:tc>
      </w:tr>
    </w:tbl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>
      <w:pPr>
        <w:rPr>
          <w:b/>
          <w:sz w:val="28"/>
          <w:szCs w:val="28"/>
        </w:rPr>
      </w:pPr>
      <w:r w:rsidRPr="00025473">
        <w:rPr>
          <w:b/>
          <w:sz w:val="28"/>
          <w:szCs w:val="28"/>
        </w:rPr>
        <w:t>Comit</w:t>
      </w:r>
      <w:r w:rsidRPr="00025473">
        <w:rPr>
          <w:rFonts w:cs="Simplified Arabic"/>
          <w:b/>
          <w:sz w:val="28"/>
          <w:szCs w:val="28"/>
        </w:rPr>
        <w:t>é</w:t>
      </w:r>
      <w:r w:rsidRPr="00025473">
        <w:rPr>
          <w:b/>
          <w:sz w:val="28"/>
          <w:szCs w:val="28"/>
        </w:rPr>
        <w:t xml:space="preserve"> du programme et budget</w:t>
      </w:r>
    </w:p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>
      <w:pPr>
        <w:rPr>
          <w:b/>
          <w:sz w:val="24"/>
          <w:szCs w:val="24"/>
        </w:rPr>
      </w:pPr>
      <w:r w:rsidRPr="00025473">
        <w:rPr>
          <w:b/>
          <w:bCs/>
          <w:sz w:val="24"/>
          <w:szCs w:val="24"/>
        </w:rPr>
        <w:t>Vingt et unième</w:t>
      </w:r>
      <w:r w:rsidR="00DB7A28" w:rsidRPr="00025473">
        <w:rPr>
          <w:b/>
          <w:bCs/>
          <w:sz w:val="24"/>
          <w:szCs w:val="24"/>
        </w:rPr>
        <w:t> </w:t>
      </w:r>
      <w:r w:rsidRPr="00025473">
        <w:rPr>
          <w:b/>
          <w:bCs/>
          <w:sz w:val="24"/>
          <w:szCs w:val="24"/>
        </w:rPr>
        <w:t>se</w:t>
      </w:r>
      <w:r w:rsidRPr="00025473">
        <w:rPr>
          <w:b/>
          <w:sz w:val="24"/>
          <w:szCs w:val="24"/>
        </w:rPr>
        <w:t>ssion</w:t>
      </w:r>
    </w:p>
    <w:p w:rsidR="00CD3161" w:rsidRPr="00025473" w:rsidRDefault="00CD3161" w:rsidP="00CD3161">
      <w:pPr>
        <w:rPr>
          <w:b/>
          <w:sz w:val="24"/>
          <w:szCs w:val="24"/>
        </w:rPr>
      </w:pPr>
      <w:r w:rsidRPr="00025473">
        <w:rPr>
          <w:b/>
          <w:sz w:val="24"/>
          <w:szCs w:val="24"/>
        </w:rPr>
        <w:t>Genève, 9 – 13 septembre 2013</w:t>
      </w:r>
    </w:p>
    <w:p w:rsidR="00CD3161" w:rsidRPr="00025473" w:rsidRDefault="00CD3161" w:rsidP="00CD3161"/>
    <w:p w:rsidR="00CD3161" w:rsidRPr="00025473" w:rsidRDefault="00CD3161" w:rsidP="00CD3161"/>
    <w:p w:rsidR="00CD3161" w:rsidRPr="00025473" w:rsidRDefault="00CD3161" w:rsidP="00CD3161"/>
    <w:p w:rsidR="00DF0C87" w:rsidRPr="00025473" w:rsidRDefault="005C0D1C" w:rsidP="00DF0C87">
      <w:pPr>
        <w:rPr>
          <w:caps/>
          <w:sz w:val="24"/>
        </w:rPr>
      </w:pPr>
      <w:r w:rsidRPr="00025473">
        <w:rPr>
          <w:caps/>
          <w:sz w:val="24"/>
        </w:rPr>
        <w:t>Résum</w:t>
      </w:r>
      <w:r w:rsidR="00E7265C">
        <w:rPr>
          <w:caps/>
          <w:sz w:val="24"/>
        </w:rPr>
        <w:t>É</w:t>
      </w:r>
      <w:r w:rsidRPr="00025473">
        <w:rPr>
          <w:caps/>
          <w:sz w:val="24"/>
        </w:rPr>
        <w:t xml:space="preserve"> des d</w:t>
      </w:r>
      <w:r w:rsidR="00E7265C">
        <w:rPr>
          <w:caps/>
          <w:sz w:val="24"/>
        </w:rPr>
        <w:t>É</w:t>
      </w:r>
      <w:r w:rsidRPr="00025473">
        <w:rPr>
          <w:caps/>
          <w:sz w:val="24"/>
        </w:rPr>
        <w:t>cisions et recommandations</w:t>
      </w:r>
    </w:p>
    <w:p w:rsidR="00DF0C87" w:rsidRPr="00025473" w:rsidRDefault="00DF0C87" w:rsidP="00DF0C87"/>
    <w:p w:rsidR="00DF0C87" w:rsidRPr="00025473" w:rsidRDefault="00C91C58" w:rsidP="00DF0C87">
      <w:pPr>
        <w:rPr>
          <w:i/>
        </w:rPr>
      </w:pPr>
      <w:proofErr w:type="gramStart"/>
      <w:r w:rsidRPr="00025473">
        <w:rPr>
          <w:i/>
        </w:rPr>
        <w:t>adopté</w:t>
      </w:r>
      <w:proofErr w:type="gramEnd"/>
      <w:r w:rsidRPr="00025473">
        <w:rPr>
          <w:i/>
        </w:rPr>
        <w:t xml:space="preserve"> par le Comité du programme et budget</w:t>
      </w:r>
    </w:p>
    <w:p w:rsidR="00DF0C87" w:rsidRPr="00025473" w:rsidRDefault="00DF0C87" w:rsidP="00DF0C87"/>
    <w:p w:rsidR="00DF0C87" w:rsidRPr="00025473" w:rsidRDefault="00DF0C87" w:rsidP="00CD3161"/>
    <w:p w:rsidR="00DF0C87" w:rsidRPr="00025473" w:rsidRDefault="00DF0C87" w:rsidP="00DF0C87"/>
    <w:p w:rsidR="00DF0C87" w:rsidRPr="00025473" w:rsidRDefault="00DF0C87" w:rsidP="00DF0C87"/>
    <w:p w:rsidR="00DF0C87" w:rsidRPr="00025473" w:rsidRDefault="005C0D1C" w:rsidP="00DF0C87">
      <w:pPr>
        <w:pStyle w:val="ONUME"/>
      </w:pPr>
      <w:r w:rsidRPr="00025473">
        <w:t xml:space="preserve">Le présent document rend compte des décisions prises et des recommandations formulées par le Comité du programme et budget (PBC) à sa vingt et unième session </w:t>
      </w:r>
      <w:r w:rsidRPr="00025473">
        <w:br/>
        <w:t>(9 – 1</w:t>
      </w:r>
      <w:r w:rsidR="00BD07A9" w:rsidRPr="00025473">
        <w:t>3 septembre 20</w:t>
      </w:r>
      <w:r w:rsidRPr="00025473">
        <w:t>13) à la suite de l</w:t>
      </w:r>
      <w:r w:rsidR="00356264" w:rsidRPr="00025473">
        <w:t>’</w:t>
      </w:r>
      <w:r w:rsidRPr="00025473">
        <w:t>examen des points de l</w:t>
      </w:r>
      <w:r w:rsidR="00356264" w:rsidRPr="00025473">
        <w:t>’</w:t>
      </w:r>
      <w:r w:rsidRPr="00025473">
        <w:t xml:space="preserve">ordre du jour et des documents correspondants indiqués dans le document </w:t>
      </w:r>
      <w:r w:rsidR="00DF0C87" w:rsidRPr="00025473">
        <w:t>WO/PBC/21/1.</w:t>
      </w:r>
    </w:p>
    <w:p w:rsidR="00DF0C87" w:rsidRPr="00025473" w:rsidRDefault="005C1723" w:rsidP="00DF0C87">
      <w:pPr>
        <w:pStyle w:val="ONUME"/>
      </w:pPr>
      <w:r w:rsidRPr="00025473">
        <w:t>Le rapport complet sur la vingt et unième</w:t>
      </w:r>
      <w:r w:rsidR="00DB7A28" w:rsidRPr="00025473">
        <w:t> </w:t>
      </w:r>
      <w:r w:rsidRPr="00025473">
        <w:t>session</w:t>
      </w:r>
      <w:r w:rsidR="00BD07A9" w:rsidRPr="00025473">
        <w:t xml:space="preserve"> du PBC</w:t>
      </w:r>
      <w:r w:rsidRPr="00025473">
        <w:t xml:space="preserve"> sera rédigé en temps utile en vue de son approbation conformément à la pratique établie.</w:t>
      </w:r>
    </w:p>
    <w:p w:rsidR="00DF0C87" w:rsidRPr="00025473" w:rsidRDefault="005C1723" w:rsidP="00E7265C">
      <w:pPr>
        <w:pStyle w:val="ONUME"/>
        <w:spacing w:after="0"/>
      </w:pPr>
      <w:r w:rsidRPr="00025473">
        <w:t>Le résumé des décisions et recommandations sera présenté aux assemblées des États membres de l</w:t>
      </w:r>
      <w:r w:rsidR="00356264" w:rsidRPr="00025473">
        <w:t>’</w:t>
      </w:r>
      <w:r w:rsidRPr="00025473">
        <w:t xml:space="preserve">OMPI à leur session de </w:t>
      </w:r>
      <w:r w:rsidR="00BD07A9" w:rsidRPr="00025473">
        <w:t>septembre 20</w:t>
      </w:r>
      <w:r w:rsidRPr="00025473">
        <w:t>13 (dans le document A/51/14).</w:t>
      </w:r>
    </w:p>
    <w:p w:rsidR="00DF0C87" w:rsidRPr="00025473" w:rsidRDefault="00DF0C87" w:rsidP="00E7265C"/>
    <w:p w:rsidR="00DF0C87" w:rsidRDefault="00DF0C87" w:rsidP="00E7265C"/>
    <w:p w:rsidR="00E7265C" w:rsidRPr="00025473" w:rsidRDefault="00E7265C" w:rsidP="00E7265C"/>
    <w:p w:rsidR="00DF0C87" w:rsidRPr="00025473" w:rsidRDefault="00DF0C87" w:rsidP="005C0D1C">
      <w:pPr>
        <w:pStyle w:val="Endofdocument-Annex"/>
        <w:rPr>
          <w:szCs w:val="22"/>
        </w:rPr>
      </w:pPr>
      <w:r w:rsidRPr="00025473">
        <w:rPr>
          <w:szCs w:val="22"/>
        </w:rPr>
        <w:t>[</w:t>
      </w:r>
      <w:r w:rsidR="005C0D1C" w:rsidRPr="00025473">
        <w:rPr>
          <w:szCs w:val="22"/>
        </w:rPr>
        <w:t>La liste des décisions et recommandations suit</w:t>
      </w:r>
      <w:r w:rsidRPr="00025473">
        <w:rPr>
          <w:szCs w:val="22"/>
        </w:rPr>
        <w:t>]</w:t>
      </w:r>
    </w:p>
    <w:p w:rsidR="005C1723" w:rsidRPr="00025473" w:rsidRDefault="005C1723" w:rsidP="005C1723"/>
    <w:p w:rsidR="005C1723" w:rsidRPr="00025473" w:rsidRDefault="005C1723" w:rsidP="005C1723">
      <w:pPr>
        <w:jc w:val="center"/>
        <w:rPr>
          <w:b/>
        </w:rPr>
      </w:pPr>
      <w:r w:rsidRPr="00025473">
        <w:br w:type="page"/>
      </w:r>
      <w:r w:rsidRPr="00025473">
        <w:rPr>
          <w:b/>
        </w:rPr>
        <w:lastRenderedPageBreak/>
        <w:t>LISTE DES DÉCISIONS ET RECOMMANDATIONS</w:t>
      </w:r>
    </w:p>
    <w:p w:rsidR="005C1723" w:rsidRPr="00025473" w:rsidRDefault="005C1723" w:rsidP="005C1723"/>
    <w:p w:rsidR="005C1723" w:rsidRPr="00025473" w:rsidRDefault="005C1723" w:rsidP="005C1723">
      <w:pPr>
        <w:pStyle w:val="Heading1"/>
      </w:pPr>
      <w:r w:rsidRPr="00025473">
        <w:t>Point</w:t>
      </w:r>
      <w:r w:rsidR="00DB7A28" w:rsidRPr="00025473">
        <w:t> </w:t>
      </w:r>
      <w:r w:rsidRPr="00025473">
        <w:t>1 de l</w:t>
      </w:r>
      <w:r w:rsidR="00356264" w:rsidRPr="00025473">
        <w:t>’</w:t>
      </w:r>
      <w:r w:rsidRPr="00025473">
        <w:t>ordre du jour</w:t>
      </w:r>
    </w:p>
    <w:p w:rsidR="005C1723" w:rsidRPr="00025473" w:rsidRDefault="005C1723" w:rsidP="005C1723">
      <w:pPr>
        <w:pStyle w:val="Heading2"/>
      </w:pPr>
      <w:r w:rsidRPr="00025473">
        <w:t>Ouverture de la session</w:t>
      </w:r>
    </w:p>
    <w:p w:rsidR="005C1723" w:rsidRPr="00025473" w:rsidRDefault="005C1723" w:rsidP="00025473"/>
    <w:p w:rsidR="005C1723" w:rsidRPr="00025473" w:rsidRDefault="005C1723" w:rsidP="005C1723">
      <w:pPr>
        <w:pStyle w:val="Heading1"/>
      </w:pPr>
      <w:r w:rsidRPr="00025473">
        <w:t>Point</w:t>
      </w:r>
      <w:r w:rsidR="00DB7A28" w:rsidRPr="00025473">
        <w:t> </w:t>
      </w:r>
      <w:r w:rsidRPr="00025473">
        <w:t>2 de l</w:t>
      </w:r>
      <w:r w:rsidR="00356264" w:rsidRPr="00025473">
        <w:t>’</w:t>
      </w:r>
      <w:r w:rsidRPr="00025473">
        <w:t>ordre du jour</w:t>
      </w:r>
    </w:p>
    <w:p w:rsidR="005C1723" w:rsidRPr="00025473" w:rsidRDefault="005C1723" w:rsidP="005C1723">
      <w:pPr>
        <w:pStyle w:val="Heading2"/>
      </w:pPr>
      <w:r w:rsidRPr="00025473">
        <w:t>Adoption de l</w:t>
      </w:r>
      <w:r w:rsidR="00356264" w:rsidRPr="00025473">
        <w:t>’</w:t>
      </w:r>
      <w:r w:rsidRPr="00025473">
        <w:t>ordre du jour</w:t>
      </w:r>
    </w:p>
    <w:p w:rsidR="005C1723" w:rsidRPr="00025473" w:rsidRDefault="005C1723" w:rsidP="005C1723"/>
    <w:p w:rsidR="005C1723" w:rsidRPr="00025473" w:rsidRDefault="005C1723" w:rsidP="005C1723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</w:t>
      </w:r>
    </w:p>
    <w:p w:rsidR="005C1723" w:rsidRPr="00025473" w:rsidRDefault="005C1723" w:rsidP="005C1723">
      <w:pPr>
        <w:pStyle w:val="ONUMFS"/>
        <w:numPr>
          <w:ilvl w:val="0"/>
          <w:numId w:val="0"/>
        </w:numPr>
      </w:pPr>
      <w:r w:rsidRPr="00025473">
        <w:t>L</w:t>
      </w:r>
      <w:r w:rsidR="00356264" w:rsidRPr="00025473">
        <w:t>’</w:t>
      </w:r>
      <w:r w:rsidRPr="00025473">
        <w:t>ordre du jour a été adopté tel que modifié.</w:t>
      </w:r>
    </w:p>
    <w:p w:rsidR="00025473" w:rsidRPr="00025473" w:rsidRDefault="00025473" w:rsidP="00025473">
      <w:bookmarkStart w:id="7" w:name="OLE_LINK1"/>
      <w:bookmarkStart w:id="8" w:name="OLE_LINK2"/>
    </w:p>
    <w:p w:rsidR="005C1723" w:rsidRPr="00025473" w:rsidRDefault="005C1723" w:rsidP="005C1723">
      <w:pPr>
        <w:pStyle w:val="Heading1"/>
      </w:pPr>
      <w:r w:rsidRPr="00025473">
        <w:t>Point</w:t>
      </w:r>
      <w:r w:rsidR="00DB7A28" w:rsidRPr="00025473">
        <w:t> </w:t>
      </w:r>
      <w:r w:rsidRPr="00025473">
        <w:t>3 de l</w:t>
      </w:r>
      <w:r w:rsidR="00356264" w:rsidRPr="00025473">
        <w:t>’</w:t>
      </w:r>
      <w:r w:rsidRPr="00025473">
        <w:t>ordre du jour</w:t>
      </w:r>
    </w:p>
    <w:p w:rsidR="005C1723" w:rsidRPr="00025473" w:rsidRDefault="005C1723" w:rsidP="005C1723">
      <w:pPr>
        <w:pStyle w:val="Heading2"/>
      </w:pPr>
      <w:r w:rsidRPr="00025473">
        <w:t>Rapport de l</w:t>
      </w:r>
      <w:r w:rsidR="00356264" w:rsidRPr="00025473">
        <w:t>’</w:t>
      </w:r>
      <w:r w:rsidR="00E7265C">
        <w:t>Organe consultatif indÉ</w:t>
      </w:r>
      <w:r w:rsidRPr="00025473">
        <w:t>pendant de surveillance (OCIS) de l</w:t>
      </w:r>
      <w:r w:rsidR="00356264" w:rsidRPr="00025473">
        <w:t>’</w:t>
      </w:r>
      <w:r w:rsidRPr="00025473">
        <w:t>OMPI</w:t>
      </w:r>
      <w:bookmarkEnd w:id="7"/>
      <w:bookmarkEnd w:id="8"/>
    </w:p>
    <w:p w:rsidR="005C1723" w:rsidRPr="00025473" w:rsidRDefault="005C1723" w:rsidP="005C1723"/>
    <w:p w:rsidR="005C1723" w:rsidRPr="00025473" w:rsidRDefault="005C1723" w:rsidP="005C1723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WO/PBC/21/2</w:t>
      </w:r>
    </w:p>
    <w:p w:rsidR="00356264" w:rsidRPr="00025473" w:rsidRDefault="005C1723" w:rsidP="005C1723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 xml:space="preserve">Le Comité du programme et budget </w:t>
      </w:r>
      <w:r w:rsidR="00C91C58" w:rsidRPr="00025473">
        <w:rPr>
          <w:i/>
        </w:rPr>
        <w:t xml:space="preserve">(PBC) </w:t>
      </w:r>
      <w:r w:rsidRPr="00025473">
        <w:rPr>
          <w:i/>
        </w:rPr>
        <w:t xml:space="preserve">a </w:t>
      </w:r>
      <w:r w:rsidR="00C91C58" w:rsidRPr="00025473">
        <w:rPr>
          <w:i/>
        </w:rPr>
        <w:t xml:space="preserve">recommandé </w:t>
      </w:r>
      <w:r w:rsidR="00A4573F" w:rsidRPr="00025473">
        <w:rPr>
          <w:i/>
        </w:rPr>
        <w:t xml:space="preserve">à </w:t>
      </w:r>
      <w:r w:rsidRPr="00025473">
        <w:rPr>
          <w:i/>
        </w:rPr>
        <w:t>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AD4AC3" w:rsidRPr="00025473">
        <w:rPr>
          <w:i/>
        </w:rPr>
        <w:t xml:space="preserve"> de prendre </w:t>
      </w:r>
      <w:r w:rsidR="00552EC2" w:rsidRPr="00025473">
        <w:rPr>
          <w:i/>
        </w:rPr>
        <w:t xml:space="preserve">note du contenu du </w:t>
      </w:r>
      <w:r w:rsidR="00356264" w:rsidRPr="00025473">
        <w:rPr>
          <w:i/>
        </w:rPr>
        <w:t>document WO</w:t>
      </w:r>
      <w:r w:rsidR="00552EC2" w:rsidRPr="00025473">
        <w:rPr>
          <w:i/>
        </w:rPr>
        <w:t>/PBC/21/2 (Rapport de l</w:t>
      </w:r>
      <w:r w:rsidR="00356264" w:rsidRPr="00025473">
        <w:rPr>
          <w:i/>
        </w:rPr>
        <w:t>’</w:t>
      </w:r>
      <w:r w:rsidR="00552EC2" w:rsidRPr="00025473">
        <w:rPr>
          <w:i/>
        </w:rPr>
        <w:t>Organe consultatif indépendant de surveillance de l</w:t>
      </w:r>
      <w:r w:rsidR="00356264" w:rsidRPr="00025473">
        <w:rPr>
          <w:i/>
        </w:rPr>
        <w:t>’</w:t>
      </w:r>
      <w:r w:rsidR="00552EC2" w:rsidRPr="00025473">
        <w:rPr>
          <w:i/>
        </w:rPr>
        <w:t>OMPI (OCIS)</w:t>
      </w:r>
      <w:r w:rsidR="0096061A" w:rsidRPr="00025473">
        <w:rPr>
          <w:i/>
        </w:rPr>
        <w:t>)</w:t>
      </w:r>
      <w:r w:rsidR="00552EC2" w:rsidRPr="00025473">
        <w:rPr>
          <w:i/>
        </w:rPr>
        <w:t xml:space="preserve"> et </w:t>
      </w:r>
      <w:r w:rsidR="0096061A" w:rsidRPr="00025473">
        <w:rPr>
          <w:i/>
        </w:rPr>
        <w:t xml:space="preserve">de </w:t>
      </w:r>
      <w:r w:rsidR="00552EC2" w:rsidRPr="00025473">
        <w:rPr>
          <w:i/>
        </w:rPr>
        <w:t xml:space="preserve">demander au Secrétariat de continuer à prendre </w:t>
      </w:r>
      <w:r w:rsidR="005E25C0" w:rsidRPr="00025473">
        <w:rPr>
          <w:i/>
        </w:rPr>
        <w:t>d</w:t>
      </w:r>
      <w:r w:rsidR="00552EC2" w:rsidRPr="00025473">
        <w:rPr>
          <w:i/>
        </w:rPr>
        <w:t>es mesures appropriées pour donner suite aux vues exprimées par l</w:t>
      </w:r>
      <w:r w:rsidR="00356264" w:rsidRPr="00025473">
        <w:rPr>
          <w:i/>
        </w:rPr>
        <w:t>’</w:t>
      </w:r>
      <w:r w:rsidR="00552EC2" w:rsidRPr="00025473">
        <w:rPr>
          <w:i/>
        </w:rPr>
        <w:t xml:space="preserve">OCIS. </w:t>
      </w:r>
      <w:r w:rsidR="00356264" w:rsidRPr="00025473">
        <w:rPr>
          <w:i/>
        </w:rPr>
        <w:t xml:space="preserve"> Le PBC</w:t>
      </w:r>
      <w:r w:rsidR="00552EC2" w:rsidRPr="00025473">
        <w:rPr>
          <w:i/>
        </w:rPr>
        <w:t xml:space="preserve"> a aussi demandé à l</w:t>
      </w:r>
      <w:r w:rsidR="00356264" w:rsidRPr="00025473">
        <w:rPr>
          <w:i/>
        </w:rPr>
        <w:t>’</w:t>
      </w:r>
      <w:r w:rsidR="00552EC2" w:rsidRPr="00025473">
        <w:rPr>
          <w:i/>
        </w:rPr>
        <w:t xml:space="preserve">OCIS de continuer à analyser et à superviser les activités du Secrétariat </w:t>
      </w:r>
      <w:r w:rsidR="0079624E" w:rsidRPr="00025473">
        <w:rPr>
          <w:i/>
        </w:rPr>
        <w:t>conformément à son mandat et à présenter</w:t>
      </w:r>
      <w:r w:rsidR="00356264" w:rsidRPr="00025473">
        <w:rPr>
          <w:i/>
        </w:rPr>
        <w:t xml:space="preserve"> au PBC</w:t>
      </w:r>
      <w:r w:rsidR="0079624E" w:rsidRPr="00025473">
        <w:rPr>
          <w:i/>
        </w:rPr>
        <w:t xml:space="preserve"> un rapport sur la question</w:t>
      </w:r>
      <w:r w:rsidRPr="00025473">
        <w:rPr>
          <w:i/>
        </w:rPr>
        <w:t>.</w:t>
      </w:r>
    </w:p>
    <w:p w:rsidR="00025473" w:rsidRPr="00025473" w:rsidRDefault="00025473" w:rsidP="00025473"/>
    <w:p w:rsidR="005C1723" w:rsidRPr="00025473" w:rsidRDefault="005C1723" w:rsidP="005C1723">
      <w:pPr>
        <w:pStyle w:val="Heading1"/>
      </w:pPr>
      <w:r w:rsidRPr="00025473">
        <w:t>Point</w:t>
      </w:r>
      <w:r w:rsidR="00DB7A28" w:rsidRPr="00025473">
        <w:t> </w:t>
      </w:r>
      <w:r w:rsidRPr="00025473">
        <w:t>4 de l</w:t>
      </w:r>
      <w:r w:rsidR="00356264" w:rsidRPr="00025473">
        <w:t>’</w:t>
      </w:r>
      <w:r w:rsidRPr="00025473">
        <w:t>ordre du jour</w:t>
      </w:r>
    </w:p>
    <w:p w:rsidR="005C1723" w:rsidRPr="00025473" w:rsidRDefault="00E7265C" w:rsidP="005C1723">
      <w:pPr>
        <w:pStyle w:val="Heading2"/>
      </w:pPr>
      <w:r>
        <w:t>Rapport du jury de sÉ</w:t>
      </w:r>
      <w:r w:rsidR="005C1723" w:rsidRPr="00025473">
        <w:t>lection en vue de la nomination des nouveaux membres de l</w:t>
      </w:r>
      <w:r w:rsidR="00356264" w:rsidRPr="00025473">
        <w:t>’</w:t>
      </w:r>
      <w:r w:rsidR="005C1723" w:rsidRPr="00025473">
        <w:t>Organe consultatif ind</w:t>
      </w:r>
      <w:r>
        <w:t>É</w:t>
      </w:r>
      <w:r w:rsidR="005C1723" w:rsidRPr="00025473">
        <w:t>pendant de surveillance (OCIS) de l</w:t>
      </w:r>
      <w:r w:rsidR="00356264" w:rsidRPr="00025473">
        <w:t>’</w:t>
      </w:r>
      <w:r w:rsidR="005C1723" w:rsidRPr="00025473">
        <w:t>OMPI</w:t>
      </w:r>
    </w:p>
    <w:p w:rsidR="005C1723" w:rsidRPr="00025473" w:rsidRDefault="005C1723" w:rsidP="005C1723"/>
    <w:p w:rsidR="005C1723" w:rsidRPr="00025473" w:rsidRDefault="005C1723" w:rsidP="005C1723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WO/PBC/21/3</w:t>
      </w:r>
    </w:p>
    <w:p w:rsidR="00BD07A9" w:rsidRPr="00025473" w:rsidRDefault="005C1723" w:rsidP="005C1723">
      <w:pPr>
        <w:pStyle w:val="ONUMFS"/>
        <w:numPr>
          <w:ilvl w:val="0"/>
          <w:numId w:val="0"/>
        </w:numPr>
        <w:rPr>
          <w:rFonts w:ascii="Arial,Italic" w:eastAsia="Times New Roman" w:hAnsi="Arial,Italic" w:cs="Arial,Italic"/>
          <w:i/>
          <w:iCs/>
          <w:szCs w:val="22"/>
          <w:lang w:eastAsia="en-US"/>
        </w:rPr>
      </w:pPr>
      <w:r w:rsidRPr="00025473">
        <w:rPr>
          <w:rFonts w:ascii="Arial,Italic" w:eastAsia="Times New Roman" w:hAnsi="Arial,Italic" w:cs="Arial,Italic"/>
          <w:i/>
          <w:iCs/>
          <w:szCs w:val="22"/>
          <w:lang w:eastAsia="en-US"/>
        </w:rPr>
        <w:t>Le Comité du programme et budget</w:t>
      </w:r>
    </w:p>
    <w:p w:rsidR="005C1723" w:rsidRPr="00025473" w:rsidRDefault="005C1723" w:rsidP="005C1723">
      <w:pPr>
        <w:pStyle w:val="ONUMFS"/>
        <w:numPr>
          <w:ilvl w:val="0"/>
          <w:numId w:val="28"/>
        </w:numPr>
        <w:rPr>
          <w:i/>
        </w:rPr>
      </w:pPr>
      <w:r w:rsidRPr="00025473">
        <w:rPr>
          <w:i/>
        </w:rPr>
        <w:t>a approuvé les recommandations du jury de sélection concernant la sélection de trois nouveaux membres de l</w:t>
      </w:r>
      <w:r w:rsidR="00356264" w:rsidRPr="00025473">
        <w:rPr>
          <w:i/>
        </w:rPr>
        <w:t>’</w:t>
      </w:r>
      <w:r w:rsidRPr="00025473">
        <w:rPr>
          <w:i/>
        </w:rPr>
        <w:t>Organe consultatif indépendant de surveillance de l</w:t>
      </w:r>
      <w:r w:rsidR="00356264" w:rsidRPr="00025473">
        <w:rPr>
          <w:i/>
        </w:rPr>
        <w:t>’</w:t>
      </w:r>
      <w:r w:rsidRPr="00025473">
        <w:rPr>
          <w:i/>
        </w:rPr>
        <w:t>OMPI, qui figurent au paragraphe 31 du rapport du jury de sélection;  et,</w:t>
      </w:r>
    </w:p>
    <w:p w:rsidR="005C1723" w:rsidRPr="00025473" w:rsidRDefault="005C1723" w:rsidP="005C1723">
      <w:pPr>
        <w:pStyle w:val="ONUMFS"/>
        <w:numPr>
          <w:ilvl w:val="0"/>
          <w:numId w:val="28"/>
        </w:numPr>
      </w:pPr>
      <w:r w:rsidRPr="00025473">
        <w:rPr>
          <w:i/>
        </w:rPr>
        <w:t>a recommandé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</w:t>
      </w:r>
      <w:r w:rsidR="00356264" w:rsidRPr="00025473">
        <w:rPr>
          <w:i/>
        </w:rPr>
        <w:t>’</w:t>
      </w:r>
      <w:r w:rsidRPr="00025473">
        <w:rPr>
          <w:i/>
        </w:rPr>
        <w:t>approuver la recommandation du jury de sélection concernant la nomination de nouveaux membres de l</w:t>
      </w:r>
      <w:r w:rsidR="00356264" w:rsidRPr="00025473">
        <w:rPr>
          <w:i/>
        </w:rPr>
        <w:t>’</w:t>
      </w:r>
      <w:r w:rsidRPr="00025473">
        <w:rPr>
          <w:i/>
        </w:rPr>
        <w:t>Organe consultatif indépendant de surveillance (OCIS) de l</w:t>
      </w:r>
      <w:r w:rsidR="00356264" w:rsidRPr="00025473">
        <w:rPr>
          <w:i/>
        </w:rPr>
        <w:t>’</w:t>
      </w:r>
      <w:r w:rsidRPr="00025473">
        <w:rPr>
          <w:i/>
        </w:rPr>
        <w:t>OMPI.</w:t>
      </w:r>
    </w:p>
    <w:p w:rsidR="00025473" w:rsidRPr="00025473" w:rsidRDefault="00025473" w:rsidP="00025473"/>
    <w:p w:rsidR="005C1723" w:rsidRPr="00025473" w:rsidRDefault="005C1723" w:rsidP="005C1723">
      <w:pPr>
        <w:pStyle w:val="Heading1"/>
      </w:pPr>
      <w:r w:rsidRPr="00025473">
        <w:lastRenderedPageBreak/>
        <w:t>Point</w:t>
      </w:r>
      <w:r w:rsidR="00DB7A28" w:rsidRPr="00025473">
        <w:t> </w:t>
      </w:r>
      <w:r w:rsidRPr="00025473">
        <w:t>5 de l</w:t>
      </w:r>
      <w:r w:rsidR="00356264" w:rsidRPr="00025473">
        <w:t>’</w:t>
      </w:r>
      <w:r w:rsidRPr="00025473">
        <w:t>ordre du jour</w:t>
      </w:r>
    </w:p>
    <w:p w:rsidR="005C1723" w:rsidRPr="00025473" w:rsidRDefault="00E7265C" w:rsidP="005C1723">
      <w:pPr>
        <w:pStyle w:val="Heading2"/>
      </w:pPr>
      <w:r>
        <w:t>Rapport du vÉ</w:t>
      </w:r>
      <w:r w:rsidR="005C1723" w:rsidRPr="00025473">
        <w:t>rificateur externe des comptes</w:t>
      </w:r>
    </w:p>
    <w:p w:rsidR="005C1723" w:rsidRPr="00025473" w:rsidRDefault="005C1723" w:rsidP="005C1723"/>
    <w:p w:rsidR="005C1723" w:rsidRPr="00025473" w:rsidRDefault="005C1723" w:rsidP="005C1723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WO/PBC/21/6</w:t>
      </w:r>
    </w:p>
    <w:p w:rsidR="00356264" w:rsidRPr="00025473" w:rsidRDefault="00A4573F" w:rsidP="00A4573F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 xml:space="preserve">Le Comité du programme et budget </w:t>
      </w:r>
      <w:r w:rsidR="0096061A" w:rsidRPr="00025473">
        <w:rPr>
          <w:i/>
        </w:rPr>
        <w:t xml:space="preserve">(PBC) </w:t>
      </w:r>
      <w:r w:rsidRPr="00025473">
        <w:rPr>
          <w:i/>
        </w:rPr>
        <w:t xml:space="preserve">a </w:t>
      </w:r>
      <w:r w:rsidR="0096061A" w:rsidRPr="00025473">
        <w:rPr>
          <w:i/>
        </w:rPr>
        <w:t>recommandé</w:t>
      </w:r>
      <w:r w:rsidRPr="00025473">
        <w:rPr>
          <w:i/>
        </w:rPr>
        <w:t xml:space="preserve">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96061A" w:rsidRPr="00025473">
        <w:rPr>
          <w:i/>
        </w:rPr>
        <w:t xml:space="preserve"> de prendre note du contenu du </w:t>
      </w:r>
      <w:r w:rsidR="00356264" w:rsidRPr="00025473">
        <w:rPr>
          <w:i/>
        </w:rPr>
        <w:t>document WO</w:t>
      </w:r>
      <w:r w:rsidR="0096061A" w:rsidRPr="00025473">
        <w:rPr>
          <w:i/>
        </w:rPr>
        <w:t xml:space="preserve">/PBC/21/6 (Rapport du vérificateur externe des comptes) </w:t>
      </w:r>
      <w:r w:rsidR="005E25C0" w:rsidRPr="00025473">
        <w:rPr>
          <w:i/>
        </w:rPr>
        <w:t>et de demander au Secrétariat de continuer à prendre des mesures appropriées pour donner suite aux recommandations présentées au Bureau international</w:t>
      </w:r>
      <w:r w:rsidRPr="00025473">
        <w:rPr>
          <w:i/>
        </w:rPr>
        <w:t>.</w:t>
      </w:r>
      <w:r w:rsidR="005E25C0" w:rsidRPr="00025473">
        <w:rPr>
          <w:i/>
        </w:rPr>
        <w:t xml:space="preserve"> </w:t>
      </w:r>
      <w:r w:rsidR="00356264" w:rsidRPr="00025473">
        <w:rPr>
          <w:i/>
        </w:rPr>
        <w:t xml:space="preserve"> Le PBC</w:t>
      </w:r>
      <w:r w:rsidR="005E25C0" w:rsidRPr="00025473">
        <w:rPr>
          <w:i/>
        </w:rPr>
        <w:t xml:space="preserve"> a aussi demandé à l</w:t>
      </w:r>
      <w:r w:rsidR="00356264" w:rsidRPr="00025473">
        <w:rPr>
          <w:i/>
        </w:rPr>
        <w:t>’</w:t>
      </w:r>
      <w:r w:rsidR="005E25C0" w:rsidRPr="00025473">
        <w:rPr>
          <w:i/>
        </w:rPr>
        <w:t>Organe consultatif indépendant de surveillance de l</w:t>
      </w:r>
      <w:r w:rsidR="00356264" w:rsidRPr="00025473">
        <w:rPr>
          <w:i/>
        </w:rPr>
        <w:t>’</w:t>
      </w:r>
      <w:r w:rsidR="005E25C0" w:rsidRPr="00025473">
        <w:rPr>
          <w:i/>
        </w:rPr>
        <w:t>OMPI (OCIS) de continuer à analyser et à superviser la mise en œuvre des recommandations conformément à son mandat et à présenter</w:t>
      </w:r>
      <w:r w:rsidR="00356264" w:rsidRPr="00025473">
        <w:rPr>
          <w:i/>
        </w:rPr>
        <w:t xml:space="preserve"> au PBC</w:t>
      </w:r>
      <w:r w:rsidR="005E25C0" w:rsidRPr="00025473">
        <w:rPr>
          <w:i/>
        </w:rPr>
        <w:t xml:space="preserve"> un rapport sur la question</w:t>
      </w:r>
      <w:r w:rsidR="00A50A35" w:rsidRPr="00025473">
        <w:rPr>
          <w:i/>
        </w:rPr>
        <w:t>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6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Rapport du directeur de la Division de l</w:t>
      </w:r>
      <w:r w:rsidR="00356264" w:rsidRPr="00025473">
        <w:t>’</w:t>
      </w:r>
      <w:r w:rsidRPr="00025473">
        <w:t>audit et de la supervision internes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WO/PBC/21/17</w:t>
      </w:r>
    </w:p>
    <w:p w:rsidR="00025473" w:rsidRPr="00025473" w:rsidRDefault="00A4573F" w:rsidP="00A50A35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 xml:space="preserve">Le Comité du programme et budget </w:t>
      </w:r>
      <w:r w:rsidR="005E25C0" w:rsidRPr="00025473">
        <w:rPr>
          <w:i/>
        </w:rPr>
        <w:t xml:space="preserve">(PBC) </w:t>
      </w:r>
      <w:r w:rsidRPr="00025473">
        <w:rPr>
          <w:i/>
        </w:rPr>
        <w:t xml:space="preserve">a </w:t>
      </w:r>
      <w:r w:rsidR="005E25C0" w:rsidRPr="00025473">
        <w:rPr>
          <w:i/>
        </w:rPr>
        <w:t>recommandé</w:t>
      </w:r>
      <w:r w:rsidRPr="00025473">
        <w:rPr>
          <w:i/>
        </w:rPr>
        <w:t xml:space="preserve">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5E25C0" w:rsidRPr="00025473">
        <w:rPr>
          <w:i/>
        </w:rPr>
        <w:t xml:space="preserve"> de prendre note du contenu du </w:t>
      </w:r>
      <w:r w:rsidR="00356264" w:rsidRPr="00025473">
        <w:rPr>
          <w:i/>
        </w:rPr>
        <w:t>document WO</w:t>
      </w:r>
      <w:r w:rsidR="005E25C0" w:rsidRPr="00025473">
        <w:rPr>
          <w:i/>
        </w:rPr>
        <w:t>/PBC/21/17 (Rapport du directeur de la Division de l</w:t>
      </w:r>
      <w:r w:rsidR="00356264" w:rsidRPr="00025473">
        <w:rPr>
          <w:i/>
        </w:rPr>
        <w:t>’</w:t>
      </w:r>
      <w:r w:rsidR="005E25C0" w:rsidRPr="00025473">
        <w:rPr>
          <w:i/>
        </w:rPr>
        <w:t>audit et de la supervision internes) et de demander au Secrétariat de continuer à prendre des mesures appropriées pour donner suite aux recommandations</w:t>
      </w:r>
      <w:r w:rsidR="00A50A35" w:rsidRPr="00025473">
        <w:rPr>
          <w:i/>
        </w:rPr>
        <w:t xml:space="preserve"> </w:t>
      </w:r>
      <w:r w:rsidR="00EC30C1" w:rsidRPr="00025473">
        <w:rPr>
          <w:i/>
        </w:rPr>
        <w:t xml:space="preserve">qui lui ont été </w:t>
      </w:r>
      <w:r w:rsidR="00A50A35" w:rsidRPr="00025473">
        <w:rPr>
          <w:i/>
        </w:rPr>
        <w:t>présentées par la Division de l</w:t>
      </w:r>
      <w:r w:rsidR="00356264" w:rsidRPr="00025473">
        <w:rPr>
          <w:i/>
        </w:rPr>
        <w:t>’</w:t>
      </w:r>
      <w:r w:rsidR="00A50A35" w:rsidRPr="00025473">
        <w:rPr>
          <w:i/>
        </w:rPr>
        <w:t xml:space="preserve">audit et de la supervision internes. </w:t>
      </w:r>
      <w:r w:rsidR="00356264" w:rsidRPr="00025473">
        <w:rPr>
          <w:i/>
        </w:rPr>
        <w:t xml:space="preserve"> Le PBC</w:t>
      </w:r>
      <w:r w:rsidR="00A50A35" w:rsidRPr="00025473">
        <w:rPr>
          <w:i/>
        </w:rPr>
        <w:t xml:space="preserve"> a aussi demandé à l</w:t>
      </w:r>
      <w:r w:rsidR="00356264" w:rsidRPr="00025473">
        <w:rPr>
          <w:i/>
        </w:rPr>
        <w:t>’</w:t>
      </w:r>
      <w:r w:rsidR="00A50A35" w:rsidRPr="00025473">
        <w:rPr>
          <w:i/>
        </w:rPr>
        <w:t>Organe consultatif indépendant de surveillance de l</w:t>
      </w:r>
      <w:r w:rsidR="00356264" w:rsidRPr="00025473">
        <w:rPr>
          <w:i/>
        </w:rPr>
        <w:t>’</w:t>
      </w:r>
      <w:r w:rsidR="00A50A35" w:rsidRPr="00025473">
        <w:rPr>
          <w:i/>
        </w:rPr>
        <w:t>OMPI (OCIS) de continuer à analyser et à superviser la mise en œuvre des recommandations conformément à son mandat et à présenter</w:t>
      </w:r>
      <w:r w:rsidR="00356264" w:rsidRPr="00025473">
        <w:rPr>
          <w:i/>
        </w:rPr>
        <w:t xml:space="preserve"> au PBC</w:t>
      </w:r>
      <w:r w:rsidR="00A50A35" w:rsidRPr="00025473">
        <w:rPr>
          <w:i/>
        </w:rPr>
        <w:t xml:space="preserve"> un rapport sur la question.</w:t>
      </w:r>
    </w:p>
    <w:p w:rsidR="00025473" w:rsidRPr="00025473" w:rsidRDefault="00025473" w:rsidP="00025473"/>
    <w:p w:rsidR="007312E7" w:rsidRPr="00025473" w:rsidRDefault="00025473" w:rsidP="00025473">
      <w:pPr>
        <w:pStyle w:val="Heading1"/>
      </w:pPr>
      <w:r w:rsidRPr="00025473">
        <w:t>Point 7 de l’ordre du jour</w:t>
      </w:r>
    </w:p>
    <w:p w:rsidR="007312E7" w:rsidRPr="00025473" w:rsidRDefault="007312E7" w:rsidP="007312E7">
      <w:pPr>
        <w:pStyle w:val="Heading2"/>
      </w:pPr>
      <w:r w:rsidRPr="00025473">
        <w:t>Rapport sur la mise en œuvre des recommandations du Corps commun d</w:t>
      </w:r>
      <w:r w:rsidR="00356264" w:rsidRPr="00025473">
        <w:t>’</w:t>
      </w:r>
      <w:r w:rsidRPr="00025473">
        <w:t>inspection (CCI)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WO/PBC/21/16</w:t>
      </w:r>
    </w:p>
    <w:p w:rsidR="00A4573F" w:rsidRPr="00025473" w:rsidRDefault="00A4573F" w:rsidP="00A4573F">
      <w:pPr>
        <w:pStyle w:val="ONUMFS"/>
        <w:numPr>
          <w:ilvl w:val="0"/>
          <w:numId w:val="0"/>
        </w:numPr>
      </w:pPr>
      <w:r w:rsidRPr="00025473">
        <w:rPr>
          <w:i/>
        </w:rPr>
        <w:t xml:space="preserve">Le Comité du programme et budget a </w:t>
      </w:r>
      <w:r w:rsidR="005D580B" w:rsidRPr="00025473">
        <w:rPr>
          <w:i/>
        </w:rPr>
        <w:t>recommandé</w:t>
      </w:r>
      <w:r w:rsidRPr="00025473">
        <w:rPr>
          <w:i/>
        </w:rPr>
        <w:t xml:space="preserve">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5D580B" w:rsidRPr="00025473">
        <w:rPr>
          <w:i/>
        </w:rPr>
        <w:t xml:space="preserve"> d</w:t>
      </w:r>
      <w:r w:rsidR="00356264" w:rsidRPr="00025473">
        <w:rPr>
          <w:i/>
        </w:rPr>
        <w:t>’</w:t>
      </w:r>
      <w:r w:rsidR="005D580B" w:rsidRPr="00025473">
        <w:rPr>
          <w:i/>
        </w:rPr>
        <w:t>examiner cette question et de prendre des mesures appropriées</w:t>
      </w:r>
      <w:r w:rsidRPr="00025473">
        <w:rPr>
          <w:i/>
        </w:rPr>
        <w:t>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8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Gouvernance de l</w:t>
      </w:r>
      <w:r w:rsidR="00356264" w:rsidRPr="00025473">
        <w:t>’</w:t>
      </w:r>
      <w:r w:rsidRPr="00025473">
        <w:t>OMPI</w:t>
      </w:r>
    </w:p>
    <w:p w:rsidR="00A4573F" w:rsidRPr="00025473" w:rsidRDefault="00A4573F" w:rsidP="00A4573F"/>
    <w:p w:rsidR="005D580B" w:rsidRPr="00025473" w:rsidRDefault="005D580B" w:rsidP="00A4573F">
      <w:r w:rsidRPr="00025473">
        <w:t xml:space="preserve">Documents </w:t>
      </w:r>
      <w:r w:rsidR="00AB2EBF" w:rsidRPr="00025473">
        <w:t>de référence</w:t>
      </w:r>
      <w:r w:rsidRPr="00025473">
        <w:t> : WO/PBC/18/20, WO/PBC/19/26 et WO/PBC/21/20</w:t>
      </w:r>
    </w:p>
    <w:p w:rsidR="005D580B" w:rsidRPr="00025473" w:rsidRDefault="005D580B" w:rsidP="00A4573F"/>
    <w:p w:rsidR="00356264" w:rsidRPr="00025473" w:rsidRDefault="00A4573F" w:rsidP="00A4573F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 xml:space="preserve">Le Comité du programme et budget a </w:t>
      </w:r>
      <w:r w:rsidR="005D580B" w:rsidRPr="00025473">
        <w:rPr>
          <w:i/>
        </w:rPr>
        <w:t>recommandé</w:t>
      </w:r>
      <w:r w:rsidRPr="00025473">
        <w:rPr>
          <w:i/>
        </w:rPr>
        <w:t xml:space="preserve">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AB2EBF" w:rsidRPr="00025473">
        <w:rPr>
          <w:i/>
        </w:rPr>
        <w:t xml:space="preserve"> d</w:t>
      </w:r>
      <w:r w:rsidR="00356264" w:rsidRPr="00025473">
        <w:rPr>
          <w:i/>
        </w:rPr>
        <w:t>’</w:t>
      </w:r>
      <w:r w:rsidR="00AB2EBF" w:rsidRPr="00025473">
        <w:rPr>
          <w:i/>
        </w:rPr>
        <w:t>examiner cette question et de prendre des mesures appropriées</w:t>
      </w:r>
      <w:r w:rsidRPr="00025473">
        <w:rPr>
          <w:i/>
        </w:rPr>
        <w:t>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lastRenderedPageBreak/>
        <w:t>Point 9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 xml:space="preserve">États financiers annuels pour 2012;  </w:t>
      </w:r>
      <w:r w:rsidR="00E7265C">
        <w:t>É</w:t>
      </w:r>
      <w:r w:rsidRPr="00025473">
        <w:t>tat de paiement des contributions au 30 juin 2013</w:t>
      </w:r>
    </w:p>
    <w:p w:rsidR="007312E7" w:rsidRPr="00025473" w:rsidRDefault="007312E7" w:rsidP="007312E7">
      <w:pPr>
        <w:pStyle w:val="Heading3"/>
      </w:pPr>
      <w:r w:rsidRPr="00025473">
        <w:t>Rapport financier annuel et états financiers pour</w:t>
      </w:r>
      <w:r w:rsidR="00DB7A28" w:rsidRPr="00025473">
        <w:t> </w:t>
      </w:r>
      <w:r w:rsidRPr="00025473">
        <w:t>2012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WO/PBC/21/4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 l</w:t>
      </w:r>
      <w:r w:rsidR="00356264" w:rsidRPr="00025473">
        <w:rPr>
          <w:i/>
        </w:rPr>
        <w:t>’</w:t>
      </w:r>
      <w:r w:rsidRPr="00025473">
        <w:rPr>
          <w:i/>
        </w:rPr>
        <w:t>approbation des états financiers annuels pour 2012 figurant dans le document WO/PBC/21/4.</w:t>
      </w:r>
    </w:p>
    <w:p w:rsidR="007312E7" w:rsidRPr="00025473" w:rsidRDefault="007312E7" w:rsidP="007312E7">
      <w:pPr>
        <w:pStyle w:val="Heading3"/>
      </w:pPr>
      <w:r w:rsidRPr="00025473">
        <w:t>État du paiement des contributions au 30 juin 2013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WO/PBC/21/5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WO/PBC/21/5.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10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Niveau d</w:t>
      </w:r>
      <w:r w:rsidR="00356264" w:rsidRPr="00025473">
        <w:t>’</w:t>
      </w:r>
      <w:r w:rsidR="00E7265C">
        <w:t>utilisation des rÉ</w:t>
      </w:r>
      <w:r w:rsidRPr="00025473">
        <w:t>serves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WO/PBC/21/7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aux assemblées des États 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WO/PBC/21/7.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11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Rapport annuel sur les ressources humaines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WO/PBC/21/13</w:t>
      </w:r>
    </w:p>
    <w:p w:rsidR="001F552E" w:rsidRPr="00025473" w:rsidRDefault="001F552E" w:rsidP="002A0D36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 xml:space="preserve">Le Comité du programme et budget a pris note du contenu du rapport annuel sur les ressources humaines compte tenu des incidences </w:t>
      </w:r>
      <w:r w:rsidR="002A0D36" w:rsidRPr="00025473">
        <w:rPr>
          <w:i/>
        </w:rPr>
        <w:t xml:space="preserve">en termes de </w:t>
      </w:r>
      <w:r w:rsidRPr="00025473">
        <w:rPr>
          <w:i/>
        </w:rPr>
        <w:t>finances et de ressources et a recommandé à l</w:t>
      </w:r>
      <w:r w:rsidR="00356264" w:rsidRPr="00025473">
        <w:rPr>
          <w:i/>
        </w:rPr>
        <w:t>’</w:t>
      </w:r>
      <w:r w:rsidRPr="00025473">
        <w:rPr>
          <w:i/>
        </w:rPr>
        <w:t xml:space="preserve">Assemblée générale </w:t>
      </w:r>
      <w:r w:rsidR="00AB2EBF" w:rsidRPr="00025473">
        <w:rPr>
          <w:i/>
        </w:rPr>
        <w:t>de l</w:t>
      </w:r>
      <w:r w:rsidR="00356264" w:rsidRPr="00025473">
        <w:rPr>
          <w:i/>
        </w:rPr>
        <w:t>’</w:t>
      </w:r>
      <w:r w:rsidR="00AB2EBF" w:rsidRPr="00025473">
        <w:rPr>
          <w:i/>
        </w:rPr>
        <w:t xml:space="preserve">OMPI </w:t>
      </w:r>
      <w:r w:rsidRPr="00025473">
        <w:rPr>
          <w:i/>
        </w:rPr>
        <w:t xml:space="preserve">de prier le Directeur général de transmettre à la Commission de la fonction publique internationale (CFPI) et au Conseil des chefs de secrétariat </w:t>
      </w:r>
      <w:r w:rsidR="00AB2EBF" w:rsidRPr="00025473">
        <w:rPr>
          <w:i/>
        </w:rPr>
        <w:t xml:space="preserve">des organismes des </w:t>
      </w:r>
      <w:r w:rsidR="00356264" w:rsidRPr="00025473">
        <w:rPr>
          <w:i/>
        </w:rPr>
        <w:t>Nations Unies</w:t>
      </w:r>
      <w:r w:rsidR="00AB2EBF" w:rsidRPr="00025473">
        <w:rPr>
          <w:i/>
        </w:rPr>
        <w:t xml:space="preserve"> pour la coordination </w:t>
      </w:r>
      <w:r w:rsidRPr="00025473">
        <w:rPr>
          <w:i/>
        </w:rPr>
        <w:t>(CCS) les préoccupations des États membres concernant l</w:t>
      </w:r>
      <w:r w:rsidR="00356264" w:rsidRPr="00025473">
        <w:rPr>
          <w:i/>
        </w:rPr>
        <w:t>’</w:t>
      </w:r>
      <w:r w:rsidRPr="00025473">
        <w:rPr>
          <w:i/>
        </w:rPr>
        <w:t>incidence de l</w:t>
      </w:r>
      <w:r w:rsidR="00356264" w:rsidRPr="00025473">
        <w:rPr>
          <w:i/>
        </w:rPr>
        <w:t>’</w:t>
      </w:r>
      <w:r w:rsidRPr="00025473">
        <w:rPr>
          <w:i/>
        </w:rPr>
        <w:t>augmentation des coûts de personnel sur la viabilité financière de l</w:t>
      </w:r>
      <w:r w:rsidR="00356264" w:rsidRPr="00025473">
        <w:rPr>
          <w:i/>
        </w:rPr>
        <w:t>’</w:t>
      </w:r>
      <w:r w:rsidRPr="00025473">
        <w:rPr>
          <w:i/>
        </w:rPr>
        <w:t>Organisation et la nécessité d</w:t>
      </w:r>
      <w:r w:rsidR="00356264" w:rsidRPr="00025473">
        <w:rPr>
          <w:i/>
        </w:rPr>
        <w:t>’</w:t>
      </w:r>
      <w:r w:rsidRPr="00025473">
        <w:rPr>
          <w:i/>
        </w:rPr>
        <w:t>exercer une plus grande vigilance et d</w:t>
      </w:r>
      <w:r w:rsidR="00356264" w:rsidRPr="00025473">
        <w:rPr>
          <w:i/>
        </w:rPr>
        <w:t>’</w:t>
      </w:r>
      <w:r w:rsidRPr="00025473">
        <w:rPr>
          <w:i/>
        </w:rPr>
        <w:t>étudier la possibilité de prendre des mesures rapide</w:t>
      </w:r>
      <w:r w:rsidR="002A0D36" w:rsidRPr="00025473">
        <w:rPr>
          <w:i/>
        </w:rPr>
        <w:t>s</w:t>
      </w:r>
      <w:r w:rsidRPr="00025473">
        <w:rPr>
          <w:i/>
        </w:rPr>
        <w:t xml:space="preserve"> et efficace</w:t>
      </w:r>
      <w:r w:rsidR="002A0D36" w:rsidRPr="00025473">
        <w:rPr>
          <w:i/>
        </w:rPr>
        <w:t>s</w:t>
      </w:r>
      <w:r w:rsidRPr="00025473">
        <w:rPr>
          <w:i/>
        </w:rPr>
        <w:t>, en particulier dans le contexte de l</w:t>
      </w:r>
      <w:r w:rsidR="00356264" w:rsidRPr="00025473">
        <w:rPr>
          <w:i/>
        </w:rPr>
        <w:t>’</w:t>
      </w:r>
      <w:r w:rsidRPr="00025473">
        <w:rPr>
          <w:i/>
        </w:rPr>
        <w:t>examen d</w:t>
      </w:r>
      <w:r w:rsidR="00356264" w:rsidRPr="00025473">
        <w:rPr>
          <w:i/>
        </w:rPr>
        <w:t>’</w:t>
      </w:r>
      <w:r w:rsidRPr="00025473">
        <w:rPr>
          <w:i/>
        </w:rPr>
        <w:t>ensemble de ces questions actuellement effectué par la CFPI.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12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Rapport sur la mise en œuvre des mesures de ma</w:t>
      </w:r>
      <w:r w:rsidR="00E7265C">
        <w:t>Îtrise des coÛ</w:t>
      </w:r>
      <w:r w:rsidRPr="00025473">
        <w:t>ts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WO/PBC/21/19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lastRenderedPageBreak/>
        <w:t>Le Comité du programme et budget 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WO/PBC/21/19 et a recommandé au Secrétariat de poursuivre ses efforts en matière de maîtrise des coûts.</w:t>
      </w:r>
    </w:p>
    <w:p w:rsidR="00025473" w:rsidRPr="00025473" w:rsidRDefault="00025473" w:rsidP="00025473"/>
    <w:p w:rsidR="007312E7" w:rsidRPr="00025473" w:rsidRDefault="007312E7" w:rsidP="007312E7">
      <w:pPr>
        <w:pStyle w:val="Heading1"/>
      </w:pPr>
      <w:r w:rsidRPr="00025473">
        <w:t>Point 13 de l</w:t>
      </w:r>
      <w:r w:rsidR="00356264" w:rsidRPr="00025473">
        <w:t>’</w:t>
      </w:r>
      <w:r w:rsidRPr="00025473">
        <w:t>ordre du jour</w:t>
      </w:r>
    </w:p>
    <w:p w:rsidR="007312E7" w:rsidRPr="00025473" w:rsidRDefault="007312E7" w:rsidP="007312E7">
      <w:pPr>
        <w:pStyle w:val="Heading2"/>
      </w:pPr>
      <w:r w:rsidRPr="00025473">
        <w:t>Programme et budget propos</w:t>
      </w:r>
      <w:r w:rsidR="00E7265C">
        <w:t>É</w:t>
      </w:r>
      <w:r w:rsidRPr="00025473">
        <w:t xml:space="preserve"> pour l</w:t>
      </w:r>
      <w:r w:rsidR="00356264" w:rsidRPr="00025473">
        <w:t>’</w:t>
      </w:r>
      <w:r w:rsidRPr="00025473">
        <w:t>exercice biennal</w:t>
      </w:r>
      <w:r w:rsidR="00DB7A28" w:rsidRPr="00025473">
        <w:t> </w:t>
      </w:r>
      <w:r w:rsidRPr="00025473">
        <w:t>2014</w:t>
      </w:r>
      <w:r w:rsidR="00025473" w:rsidRPr="00025473">
        <w:noBreakHyphen/>
      </w:r>
      <w:r w:rsidRPr="00025473">
        <w:t>2015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WO/PBC/21/8</w:t>
      </w:r>
    </w:p>
    <w:p w:rsidR="007312E7" w:rsidRPr="00025473" w:rsidRDefault="007312E7" w:rsidP="00356264">
      <w:pPr>
        <w:pStyle w:val="ONUMFS"/>
        <w:numPr>
          <w:ilvl w:val="0"/>
          <w:numId w:val="31"/>
        </w:numPr>
        <w:tabs>
          <w:tab w:val="left" w:pos="567"/>
        </w:tabs>
        <w:ind w:left="0" w:firstLine="0"/>
        <w:rPr>
          <w:i/>
        </w:rPr>
      </w:pPr>
      <w:r w:rsidRPr="00025473">
        <w:rPr>
          <w:i/>
        </w:rPr>
        <w:t xml:space="preserve">Le Comité du programme et budget </w:t>
      </w:r>
      <w:r w:rsidR="00AB2EBF" w:rsidRPr="00025473">
        <w:rPr>
          <w:i/>
        </w:rPr>
        <w:t xml:space="preserve">(PBC) </w:t>
      </w:r>
      <w:r w:rsidRPr="00025473">
        <w:rPr>
          <w:i/>
        </w:rPr>
        <w:t>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et des unions, chacune pour ce qui la concerne, d</w:t>
      </w:r>
      <w:r w:rsidR="00356264" w:rsidRPr="00025473">
        <w:rPr>
          <w:i/>
        </w:rPr>
        <w:t>’</w:t>
      </w:r>
      <w:r w:rsidRPr="00025473">
        <w:rPr>
          <w:i/>
        </w:rPr>
        <w:t>approuver le programme et budget proposé pour l</w:t>
      </w:r>
      <w:r w:rsidR="00356264" w:rsidRPr="00025473">
        <w:rPr>
          <w:i/>
        </w:rPr>
        <w:t>’</w:t>
      </w:r>
      <w:r w:rsidRPr="00025473">
        <w:rPr>
          <w:i/>
        </w:rPr>
        <w:t>exercice biennal</w:t>
      </w:r>
      <w:r w:rsidR="00DB7A28" w:rsidRPr="00025473">
        <w:rPr>
          <w:i/>
        </w:rPr>
        <w:t> </w:t>
      </w:r>
      <w:r w:rsidRPr="00025473">
        <w:rPr>
          <w:i/>
        </w:rPr>
        <w:t>2014</w:t>
      </w:r>
      <w:r w:rsidR="00025473" w:rsidRPr="00025473">
        <w:rPr>
          <w:i/>
        </w:rPr>
        <w:noBreakHyphen/>
      </w:r>
      <w:r w:rsidRPr="00025473">
        <w:rPr>
          <w:i/>
        </w:rPr>
        <w:t>2015 (</w:t>
      </w:r>
      <w:r w:rsidR="00AB2EBF" w:rsidRPr="00025473">
        <w:rPr>
          <w:i/>
        </w:rPr>
        <w:t xml:space="preserve">figurant dans le </w:t>
      </w:r>
      <w:r w:rsidRPr="00025473">
        <w:rPr>
          <w:i/>
        </w:rPr>
        <w:t>document WO/PBC/21/8)</w:t>
      </w:r>
      <w:r w:rsidR="007C3E3A" w:rsidRPr="00025473">
        <w:rPr>
          <w:i/>
        </w:rPr>
        <w:t xml:space="preserve"> sous réserve des points suivants :</w:t>
      </w:r>
    </w:p>
    <w:p w:rsidR="00356264" w:rsidRPr="00025473" w:rsidRDefault="007C3E3A" w:rsidP="00025473">
      <w:pPr>
        <w:pStyle w:val="ONUMFS"/>
        <w:numPr>
          <w:ilvl w:val="0"/>
          <w:numId w:val="32"/>
        </w:numPr>
        <w:ind w:left="567" w:firstLine="0"/>
        <w:rPr>
          <w:i/>
        </w:rPr>
      </w:pPr>
      <w:r w:rsidRPr="00025473">
        <w:rPr>
          <w:i/>
        </w:rPr>
        <w:t>augmentation de l</w:t>
      </w:r>
      <w:r w:rsidR="00356264" w:rsidRPr="00025473">
        <w:rPr>
          <w:i/>
        </w:rPr>
        <w:t>’</w:t>
      </w:r>
      <w:r w:rsidRPr="00025473">
        <w:rPr>
          <w:i/>
        </w:rPr>
        <w:t>enveloppe budgétaire globale de manière à couvrir la mise en œuvre approuvée de la politique linguistique de l</w:t>
      </w:r>
      <w:r w:rsidR="00356264" w:rsidRPr="00025473">
        <w:rPr>
          <w:i/>
        </w:rPr>
        <w:t>’</w:t>
      </w:r>
      <w:r w:rsidRPr="00025473">
        <w:rPr>
          <w:i/>
        </w:rPr>
        <w:t>OMPI, pour un montant de 793 000 francs suisses</w:t>
      </w:r>
      <w:r w:rsidR="00EC30C1" w:rsidRPr="00025473">
        <w:rPr>
          <w:i/>
        </w:rPr>
        <w:t>,</w:t>
      </w:r>
      <w:r w:rsidR="00A70598" w:rsidRPr="00025473">
        <w:rPr>
          <w:i/>
        </w:rPr>
        <w:t xml:space="preserve"> dans le cadre du programme 27;</w:t>
      </w:r>
    </w:p>
    <w:p w:rsidR="00356264" w:rsidRPr="00025473" w:rsidRDefault="00CC53EC" w:rsidP="00025473">
      <w:pPr>
        <w:pStyle w:val="ONUMFS"/>
        <w:numPr>
          <w:ilvl w:val="0"/>
          <w:numId w:val="32"/>
        </w:numPr>
        <w:ind w:left="567" w:firstLine="0"/>
        <w:rPr>
          <w:i/>
        </w:rPr>
      </w:pPr>
      <w:r w:rsidRPr="00025473">
        <w:rPr>
          <w:i/>
        </w:rPr>
        <w:t>r</w:t>
      </w:r>
      <w:r w:rsidR="00A70598" w:rsidRPr="00025473">
        <w:rPr>
          <w:i/>
        </w:rPr>
        <w:t>établissement du programme 30 afin d</w:t>
      </w:r>
      <w:r w:rsidR="00356264" w:rsidRPr="00025473">
        <w:rPr>
          <w:i/>
        </w:rPr>
        <w:t>’</w:t>
      </w:r>
      <w:r w:rsidR="00A70598" w:rsidRPr="00025473">
        <w:rPr>
          <w:i/>
        </w:rPr>
        <w:t>intégrer</w:t>
      </w:r>
      <w:r w:rsidR="00356264" w:rsidRPr="00025473">
        <w:rPr>
          <w:i/>
        </w:rPr>
        <w:t xml:space="preserve"> les PME</w:t>
      </w:r>
      <w:r w:rsidR="00A70598" w:rsidRPr="00025473">
        <w:rPr>
          <w:i/>
        </w:rPr>
        <w:t xml:space="preserve"> et l</w:t>
      </w:r>
      <w:r w:rsidR="00356264" w:rsidRPr="00025473">
        <w:rPr>
          <w:i/>
        </w:rPr>
        <w:t>’</w:t>
      </w:r>
      <w:r w:rsidR="00A70598" w:rsidRPr="00025473">
        <w:rPr>
          <w:i/>
        </w:rPr>
        <w:t>innovation, sans que soient modifiés le contenu et les ressources concernant</w:t>
      </w:r>
      <w:r w:rsidR="00356264" w:rsidRPr="00025473">
        <w:rPr>
          <w:i/>
        </w:rPr>
        <w:t xml:space="preserve"> les PME</w:t>
      </w:r>
      <w:r w:rsidR="00A70598" w:rsidRPr="00025473">
        <w:rPr>
          <w:i/>
        </w:rPr>
        <w:t xml:space="preserve"> et l</w:t>
      </w:r>
      <w:r w:rsidR="00356264" w:rsidRPr="00025473">
        <w:rPr>
          <w:i/>
        </w:rPr>
        <w:t>’</w:t>
      </w:r>
      <w:r w:rsidR="00A70598" w:rsidRPr="00025473">
        <w:rPr>
          <w:i/>
        </w:rPr>
        <w:t xml:space="preserve">innovation </w:t>
      </w:r>
      <w:r w:rsidR="00EC30C1" w:rsidRPr="00025473">
        <w:rPr>
          <w:i/>
        </w:rPr>
        <w:t xml:space="preserve">dans le cadre du </w:t>
      </w:r>
      <w:r w:rsidR="00A70598" w:rsidRPr="00025473">
        <w:rPr>
          <w:i/>
        </w:rPr>
        <w:t>programme 10;</w:t>
      </w:r>
    </w:p>
    <w:p w:rsidR="00A70598" w:rsidRPr="00025473" w:rsidRDefault="00CC53EC" w:rsidP="00025473">
      <w:pPr>
        <w:pStyle w:val="ONUMFS"/>
        <w:numPr>
          <w:ilvl w:val="0"/>
          <w:numId w:val="32"/>
        </w:numPr>
        <w:ind w:left="567" w:firstLine="0"/>
        <w:rPr>
          <w:i/>
        </w:rPr>
      </w:pPr>
      <w:r w:rsidRPr="00025473">
        <w:rPr>
          <w:i/>
        </w:rPr>
        <w:t>a</w:t>
      </w:r>
      <w:r w:rsidR="00EC30C1" w:rsidRPr="00025473">
        <w:rPr>
          <w:i/>
        </w:rPr>
        <w:t>pprobation par les</w:t>
      </w:r>
      <w:r w:rsidR="00A70598" w:rsidRPr="00025473">
        <w:rPr>
          <w:i/>
        </w:rPr>
        <w:t xml:space="preserve"> États membres lors des assemblées, dans le cadre de l</w:t>
      </w:r>
      <w:r w:rsidR="00356264" w:rsidRPr="00025473">
        <w:rPr>
          <w:i/>
        </w:rPr>
        <w:t>’</w:t>
      </w:r>
      <w:r w:rsidR="00A70598" w:rsidRPr="00025473">
        <w:rPr>
          <w:i/>
        </w:rPr>
        <w:t xml:space="preserve">examen du programme et budget proposé, </w:t>
      </w:r>
      <w:r w:rsidR="00EC30C1" w:rsidRPr="00025473">
        <w:rPr>
          <w:i/>
        </w:rPr>
        <w:t>du</w:t>
      </w:r>
      <w:r w:rsidR="00A70598" w:rsidRPr="00025473">
        <w:rPr>
          <w:i/>
        </w:rPr>
        <w:t xml:space="preserve"> programme 20 relatif aux bureaux extérieurs;  et</w:t>
      </w:r>
    </w:p>
    <w:p w:rsidR="00356264" w:rsidRPr="00025473" w:rsidRDefault="00A70598" w:rsidP="00025473">
      <w:pPr>
        <w:pStyle w:val="ONUMFS"/>
        <w:numPr>
          <w:ilvl w:val="0"/>
          <w:numId w:val="32"/>
        </w:numPr>
        <w:ind w:left="567" w:firstLine="0"/>
        <w:rPr>
          <w:i/>
        </w:rPr>
      </w:pPr>
      <w:r w:rsidRPr="00025473">
        <w:rPr>
          <w:i/>
        </w:rPr>
        <w:t xml:space="preserve">prise en considération des </w:t>
      </w:r>
      <w:r w:rsidR="00CC53EC" w:rsidRPr="00025473">
        <w:rPr>
          <w:i/>
        </w:rPr>
        <w:t>modifications</w:t>
      </w:r>
      <w:r w:rsidRPr="00025473">
        <w:rPr>
          <w:i/>
        </w:rPr>
        <w:t xml:space="preserve"> convenu</w:t>
      </w:r>
      <w:r w:rsidR="00CC53EC" w:rsidRPr="00025473">
        <w:rPr>
          <w:i/>
        </w:rPr>
        <w:t>e</w:t>
      </w:r>
      <w:r w:rsidRPr="00025473">
        <w:rPr>
          <w:i/>
        </w:rPr>
        <w:t>s</w:t>
      </w:r>
      <w:r w:rsidR="00CC53EC" w:rsidRPr="00025473">
        <w:rPr>
          <w:i/>
        </w:rPr>
        <w:t xml:space="preserve"> en ce qui concerne le paragraphe 44 de la Synthèse financière et les programmes 1, 2, 3, 8, 9, 11, 15, 17, 23, 27 et 30.</w:t>
      </w:r>
    </w:p>
    <w:p w:rsidR="00356264" w:rsidRPr="00025473" w:rsidRDefault="00CC53EC" w:rsidP="00356264">
      <w:pPr>
        <w:pStyle w:val="ONUMFS"/>
        <w:numPr>
          <w:ilvl w:val="0"/>
          <w:numId w:val="31"/>
        </w:numPr>
        <w:tabs>
          <w:tab w:val="left" w:pos="567"/>
        </w:tabs>
        <w:ind w:left="0" w:firstLine="0"/>
        <w:rPr>
          <w:i/>
        </w:rPr>
      </w:pPr>
      <w:r w:rsidRPr="00025473">
        <w:rPr>
          <w:i/>
        </w:rPr>
        <w:t>Le PBC en a référé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et des unions, chacune pour ce qui la concerne,</w:t>
      </w:r>
      <w:r w:rsidR="00DA3AFB" w:rsidRPr="00025473">
        <w:rPr>
          <w:i/>
        </w:rPr>
        <w:t xml:space="preserve"> concernant une décision sur les questions suivantes :</w:t>
      </w:r>
    </w:p>
    <w:p w:rsidR="00DA3AFB" w:rsidRPr="00025473" w:rsidRDefault="00DA3AFB" w:rsidP="00025473">
      <w:pPr>
        <w:pStyle w:val="ONUMFS"/>
        <w:numPr>
          <w:ilvl w:val="0"/>
          <w:numId w:val="33"/>
        </w:numPr>
        <w:ind w:left="567" w:firstLine="0"/>
        <w:rPr>
          <w:i/>
        </w:rPr>
      </w:pPr>
      <w:r w:rsidRPr="00025473">
        <w:rPr>
          <w:i/>
        </w:rPr>
        <w:t>le programme 18;</w:t>
      </w:r>
    </w:p>
    <w:p w:rsidR="00DA3AFB" w:rsidRPr="00025473" w:rsidRDefault="00DA3AFB" w:rsidP="00025473">
      <w:pPr>
        <w:pStyle w:val="ONUMFS"/>
        <w:numPr>
          <w:ilvl w:val="0"/>
          <w:numId w:val="33"/>
        </w:numPr>
        <w:ind w:left="567" w:firstLine="0"/>
        <w:rPr>
          <w:i/>
        </w:rPr>
      </w:pPr>
      <w:r w:rsidRPr="00025473">
        <w:rPr>
          <w:i/>
        </w:rPr>
        <w:t>l</w:t>
      </w:r>
      <w:r w:rsidR="00356264" w:rsidRPr="00025473">
        <w:rPr>
          <w:i/>
        </w:rPr>
        <w:t>’</w:t>
      </w:r>
      <w:r w:rsidRPr="00025473">
        <w:rPr>
          <w:i/>
        </w:rPr>
        <w:t>objectif énoncé au programme 2 s</w:t>
      </w:r>
      <w:r w:rsidR="00356264" w:rsidRPr="00025473">
        <w:rPr>
          <w:i/>
        </w:rPr>
        <w:t>’</w:t>
      </w:r>
      <w:r w:rsidRPr="00025473">
        <w:rPr>
          <w:i/>
        </w:rPr>
        <w:t>agissant de la tenue d</w:t>
      </w:r>
      <w:r w:rsidR="00356264" w:rsidRPr="00025473">
        <w:rPr>
          <w:i/>
        </w:rPr>
        <w:t>’</w:t>
      </w:r>
      <w:r w:rsidRPr="00025473">
        <w:rPr>
          <w:i/>
        </w:rPr>
        <w:t>une conférence diplomatique;  et</w:t>
      </w:r>
    </w:p>
    <w:p w:rsidR="00356264" w:rsidRPr="00025473" w:rsidRDefault="00DA3AFB" w:rsidP="00025473">
      <w:pPr>
        <w:pStyle w:val="ONUMFS"/>
        <w:numPr>
          <w:ilvl w:val="0"/>
          <w:numId w:val="33"/>
        </w:numPr>
        <w:ind w:left="567" w:firstLine="0"/>
        <w:rPr>
          <w:i/>
        </w:rPr>
      </w:pPr>
      <w:r w:rsidRPr="00025473">
        <w:rPr>
          <w:i/>
        </w:rPr>
        <w:t>l</w:t>
      </w:r>
      <w:r w:rsidR="00356264" w:rsidRPr="00025473">
        <w:rPr>
          <w:i/>
        </w:rPr>
        <w:t>’</w:t>
      </w:r>
      <w:r w:rsidRPr="00025473">
        <w:rPr>
          <w:i/>
        </w:rPr>
        <w:t>objectif énoncé au programme 4 s</w:t>
      </w:r>
      <w:r w:rsidR="00356264" w:rsidRPr="00025473">
        <w:rPr>
          <w:i/>
        </w:rPr>
        <w:t>’</w:t>
      </w:r>
      <w:r w:rsidRPr="00025473">
        <w:rPr>
          <w:i/>
        </w:rPr>
        <w:t>agissant de la tenue d</w:t>
      </w:r>
      <w:r w:rsidR="00356264" w:rsidRPr="00025473">
        <w:rPr>
          <w:i/>
        </w:rPr>
        <w:t>’</w:t>
      </w:r>
      <w:r w:rsidRPr="00025473">
        <w:rPr>
          <w:i/>
        </w:rPr>
        <w:t>une conférence diplomatique.</w:t>
      </w:r>
    </w:p>
    <w:p w:rsidR="007312E7" w:rsidRPr="00025473" w:rsidRDefault="007312E7" w:rsidP="00025473">
      <w:pPr>
        <w:pStyle w:val="Heading2"/>
      </w:pPr>
      <w:r w:rsidRPr="00025473">
        <w:t>Plan</w:t>
      </w:r>
      <w:r w:rsidR="00025473" w:rsidRPr="00025473">
        <w:noBreakHyphen/>
      </w:r>
      <w:r w:rsidRPr="00025473">
        <w:t>cadre d</w:t>
      </w:r>
      <w:r w:rsidR="00356264" w:rsidRPr="00025473">
        <w:t>’</w:t>
      </w:r>
      <w:r w:rsidR="00E7265C">
        <w:t>É</w:t>
      </w:r>
      <w:r w:rsidRPr="00025473">
        <w:t>quipement</w:t>
      </w:r>
    </w:p>
    <w:p w:rsidR="007312E7" w:rsidRPr="00025473" w:rsidRDefault="007312E7" w:rsidP="007312E7"/>
    <w:p w:rsidR="007312E7" w:rsidRPr="00025473" w:rsidRDefault="007312E7" w:rsidP="007312E7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WO/PBC/21/18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</w:t>
      </w:r>
      <w:r w:rsidR="00DA3AFB" w:rsidRPr="00025473">
        <w:rPr>
          <w:i/>
        </w:rPr>
        <w:t xml:space="preserve"> (PBC)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ind w:left="567"/>
        <w:rPr>
          <w:i/>
        </w:rPr>
      </w:pPr>
      <w:r w:rsidRPr="00025473">
        <w:rPr>
          <w:i/>
        </w:rPr>
        <w:t>i)</w:t>
      </w:r>
      <w:r w:rsidRPr="00025473">
        <w:rPr>
          <w:i/>
        </w:rPr>
        <w:tab/>
        <w:t>a entériné les principes en vertu desquels les projets ont été et seront inclus dans le Plan</w:t>
      </w:r>
      <w:r w:rsidR="00025473" w:rsidRPr="00025473">
        <w:rPr>
          <w:i/>
        </w:rPr>
        <w:noBreakHyphen/>
      </w:r>
      <w:r w:rsidRPr="00025473">
        <w:rPr>
          <w:i/>
        </w:rPr>
        <w:t>cadre d</w:t>
      </w:r>
      <w:r w:rsidR="00356264" w:rsidRPr="00025473">
        <w:rPr>
          <w:i/>
        </w:rPr>
        <w:t>’</w:t>
      </w:r>
      <w:r w:rsidRPr="00025473">
        <w:rPr>
          <w:i/>
        </w:rPr>
        <w:t>équipement de l</w:t>
      </w:r>
      <w:r w:rsidR="00356264" w:rsidRPr="00025473">
        <w:rPr>
          <w:i/>
        </w:rPr>
        <w:t>’</w:t>
      </w:r>
      <w:r w:rsidRPr="00025473">
        <w:rPr>
          <w:i/>
        </w:rPr>
        <w:t>Organisation, comme indiqué dans le document WO/PBC/21/18,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ind w:left="567"/>
        <w:rPr>
          <w:i/>
        </w:rPr>
      </w:pPr>
      <w:r w:rsidRPr="00025473">
        <w:rPr>
          <w:i/>
        </w:rPr>
        <w:t xml:space="preserve">ii) </w:t>
      </w:r>
      <w:r w:rsidRPr="00025473">
        <w:rPr>
          <w:i/>
        </w:rPr>
        <w:tab/>
        <w:t>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</w:t>
      </w:r>
      <w:r w:rsidR="00356264" w:rsidRPr="00025473">
        <w:rPr>
          <w:i/>
        </w:rPr>
        <w:t>’</w:t>
      </w:r>
      <w:r w:rsidRPr="00025473">
        <w:rPr>
          <w:i/>
        </w:rPr>
        <w:t>approuver le financement des projets présentés dans l</w:t>
      </w:r>
      <w:r w:rsidR="00356264" w:rsidRPr="00025473">
        <w:rPr>
          <w:i/>
        </w:rPr>
        <w:t>’</w:t>
      </w:r>
      <w:r w:rsidRPr="00025473">
        <w:rPr>
          <w:i/>
        </w:rPr>
        <w:t>annexe du document WO/PBC/21/18, pour un montant total estimé à 11,2 millions de francs suisses à prélever sur les réserves,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ind w:left="567"/>
        <w:rPr>
          <w:i/>
        </w:rPr>
      </w:pPr>
      <w:proofErr w:type="spellStart"/>
      <w:r w:rsidRPr="00025473">
        <w:rPr>
          <w:i/>
        </w:rPr>
        <w:lastRenderedPageBreak/>
        <w:t>iii.a</w:t>
      </w:r>
      <w:proofErr w:type="spellEnd"/>
      <w:r w:rsidRPr="00025473">
        <w:rPr>
          <w:i/>
        </w:rPr>
        <w:t>)</w:t>
      </w:r>
      <w:r w:rsidRPr="00025473">
        <w:rPr>
          <w:i/>
        </w:rPr>
        <w:tab/>
        <w:t>a prié le Secrétariat de fournir, lors des sessions des assemblées, des informations supplémentaires sur les économies générées par ces projets ainsi que des précisions sur l</w:t>
      </w:r>
      <w:r w:rsidR="00356264" w:rsidRPr="00025473">
        <w:rPr>
          <w:i/>
        </w:rPr>
        <w:t>’</w:t>
      </w:r>
      <w:r w:rsidRPr="00025473">
        <w:rPr>
          <w:i/>
        </w:rPr>
        <w:t>amortissement et la capitalisation des dépenses correspondantes,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ind w:left="567"/>
      </w:pPr>
      <w:proofErr w:type="spellStart"/>
      <w:r w:rsidRPr="00025473">
        <w:rPr>
          <w:i/>
        </w:rPr>
        <w:t>iii.b</w:t>
      </w:r>
      <w:proofErr w:type="spellEnd"/>
      <w:r w:rsidRPr="00025473">
        <w:rPr>
          <w:i/>
        </w:rPr>
        <w:t>)</w:t>
      </w:r>
      <w:r w:rsidRPr="00025473">
        <w:rPr>
          <w:i/>
        </w:rPr>
        <w:tab/>
        <w:t>a prié le Secrétariat de cibler des économies supplémentaires dans le cadre du budget ordinaire, notamment en mettant pleinement en œuvre les recommandations de la Division de l</w:t>
      </w:r>
      <w:r w:rsidR="00356264" w:rsidRPr="00025473">
        <w:rPr>
          <w:i/>
        </w:rPr>
        <w:t>’</w:t>
      </w:r>
      <w:r w:rsidRPr="00025473">
        <w:rPr>
          <w:i/>
        </w:rPr>
        <w:t>audit et de la supervision internes sur la politique en matière de voyages et en améliorant la gestion de la trésorerie, en vue de réduire l</w:t>
      </w:r>
      <w:r w:rsidR="00356264" w:rsidRPr="00025473">
        <w:rPr>
          <w:i/>
        </w:rPr>
        <w:t>’</w:t>
      </w:r>
      <w:r w:rsidRPr="00025473">
        <w:rPr>
          <w:i/>
        </w:rPr>
        <w:t>utilisation des réserves aux fins du financement des projets visés au point ii),</w:t>
      </w:r>
    </w:p>
    <w:p w:rsidR="007312E7" w:rsidRPr="00025473" w:rsidRDefault="007312E7" w:rsidP="007312E7">
      <w:pPr>
        <w:pStyle w:val="ONUMFS"/>
        <w:numPr>
          <w:ilvl w:val="0"/>
          <w:numId w:val="0"/>
        </w:numPr>
        <w:ind w:left="567"/>
        <w:rPr>
          <w:i/>
        </w:rPr>
      </w:pPr>
      <w:proofErr w:type="spellStart"/>
      <w:r w:rsidRPr="00025473">
        <w:rPr>
          <w:i/>
        </w:rPr>
        <w:t>iii.c</w:t>
      </w:r>
      <w:proofErr w:type="spellEnd"/>
      <w:r w:rsidRPr="00025473">
        <w:rPr>
          <w:i/>
        </w:rPr>
        <w:t>)</w:t>
      </w:r>
      <w:r w:rsidRPr="00025473">
        <w:rPr>
          <w:i/>
        </w:rPr>
        <w:tab/>
        <w:t>a prié le Secrétariat de rendre compte des progrès réalisés concernant les points </w:t>
      </w:r>
      <w:proofErr w:type="spellStart"/>
      <w:r w:rsidRPr="00025473">
        <w:rPr>
          <w:i/>
        </w:rPr>
        <w:t>iii.a</w:t>
      </w:r>
      <w:proofErr w:type="spellEnd"/>
      <w:r w:rsidRPr="00025473">
        <w:rPr>
          <w:i/>
        </w:rPr>
        <w:t xml:space="preserve">) et </w:t>
      </w:r>
      <w:proofErr w:type="spellStart"/>
      <w:r w:rsidRPr="00025473">
        <w:rPr>
          <w:i/>
        </w:rPr>
        <w:t>iii.b</w:t>
      </w:r>
      <w:proofErr w:type="spellEnd"/>
      <w:r w:rsidRPr="00025473">
        <w:rPr>
          <w:i/>
        </w:rPr>
        <w:t>) à la prochaine session de septembre</w:t>
      </w:r>
      <w:r w:rsidR="00BD07A9" w:rsidRPr="00025473">
        <w:rPr>
          <w:i/>
        </w:rPr>
        <w:t xml:space="preserve"> du PBC</w:t>
      </w:r>
      <w:r w:rsidRPr="00025473">
        <w:rPr>
          <w:i/>
        </w:rPr>
        <w:t>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14 de l</w:t>
      </w:r>
      <w:r w:rsidR="00356264" w:rsidRPr="00025473">
        <w:t>’</w:t>
      </w:r>
      <w:r w:rsidRPr="00025473">
        <w:t>ordre du jour</w:t>
      </w:r>
    </w:p>
    <w:p w:rsidR="006F0062" w:rsidRPr="00025473" w:rsidRDefault="00E7265C" w:rsidP="006F0062">
      <w:pPr>
        <w:pStyle w:val="Heading2"/>
      </w:pPr>
      <w:r>
        <w:t>Proposition de dÉ</w:t>
      </w:r>
      <w:r w:rsidR="006F0062" w:rsidRPr="00025473">
        <w:t>finition des “d</w:t>
      </w:r>
      <w:r>
        <w:t>É</w:t>
      </w:r>
      <w:r w:rsidR="006F0062" w:rsidRPr="00025473">
        <w:t>penses de développement” dans le cadre du programme et budget</w:t>
      </w:r>
    </w:p>
    <w:p w:rsidR="00A4573F" w:rsidRPr="00025473" w:rsidRDefault="00A4573F" w:rsidP="00A4573F"/>
    <w:p w:rsidR="00DA3AFB" w:rsidRPr="00025473" w:rsidRDefault="00DA3AFB" w:rsidP="00A4573F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Documents de référence : WO/PBC/19/25 et document connexe (Définition révisée des “dépenses de développement” proposée par le président</w:t>
      </w:r>
      <w:r w:rsidR="00356264" w:rsidRPr="00025473">
        <w:rPr>
          <w:i/>
        </w:rPr>
        <w:t xml:space="preserve"> du PBC</w:t>
      </w:r>
      <w:r w:rsidRPr="00025473">
        <w:rPr>
          <w:i/>
        </w:rPr>
        <w:t>) distribué à la vingtième</w:t>
      </w:r>
      <w:r w:rsidR="00641FFA" w:rsidRPr="00025473">
        <w:rPr>
          <w:i/>
        </w:rPr>
        <w:t> </w:t>
      </w:r>
      <w:r w:rsidRPr="00025473">
        <w:rPr>
          <w:i/>
        </w:rPr>
        <w:t>session</w:t>
      </w:r>
    </w:p>
    <w:p w:rsidR="00A4573F" w:rsidRPr="00025473" w:rsidRDefault="00A4573F" w:rsidP="00A4573F">
      <w:pPr>
        <w:pStyle w:val="ONUMFS"/>
        <w:numPr>
          <w:ilvl w:val="0"/>
          <w:numId w:val="0"/>
        </w:numPr>
      </w:pPr>
      <w:r w:rsidRPr="00025473">
        <w:rPr>
          <w:i/>
        </w:rPr>
        <w:t xml:space="preserve">Le Comité du programme et budget a </w:t>
      </w:r>
      <w:r w:rsidR="00CE45A3" w:rsidRPr="00025473">
        <w:rPr>
          <w:i/>
        </w:rPr>
        <w:t>recommandé</w:t>
      </w:r>
      <w:r w:rsidRPr="00025473">
        <w:rPr>
          <w:i/>
        </w:rPr>
        <w:t xml:space="preserve"> 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CE45A3" w:rsidRPr="00025473">
        <w:rPr>
          <w:i/>
        </w:rPr>
        <w:t xml:space="preserve"> d</w:t>
      </w:r>
      <w:r w:rsidR="00356264" w:rsidRPr="00025473">
        <w:rPr>
          <w:i/>
        </w:rPr>
        <w:t>’</w:t>
      </w:r>
      <w:r w:rsidR="00CE45A3" w:rsidRPr="00025473">
        <w:rPr>
          <w:i/>
        </w:rPr>
        <w:t>examiner cette question et de prendre des mesures appropriées</w:t>
      </w:r>
      <w:r w:rsidRPr="00025473">
        <w:rPr>
          <w:i/>
        </w:rPr>
        <w:t>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15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sur l</w:t>
      </w:r>
      <w:r w:rsidR="00356264" w:rsidRPr="00025473">
        <w:t>’</w:t>
      </w:r>
      <w:r w:rsidR="00E7265C">
        <w:t>É</w:t>
      </w:r>
      <w:r w:rsidRPr="00025473">
        <w:t>tat d</w:t>
      </w:r>
      <w:r w:rsidR="00356264" w:rsidRPr="00025473">
        <w:t>’</w:t>
      </w:r>
      <w:r w:rsidRPr="00025473">
        <w:t xml:space="preserve">avancement du projet relatif </w:t>
      </w:r>
      <w:r w:rsidR="00E7265C">
        <w:t>au renforcement des normes de sÛ</w:t>
      </w:r>
      <w:r w:rsidRPr="00025473">
        <w:t>ret</w:t>
      </w:r>
      <w:r w:rsidR="00E7265C">
        <w:t>É et de sÉ</w:t>
      </w:r>
      <w:r w:rsidRPr="00025473">
        <w:t>curit</w:t>
      </w:r>
      <w:r w:rsidR="00E7265C">
        <w:t>É</w:t>
      </w:r>
      <w:r w:rsidRPr="00025473">
        <w:t xml:space="preserve"> pour les b</w:t>
      </w:r>
      <w:r w:rsidR="00E7265C">
        <w:t>À</w:t>
      </w:r>
      <w:r w:rsidRPr="00025473">
        <w:t>timents existants de l</w:t>
      </w:r>
      <w:r w:rsidR="00356264" w:rsidRPr="00025473">
        <w:t>’</w:t>
      </w:r>
      <w:r w:rsidRPr="00025473">
        <w:t>OMPI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</w:pPr>
      <w:proofErr w:type="gramStart"/>
      <w:r w:rsidRPr="00025473">
        <w:t>document</w:t>
      </w:r>
      <w:proofErr w:type="gramEnd"/>
      <w:r w:rsidRPr="00025473">
        <w:t xml:space="preserve"> WO/PBC/21/9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WO/PBC/21/9.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16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final sur la</w:t>
      </w:r>
      <w:r w:rsidR="00E7265C">
        <w:t xml:space="preserve"> mise en œuvre du Programme de rÉ</w:t>
      </w:r>
      <w:r w:rsidRPr="00025473">
        <w:t xml:space="preserve">orientation </w:t>
      </w:r>
      <w:r w:rsidR="00E7265C">
        <w:t>stratÉ</w:t>
      </w:r>
      <w:r w:rsidRPr="00025473">
        <w:t>gique (PRS) de l</w:t>
      </w:r>
      <w:r w:rsidR="00356264" w:rsidRPr="00025473">
        <w:t>’</w:t>
      </w:r>
      <w:r w:rsidRPr="00025473">
        <w:t>OMPI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</w:pPr>
      <w:proofErr w:type="gramStart"/>
      <w:r w:rsidRPr="00025473">
        <w:rPr>
          <w:iCs/>
        </w:rPr>
        <w:t>document</w:t>
      </w:r>
      <w:proofErr w:type="gramEnd"/>
      <w:r w:rsidRPr="00025473">
        <w:t xml:space="preserve"> WO/PBC/21/10</w:t>
      </w:r>
    </w:p>
    <w:p w:rsidR="00A4573F" w:rsidRPr="00025473" w:rsidRDefault="00A4573F" w:rsidP="00A4573F">
      <w:pPr>
        <w:pStyle w:val="ONUMFS"/>
        <w:numPr>
          <w:ilvl w:val="0"/>
          <w:numId w:val="0"/>
        </w:numPr>
      </w:pPr>
      <w:r w:rsidRPr="00025473">
        <w:rPr>
          <w:i/>
        </w:rPr>
        <w:t xml:space="preserve">Le Comité du programme et budget a </w:t>
      </w:r>
      <w:r w:rsidR="00CE45A3" w:rsidRPr="00025473">
        <w:rPr>
          <w:i/>
        </w:rPr>
        <w:t xml:space="preserve">recommandé </w:t>
      </w:r>
      <w:r w:rsidRPr="00025473">
        <w:rPr>
          <w:i/>
        </w:rPr>
        <w:t>à l</w:t>
      </w:r>
      <w:r w:rsidR="00356264" w:rsidRPr="00025473">
        <w:rPr>
          <w:i/>
        </w:rPr>
        <w:t>’</w:t>
      </w:r>
      <w:r w:rsidRPr="00025473">
        <w:rPr>
          <w:i/>
        </w:rPr>
        <w:t>Assemblée générale de l</w:t>
      </w:r>
      <w:r w:rsidR="00356264" w:rsidRPr="00025473">
        <w:rPr>
          <w:i/>
        </w:rPr>
        <w:t>’</w:t>
      </w:r>
      <w:r w:rsidRPr="00025473">
        <w:rPr>
          <w:i/>
        </w:rPr>
        <w:t>OMPI</w:t>
      </w:r>
      <w:r w:rsidR="00CE45A3" w:rsidRPr="00025473">
        <w:rPr>
          <w:i/>
        </w:rPr>
        <w:t xml:space="preserve"> d</w:t>
      </w:r>
      <w:r w:rsidR="00356264" w:rsidRPr="00025473">
        <w:rPr>
          <w:i/>
        </w:rPr>
        <w:t>’</w:t>
      </w:r>
      <w:r w:rsidR="00CE45A3" w:rsidRPr="00025473">
        <w:rPr>
          <w:i/>
        </w:rPr>
        <w:t>examiner cette question et de prendre des mesures appropriées</w:t>
      </w:r>
      <w:r w:rsidRPr="00025473">
        <w:rPr>
          <w:i/>
        </w:rPr>
        <w:t>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lastRenderedPageBreak/>
        <w:t>Point 17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sur l</w:t>
      </w:r>
      <w:r w:rsidR="00356264" w:rsidRPr="00025473">
        <w:t>’</w:t>
      </w:r>
      <w:r w:rsidR="00E7265C">
        <w:t>É</w:t>
      </w:r>
      <w:r w:rsidRPr="00025473">
        <w:t>tat d</w:t>
      </w:r>
      <w:r w:rsidR="00356264" w:rsidRPr="00025473">
        <w:t>’</w:t>
      </w:r>
      <w:r w:rsidRPr="00025473">
        <w:t>avancement des projets de construction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</w:pPr>
      <w:proofErr w:type="gramStart"/>
      <w:r w:rsidRPr="00025473">
        <w:rPr>
          <w:iCs/>
        </w:rPr>
        <w:t>document</w:t>
      </w:r>
      <w:proofErr w:type="gramEnd"/>
      <w:r w:rsidRPr="00025473">
        <w:t xml:space="preserve"> WO/PBC/21/11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WO/PBC/21/11 et a prié le Secrétariat de prendre toutes les mesures nécessaires pour que le projet de nouvelle salle de conférence soit achevé dans les limites du budget approuvé.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18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sur l</w:t>
      </w:r>
      <w:r w:rsidR="00356264" w:rsidRPr="00025473">
        <w:t>’</w:t>
      </w:r>
      <w:r w:rsidR="00E7265C">
        <w:t>É</w:t>
      </w:r>
      <w:r w:rsidRPr="00025473">
        <w:t>tat d</w:t>
      </w:r>
      <w:r w:rsidR="00356264" w:rsidRPr="00025473">
        <w:t>’</w:t>
      </w:r>
      <w:r w:rsidRPr="00025473">
        <w:t>avancement de la mise en œuvre d</w:t>
      </w:r>
      <w:r w:rsidR="00356264" w:rsidRPr="00025473">
        <w:t>’</w:t>
      </w:r>
      <w:r w:rsidRPr="00025473">
        <w:t>un syst</w:t>
      </w:r>
      <w:r w:rsidR="00E7265C">
        <w:t>È</w:t>
      </w:r>
      <w:r w:rsidRPr="00025473">
        <w:t>me int</w:t>
      </w:r>
      <w:r w:rsidR="00E7265C">
        <w:t>É</w:t>
      </w:r>
      <w:r w:rsidRPr="00025473">
        <w:t>gr</w:t>
      </w:r>
      <w:r w:rsidR="00E7265C">
        <w:t>É</w:t>
      </w:r>
      <w:r w:rsidRPr="00025473">
        <w:t xml:space="preserve"> de plan</w:t>
      </w:r>
      <w:r w:rsidR="00E7265C">
        <w:t>ification des ressources (ERP) À</w:t>
      </w:r>
      <w:r w:rsidRPr="00025473">
        <w:t xml:space="preserve"> l</w:t>
      </w:r>
      <w:r w:rsidR="00356264" w:rsidRPr="00025473">
        <w:t>’</w:t>
      </w:r>
      <w:r w:rsidRPr="00025473">
        <w:t>OMPI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</w:pPr>
      <w:proofErr w:type="gramStart"/>
      <w:r w:rsidRPr="00025473">
        <w:rPr>
          <w:iCs/>
        </w:rPr>
        <w:t>document</w:t>
      </w:r>
      <w:proofErr w:type="gramEnd"/>
      <w:r w:rsidRPr="00025473">
        <w:t xml:space="preserve"> WO/PBC/21/12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  <w:szCs w:val="22"/>
        </w:rPr>
      </w:pPr>
      <w:r w:rsidRPr="00025473">
        <w:rPr>
          <w:i/>
        </w:rPr>
        <w:t>Le Comité du programme et budget 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WO/PBC/21/12</w:t>
      </w:r>
      <w:r w:rsidRPr="00025473">
        <w:rPr>
          <w:i/>
          <w:szCs w:val="22"/>
        </w:rPr>
        <w:t>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19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sur l</w:t>
      </w:r>
      <w:r w:rsidR="00356264" w:rsidRPr="00025473">
        <w:t>’</w:t>
      </w:r>
      <w:r w:rsidR="00E7265C">
        <w:t>É</w:t>
      </w:r>
      <w:r w:rsidRPr="00025473">
        <w:t>tat d</w:t>
      </w:r>
      <w:r w:rsidR="00356264" w:rsidRPr="00025473">
        <w:t>’</w:t>
      </w:r>
      <w:r w:rsidRPr="00025473">
        <w:t>avancement du projet d</w:t>
      </w:r>
      <w:r w:rsidR="00356264" w:rsidRPr="00025473">
        <w:t>’</w:t>
      </w:r>
      <w:r w:rsidRPr="00025473">
        <w:t>investissement dans les technologies de l</w:t>
      </w:r>
      <w:r w:rsidR="00356264" w:rsidRPr="00025473">
        <w:t>’</w:t>
      </w:r>
      <w:r w:rsidRPr="00025473">
        <w:t>information et de la communication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</w:pPr>
      <w:proofErr w:type="gramStart"/>
      <w:r w:rsidRPr="00025473">
        <w:rPr>
          <w:iCs/>
        </w:rPr>
        <w:t>document</w:t>
      </w:r>
      <w:proofErr w:type="gramEnd"/>
      <w:r w:rsidRPr="00025473">
        <w:t xml:space="preserve"> WO/PBC/21/14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de prendre note du contenu du document WO/PBC/21/14.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20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Rapport sur l</w:t>
      </w:r>
      <w:r w:rsidR="00356264" w:rsidRPr="00025473">
        <w:t>’</w:t>
      </w:r>
      <w:r w:rsidR="00E7265C">
        <w:t>É</w:t>
      </w:r>
      <w:r w:rsidRPr="00025473">
        <w:t>tat d</w:t>
      </w:r>
      <w:r w:rsidR="00356264" w:rsidRPr="00025473">
        <w:t>’</w:t>
      </w:r>
      <w:r w:rsidRPr="00025473">
        <w:t>avancement de la mise en œuvre de la politique linguistique de l</w:t>
      </w:r>
      <w:r w:rsidR="00356264" w:rsidRPr="00025473">
        <w:t>’</w:t>
      </w:r>
      <w:r w:rsidRPr="00025473">
        <w:t>OMPI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  <w:rPr>
          <w:b/>
        </w:rPr>
      </w:pPr>
      <w:proofErr w:type="gramStart"/>
      <w:r w:rsidRPr="00025473">
        <w:rPr>
          <w:iCs/>
        </w:rPr>
        <w:t>document</w:t>
      </w:r>
      <w:proofErr w:type="gramEnd"/>
      <w:r w:rsidRPr="00025473">
        <w:t xml:space="preserve"> WO/PBC/21/15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</w:t>
      </w:r>
      <w:r w:rsidR="00CE45A3" w:rsidRPr="00025473">
        <w:rPr>
          <w:i/>
        </w:rPr>
        <w:t xml:space="preserve"> (PBC)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ind w:left="1134" w:hanging="567"/>
        <w:rPr>
          <w:i/>
        </w:rPr>
      </w:pPr>
      <w:r w:rsidRPr="00025473">
        <w:rPr>
          <w:i/>
        </w:rPr>
        <w:t>i)</w:t>
      </w:r>
      <w:r w:rsidRPr="00025473">
        <w:rPr>
          <w:i/>
        </w:rPr>
        <w:tab/>
        <w:t>a pris note des informations contenues dans le document WO/PBC/21/15;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ind w:left="1134" w:hanging="567"/>
        <w:rPr>
          <w:i/>
        </w:rPr>
      </w:pPr>
      <w:r w:rsidRPr="00025473">
        <w:rPr>
          <w:i/>
        </w:rPr>
        <w:t>ii)</w:t>
      </w:r>
      <w:r w:rsidRPr="00025473">
        <w:rPr>
          <w:i/>
        </w:rPr>
        <w:tab/>
        <w:t>a recommandé aux assemblées des États membres de l</w:t>
      </w:r>
      <w:r w:rsidR="00356264" w:rsidRPr="00025473">
        <w:rPr>
          <w:i/>
        </w:rPr>
        <w:t>’</w:t>
      </w:r>
      <w:r w:rsidRPr="00025473">
        <w:rPr>
          <w:i/>
        </w:rPr>
        <w:t>OMPI l</w:t>
      </w:r>
      <w:r w:rsidR="00356264" w:rsidRPr="00025473">
        <w:rPr>
          <w:i/>
        </w:rPr>
        <w:t>’</w:t>
      </w:r>
      <w:r w:rsidRPr="00025473">
        <w:rPr>
          <w:i/>
        </w:rPr>
        <w:t>adoption des propositions figurant au paragraphe 13 du document WO/PBC/21/15, sous réserve des modifications suivantes :</w:t>
      </w:r>
    </w:p>
    <w:p w:rsidR="006F0062" w:rsidRPr="00025473" w:rsidRDefault="006F0062" w:rsidP="006F0062">
      <w:pPr>
        <w:pStyle w:val="ONUMFS"/>
        <w:numPr>
          <w:ilvl w:val="0"/>
          <w:numId w:val="0"/>
        </w:numPr>
        <w:ind w:left="1134"/>
        <w:rPr>
          <w:i/>
        </w:rPr>
      </w:pPr>
      <w:r w:rsidRPr="00025473">
        <w:rPr>
          <w:i/>
        </w:rPr>
        <w:t>“14.</w:t>
      </w:r>
      <w:r w:rsidRPr="00025473">
        <w:rPr>
          <w:i/>
        </w:rPr>
        <w:tab/>
        <w:t>Compte tenu des informations contenues dans le présent document et de l</w:t>
      </w:r>
      <w:r w:rsidR="00356264" w:rsidRPr="00025473">
        <w:rPr>
          <w:i/>
        </w:rPr>
        <w:t>’</w:t>
      </w:r>
      <w:r w:rsidRPr="00025473">
        <w:rPr>
          <w:i/>
        </w:rPr>
        <w:t>importance que revêt la mise à disposition dans les six langues de la documentation des réunions des groupes de travail, les propositions ci</w:t>
      </w:r>
      <w:r w:rsidR="00025473" w:rsidRPr="00025473">
        <w:rPr>
          <w:i/>
        </w:rPr>
        <w:noBreakHyphen/>
      </w:r>
      <w:r w:rsidRPr="00025473">
        <w:rPr>
          <w:i/>
        </w:rPr>
        <w:t>après sont soumises aux États membres pour examen :</w:t>
      </w:r>
    </w:p>
    <w:p w:rsidR="005D40D1" w:rsidRPr="00025473" w:rsidRDefault="005D40D1" w:rsidP="005D40D1">
      <w:pPr>
        <w:pStyle w:val="ONUMFS"/>
        <w:numPr>
          <w:ilvl w:val="0"/>
          <w:numId w:val="0"/>
        </w:numPr>
        <w:ind w:left="2268" w:hanging="567"/>
        <w:rPr>
          <w:i/>
        </w:rPr>
      </w:pPr>
      <w:r w:rsidRPr="00025473">
        <w:rPr>
          <w:i/>
        </w:rPr>
        <w:lastRenderedPageBreak/>
        <w:t>“</w:t>
      </w:r>
      <w:proofErr w:type="gramStart"/>
      <w:r w:rsidRPr="00025473">
        <w:rPr>
          <w:i/>
        </w:rPr>
        <w:t>a</w:t>
      </w:r>
      <w:proofErr w:type="gramEnd"/>
      <w:r w:rsidRPr="00025473">
        <w:rPr>
          <w:i/>
        </w:rPr>
        <w:t>)</w:t>
      </w:r>
      <w:r w:rsidRPr="00025473">
        <w:rPr>
          <w:i/>
        </w:rPr>
        <w:tab/>
        <w:t>le Secrétariat continuera d</w:t>
      </w:r>
      <w:r w:rsidR="00356264" w:rsidRPr="00025473">
        <w:rPr>
          <w:i/>
        </w:rPr>
        <w:t>’</w:t>
      </w:r>
      <w:r w:rsidRPr="00025473">
        <w:rPr>
          <w:i/>
        </w:rPr>
        <w:t>appliquer les mesures de rationalisation et de maîtrise visant à réduire encore le nombre et la longueur moyenne des documents de travail;</w:t>
      </w:r>
    </w:p>
    <w:p w:rsidR="005D40D1" w:rsidRPr="00025473" w:rsidRDefault="005D40D1" w:rsidP="005D40D1">
      <w:pPr>
        <w:pStyle w:val="ONUMFS"/>
        <w:numPr>
          <w:ilvl w:val="0"/>
          <w:numId w:val="0"/>
        </w:numPr>
        <w:ind w:left="2268" w:hanging="567"/>
        <w:rPr>
          <w:i/>
        </w:rPr>
      </w:pPr>
      <w:r w:rsidRPr="00025473">
        <w:rPr>
          <w:i/>
        </w:rPr>
        <w:t>“b)</w:t>
      </w:r>
      <w:r w:rsidRPr="00025473">
        <w:rPr>
          <w:i/>
        </w:rPr>
        <w:tab/>
      </w:r>
      <w:r w:rsidR="00026E35" w:rsidRPr="00025473">
        <w:rPr>
          <w:i/>
        </w:rPr>
        <w:t>parallèlement</w:t>
      </w:r>
      <w:r w:rsidRPr="00025473">
        <w:rPr>
          <w:i/>
        </w:rPr>
        <w:t>, la couverture en six langues de la documentation des réunions des groupes de travail débutera progressivement, dans un souci d</w:t>
      </w:r>
      <w:r w:rsidR="00356264" w:rsidRPr="00025473">
        <w:rPr>
          <w:i/>
        </w:rPr>
        <w:t>’</w:t>
      </w:r>
      <w:r w:rsidRPr="00025473">
        <w:rPr>
          <w:i/>
        </w:rPr>
        <w:t>efficacité par rapport au coût, au cours de l</w:t>
      </w:r>
      <w:r w:rsidR="00356264" w:rsidRPr="00025473">
        <w:rPr>
          <w:i/>
        </w:rPr>
        <w:t>’</w:t>
      </w:r>
      <w:r w:rsidRPr="00025473">
        <w:rPr>
          <w:i/>
        </w:rPr>
        <w:t>exercice biennal 2014</w:t>
      </w:r>
      <w:r w:rsidR="00025473" w:rsidRPr="00025473">
        <w:rPr>
          <w:i/>
        </w:rPr>
        <w:noBreakHyphen/>
      </w:r>
      <w:r w:rsidRPr="00025473">
        <w:rPr>
          <w:i/>
        </w:rPr>
        <w:t>2015 et il sera tenu compte dans le programme et budget du coût supplémentaire résultant de cette couverture;</w:t>
      </w:r>
    </w:p>
    <w:p w:rsidR="005D40D1" w:rsidRPr="00025473" w:rsidRDefault="005D40D1" w:rsidP="005D40D1">
      <w:pPr>
        <w:pStyle w:val="ONUMFS"/>
        <w:numPr>
          <w:ilvl w:val="0"/>
          <w:numId w:val="0"/>
        </w:numPr>
        <w:ind w:left="2268" w:hanging="567"/>
        <w:rPr>
          <w:i/>
        </w:rPr>
      </w:pPr>
      <w:r w:rsidRPr="00025473">
        <w:rPr>
          <w:i/>
        </w:rPr>
        <w:t>“c)</w:t>
      </w:r>
      <w:r w:rsidRPr="00025473">
        <w:rPr>
          <w:i/>
        </w:rPr>
        <w:tab/>
        <w:t>à la prochaine session</w:t>
      </w:r>
      <w:r w:rsidR="00356264" w:rsidRPr="00025473">
        <w:rPr>
          <w:i/>
        </w:rPr>
        <w:t xml:space="preserve"> du PBC</w:t>
      </w:r>
      <w:r w:rsidRPr="00025473">
        <w:rPr>
          <w:i/>
        </w:rPr>
        <w:t>, le Secrétariat rendra compte des progrès accomplis dans la mise en œuvre des recommandations formulées au point ii).”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21 de l</w:t>
      </w:r>
      <w:r w:rsidR="00356264" w:rsidRPr="00025473">
        <w:t>’</w:t>
      </w:r>
      <w:r w:rsidRPr="00025473">
        <w:t>ordre du jour</w:t>
      </w:r>
    </w:p>
    <w:p w:rsidR="006F0062" w:rsidRPr="00025473" w:rsidRDefault="006F0062" w:rsidP="006F0062">
      <w:pPr>
        <w:pStyle w:val="Heading2"/>
      </w:pPr>
      <w:r w:rsidRPr="00025473">
        <w:t>Adoption du r</w:t>
      </w:r>
      <w:r w:rsidR="00E7265C">
        <w:t>É</w:t>
      </w:r>
      <w:r w:rsidRPr="00025473">
        <w:t>sum</w:t>
      </w:r>
      <w:r w:rsidR="00E7265C">
        <w:t>É</w:t>
      </w:r>
      <w:r w:rsidRPr="00025473">
        <w:t xml:space="preserve"> des d</w:t>
      </w:r>
      <w:r w:rsidR="00E7265C">
        <w:t>É</w:t>
      </w:r>
      <w:r w:rsidRPr="00025473">
        <w:t>cisions et recommandations</w:t>
      </w:r>
    </w:p>
    <w:p w:rsidR="006F0062" w:rsidRPr="00025473" w:rsidRDefault="006F0062" w:rsidP="006F0062"/>
    <w:p w:rsidR="006F0062" w:rsidRPr="00025473" w:rsidRDefault="006F0062" w:rsidP="006F0062">
      <w:pPr>
        <w:pStyle w:val="ONUMFS"/>
        <w:numPr>
          <w:ilvl w:val="0"/>
          <w:numId w:val="0"/>
        </w:numPr>
        <w:rPr>
          <w:i/>
        </w:rPr>
      </w:pPr>
      <w:r w:rsidRPr="00025473">
        <w:rPr>
          <w:i/>
        </w:rPr>
        <w:t>Le Comité du programme et budget a adopté le contenu du présent document.</w:t>
      </w:r>
    </w:p>
    <w:p w:rsidR="00025473" w:rsidRPr="00025473" w:rsidRDefault="00025473" w:rsidP="00025473"/>
    <w:p w:rsidR="006F0062" w:rsidRPr="00025473" w:rsidRDefault="006F0062" w:rsidP="006F0062">
      <w:pPr>
        <w:pStyle w:val="Heading1"/>
      </w:pPr>
      <w:r w:rsidRPr="00025473">
        <w:t>Point 22 de l</w:t>
      </w:r>
      <w:r w:rsidR="00356264" w:rsidRPr="00025473">
        <w:t>’</w:t>
      </w:r>
      <w:r w:rsidRPr="00025473">
        <w:t>ordre du jour</w:t>
      </w:r>
    </w:p>
    <w:p w:rsidR="00356264" w:rsidRDefault="002B55AA" w:rsidP="002B55AA">
      <w:pPr>
        <w:pStyle w:val="Heading2"/>
      </w:pPr>
      <w:r>
        <w:t>Cl</w:t>
      </w:r>
      <w:r w:rsidR="00E7265C">
        <w:t>Ô</w:t>
      </w:r>
      <w:r>
        <w:t>ture de la session</w:t>
      </w:r>
    </w:p>
    <w:p w:rsidR="002B55AA" w:rsidRPr="002B55AA" w:rsidRDefault="002B55AA" w:rsidP="002B55AA"/>
    <w:p w:rsidR="006F0062" w:rsidRPr="00025473" w:rsidRDefault="006F0062" w:rsidP="00E7265C">
      <w:pPr>
        <w:pStyle w:val="ONUMFS"/>
        <w:numPr>
          <w:ilvl w:val="0"/>
          <w:numId w:val="0"/>
        </w:numPr>
        <w:spacing w:after="0"/>
      </w:pPr>
      <w:r w:rsidRPr="00025473">
        <w:t>La clôture de la session a été prononcée.</w:t>
      </w:r>
    </w:p>
    <w:p w:rsidR="006F0062" w:rsidRPr="00025473" w:rsidRDefault="006F0062" w:rsidP="00E7265C"/>
    <w:p w:rsidR="006F0062" w:rsidRDefault="006F0062" w:rsidP="00E7265C"/>
    <w:p w:rsidR="00E7265C" w:rsidRPr="00025473" w:rsidRDefault="00E7265C" w:rsidP="00E7265C"/>
    <w:p w:rsidR="006F0062" w:rsidRPr="001A70BB" w:rsidRDefault="006F0062">
      <w:pPr>
        <w:pStyle w:val="Endofdocument-Annex"/>
      </w:pPr>
      <w:r w:rsidRPr="00025473">
        <w:t>[Fin du document]</w:t>
      </w:r>
    </w:p>
    <w:sectPr w:rsidR="006F0062" w:rsidRPr="001A70BB" w:rsidSect="00991D6C"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5C" w:rsidRDefault="00E7265C">
      <w:r>
        <w:separator/>
      </w:r>
    </w:p>
  </w:endnote>
  <w:endnote w:type="continuationSeparator" w:id="0">
    <w:p w:rsidR="00E7265C" w:rsidRDefault="00E7265C" w:rsidP="003B38C1">
      <w:r>
        <w:separator/>
      </w:r>
    </w:p>
    <w:p w:rsidR="00E7265C" w:rsidRPr="00E7265C" w:rsidRDefault="00E7265C" w:rsidP="003B38C1">
      <w:pPr>
        <w:spacing w:after="60"/>
        <w:rPr>
          <w:sz w:val="17"/>
          <w:lang w:val="en-US"/>
        </w:rPr>
      </w:pPr>
      <w:r w:rsidRPr="00E7265C">
        <w:rPr>
          <w:sz w:val="17"/>
          <w:lang w:val="en-US"/>
        </w:rPr>
        <w:t>[Endnote continued from previous page]</w:t>
      </w:r>
    </w:p>
  </w:endnote>
  <w:endnote w:type="continuationNotice" w:id="1">
    <w:p w:rsidR="00E7265C" w:rsidRPr="00E7265C" w:rsidRDefault="00E7265C" w:rsidP="003B38C1">
      <w:pPr>
        <w:spacing w:before="60"/>
        <w:jc w:val="right"/>
        <w:rPr>
          <w:sz w:val="17"/>
          <w:szCs w:val="17"/>
          <w:lang w:val="en-US"/>
        </w:rPr>
      </w:pPr>
      <w:r w:rsidRPr="00E7265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5C" w:rsidRDefault="00E7265C">
      <w:r>
        <w:separator/>
      </w:r>
    </w:p>
  </w:footnote>
  <w:footnote w:type="continuationSeparator" w:id="0">
    <w:p w:rsidR="00E7265C" w:rsidRDefault="00E7265C" w:rsidP="008B60B2">
      <w:r>
        <w:separator/>
      </w:r>
    </w:p>
    <w:p w:rsidR="00E7265C" w:rsidRPr="00E7265C" w:rsidRDefault="00E7265C" w:rsidP="008B60B2">
      <w:pPr>
        <w:spacing w:after="60"/>
        <w:rPr>
          <w:sz w:val="17"/>
          <w:szCs w:val="17"/>
          <w:lang w:val="en-US"/>
        </w:rPr>
      </w:pPr>
      <w:r w:rsidRPr="00E7265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E7265C" w:rsidRPr="00E7265C" w:rsidRDefault="00E7265C" w:rsidP="008B60B2">
      <w:pPr>
        <w:spacing w:before="60"/>
        <w:jc w:val="right"/>
        <w:rPr>
          <w:sz w:val="17"/>
          <w:szCs w:val="17"/>
          <w:lang w:val="en-US"/>
        </w:rPr>
      </w:pPr>
      <w:r w:rsidRPr="00E7265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5C" w:rsidRDefault="00E7265C" w:rsidP="00477D6B">
    <w:pPr>
      <w:jc w:val="right"/>
    </w:pPr>
    <w:bookmarkStart w:id="3" w:name="Code2"/>
    <w:bookmarkEnd w:id="3"/>
    <w:r>
      <w:t>WO/PBC/21/21</w:t>
    </w:r>
  </w:p>
  <w:p w:rsidR="00E7265C" w:rsidRDefault="00E7265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E4E6D">
      <w:rPr>
        <w:noProof/>
      </w:rPr>
      <w:t>8</w:t>
    </w:r>
    <w:r>
      <w:fldChar w:fldCharType="end"/>
    </w:r>
  </w:p>
  <w:p w:rsidR="00E7265C" w:rsidRDefault="00E7265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E60698"/>
    <w:multiLevelType w:val="hybridMultilevel"/>
    <w:tmpl w:val="00447F8A"/>
    <w:lvl w:ilvl="0" w:tplc="6292DE2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6D03EA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A32504"/>
    <w:multiLevelType w:val="hybridMultilevel"/>
    <w:tmpl w:val="CB60C718"/>
    <w:lvl w:ilvl="0" w:tplc="6178B940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1B6D"/>
    <w:multiLevelType w:val="hybridMultilevel"/>
    <w:tmpl w:val="FF1204D2"/>
    <w:lvl w:ilvl="0" w:tplc="AF0294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FFB19A2"/>
    <w:multiLevelType w:val="multilevel"/>
    <w:tmpl w:val="312248C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>
    <w:nsid w:val="29957D2A"/>
    <w:multiLevelType w:val="hybridMultilevel"/>
    <w:tmpl w:val="973695EE"/>
    <w:lvl w:ilvl="0" w:tplc="1654E9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FA3394"/>
    <w:multiLevelType w:val="hybridMultilevel"/>
    <w:tmpl w:val="57780100"/>
    <w:lvl w:ilvl="0" w:tplc="FBACA570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1C7188"/>
    <w:multiLevelType w:val="hybridMultilevel"/>
    <w:tmpl w:val="D108C230"/>
    <w:lvl w:ilvl="0" w:tplc="8CA059C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4174CC"/>
    <w:multiLevelType w:val="hybridMultilevel"/>
    <w:tmpl w:val="B8E0DA7C"/>
    <w:lvl w:ilvl="0" w:tplc="86366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1476B"/>
    <w:multiLevelType w:val="hybridMultilevel"/>
    <w:tmpl w:val="7008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328A"/>
    <w:multiLevelType w:val="hybridMultilevel"/>
    <w:tmpl w:val="0CEE84FE"/>
    <w:lvl w:ilvl="0" w:tplc="1EA4D940">
      <w:start w:val="7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25D4FEA"/>
    <w:multiLevelType w:val="hybridMultilevel"/>
    <w:tmpl w:val="ADC4B6E2"/>
    <w:lvl w:ilvl="0" w:tplc="10E45AA4">
      <w:start w:val="1"/>
      <w:numFmt w:val="decimal"/>
      <w:lvlText w:val="%1."/>
      <w:lvlJc w:val="left"/>
      <w:pPr>
        <w:tabs>
          <w:tab w:val="num" w:pos="5246"/>
        </w:tabs>
        <w:ind w:left="5133" w:hanging="45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E092FC78">
      <w:start w:val="1"/>
      <w:numFmt w:val="lowerRoman"/>
      <w:lvlText w:val="(%3)"/>
      <w:lvlJc w:val="right"/>
      <w:pPr>
        <w:tabs>
          <w:tab w:val="num" w:pos="5852"/>
        </w:tabs>
        <w:ind w:left="5852" w:hanging="180"/>
      </w:pPr>
      <w:rPr>
        <w:rFonts w:hint="default"/>
      </w:rPr>
    </w:lvl>
    <w:lvl w:ilvl="3" w:tplc="ABD46D6E">
      <w:start w:val="1"/>
      <w:numFmt w:val="lowerLetter"/>
      <w:lvlText w:val="(%4)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abstractNum w:abstractNumId="17">
    <w:nsid w:val="6712708D"/>
    <w:multiLevelType w:val="hybridMultilevel"/>
    <w:tmpl w:val="9F74ADBA"/>
    <w:lvl w:ilvl="0" w:tplc="6178B940">
      <w:start w:val="1"/>
      <w:numFmt w:val="lowerRoman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A7F4B"/>
    <w:multiLevelType w:val="hybridMultilevel"/>
    <w:tmpl w:val="D9F66596"/>
    <w:lvl w:ilvl="0" w:tplc="6178B940">
      <w:start w:val="1"/>
      <w:numFmt w:val="lowerRoman"/>
      <w:lvlText w:val="%1)"/>
      <w:lvlJc w:val="left"/>
      <w:pPr>
        <w:ind w:left="257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6"/>
  </w:num>
  <w:num w:numId="20">
    <w:abstractNumId w:val="12"/>
  </w:num>
  <w:num w:numId="21">
    <w:abstractNumId w:val="3"/>
  </w:num>
  <w:num w:numId="22">
    <w:abstractNumId w:val="2"/>
  </w:num>
  <w:num w:numId="23">
    <w:abstractNumId w:val="9"/>
  </w:num>
  <w:num w:numId="24">
    <w:abstractNumId w:val="6"/>
  </w:num>
  <w:num w:numId="25">
    <w:abstractNumId w:val="15"/>
  </w:num>
  <w:num w:numId="26">
    <w:abstractNumId w:val="2"/>
  </w:num>
  <w:num w:numId="27">
    <w:abstractNumId w:val="1"/>
  </w:num>
  <w:num w:numId="28">
    <w:abstractNumId w:val="17"/>
  </w:num>
  <w:num w:numId="29">
    <w:abstractNumId w:val="11"/>
  </w:num>
  <w:num w:numId="30">
    <w:abstractNumId w:val="8"/>
  </w:num>
  <w:num w:numId="31">
    <w:abstractNumId w:val="14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7"/>
    <w:rsid w:val="0001197D"/>
    <w:rsid w:val="00012269"/>
    <w:rsid w:val="00012307"/>
    <w:rsid w:val="00025473"/>
    <w:rsid w:val="00026E35"/>
    <w:rsid w:val="00034BA8"/>
    <w:rsid w:val="00043564"/>
    <w:rsid w:val="00043CAA"/>
    <w:rsid w:val="0004434C"/>
    <w:rsid w:val="00075432"/>
    <w:rsid w:val="000968ED"/>
    <w:rsid w:val="000F38DF"/>
    <w:rsid w:val="000F5E56"/>
    <w:rsid w:val="001264D6"/>
    <w:rsid w:val="001362EE"/>
    <w:rsid w:val="001631CE"/>
    <w:rsid w:val="00165198"/>
    <w:rsid w:val="00176091"/>
    <w:rsid w:val="001832A6"/>
    <w:rsid w:val="0018512E"/>
    <w:rsid w:val="0019151D"/>
    <w:rsid w:val="001A70BB"/>
    <w:rsid w:val="001A7EB5"/>
    <w:rsid w:val="001C57A9"/>
    <w:rsid w:val="001F552E"/>
    <w:rsid w:val="00225D50"/>
    <w:rsid w:val="002375A4"/>
    <w:rsid w:val="002634C4"/>
    <w:rsid w:val="002703DF"/>
    <w:rsid w:val="002928D3"/>
    <w:rsid w:val="002A0D36"/>
    <w:rsid w:val="002A0E97"/>
    <w:rsid w:val="002A1722"/>
    <w:rsid w:val="002A6E44"/>
    <w:rsid w:val="002B55AA"/>
    <w:rsid w:val="002D53FE"/>
    <w:rsid w:val="002F1FE6"/>
    <w:rsid w:val="002F4E68"/>
    <w:rsid w:val="00303D4E"/>
    <w:rsid w:val="00312F7F"/>
    <w:rsid w:val="00356264"/>
    <w:rsid w:val="00361450"/>
    <w:rsid w:val="003673CF"/>
    <w:rsid w:val="0038314B"/>
    <w:rsid w:val="003845C1"/>
    <w:rsid w:val="003846C6"/>
    <w:rsid w:val="003A6F89"/>
    <w:rsid w:val="003B38C1"/>
    <w:rsid w:val="003F0EEC"/>
    <w:rsid w:val="00423E3E"/>
    <w:rsid w:val="00427AF4"/>
    <w:rsid w:val="0044149C"/>
    <w:rsid w:val="004547C2"/>
    <w:rsid w:val="004647DA"/>
    <w:rsid w:val="00465C01"/>
    <w:rsid w:val="00474062"/>
    <w:rsid w:val="00477D6B"/>
    <w:rsid w:val="004A2ABF"/>
    <w:rsid w:val="004C72A8"/>
    <w:rsid w:val="004E3B61"/>
    <w:rsid w:val="005019FF"/>
    <w:rsid w:val="0053057A"/>
    <w:rsid w:val="00552EC2"/>
    <w:rsid w:val="00560A29"/>
    <w:rsid w:val="005A7694"/>
    <w:rsid w:val="005C070B"/>
    <w:rsid w:val="005C0D1C"/>
    <w:rsid w:val="005C1723"/>
    <w:rsid w:val="005C6649"/>
    <w:rsid w:val="005D40D1"/>
    <w:rsid w:val="005D580B"/>
    <w:rsid w:val="005E25C0"/>
    <w:rsid w:val="00605827"/>
    <w:rsid w:val="00623530"/>
    <w:rsid w:val="00641FFA"/>
    <w:rsid w:val="00646050"/>
    <w:rsid w:val="006713CA"/>
    <w:rsid w:val="00676C5C"/>
    <w:rsid w:val="006B2D79"/>
    <w:rsid w:val="006C5255"/>
    <w:rsid w:val="006F0062"/>
    <w:rsid w:val="006F0A02"/>
    <w:rsid w:val="007312E7"/>
    <w:rsid w:val="00770515"/>
    <w:rsid w:val="00770AD0"/>
    <w:rsid w:val="0078372F"/>
    <w:rsid w:val="0079624E"/>
    <w:rsid w:val="007C3E3A"/>
    <w:rsid w:val="007D1613"/>
    <w:rsid w:val="00816FA8"/>
    <w:rsid w:val="00817203"/>
    <w:rsid w:val="008B2CC1"/>
    <w:rsid w:val="008B4C7B"/>
    <w:rsid w:val="008B60B2"/>
    <w:rsid w:val="008C1F1A"/>
    <w:rsid w:val="008D75E2"/>
    <w:rsid w:val="0090731E"/>
    <w:rsid w:val="00914234"/>
    <w:rsid w:val="00916EE2"/>
    <w:rsid w:val="00924258"/>
    <w:rsid w:val="00956D3D"/>
    <w:rsid w:val="0096061A"/>
    <w:rsid w:val="00966A22"/>
    <w:rsid w:val="0096722F"/>
    <w:rsid w:val="00980843"/>
    <w:rsid w:val="00982623"/>
    <w:rsid w:val="00991D6C"/>
    <w:rsid w:val="009A7647"/>
    <w:rsid w:val="009C6653"/>
    <w:rsid w:val="009E2791"/>
    <w:rsid w:val="009E3F6F"/>
    <w:rsid w:val="009E4585"/>
    <w:rsid w:val="009F499F"/>
    <w:rsid w:val="00A41B3A"/>
    <w:rsid w:val="00A42DAF"/>
    <w:rsid w:val="00A4573F"/>
    <w:rsid w:val="00A45BD8"/>
    <w:rsid w:val="00A50A35"/>
    <w:rsid w:val="00A614B1"/>
    <w:rsid w:val="00A70598"/>
    <w:rsid w:val="00A76870"/>
    <w:rsid w:val="00A869B7"/>
    <w:rsid w:val="00AB2EBF"/>
    <w:rsid w:val="00AC205C"/>
    <w:rsid w:val="00AD4474"/>
    <w:rsid w:val="00AD4AC3"/>
    <w:rsid w:val="00AE4E6D"/>
    <w:rsid w:val="00AF0A6B"/>
    <w:rsid w:val="00AF7B29"/>
    <w:rsid w:val="00B05A69"/>
    <w:rsid w:val="00B17B17"/>
    <w:rsid w:val="00B435AD"/>
    <w:rsid w:val="00B9734B"/>
    <w:rsid w:val="00BD07A9"/>
    <w:rsid w:val="00C03F86"/>
    <w:rsid w:val="00C11BFE"/>
    <w:rsid w:val="00C17DD3"/>
    <w:rsid w:val="00C54EDC"/>
    <w:rsid w:val="00C779F9"/>
    <w:rsid w:val="00C91C58"/>
    <w:rsid w:val="00CC53EC"/>
    <w:rsid w:val="00CD3161"/>
    <w:rsid w:val="00CE45A3"/>
    <w:rsid w:val="00D34A29"/>
    <w:rsid w:val="00D45252"/>
    <w:rsid w:val="00D71B4D"/>
    <w:rsid w:val="00D93D55"/>
    <w:rsid w:val="00DA3AFB"/>
    <w:rsid w:val="00DA5F5D"/>
    <w:rsid w:val="00DB1F46"/>
    <w:rsid w:val="00DB7A28"/>
    <w:rsid w:val="00DF0C87"/>
    <w:rsid w:val="00E335FE"/>
    <w:rsid w:val="00E7265C"/>
    <w:rsid w:val="00E72B08"/>
    <w:rsid w:val="00EA47A2"/>
    <w:rsid w:val="00EC30C1"/>
    <w:rsid w:val="00EC4E49"/>
    <w:rsid w:val="00ED5D98"/>
    <w:rsid w:val="00ED77FB"/>
    <w:rsid w:val="00EE0E47"/>
    <w:rsid w:val="00EE45FA"/>
    <w:rsid w:val="00F10664"/>
    <w:rsid w:val="00F26A74"/>
    <w:rsid w:val="00F66152"/>
    <w:rsid w:val="00FB75E4"/>
    <w:rsid w:val="00FC2008"/>
    <w:rsid w:val="00FD21DA"/>
    <w:rsid w:val="00FE45E2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1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C03F86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3F0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1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C03F86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3F0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8FEC-3C20-4736-8D87-7242448DA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10401-2823-49AE-A86D-A0A5BEC4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21 (E).dot</Template>
  <TotalTime>16</TotalTime>
  <Pages>9</Pages>
  <Words>2149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 (E)</vt:lpstr>
    </vt:vector>
  </TitlesOfParts>
  <Company>WIPO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 (E)</dc:title>
  <dc:creator>NETTER Iza</dc:creator>
  <cp:keywords>MP/JCH/ST/EDV/sc</cp:keywords>
  <cp:lastModifiedBy>MARIN-CUDRAZ DAVI Nicoletta</cp:lastModifiedBy>
  <cp:revision>6</cp:revision>
  <cp:lastPrinted>2013-09-17T09:42:00Z</cp:lastPrinted>
  <dcterms:created xsi:type="dcterms:W3CDTF">2013-09-17T12:34:00Z</dcterms:created>
  <dcterms:modified xsi:type="dcterms:W3CDTF">2013-09-18T12:44:00Z</dcterms:modified>
</cp:coreProperties>
</file>