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B332B2" w:rsidRDefault="00D204F1" w:rsidP="00556656">
      <w:pPr>
        <w:spacing w:before="360" w:after="240"/>
        <w:jc w:val="right"/>
        <w:rPr>
          <w:b/>
          <w:sz w:val="32"/>
          <w:szCs w:val="40"/>
          <w:lang w:val="es-ES"/>
        </w:rPr>
      </w:pPr>
      <w:bookmarkStart w:id="0" w:name="_GoBack"/>
      <w:bookmarkEnd w:id="0"/>
      <w:r w:rsidRPr="00B332B2">
        <w:rPr>
          <w:noProof/>
          <w:lang w:eastAsia="en-US"/>
        </w:rPr>
        <w:drawing>
          <wp:inline distT="0" distB="0" distL="0" distR="0" wp14:anchorId="65B6A908" wp14:editId="2B7F9137">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B9067A" w:rsidRPr="00B9067A" w:rsidRDefault="00B9067A" w:rsidP="00B9067A">
      <w:pPr>
        <w:jc w:val="right"/>
        <w:rPr>
          <w:rFonts w:ascii="Arial Black" w:hAnsi="Arial Black"/>
          <w:b/>
          <w:caps/>
          <w:sz w:val="15"/>
          <w:szCs w:val="15"/>
        </w:rPr>
      </w:pPr>
      <w:proofErr w:type="gramStart"/>
      <w:r w:rsidRPr="00B9067A">
        <w:rPr>
          <w:rFonts w:ascii="Arial Black" w:hAnsi="Arial Black"/>
          <w:b/>
          <w:caps/>
          <w:sz w:val="15"/>
          <w:szCs w:val="15"/>
        </w:rPr>
        <w:t>wo/cf/43/1   p/a/58/1   p/ec/62/1   b/a/52/1   b/ec/68/1   n/a/42/1   lo/a/42/1   ipc/a/43/1   PCT/A/54/1   va/a/35/1   wct/a/22/1   wppt/a/22/1   plt/a/21/1   STLT/A/15/1   MVT/A/7/1   BTAP/A/3/1</w:t>
      </w:r>
      <w:proofErr w:type="gramEnd"/>
    </w:p>
    <w:p w:rsidR="008B2CC1" w:rsidRPr="005C1636" w:rsidRDefault="00EB2F76" w:rsidP="00EB2F76">
      <w:pPr>
        <w:jc w:val="right"/>
        <w:rPr>
          <w:rFonts w:ascii="Arial Black" w:hAnsi="Arial Black"/>
          <w:caps/>
          <w:sz w:val="15"/>
          <w:szCs w:val="15"/>
          <w:lang w:val="en-GB"/>
        </w:rPr>
      </w:pPr>
      <w:r w:rsidRPr="005C1636">
        <w:rPr>
          <w:rFonts w:ascii="Arial Black" w:hAnsi="Arial Black"/>
          <w:caps/>
          <w:sz w:val="15"/>
          <w:szCs w:val="15"/>
          <w:lang w:val="en-GB"/>
        </w:rPr>
        <w:t xml:space="preserve">ORIGINAL: </w:t>
      </w:r>
      <w:bookmarkStart w:id="1" w:name="Original"/>
      <w:r w:rsidR="00540AE7" w:rsidRPr="005C1636">
        <w:rPr>
          <w:rFonts w:ascii="Arial Black" w:hAnsi="Arial Black"/>
          <w:caps/>
          <w:sz w:val="15"/>
          <w:szCs w:val="15"/>
          <w:lang w:val="en-GB"/>
        </w:rPr>
        <w:t>inglés</w:t>
      </w:r>
    </w:p>
    <w:bookmarkEnd w:id="1"/>
    <w:p w:rsidR="008B2CC1" w:rsidRPr="00B332B2" w:rsidRDefault="001D71C3" w:rsidP="00C563BC">
      <w:pPr>
        <w:spacing w:after="480"/>
        <w:jc w:val="right"/>
        <w:rPr>
          <w:rFonts w:ascii="Arial Black" w:hAnsi="Arial Black"/>
          <w:caps/>
          <w:sz w:val="15"/>
          <w:szCs w:val="15"/>
          <w:lang w:val="es-ES"/>
        </w:rPr>
      </w:pPr>
      <w:r w:rsidRPr="005C1636">
        <w:rPr>
          <w:rFonts w:ascii="Arial Black" w:hAnsi="Arial Black"/>
          <w:caps/>
          <w:sz w:val="15"/>
          <w:szCs w:val="15"/>
          <w:lang w:val="en-GB"/>
        </w:rPr>
        <w:t>f</w:t>
      </w:r>
      <w:r w:rsidRPr="00B332B2">
        <w:rPr>
          <w:rFonts w:ascii="Arial Black" w:hAnsi="Arial Black"/>
          <w:caps/>
          <w:sz w:val="15"/>
          <w:szCs w:val="15"/>
          <w:lang w:val="es-ES"/>
        </w:rPr>
        <w:t>echa</w:t>
      </w:r>
      <w:r w:rsidR="00EB2F76" w:rsidRPr="00B332B2">
        <w:rPr>
          <w:rFonts w:ascii="Arial Black" w:hAnsi="Arial Black"/>
          <w:caps/>
          <w:sz w:val="15"/>
          <w:szCs w:val="15"/>
          <w:lang w:val="es-ES"/>
        </w:rPr>
        <w:t xml:space="preserve">: </w:t>
      </w:r>
      <w:bookmarkStart w:id="2" w:name="Date"/>
      <w:r w:rsidR="00B9067A">
        <w:rPr>
          <w:rFonts w:ascii="Arial Black" w:hAnsi="Arial Black"/>
          <w:caps/>
          <w:sz w:val="15"/>
          <w:szCs w:val="15"/>
          <w:lang w:val="es-ES"/>
        </w:rPr>
        <w:t>30 DE septiembre</w:t>
      </w:r>
      <w:r w:rsidR="007F458C" w:rsidRPr="00B332B2">
        <w:rPr>
          <w:rFonts w:ascii="Arial Black" w:hAnsi="Arial Black"/>
          <w:caps/>
          <w:sz w:val="15"/>
          <w:szCs w:val="15"/>
          <w:lang w:val="es-ES"/>
        </w:rPr>
        <w:t xml:space="preserve"> de</w:t>
      </w:r>
      <w:r w:rsidR="002048D3" w:rsidRPr="00B332B2">
        <w:rPr>
          <w:rFonts w:ascii="Arial Black" w:hAnsi="Arial Black"/>
          <w:caps/>
          <w:sz w:val="15"/>
          <w:szCs w:val="15"/>
          <w:lang w:val="es-ES"/>
        </w:rPr>
        <w:t xml:space="preserve"> 2022</w:t>
      </w:r>
    </w:p>
    <w:bookmarkEnd w:id="2"/>
    <w:p w:rsidR="00374B9D" w:rsidRPr="00B332B2" w:rsidRDefault="00263BF1" w:rsidP="00C563BC">
      <w:pPr>
        <w:spacing w:before="120" w:after="120"/>
        <w:rPr>
          <w:b/>
          <w:lang w:val="es-ES"/>
        </w:rPr>
      </w:pPr>
      <w:r w:rsidRPr="00B332B2">
        <w:rPr>
          <w:b/>
          <w:lang w:val="es-ES"/>
        </w:rPr>
        <w:t>Conferencia de la OMPI</w:t>
      </w:r>
      <w:r w:rsidR="00374B9D" w:rsidRPr="00B332B2">
        <w:rPr>
          <w:b/>
          <w:lang w:val="es-ES"/>
        </w:rPr>
        <w:t xml:space="preserve"> – </w:t>
      </w:r>
      <w:r w:rsidRPr="00B332B2">
        <w:rPr>
          <w:b/>
          <w:lang w:val="es-ES"/>
        </w:rPr>
        <w:t>Cuadragésimo tercer período de sesiones (18.º extraordinario)</w:t>
      </w:r>
    </w:p>
    <w:p w:rsidR="00374B9D" w:rsidRPr="00B332B2" w:rsidRDefault="00D204F1" w:rsidP="00C563BC">
      <w:pPr>
        <w:spacing w:before="120" w:after="120"/>
        <w:rPr>
          <w:b/>
          <w:lang w:val="es-ES"/>
        </w:rPr>
      </w:pPr>
      <w:r w:rsidRPr="00B332B2">
        <w:rPr>
          <w:b/>
          <w:lang w:val="es-ES"/>
        </w:rPr>
        <w:t xml:space="preserve">Unión Internacional para la Protección de la Propiedad Industrial (Unión de París) – Asamblea </w:t>
      </w:r>
      <w:r w:rsidR="00374B9D" w:rsidRPr="00B332B2">
        <w:rPr>
          <w:b/>
          <w:lang w:val="es-ES"/>
        </w:rPr>
        <w:t xml:space="preserve">– </w:t>
      </w:r>
      <w:r w:rsidRPr="00B332B2">
        <w:rPr>
          <w:b/>
          <w:lang w:val="es-ES"/>
        </w:rPr>
        <w:t>Quincuagésimo octavo período de sesiones (33.º extraordinario)</w:t>
      </w:r>
    </w:p>
    <w:p w:rsidR="00374B9D" w:rsidRPr="00B332B2" w:rsidRDefault="00D204F1" w:rsidP="00C563BC">
      <w:pPr>
        <w:spacing w:before="120" w:after="120"/>
        <w:rPr>
          <w:b/>
          <w:lang w:val="es-ES"/>
        </w:rPr>
      </w:pPr>
      <w:r w:rsidRPr="00B332B2">
        <w:rPr>
          <w:b/>
          <w:lang w:val="es-ES"/>
        </w:rPr>
        <w:t>Unión Internacional para la Protección de la Propiedad Industrial (Unión de París)</w:t>
      </w:r>
      <w:r w:rsidR="00374B9D" w:rsidRPr="00B332B2">
        <w:rPr>
          <w:b/>
          <w:lang w:val="es-ES"/>
        </w:rPr>
        <w:t xml:space="preserve"> – </w:t>
      </w:r>
      <w:r w:rsidRPr="00B332B2">
        <w:rPr>
          <w:b/>
          <w:lang w:val="es-ES"/>
        </w:rPr>
        <w:t>Comité Ejecutivo</w:t>
      </w:r>
      <w:r w:rsidR="00374B9D" w:rsidRPr="00B332B2">
        <w:rPr>
          <w:b/>
          <w:lang w:val="es-ES"/>
        </w:rPr>
        <w:t xml:space="preserve"> – </w:t>
      </w:r>
      <w:r w:rsidRPr="00B332B2">
        <w:rPr>
          <w:b/>
          <w:lang w:val="es-ES"/>
        </w:rPr>
        <w:t>Sexagésimo segundo período de sesiones (58.º ordinario)</w:t>
      </w:r>
    </w:p>
    <w:p w:rsidR="00374B9D" w:rsidRPr="00B332B2" w:rsidRDefault="00D204F1" w:rsidP="00C563BC">
      <w:pPr>
        <w:spacing w:before="120" w:after="120"/>
        <w:rPr>
          <w:b/>
          <w:lang w:val="es-ES"/>
        </w:rPr>
      </w:pPr>
      <w:r w:rsidRPr="00B332B2">
        <w:rPr>
          <w:b/>
          <w:lang w:val="es-ES"/>
        </w:rPr>
        <w:t>Unión Internacional para la Protección de las Obras Literarias y Artísticas (Unión de Berna) – Asamblea –</w:t>
      </w:r>
      <w:r w:rsidRPr="00B332B2">
        <w:rPr>
          <w:lang w:val="es-ES"/>
        </w:rPr>
        <w:t xml:space="preserve"> </w:t>
      </w:r>
      <w:r w:rsidRPr="00B332B2">
        <w:rPr>
          <w:b/>
          <w:lang w:val="es-ES"/>
        </w:rPr>
        <w:t>Quincuagésimo segundo período de sesiones (27.º extraordinario)</w:t>
      </w:r>
    </w:p>
    <w:p w:rsidR="00374B9D" w:rsidRPr="00B332B2" w:rsidRDefault="00D204F1" w:rsidP="00C563BC">
      <w:pPr>
        <w:spacing w:before="120" w:after="120"/>
        <w:rPr>
          <w:b/>
          <w:lang w:val="es-ES"/>
        </w:rPr>
      </w:pPr>
      <w:r w:rsidRPr="00B332B2">
        <w:rPr>
          <w:b/>
          <w:lang w:val="es-ES"/>
        </w:rPr>
        <w:t xml:space="preserve">Unión Internacional para la Protección de las Obras Literarias y Artísticas (Unión de Berna) </w:t>
      </w:r>
      <w:r w:rsidR="00374B9D" w:rsidRPr="00B332B2">
        <w:rPr>
          <w:b/>
          <w:lang w:val="es-ES"/>
        </w:rPr>
        <w:t xml:space="preserve">– </w:t>
      </w:r>
      <w:r w:rsidRPr="00B332B2">
        <w:rPr>
          <w:b/>
          <w:lang w:val="es-ES"/>
        </w:rPr>
        <w:t>Comité Ejecutivo</w:t>
      </w:r>
      <w:r w:rsidR="00374B9D" w:rsidRPr="00B332B2">
        <w:rPr>
          <w:b/>
          <w:lang w:val="es-ES"/>
        </w:rPr>
        <w:t xml:space="preserve"> – </w:t>
      </w:r>
      <w:r w:rsidRPr="00B332B2">
        <w:rPr>
          <w:b/>
          <w:lang w:val="es-ES"/>
        </w:rPr>
        <w:t>Sexagésimo octavo período de sesiones (53.º ordinario)</w:t>
      </w:r>
    </w:p>
    <w:p w:rsidR="00374B9D" w:rsidRPr="00B332B2" w:rsidRDefault="00D204F1" w:rsidP="00C563BC">
      <w:pPr>
        <w:spacing w:before="120" w:after="120"/>
        <w:rPr>
          <w:b/>
          <w:lang w:val="es-ES"/>
        </w:rPr>
      </w:pPr>
      <w:r w:rsidRPr="00B332B2">
        <w:rPr>
          <w:b/>
          <w:lang w:val="es-ES"/>
        </w:rPr>
        <w:t>Unión Especial para la Clasificación Internacional de Productos y Servicios para el Registro de las Marcas (Unión de Niza) – Asamblea</w:t>
      </w:r>
      <w:r w:rsidR="00374B9D" w:rsidRPr="00B332B2">
        <w:rPr>
          <w:b/>
          <w:lang w:val="es-ES"/>
        </w:rPr>
        <w:t xml:space="preserve"> – </w:t>
      </w:r>
      <w:r w:rsidRPr="00B332B2">
        <w:rPr>
          <w:b/>
          <w:lang w:val="es-ES"/>
        </w:rPr>
        <w:t>Cuadragésimo segundo período de sesiones (17.º extraordinario)</w:t>
      </w:r>
    </w:p>
    <w:p w:rsidR="00374B9D" w:rsidRPr="00B332B2" w:rsidRDefault="00D204F1" w:rsidP="00C563BC">
      <w:pPr>
        <w:spacing w:before="120" w:after="120"/>
        <w:rPr>
          <w:b/>
          <w:lang w:val="es-ES"/>
        </w:rPr>
      </w:pPr>
      <w:r w:rsidRPr="00B332B2">
        <w:rPr>
          <w:b/>
          <w:lang w:val="es-ES"/>
        </w:rPr>
        <w:t xml:space="preserve">Unión Especial relativa a la Clasificación Internacional para los Dibujos y Modelos Industriales (Unión de </w:t>
      </w:r>
      <w:proofErr w:type="spellStart"/>
      <w:r w:rsidRPr="00B332B2">
        <w:rPr>
          <w:b/>
          <w:lang w:val="es-ES"/>
        </w:rPr>
        <w:t>Locarno</w:t>
      </w:r>
      <w:proofErr w:type="spellEnd"/>
      <w:r w:rsidRPr="00B332B2">
        <w:rPr>
          <w:b/>
          <w:lang w:val="es-ES"/>
        </w:rPr>
        <w:t xml:space="preserve">) – Asamblea </w:t>
      </w:r>
      <w:r w:rsidR="00374B9D" w:rsidRPr="00B332B2">
        <w:rPr>
          <w:b/>
          <w:lang w:val="es-ES"/>
        </w:rPr>
        <w:t xml:space="preserve">– </w:t>
      </w:r>
      <w:r w:rsidRPr="00B332B2">
        <w:rPr>
          <w:b/>
          <w:lang w:val="es-ES"/>
        </w:rPr>
        <w:t>Cuadragésimo segundo período de sesiones (18.º extraordinario)</w:t>
      </w:r>
    </w:p>
    <w:p w:rsidR="00374B9D" w:rsidRPr="00B332B2" w:rsidRDefault="00BB3B07" w:rsidP="00C563BC">
      <w:pPr>
        <w:spacing w:before="120" w:after="120"/>
        <w:rPr>
          <w:b/>
          <w:lang w:val="es-ES"/>
        </w:rPr>
      </w:pPr>
      <w:r w:rsidRPr="00B332B2">
        <w:rPr>
          <w:b/>
          <w:lang w:val="es-ES"/>
        </w:rPr>
        <w:t>Unión Particular para la Clasificación Internacional de Patentes (Unión de la CIP) – Asamblea</w:t>
      </w:r>
      <w:r w:rsidR="00374B9D" w:rsidRPr="00B332B2">
        <w:rPr>
          <w:b/>
          <w:lang w:val="es-ES"/>
        </w:rPr>
        <w:t xml:space="preserve"> – </w:t>
      </w:r>
      <w:r w:rsidRPr="00B332B2">
        <w:rPr>
          <w:b/>
          <w:lang w:val="es-ES"/>
        </w:rPr>
        <w:t>Cuadragésimo tercer período de sesiones (20.º extraordinario)</w:t>
      </w:r>
    </w:p>
    <w:p w:rsidR="00EE23A5" w:rsidRPr="00B332B2" w:rsidRDefault="001C3297" w:rsidP="00EE23A5">
      <w:pPr>
        <w:spacing w:before="120" w:after="120"/>
        <w:rPr>
          <w:b/>
          <w:lang w:val="es-ES"/>
        </w:rPr>
      </w:pPr>
      <w:r w:rsidRPr="00B332B2">
        <w:rPr>
          <w:b/>
          <w:lang w:val="es-ES"/>
        </w:rPr>
        <w:t xml:space="preserve">Unión Internacional de Cooperación en materia de Patentes (Unión del PCT) - Asamblea </w:t>
      </w:r>
      <w:r w:rsidR="00EE23A5" w:rsidRPr="00B332B2">
        <w:rPr>
          <w:b/>
          <w:lang w:val="es-ES"/>
        </w:rPr>
        <w:t xml:space="preserve">– </w:t>
      </w:r>
      <w:r w:rsidRPr="00B332B2">
        <w:rPr>
          <w:b/>
          <w:lang w:val="es-ES"/>
        </w:rPr>
        <w:t>Quincuagésimo cuarto período de sesiones (31.º extraordinario)</w:t>
      </w:r>
    </w:p>
    <w:p w:rsidR="00374B9D" w:rsidRPr="00B332B2" w:rsidRDefault="001C3297" w:rsidP="00C563BC">
      <w:pPr>
        <w:spacing w:before="120" w:after="120"/>
        <w:rPr>
          <w:b/>
          <w:lang w:val="es-ES"/>
        </w:rPr>
      </w:pPr>
      <w:r w:rsidRPr="00B332B2">
        <w:rPr>
          <w:b/>
          <w:lang w:val="es-ES"/>
        </w:rPr>
        <w:t xml:space="preserve">Unión Especial para la Clasificación Internacional de los elementos figurativos de las marcas (Unión de Viena) – Asamblea </w:t>
      </w:r>
      <w:r w:rsidR="00374B9D" w:rsidRPr="00B332B2">
        <w:rPr>
          <w:b/>
          <w:lang w:val="es-ES"/>
        </w:rPr>
        <w:t xml:space="preserve">– </w:t>
      </w:r>
      <w:r w:rsidRPr="00B332B2">
        <w:rPr>
          <w:b/>
          <w:lang w:val="es-ES"/>
        </w:rPr>
        <w:t>trigésimo quinto período de sesiones (16º extraordinario)</w:t>
      </w:r>
    </w:p>
    <w:p w:rsidR="00374B9D" w:rsidRPr="00B332B2" w:rsidRDefault="001C3297" w:rsidP="00C563BC">
      <w:pPr>
        <w:spacing w:before="120" w:after="120"/>
        <w:rPr>
          <w:b/>
          <w:lang w:val="es-ES"/>
        </w:rPr>
      </w:pPr>
      <w:r w:rsidRPr="00B332B2">
        <w:rPr>
          <w:b/>
          <w:lang w:val="es-ES"/>
        </w:rPr>
        <w:t>Tratado de la OMPI sobre Derecho de Autor</w:t>
      </w:r>
      <w:r w:rsidR="00374B9D" w:rsidRPr="00B332B2">
        <w:rPr>
          <w:b/>
          <w:lang w:val="es-ES"/>
        </w:rPr>
        <w:t xml:space="preserve"> (WCT) – </w:t>
      </w:r>
      <w:r w:rsidRPr="00B332B2">
        <w:rPr>
          <w:b/>
          <w:lang w:val="es-ES"/>
        </w:rPr>
        <w:t>Asamblea</w:t>
      </w:r>
      <w:r w:rsidR="00374B9D" w:rsidRPr="00B332B2">
        <w:rPr>
          <w:b/>
          <w:lang w:val="es-ES"/>
        </w:rPr>
        <w:t xml:space="preserve"> – </w:t>
      </w:r>
      <w:r w:rsidRPr="00B332B2">
        <w:rPr>
          <w:b/>
          <w:lang w:val="es-ES"/>
        </w:rPr>
        <w:t>Vigésimo segundo período de sesiones (12.º extraordinario)</w:t>
      </w:r>
    </w:p>
    <w:p w:rsidR="00374B9D" w:rsidRPr="00B332B2" w:rsidRDefault="001C3297" w:rsidP="00C563BC">
      <w:pPr>
        <w:spacing w:before="120" w:after="120"/>
        <w:rPr>
          <w:b/>
          <w:lang w:val="es-ES"/>
        </w:rPr>
      </w:pPr>
      <w:r w:rsidRPr="00B332B2">
        <w:rPr>
          <w:b/>
          <w:lang w:val="es-ES"/>
        </w:rPr>
        <w:t xml:space="preserve">Tratado de la OMPI sobre Interpretación o Ejecución y Fonogramas (WPPT) </w:t>
      </w:r>
      <w:r w:rsidR="00374B9D" w:rsidRPr="00B332B2">
        <w:rPr>
          <w:b/>
          <w:lang w:val="es-ES"/>
        </w:rPr>
        <w:t>– A</w:t>
      </w:r>
      <w:r w:rsidRPr="00B332B2">
        <w:rPr>
          <w:b/>
          <w:lang w:val="es-ES"/>
        </w:rPr>
        <w:t>samblea</w:t>
      </w:r>
      <w:r w:rsidR="00374B9D" w:rsidRPr="00B332B2">
        <w:rPr>
          <w:b/>
          <w:lang w:val="es-ES"/>
        </w:rPr>
        <w:t xml:space="preserve"> – </w:t>
      </w:r>
      <w:r w:rsidRPr="00B332B2">
        <w:rPr>
          <w:b/>
          <w:lang w:val="es-ES"/>
        </w:rPr>
        <w:t>Vigésimo segundo período de sesiones (12.º extraordinario)</w:t>
      </w:r>
    </w:p>
    <w:p w:rsidR="00374B9D" w:rsidRPr="00B332B2" w:rsidRDefault="00A408F2" w:rsidP="00C563BC">
      <w:pPr>
        <w:spacing w:before="120" w:after="120"/>
        <w:rPr>
          <w:b/>
          <w:szCs w:val="22"/>
          <w:lang w:val="es-ES"/>
        </w:rPr>
      </w:pPr>
      <w:r w:rsidRPr="00B332B2">
        <w:rPr>
          <w:b/>
          <w:szCs w:val="22"/>
          <w:lang w:val="es-ES"/>
        </w:rPr>
        <w:t>Tratado sobre el Derecho de Patentes (PLT)</w:t>
      </w:r>
      <w:r w:rsidR="00374B9D" w:rsidRPr="00B332B2">
        <w:rPr>
          <w:b/>
          <w:szCs w:val="22"/>
          <w:lang w:val="es-ES"/>
        </w:rPr>
        <w:t xml:space="preserve"> – </w:t>
      </w:r>
      <w:r w:rsidRPr="00B332B2">
        <w:rPr>
          <w:b/>
          <w:lang w:val="es-ES"/>
        </w:rPr>
        <w:t>Asamblea – Vigésimo primer período de sesiones</w:t>
      </w:r>
      <w:r w:rsidR="00374B9D" w:rsidRPr="00B332B2">
        <w:rPr>
          <w:b/>
          <w:szCs w:val="22"/>
          <w:lang w:val="es-ES"/>
        </w:rPr>
        <w:t xml:space="preserve"> (</w:t>
      </w:r>
      <w:r w:rsidRPr="00B332B2">
        <w:rPr>
          <w:b/>
          <w:szCs w:val="22"/>
          <w:lang w:val="es-ES"/>
        </w:rPr>
        <w:t>12º extraordinario)</w:t>
      </w:r>
    </w:p>
    <w:p w:rsidR="00EE23A5" w:rsidRPr="00B332B2" w:rsidRDefault="001D2482" w:rsidP="00EE23A5">
      <w:pPr>
        <w:spacing w:before="120" w:after="120"/>
        <w:rPr>
          <w:b/>
          <w:szCs w:val="22"/>
          <w:lang w:val="es-ES"/>
        </w:rPr>
      </w:pPr>
      <w:r w:rsidRPr="00B332B2">
        <w:rPr>
          <w:b/>
          <w:szCs w:val="22"/>
          <w:lang w:val="es-ES"/>
        </w:rPr>
        <w:t xml:space="preserve">Tratado de Singapur sobre el Derecho de Marcas </w:t>
      </w:r>
      <w:r w:rsidR="00EE23A5" w:rsidRPr="00B332B2">
        <w:rPr>
          <w:b/>
          <w:szCs w:val="22"/>
          <w:lang w:val="es-ES"/>
        </w:rPr>
        <w:t>(ST</w:t>
      </w:r>
      <w:r w:rsidR="002048D3" w:rsidRPr="00B332B2">
        <w:rPr>
          <w:b/>
          <w:szCs w:val="22"/>
          <w:lang w:val="es-ES"/>
        </w:rPr>
        <w:t xml:space="preserve">LT) – </w:t>
      </w:r>
      <w:r w:rsidR="001D71C3" w:rsidRPr="00B332B2">
        <w:rPr>
          <w:b/>
          <w:szCs w:val="22"/>
          <w:lang w:val="es-ES"/>
        </w:rPr>
        <w:t>Asamblea</w:t>
      </w:r>
      <w:r w:rsidR="002048D3" w:rsidRPr="00B332B2">
        <w:rPr>
          <w:b/>
          <w:szCs w:val="22"/>
          <w:lang w:val="es-ES"/>
        </w:rPr>
        <w:t xml:space="preserve"> – </w:t>
      </w:r>
      <w:r w:rsidR="001D71C3" w:rsidRPr="00B332B2">
        <w:rPr>
          <w:b/>
          <w:szCs w:val="22"/>
          <w:lang w:val="es-ES"/>
        </w:rPr>
        <w:t>Decimoquinto período de sesiones (8.º extraordinario)</w:t>
      </w:r>
    </w:p>
    <w:p w:rsidR="002048D3" w:rsidRPr="00B332B2" w:rsidRDefault="001D71C3" w:rsidP="00EE23A5">
      <w:pPr>
        <w:spacing w:before="120" w:after="120"/>
        <w:rPr>
          <w:b/>
          <w:szCs w:val="22"/>
          <w:lang w:val="es-ES"/>
        </w:rPr>
      </w:pPr>
      <w:r w:rsidRPr="00B332B2">
        <w:rPr>
          <w:b/>
          <w:szCs w:val="22"/>
          <w:lang w:val="es-ES"/>
        </w:rPr>
        <w:t xml:space="preserve">Tratado de Marrakech para facilitar el acceso a las obras publicadas a las personas ciegas, con discapacidad visual o con otras dificultades para acceder al texto impreso. </w:t>
      </w:r>
      <w:r w:rsidR="002048D3" w:rsidRPr="00B332B2">
        <w:rPr>
          <w:b/>
          <w:szCs w:val="22"/>
          <w:lang w:val="es-ES"/>
        </w:rPr>
        <w:t>(</w:t>
      </w:r>
      <w:r w:rsidRPr="00B332B2">
        <w:rPr>
          <w:b/>
          <w:szCs w:val="22"/>
          <w:lang w:val="es-ES"/>
        </w:rPr>
        <w:t>Tratado de Marrakech</w:t>
      </w:r>
      <w:r w:rsidR="002048D3" w:rsidRPr="00B332B2">
        <w:rPr>
          <w:b/>
          <w:szCs w:val="22"/>
          <w:lang w:val="es-ES"/>
        </w:rPr>
        <w:t>) – As</w:t>
      </w:r>
      <w:r w:rsidRPr="00B332B2">
        <w:rPr>
          <w:b/>
          <w:szCs w:val="22"/>
          <w:lang w:val="es-ES"/>
        </w:rPr>
        <w:t>amblea</w:t>
      </w:r>
      <w:r w:rsidR="002048D3" w:rsidRPr="00B332B2">
        <w:rPr>
          <w:b/>
          <w:szCs w:val="22"/>
          <w:lang w:val="es-ES"/>
        </w:rPr>
        <w:t xml:space="preserve"> – </w:t>
      </w:r>
      <w:r w:rsidRPr="00B332B2">
        <w:rPr>
          <w:b/>
          <w:szCs w:val="22"/>
          <w:lang w:val="es-ES"/>
        </w:rPr>
        <w:t>Séptimo período de sesiones (7.º ordinario)</w:t>
      </w:r>
    </w:p>
    <w:p w:rsidR="002048D3" w:rsidRPr="00B332B2" w:rsidRDefault="001D71C3" w:rsidP="00EE23A5">
      <w:pPr>
        <w:spacing w:before="120" w:after="120"/>
        <w:rPr>
          <w:b/>
          <w:szCs w:val="22"/>
          <w:lang w:val="es-ES"/>
        </w:rPr>
      </w:pPr>
      <w:r w:rsidRPr="00B332B2">
        <w:rPr>
          <w:b/>
          <w:szCs w:val="22"/>
          <w:lang w:val="es-ES"/>
        </w:rPr>
        <w:lastRenderedPageBreak/>
        <w:t xml:space="preserve">Tratado de Beijing sobre Interpretaciones y Ejecuciones Audiovisuales </w:t>
      </w:r>
      <w:r w:rsidR="002048D3" w:rsidRPr="00B332B2">
        <w:rPr>
          <w:b/>
          <w:szCs w:val="22"/>
          <w:lang w:val="es-ES"/>
        </w:rPr>
        <w:t>(</w:t>
      </w:r>
      <w:r w:rsidRPr="00B332B2">
        <w:rPr>
          <w:b/>
          <w:szCs w:val="22"/>
          <w:lang w:val="es-ES"/>
        </w:rPr>
        <w:t>Tratado de Beijing</w:t>
      </w:r>
      <w:r w:rsidR="002048D3" w:rsidRPr="00B332B2">
        <w:rPr>
          <w:b/>
          <w:szCs w:val="22"/>
          <w:lang w:val="es-ES"/>
        </w:rPr>
        <w:t>) – As</w:t>
      </w:r>
      <w:r w:rsidRPr="00B332B2">
        <w:rPr>
          <w:b/>
          <w:szCs w:val="22"/>
          <w:lang w:val="es-ES"/>
        </w:rPr>
        <w:t>amblea</w:t>
      </w:r>
      <w:r w:rsidR="002048D3" w:rsidRPr="00B332B2">
        <w:rPr>
          <w:b/>
          <w:szCs w:val="22"/>
          <w:lang w:val="es-ES"/>
        </w:rPr>
        <w:t xml:space="preserve"> – </w:t>
      </w:r>
      <w:r w:rsidRPr="00B332B2">
        <w:rPr>
          <w:b/>
          <w:szCs w:val="22"/>
          <w:lang w:val="es-ES"/>
        </w:rPr>
        <w:t>Tercer período de sesiones (3.º ordinario)</w:t>
      </w:r>
    </w:p>
    <w:p w:rsidR="008B2CC1" w:rsidRPr="00B332B2" w:rsidRDefault="00166028" w:rsidP="00556656">
      <w:pPr>
        <w:spacing w:after="720"/>
        <w:outlineLvl w:val="1"/>
        <w:rPr>
          <w:b/>
          <w:sz w:val="24"/>
          <w:szCs w:val="24"/>
          <w:lang w:val="es-ES"/>
        </w:rPr>
      </w:pPr>
      <w:r w:rsidRPr="00B332B2">
        <w:rPr>
          <w:b/>
          <w:sz w:val="24"/>
          <w:lang w:val="es-ES"/>
        </w:rPr>
        <w:t>G</w:t>
      </w:r>
      <w:r w:rsidR="001D71C3" w:rsidRPr="00B332B2">
        <w:rPr>
          <w:b/>
          <w:sz w:val="24"/>
          <w:lang w:val="es-ES"/>
        </w:rPr>
        <w:t>inebra, 14 a 22 de julio de</w:t>
      </w:r>
      <w:r w:rsidR="00C27D99" w:rsidRPr="00B332B2">
        <w:rPr>
          <w:b/>
          <w:sz w:val="24"/>
          <w:lang w:val="es-ES"/>
        </w:rPr>
        <w:t xml:space="preserve"> 202</w:t>
      </w:r>
      <w:r w:rsidR="00093B18" w:rsidRPr="00B332B2">
        <w:rPr>
          <w:b/>
          <w:sz w:val="24"/>
          <w:lang w:val="es-ES"/>
        </w:rPr>
        <w:t>2</w:t>
      </w:r>
    </w:p>
    <w:p w:rsidR="008B2CC1" w:rsidRPr="00B332B2" w:rsidRDefault="001D71C3" w:rsidP="00DD7B7F">
      <w:pPr>
        <w:spacing w:after="360"/>
        <w:outlineLvl w:val="0"/>
        <w:rPr>
          <w:caps/>
          <w:sz w:val="24"/>
          <w:lang w:val="es-ES"/>
        </w:rPr>
      </w:pPr>
      <w:bookmarkStart w:id="3" w:name="TitleOfDoc"/>
      <w:r w:rsidRPr="00B332B2">
        <w:rPr>
          <w:caps/>
          <w:sz w:val="24"/>
          <w:lang w:val="es-ES"/>
        </w:rPr>
        <w:t>INFORME</w:t>
      </w:r>
      <w:r w:rsidR="00B9067A">
        <w:rPr>
          <w:caps/>
          <w:sz w:val="24"/>
          <w:lang w:val="es-ES"/>
        </w:rPr>
        <w:t>S</w:t>
      </w:r>
    </w:p>
    <w:p w:rsidR="002928D3" w:rsidRPr="00B332B2" w:rsidRDefault="001F58DC" w:rsidP="00556656">
      <w:pPr>
        <w:spacing w:after="960"/>
        <w:rPr>
          <w:i/>
          <w:lang w:val="es-ES"/>
        </w:rPr>
      </w:pPr>
      <w:bookmarkStart w:id="4" w:name="Prepared"/>
      <w:bookmarkEnd w:id="3"/>
      <w:r w:rsidRPr="00B9067A">
        <w:rPr>
          <w:i/>
          <w:lang w:val="es-ES"/>
        </w:rPr>
        <w:t>aprobad</w:t>
      </w:r>
      <w:r>
        <w:rPr>
          <w:i/>
          <w:lang w:val="es-ES"/>
        </w:rPr>
        <w:t>o</w:t>
      </w:r>
      <w:r w:rsidRPr="00B9067A">
        <w:rPr>
          <w:i/>
          <w:lang w:val="es-ES"/>
        </w:rPr>
        <w:t xml:space="preserve">s </w:t>
      </w:r>
      <w:r w:rsidR="00B9067A" w:rsidRPr="00B9067A">
        <w:rPr>
          <w:i/>
          <w:lang w:val="es-ES"/>
        </w:rPr>
        <w:t>por los Órganos respectivos</w:t>
      </w:r>
    </w:p>
    <w:bookmarkEnd w:id="4"/>
    <w:p w:rsidR="00510436" w:rsidRPr="00B332B2" w:rsidRDefault="001D71C3" w:rsidP="00B332B2">
      <w:pPr>
        <w:pStyle w:val="ONUMFS"/>
        <w:rPr>
          <w:lang w:val="es-ES"/>
        </w:rPr>
      </w:pPr>
      <w:r w:rsidRPr="00B332B2">
        <w:rPr>
          <w:lang w:val="es-ES"/>
        </w:rPr>
        <w:t>Cada uno de los órganos mencionados anteriormente se reunió en los períodos de sesiones indicados con el fin de considerar los siguientes puntos del orden del día consolidado de la sexagésima tercera serie de reuniones de las Asambleas de la OMPI</w:t>
      </w:r>
      <w:r w:rsidR="00510436" w:rsidRPr="00B332B2">
        <w:rPr>
          <w:lang w:val="es-ES"/>
        </w:rPr>
        <w:t xml:space="preserve"> (document</w:t>
      </w:r>
      <w:r w:rsidRPr="00B332B2">
        <w:rPr>
          <w:lang w:val="es-ES"/>
        </w:rPr>
        <w:t>o</w:t>
      </w:r>
      <w:r w:rsidR="00510436" w:rsidRPr="00B332B2">
        <w:rPr>
          <w:lang w:val="es-ES"/>
        </w:rPr>
        <w:t xml:space="preserve"> A/63/1): </w:t>
      </w:r>
      <w:r w:rsidRPr="00B332B2">
        <w:rPr>
          <w:lang w:val="es-ES"/>
        </w:rPr>
        <w:t>1, 2, 3, 4, 6, 8, 10.</w:t>
      </w:r>
      <w:r w:rsidR="00B41A1B" w:rsidRPr="00B332B2">
        <w:rPr>
          <w:lang w:val="es-ES"/>
        </w:rPr>
        <w:t>ii), 11</w:t>
      </w:r>
      <w:r w:rsidR="00693648" w:rsidRPr="00B332B2">
        <w:rPr>
          <w:lang w:val="es-ES"/>
        </w:rPr>
        <w:t xml:space="preserve">, </w:t>
      </w:r>
      <w:r w:rsidR="00B41A1B" w:rsidRPr="00B332B2">
        <w:rPr>
          <w:lang w:val="es-ES"/>
        </w:rPr>
        <w:t xml:space="preserve">19, 20 </w:t>
      </w:r>
      <w:r w:rsidRPr="00B332B2">
        <w:rPr>
          <w:lang w:val="es-ES"/>
        </w:rPr>
        <w:t xml:space="preserve">y </w:t>
      </w:r>
      <w:r w:rsidR="00B41A1B" w:rsidRPr="00B332B2">
        <w:rPr>
          <w:lang w:val="es-ES"/>
        </w:rPr>
        <w:t>21</w:t>
      </w:r>
      <w:r w:rsidR="00510436" w:rsidRPr="00B332B2">
        <w:rPr>
          <w:lang w:val="es-ES"/>
        </w:rPr>
        <w:t>.</w:t>
      </w:r>
      <w:r w:rsidR="001F58DC">
        <w:rPr>
          <w:lang w:val="es-ES"/>
        </w:rPr>
        <w:t xml:space="preserve"> </w:t>
      </w:r>
      <w:r w:rsidRPr="00B332B2">
        <w:rPr>
          <w:lang w:val="es-ES"/>
        </w:rPr>
        <w:t xml:space="preserve">Además, los Comités Ejecutivos de las Uniones de Paris y de Berna consideraron el punto </w:t>
      </w:r>
      <w:r w:rsidR="00693648" w:rsidRPr="00B332B2">
        <w:rPr>
          <w:lang w:val="es-ES"/>
        </w:rPr>
        <w:t>5</w:t>
      </w:r>
      <w:r w:rsidR="00510436" w:rsidRPr="00B332B2">
        <w:rPr>
          <w:lang w:val="es-ES"/>
        </w:rPr>
        <w:t>.</w:t>
      </w:r>
    </w:p>
    <w:p w:rsidR="00510436" w:rsidRPr="00B332B2" w:rsidRDefault="001D71C3" w:rsidP="00B332B2">
      <w:pPr>
        <w:pStyle w:val="ONUMFS"/>
        <w:spacing w:after="600"/>
        <w:rPr>
          <w:lang w:val="es-ES"/>
        </w:rPr>
      </w:pPr>
      <w:r w:rsidRPr="00B332B2">
        <w:rPr>
          <w:lang w:val="es-ES"/>
        </w:rPr>
        <w:t xml:space="preserve">Los informes sobre esos puntos del orden del día figuran, en forma consolidada, en el informe general de las Asambleas (documento </w:t>
      </w:r>
      <w:r w:rsidR="00B41A1B" w:rsidRPr="00B332B2">
        <w:rPr>
          <w:lang w:val="es-ES"/>
        </w:rPr>
        <w:t>A/63/10</w:t>
      </w:r>
      <w:r w:rsidR="00B332B2">
        <w:rPr>
          <w:lang w:val="es-ES"/>
        </w:rPr>
        <w:t>).</w:t>
      </w:r>
    </w:p>
    <w:p w:rsidR="001D4107" w:rsidRPr="00B332B2" w:rsidRDefault="00510436" w:rsidP="00B332B2">
      <w:pPr>
        <w:pStyle w:val="Endofdocument-Annex"/>
        <w:rPr>
          <w:lang w:val="es-ES"/>
        </w:rPr>
      </w:pPr>
      <w:r w:rsidRPr="00B332B2">
        <w:rPr>
          <w:lang w:val="es-ES"/>
        </w:rPr>
        <w:t>[</w:t>
      </w:r>
      <w:r w:rsidR="001D71C3" w:rsidRPr="00B332B2">
        <w:rPr>
          <w:lang w:val="es-ES"/>
        </w:rPr>
        <w:t>Fin del</w:t>
      </w:r>
      <w:r w:rsidRPr="00B332B2">
        <w:rPr>
          <w:lang w:val="es-ES"/>
        </w:rPr>
        <w:t xml:space="preserve"> document</w:t>
      </w:r>
      <w:r w:rsidR="001D71C3" w:rsidRPr="00B332B2">
        <w:rPr>
          <w:lang w:val="es-ES"/>
        </w:rPr>
        <w:t>o</w:t>
      </w:r>
      <w:r w:rsidRPr="00B332B2">
        <w:rPr>
          <w:lang w:val="es-ES"/>
        </w:rPr>
        <w:t>]</w:t>
      </w:r>
    </w:p>
    <w:sectPr w:rsidR="001D4107" w:rsidRPr="00B332B2" w:rsidSect="00FF140F">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140F" w:rsidRDefault="00FF140F">
      <w:r>
        <w:separator/>
      </w:r>
    </w:p>
  </w:endnote>
  <w:endnote w:type="continuationSeparator" w:id="0">
    <w:p w:rsidR="00FF140F" w:rsidRDefault="00FF140F" w:rsidP="003B38C1">
      <w:r>
        <w:separator/>
      </w:r>
    </w:p>
    <w:p w:rsidR="00FF140F" w:rsidRPr="003B38C1" w:rsidRDefault="00FF140F" w:rsidP="003B38C1">
      <w:pPr>
        <w:spacing w:after="60"/>
        <w:rPr>
          <w:sz w:val="17"/>
        </w:rPr>
      </w:pPr>
      <w:r>
        <w:rPr>
          <w:sz w:val="17"/>
        </w:rPr>
        <w:t>[Endnote continued from previous page]</w:t>
      </w:r>
    </w:p>
  </w:endnote>
  <w:endnote w:type="continuationNotice" w:id="1">
    <w:p w:rsidR="00FF140F" w:rsidRPr="003B38C1" w:rsidRDefault="00FF140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8DC" w:rsidRDefault="001F58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8DC" w:rsidRDefault="001F58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8DC" w:rsidRDefault="001F58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140F" w:rsidRDefault="00FF140F">
      <w:r>
        <w:separator/>
      </w:r>
    </w:p>
  </w:footnote>
  <w:footnote w:type="continuationSeparator" w:id="0">
    <w:p w:rsidR="00FF140F" w:rsidRDefault="00FF140F" w:rsidP="008B60B2">
      <w:r>
        <w:separator/>
      </w:r>
    </w:p>
    <w:p w:rsidR="00FF140F" w:rsidRPr="00ED77FB" w:rsidRDefault="00FF140F" w:rsidP="008B60B2">
      <w:pPr>
        <w:spacing w:after="60"/>
        <w:rPr>
          <w:sz w:val="17"/>
          <w:szCs w:val="17"/>
        </w:rPr>
      </w:pPr>
      <w:r w:rsidRPr="00ED77FB">
        <w:rPr>
          <w:sz w:val="17"/>
          <w:szCs w:val="17"/>
        </w:rPr>
        <w:t>[Footnote continued from previous page]</w:t>
      </w:r>
    </w:p>
  </w:footnote>
  <w:footnote w:type="continuationNotice" w:id="1">
    <w:p w:rsidR="00FF140F" w:rsidRPr="00ED77FB" w:rsidRDefault="00FF140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8DC" w:rsidRDefault="001F58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67A" w:rsidRPr="00B9067A" w:rsidRDefault="00B9067A" w:rsidP="00B9067A">
    <w:pPr>
      <w:jc w:val="right"/>
    </w:pPr>
    <w:proofErr w:type="gramStart"/>
    <w:r w:rsidRPr="00B9067A">
      <w:t xml:space="preserve">WO/CF/43/1  P/A/58/1  P/EC/62/1  B/A/52/1  B/EC/68/1  </w:t>
    </w:r>
    <w:r w:rsidRPr="00B9067A" w:rsidDel="00FD7743">
      <w:t xml:space="preserve"> </w:t>
    </w:r>
    <w:r w:rsidRPr="00B9067A">
      <w:t xml:space="preserve">N/A/42/1  LO/A/42/1  IPC/A/43/1  PCT/A/54/1  VA/A/35/1 </w:t>
    </w:r>
    <w:r w:rsidRPr="00B9067A" w:rsidDel="00FD7743">
      <w:t xml:space="preserve"> </w:t>
    </w:r>
    <w:r w:rsidRPr="00B9067A">
      <w:t xml:space="preserve">WCT/A/22/1  WPPT/A/22/1  PLT/A/21/1  STLT/A/15/1 </w:t>
    </w:r>
    <w:r w:rsidRPr="00B9067A" w:rsidDel="00FD7743">
      <w:t xml:space="preserve"> </w:t>
    </w:r>
    <w:r w:rsidRPr="00B9067A">
      <w:t>MVT/A/7/1  BTAP/A/3/1</w:t>
    </w:r>
    <w:proofErr w:type="gramEnd"/>
    <w:r w:rsidRPr="00B9067A">
      <w:t xml:space="preserve">  </w:t>
    </w:r>
  </w:p>
  <w:p w:rsidR="00EE23A5" w:rsidRPr="00B332B2" w:rsidRDefault="001D71C3" w:rsidP="00EE23A5">
    <w:pPr>
      <w:jc w:val="right"/>
      <w:rPr>
        <w:lang w:val="es-ES"/>
      </w:rPr>
    </w:pPr>
    <w:r w:rsidRPr="00B332B2">
      <w:rPr>
        <w:lang w:val="es-ES"/>
      </w:rPr>
      <w:t>página</w:t>
    </w:r>
    <w:r w:rsidR="002048D3" w:rsidRPr="00B332B2">
      <w:rPr>
        <w:lang w:val="es-ES"/>
      </w:rPr>
      <w:t xml:space="preserve"> </w:t>
    </w:r>
    <w:r w:rsidR="00EE23A5" w:rsidRPr="00B332B2">
      <w:rPr>
        <w:lang w:val="es-ES"/>
      </w:rPr>
      <w:t>2</w:t>
    </w:r>
  </w:p>
  <w:p w:rsidR="00EE23A5" w:rsidRPr="00B332B2" w:rsidRDefault="00EE23A5" w:rsidP="00EE23A5">
    <w:pPr>
      <w:jc w:val="right"/>
      <w:rPr>
        <w:lang w:val="es-ES"/>
      </w:rPr>
    </w:pPr>
  </w:p>
  <w:p w:rsidR="00D07C78" w:rsidRPr="00B332B2" w:rsidRDefault="00D07C78" w:rsidP="005B2B18">
    <w:pPr>
      <w:jc w:val="right"/>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8DC" w:rsidRDefault="001F58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451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40F"/>
    <w:rsid w:val="00043CAA"/>
    <w:rsid w:val="00056816"/>
    <w:rsid w:val="00072B15"/>
    <w:rsid w:val="00075432"/>
    <w:rsid w:val="00087011"/>
    <w:rsid w:val="00093B18"/>
    <w:rsid w:val="000968ED"/>
    <w:rsid w:val="000A3D97"/>
    <w:rsid w:val="000D14A2"/>
    <w:rsid w:val="000F5E56"/>
    <w:rsid w:val="001362EE"/>
    <w:rsid w:val="001647D5"/>
    <w:rsid w:val="00166028"/>
    <w:rsid w:val="001832A6"/>
    <w:rsid w:val="001926D7"/>
    <w:rsid w:val="001C3297"/>
    <w:rsid w:val="001D2482"/>
    <w:rsid w:val="001D4107"/>
    <w:rsid w:val="001D71C3"/>
    <w:rsid w:val="001F58DC"/>
    <w:rsid w:val="00203D24"/>
    <w:rsid w:val="002048D3"/>
    <w:rsid w:val="0021217E"/>
    <w:rsid w:val="00231235"/>
    <w:rsid w:val="0023369F"/>
    <w:rsid w:val="00243430"/>
    <w:rsid w:val="0025084B"/>
    <w:rsid w:val="002634C4"/>
    <w:rsid w:val="00263BF1"/>
    <w:rsid w:val="002928D3"/>
    <w:rsid w:val="002D522E"/>
    <w:rsid w:val="002F0016"/>
    <w:rsid w:val="002F1FE6"/>
    <w:rsid w:val="002F4E68"/>
    <w:rsid w:val="00312F7F"/>
    <w:rsid w:val="0035420F"/>
    <w:rsid w:val="00361450"/>
    <w:rsid w:val="003673CF"/>
    <w:rsid w:val="00374B9D"/>
    <w:rsid w:val="003845C1"/>
    <w:rsid w:val="00386E49"/>
    <w:rsid w:val="00393A90"/>
    <w:rsid w:val="003A6F89"/>
    <w:rsid w:val="003B38C1"/>
    <w:rsid w:val="003C2D6C"/>
    <w:rsid w:val="003C34E9"/>
    <w:rsid w:val="00423E3E"/>
    <w:rsid w:val="00427AF4"/>
    <w:rsid w:val="004647DA"/>
    <w:rsid w:val="00474062"/>
    <w:rsid w:val="00477D6B"/>
    <w:rsid w:val="005019FF"/>
    <w:rsid w:val="00510436"/>
    <w:rsid w:val="0053057A"/>
    <w:rsid w:val="00540AE7"/>
    <w:rsid w:val="00556076"/>
    <w:rsid w:val="00556656"/>
    <w:rsid w:val="00560A29"/>
    <w:rsid w:val="0056525D"/>
    <w:rsid w:val="00581708"/>
    <w:rsid w:val="0059048F"/>
    <w:rsid w:val="005B2B18"/>
    <w:rsid w:val="005C1636"/>
    <w:rsid w:val="005C6649"/>
    <w:rsid w:val="00605827"/>
    <w:rsid w:val="0062227E"/>
    <w:rsid w:val="00646050"/>
    <w:rsid w:val="006713CA"/>
    <w:rsid w:val="00676C5C"/>
    <w:rsid w:val="00693648"/>
    <w:rsid w:val="006B687B"/>
    <w:rsid w:val="00720EFD"/>
    <w:rsid w:val="00774D94"/>
    <w:rsid w:val="00793A7C"/>
    <w:rsid w:val="007A398A"/>
    <w:rsid w:val="007D1613"/>
    <w:rsid w:val="007E4C0E"/>
    <w:rsid w:val="007F458C"/>
    <w:rsid w:val="0088208A"/>
    <w:rsid w:val="008837C7"/>
    <w:rsid w:val="008A134B"/>
    <w:rsid w:val="008A75FD"/>
    <w:rsid w:val="008B2CC1"/>
    <w:rsid w:val="008B4F17"/>
    <w:rsid w:val="008B60B2"/>
    <w:rsid w:val="009047CD"/>
    <w:rsid w:val="0090731E"/>
    <w:rsid w:val="00916EE2"/>
    <w:rsid w:val="00923F0F"/>
    <w:rsid w:val="009464D3"/>
    <w:rsid w:val="00966A22"/>
    <w:rsid w:val="0096722F"/>
    <w:rsid w:val="00980843"/>
    <w:rsid w:val="009E2791"/>
    <w:rsid w:val="009E3F6F"/>
    <w:rsid w:val="009F499F"/>
    <w:rsid w:val="00A37342"/>
    <w:rsid w:val="00A408F2"/>
    <w:rsid w:val="00A42DAF"/>
    <w:rsid w:val="00A45BD8"/>
    <w:rsid w:val="00A869B7"/>
    <w:rsid w:val="00AC205C"/>
    <w:rsid w:val="00AF0A6B"/>
    <w:rsid w:val="00B05A69"/>
    <w:rsid w:val="00B25737"/>
    <w:rsid w:val="00B332B2"/>
    <w:rsid w:val="00B41A1B"/>
    <w:rsid w:val="00B711B1"/>
    <w:rsid w:val="00B744A7"/>
    <w:rsid w:val="00B75281"/>
    <w:rsid w:val="00B9067A"/>
    <w:rsid w:val="00B92F1F"/>
    <w:rsid w:val="00B9734B"/>
    <w:rsid w:val="00BA30E2"/>
    <w:rsid w:val="00BB3B07"/>
    <w:rsid w:val="00C11BFE"/>
    <w:rsid w:val="00C27D99"/>
    <w:rsid w:val="00C5068F"/>
    <w:rsid w:val="00C563BC"/>
    <w:rsid w:val="00C75296"/>
    <w:rsid w:val="00C86D74"/>
    <w:rsid w:val="00CD04F1"/>
    <w:rsid w:val="00CF681A"/>
    <w:rsid w:val="00D07C78"/>
    <w:rsid w:val="00D204F1"/>
    <w:rsid w:val="00D347B2"/>
    <w:rsid w:val="00D34F40"/>
    <w:rsid w:val="00D45252"/>
    <w:rsid w:val="00D71B4D"/>
    <w:rsid w:val="00D93D55"/>
    <w:rsid w:val="00DD7B7F"/>
    <w:rsid w:val="00E15015"/>
    <w:rsid w:val="00E335FE"/>
    <w:rsid w:val="00E84463"/>
    <w:rsid w:val="00EA7D6E"/>
    <w:rsid w:val="00EB2F76"/>
    <w:rsid w:val="00EC4E49"/>
    <w:rsid w:val="00ED77FB"/>
    <w:rsid w:val="00EE23A5"/>
    <w:rsid w:val="00EE45FA"/>
    <w:rsid w:val="00F043DE"/>
    <w:rsid w:val="00F1085F"/>
    <w:rsid w:val="00F56749"/>
    <w:rsid w:val="00F66152"/>
    <w:rsid w:val="00F874D6"/>
    <w:rsid w:val="00F9165B"/>
    <w:rsid w:val="00FE1232"/>
    <w:rsid w:val="00FF140F"/>
  </w:rsids>
  <m:mathPr>
    <m:mathFont m:val="Cambria Math"/>
    <m:brkBin m:val="before"/>
    <m:brkBinSub m:val="--"/>
    <m:smallFrac m:val="0"/>
    <m:dispDef/>
    <m:lMargin m:val="0"/>
    <m:rMargin m:val="0"/>
    <m:defJc m:val="centerGroup"/>
    <m:wrapIndent m:val="1440"/>
    <m:intLim m:val="subSup"/>
    <m:naryLim m:val="undOvr"/>
  </m:mathPr>
  <w:themeFontLang w:val="fr-CH"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15:docId w15:val="{06C2C06B-8942-4979-9685-2A04EFD8A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5B2B18"/>
    <w:rPr>
      <w:rFonts w:ascii="Segoe UI" w:hAnsi="Segoe UI" w:cs="Segoe UI"/>
      <w:sz w:val="18"/>
      <w:szCs w:val="18"/>
    </w:rPr>
  </w:style>
  <w:style w:type="character" w:customStyle="1" w:styleId="BalloonTextChar">
    <w:name w:val="Balloon Text Char"/>
    <w:basedOn w:val="DefaultParagraphFont"/>
    <w:link w:val="BalloonText"/>
    <w:semiHidden/>
    <w:rsid w:val="005B2B18"/>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602AA-1982-4D49-90E7-9FA2316F8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470</Words>
  <Characters>2887</Characters>
  <Application>Microsoft Office Word</Application>
  <DocSecurity>0</DocSecurity>
  <Lines>51</Lines>
  <Paragraphs>25</Paragraphs>
  <ScaleCrop>false</ScaleCrop>
  <HeadingPairs>
    <vt:vector size="2" baseType="variant">
      <vt:variant>
        <vt:lpstr>Title</vt:lpstr>
      </vt:variant>
      <vt:variant>
        <vt:i4>1</vt:i4>
      </vt:variant>
    </vt:vector>
  </HeadingPairs>
  <TitlesOfParts>
    <vt:vector size="1" baseType="lpstr">
      <vt:lpstr>Small Reports</vt:lpstr>
    </vt:vector>
  </TitlesOfParts>
  <Company>WIPO</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Reports</dc:title>
  <dc:subject/>
  <dc:creator>WIPO</dc:creator>
  <cp:keywords>PUBLIC</cp:keywords>
  <dc:description/>
  <cp:lastModifiedBy>HÄFLIGER Patience</cp:lastModifiedBy>
  <cp:revision>15</cp:revision>
  <cp:lastPrinted>2011-02-15T11:56:00Z</cp:lastPrinted>
  <dcterms:created xsi:type="dcterms:W3CDTF">2022-07-18T16:49:00Z</dcterms:created>
  <dcterms:modified xsi:type="dcterms:W3CDTF">2022-09-28T08:35:00Z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4b3e9ffa-9721-44ea-8b50-ee85582ce2e2</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