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5D0C86" w:rsidTr="0088395E">
        <w:tc>
          <w:tcPr>
            <w:tcW w:w="4513" w:type="dxa"/>
            <w:tcBorders>
              <w:bottom w:val="single" w:sz="4" w:space="0" w:color="auto"/>
            </w:tcBorders>
            <w:tcMar>
              <w:bottom w:w="170" w:type="dxa"/>
            </w:tcMar>
          </w:tcPr>
          <w:p w:rsidR="00E504E5" w:rsidRPr="00D67A2B" w:rsidRDefault="00E504E5" w:rsidP="00AB613D"/>
        </w:tc>
        <w:tc>
          <w:tcPr>
            <w:tcW w:w="4337" w:type="dxa"/>
            <w:tcBorders>
              <w:bottom w:val="single" w:sz="4" w:space="0" w:color="auto"/>
            </w:tcBorders>
            <w:tcMar>
              <w:left w:w="0" w:type="dxa"/>
              <w:right w:w="0" w:type="dxa"/>
            </w:tcMar>
          </w:tcPr>
          <w:p w:rsidR="00E504E5" w:rsidRPr="005D0C86" w:rsidRDefault="00763943" w:rsidP="00AB613D">
            <w:r w:rsidRPr="005D0C86">
              <w:rPr>
                <w:noProof/>
                <w:lang w:val="en-US" w:eastAsia="en-US"/>
              </w:rPr>
              <w:drawing>
                <wp:inline distT="0" distB="0" distL="0" distR="0">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5D0C86" w:rsidRDefault="00E504E5" w:rsidP="00AB613D">
            <w:pPr>
              <w:jc w:val="right"/>
            </w:pPr>
            <w:r w:rsidRPr="005D0C86">
              <w:rPr>
                <w:b/>
                <w:bCs/>
                <w:sz w:val="40"/>
                <w:szCs w:val="40"/>
              </w:rPr>
              <w:t>S</w:t>
            </w:r>
          </w:p>
        </w:tc>
      </w:tr>
      <w:tr w:rsidR="008B2CC1" w:rsidRPr="005D0C86"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5D0C86" w:rsidRDefault="006B4E97" w:rsidP="00AB613D">
            <w:pPr>
              <w:jc w:val="right"/>
              <w:rPr>
                <w:rFonts w:ascii="Arial Black" w:hAnsi="Arial Black"/>
                <w:caps/>
                <w:sz w:val="15"/>
              </w:rPr>
            </w:pPr>
            <w:r w:rsidRPr="005D0C86">
              <w:rPr>
                <w:rFonts w:ascii="Arial Black" w:hAnsi="Arial Black"/>
                <w:caps/>
                <w:sz w:val="15"/>
              </w:rPr>
              <w:t>WO/PBC/26/</w:t>
            </w:r>
            <w:bookmarkStart w:id="0" w:name="Code"/>
            <w:bookmarkEnd w:id="0"/>
            <w:r w:rsidRPr="005D0C86">
              <w:rPr>
                <w:rFonts w:ascii="Arial Black" w:hAnsi="Arial Black"/>
                <w:caps/>
                <w:sz w:val="15"/>
              </w:rPr>
              <w:t>9</w:t>
            </w:r>
          </w:p>
        </w:tc>
      </w:tr>
      <w:tr w:rsidR="008B2CC1" w:rsidRPr="005D0C86" w:rsidTr="00AB613D">
        <w:trPr>
          <w:trHeight w:hRule="exact" w:val="170"/>
        </w:trPr>
        <w:tc>
          <w:tcPr>
            <w:tcW w:w="9356" w:type="dxa"/>
            <w:gridSpan w:val="3"/>
            <w:noWrap/>
            <w:tcMar>
              <w:left w:w="0" w:type="dxa"/>
              <w:right w:w="0" w:type="dxa"/>
            </w:tcMar>
            <w:vAlign w:val="bottom"/>
          </w:tcPr>
          <w:p w:rsidR="008B2CC1" w:rsidRPr="005D0C86" w:rsidRDefault="008B2CC1" w:rsidP="0046793F">
            <w:pPr>
              <w:jc w:val="right"/>
              <w:rPr>
                <w:rFonts w:ascii="Arial Black" w:hAnsi="Arial Black"/>
                <w:caps/>
                <w:sz w:val="15"/>
              </w:rPr>
            </w:pPr>
            <w:r w:rsidRPr="005D0C86">
              <w:rPr>
                <w:rFonts w:ascii="Arial Black" w:hAnsi="Arial Black"/>
                <w:caps/>
                <w:sz w:val="15"/>
              </w:rPr>
              <w:t xml:space="preserve">ORIGINAL:  </w:t>
            </w:r>
            <w:bookmarkStart w:id="1" w:name="Original"/>
            <w:bookmarkEnd w:id="1"/>
            <w:r w:rsidRPr="005D0C86">
              <w:rPr>
                <w:rFonts w:ascii="Arial Black" w:hAnsi="Arial Black"/>
                <w:caps/>
                <w:sz w:val="15"/>
              </w:rPr>
              <w:t xml:space="preserve">INGLÉS </w:t>
            </w:r>
          </w:p>
        </w:tc>
      </w:tr>
      <w:tr w:rsidR="008B2CC1" w:rsidRPr="005D0C86" w:rsidTr="00AB613D">
        <w:trPr>
          <w:trHeight w:hRule="exact" w:val="198"/>
        </w:trPr>
        <w:tc>
          <w:tcPr>
            <w:tcW w:w="9356" w:type="dxa"/>
            <w:gridSpan w:val="3"/>
            <w:tcMar>
              <w:left w:w="0" w:type="dxa"/>
              <w:right w:w="0" w:type="dxa"/>
            </w:tcMar>
            <w:vAlign w:val="bottom"/>
          </w:tcPr>
          <w:p w:rsidR="008B2CC1" w:rsidRPr="005D0C86" w:rsidRDefault="00675021" w:rsidP="00321550">
            <w:pPr>
              <w:jc w:val="right"/>
              <w:rPr>
                <w:rFonts w:ascii="Arial Black" w:hAnsi="Arial Black"/>
                <w:caps/>
                <w:sz w:val="15"/>
              </w:rPr>
            </w:pPr>
            <w:r w:rsidRPr="005D0C86">
              <w:rPr>
                <w:rFonts w:ascii="Arial Black" w:hAnsi="Arial Black"/>
                <w:caps/>
                <w:sz w:val="15"/>
              </w:rPr>
              <w:t xml:space="preserve">fecha:  </w:t>
            </w:r>
            <w:bookmarkStart w:id="2" w:name="Date"/>
            <w:bookmarkEnd w:id="2"/>
            <w:r w:rsidR="00321550">
              <w:rPr>
                <w:rFonts w:ascii="Arial Black" w:hAnsi="Arial Black"/>
                <w:caps/>
                <w:sz w:val="15"/>
              </w:rPr>
              <w:t>21</w:t>
            </w:r>
            <w:r w:rsidRPr="005D0C86">
              <w:rPr>
                <w:rFonts w:ascii="Arial Black" w:hAnsi="Arial Black"/>
                <w:caps/>
                <w:sz w:val="15"/>
              </w:rPr>
              <w:t xml:space="preserve"> DE JUNIO DE 2017 </w:t>
            </w:r>
          </w:p>
        </w:tc>
      </w:tr>
    </w:tbl>
    <w:p w:rsidR="008B2CC1" w:rsidRPr="005D0C86" w:rsidRDefault="008B2CC1" w:rsidP="008B2CC1"/>
    <w:p w:rsidR="008B2CC1" w:rsidRPr="005D0C86" w:rsidRDefault="008B2CC1" w:rsidP="008B2CC1"/>
    <w:p w:rsidR="008B2CC1" w:rsidRPr="005D0C86" w:rsidRDefault="008B2CC1" w:rsidP="008B2CC1"/>
    <w:p w:rsidR="008B2CC1" w:rsidRPr="005D0C86" w:rsidRDefault="008B2CC1" w:rsidP="008B2CC1"/>
    <w:p w:rsidR="008B2CC1" w:rsidRPr="005D0C86" w:rsidRDefault="008B2CC1" w:rsidP="008B2CC1"/>
    <w:p w:rsidR="00B67CDC" w:rsidRPr="005D0C86" w:rsidRDefault="006B4E97" w:rsidP="00B67CDC">
      <w:pPr>
        <w:rPr>
          <w:b/>
          <w:sz w:val="28"/>
          <w:szCs w:val="28"/>
        </w:rPr>
      </w:pPr>
      <w:r w:rsidRPr="005D0C86">
        <w:rPr>
          <w:b/>
          <w:bCs/>
          <w:sz w:val="28"/>
          <w:szCs w:val="28"/>
        </w:rPr>
        <w:t>Comité del Programa y Presupuesto</w:t>
      </w:r>
    </w:p>
    <w:p w:rsidR="003845C1" w:rsidRPr="005D0C86" w:rsidRDefault="003845C1" w:rsidP="003845C1"/>
    <w:p w:rsidR="003845C1" w:rsidRPr="005D0C86" w:rsidRDefault="003845C1" w:rsidP="003845C1"/>
    <w:p w:rsidR="006B4E97" w:rsidRPr="005D0C86" w:rsidRDefault="006B4E97" w:rsidP="006B4E97">
      <w:pPr>
        <w:rPr>
          <w:b/>
          <w:sz w:val="24"/>
          <w:szCs w:val="24"/>
        </w:rPr>
      </w:pPr>
      <w:r w:rsidRPr="005D0C86">
        <w:rPr>
          <w:b/>
          <w:bCs/>
          <w:sz w:val="24"/>
          <w:szCs w:val="24"/>
        </w:rPr>
        <w:t>Vigesimosexta sesión</w:t>
      </w:r>
    </w:p>
    <w:p w:rsidR="00B67CDC" w:rsidRPr="005D0C86" w:rsidRDefault="006B4E97" w:rsidP="006B4E97">
      <w:pPr>
        <w:rPr>
          <w:b/>
          <w:sz w:val="24"/>
          <w:szCs w:val="24"/>
        </w:rPr>
      </w:pPr>
      <w:r w:rsidRPr="005D0C86">
        <w:rPr>
          <w:b/>
          <w:bCs/>
          <w:sz w:val="24"/>
          <w:szCs w:val="24"/>
        </w:rPr>
        <w:t>Ginebra, 10 a 14 de julio de 2017</w:t>
      </w:r>
    </w:p>
    <w:p w:rsidR="008B2CC1" w:rsidRPr="005D0C86" w:rsidRDefault="008B2CC1" w:rsidP="008B2CC1"/>
    <w:p w:rsidR="008B2CC1" w:rsidRPr="005D0C86" w:rsidRDefault="008B2CC1" w:rsidP="008B2CC1"/>
    <w:p w:rsidR="008B2CC1" w:rsidRPr="005D0C86" w:rsidRDefault="008B2CC1" w:rsidP="008B2CC1"/>
    <w:p w:rsidR="00A06E57" w:rsidRPr="00197A8D" w:rsidRDefault="00A06E57" w:rsidP="00A06E57">
      <w:pPr>
        <w:rPr>
          <w:caps/>
          <w:sz w:val="24"/>
          <w:szCs w:val="24"/>
        </w:rPr>
      </w:pPr>
      <w:bookmarkStart w:id="3" w:name="TitleOfDoc"/>
      <w:bookmarkEnd w:id="3"/>
      <w:r w:rsidRPr="00197A8D">
        <w:rPr>
          <w:caps/>
          <w:sz w:val="24"/>
          <w:szCs w:val="24"/>
        </w:rPr>
        <w:t>Plan maestro de mejoras de infraestructura par</w:t>
      </w:r>
      <w:r w:rsidR="00197A8D" w:rsidRPr="00197A8D">
        <w:rPr>
          <w:caps/>
          <w:sz w:val="24"/>
          <w:szCs w:val="24"/>
        </w:rPr>
        <w:t>a 2</w:t>
      </w:r>
      <w:r w:rsidRPr="00197A8D">
        <w:rPr>
          <w:caps/>
          <w:sz w:val="24"/>
          <w:szCs w:val="24"/>
        </w:rPr>
        <w:t>018-</w:t>
      </w:r>
      <w:r w:rsidR="00DD7BF0" w:rsidRPr="00197A8D">
        <w:rPr>
          <w:caps/>
          <w:sz w:val="24"/>
          <w:szCs w:val="24"/>
        </w:rPr>
        <w:t>27</w:t>
      </w:r>
    </w:p>
    <w:p w:rsidR="00A06E57" w:rsidRPr="00197A8D" w:rsidRDefault="00A06E57" w:rsidP="00A06E57"/>
    <w:p w:rsidR="00A06E57" w:rsidRPr="00197A8D" w:rsidRDefault="00A06E57" w:rsidP="00A06E57">
      <w:pPr>
        <w:rPr>
          <w:i/>
        </w:rPr>
      </w:pPr>
      <w:r w:rsidRPr="00197A8D">
        <w:rPr>
          <w:i/>
          <w:iCs/>
        </w:rPr>
        <w:t>Documento preparado por la Secretaría</w:t>
      </w:r>
    </w:p>
    <w:p w:rsidR="00A06E57" w:rsidRPr="00197A8D" w:rsidRDefault="00A06E57" w:rsidP="00A06E57"/>
    <w:p w:rsidR="00A06E57" w:rsidRPr="00197A8D" w:rsidRDefault="00A06E57" w:rsidP="00A06E57"/>
    <w:p w:rsidR="00A06E57" w:rsidRPr="00197A8D" w:rsidRDefault="00A06E57" w:rsidP="00A06E57"/>
    <w:p w:rsidR="00A06E57" w:rsidRPr="00197A8D" w:rsidRDefault="00A06E57" w:rsidP="00A06E57"/>
    <w:p w:rsidR="00A06E57" w:rsidRPr="00197A8D" w:rsidRDefault="00A06E57" w:rsidP="002E02E7">
      <w:pPr>
        <w:pStyle w:val="Heading1"/>
        <w:keepNext w:val="0"/>
        <w:spacing w:before="0" w:after="0"/>
      </w:pPr>
      <w:r w:rsidRPr="00197A8D">
        <w:t>ANTECEDENTES</w:t>
      </w:r>
    </w:p>
    <w:p w:rsidR="00A06E57" w:rsidRPr="00197A8D" w:rsidRDefault="00A06E57" w:rsidP="002E02E7"/>
    <w:p w:rsidR="00A06E57" w:rsidRPr="00197A8D" w:rsidRDefault="00A06E57" w:rsidP="002E02E7">
      <w:pPr>
        <w:numPr>
          <w:ilvl w:val="0"/>
          <w:numId w:val="13"/>
        </w:numPr>
        <w:tabs>
          <w:tab w:val="left" w:pos="567"/>
          <w:tab w:val="left" w:pos="5670"/>
        </w:tabs>
        <w:spacing w:after="220"/>
        <w:ind w:left="0" w:firstLine="0"/>
        <w:contextualSpacing/>
      </w:pPr>
      <w:r w:rsidRPr="00197A8D">
        <w:t>En su vigesimoprimera</w:t>
      </w:r>
      <w:r w:rsidRPr="00197A8D">
        <w:rPr>
          <w:vertAlign w:val="superscript"/>
        </w:rPr>
        <w:t xml:space="preserve"> </w:t>
      </w:r>
      <w:r w:rsidRPr="00197A8D">
        <w:t xml:space="preserve">sesión (9 </w:t>
      </w:r>
      <w:r w:rsidR="00197A8D" w:rsidRPr="00197A8D">
        <w:t>a 1</w:t>
      </w:r>
      <w:r w:rsidRPr="00197A8D">
        <w:t>3 de septiembre d</w:t>
      </w:r>
      <w:r w:rsidR="00197A8D" w:rsidRPr="00197A8D">
        <w:t>e 2</w:t>
      </w:r>
      <w:r w:rsidRPr="00197A8D">
        <w:t>013), el Comité del Programa y Presupuesto (PBC) recomendó a las Asambleas de los Estados miembros de la OMPI que aprobaran el Plan maestro de mejoras de infraestructura</w:t>
      </w:r>
      <w:r w:rsidR="005E5DFD" w:rsidRPr="00197A8D">
        <w:t xml:space="preserve"> (PMM)</w:t>
      </w:r>
      <w:r w:rsidRPr="00197A8D">
        <w:t xml:space="preserve"> (documento WO/PBC/21/18), que las Asambleas aprobaron posteriormente en el documento A/51/14.  En el </w:t>
      </w:r>
      <w:r w:rsidR="005E5DFD" w:rsidRPr="00197A8D">
        <w:t>PM</w:t>
      </w:r>
      <w:r w:rsidR="00197A8D" w:rsidRPr="00197A8D">
        <w:t>M 2</w:t>
      </w:r>
      <w:r w:rsidR="00C77CBA" w:rsidRPr="00197A8D">
        <w:t>014-</w:t>
      </w:r>
      <w:r w:rsidRPr="00197A8D">
        <w:t xml:space="preserve">19 se </w:t>
      </w:r>
      <w:r w:rsidR="00B07746" w:rsidRPr="00197A8D">
        <w:t>sientan</w:t>
      </w:r>
      <w:r w:rsidRPr="00197A8D">
        <w:t xml:space="preserve"> las bases de un plan exhaustivo </w:t>
      </w:r>
      <w:r w:rsidR="00B07746" w:rsidRPr="00197A8D">
        <w:t xml:space="preserve">de aplicación </w:t>
      </w:r>
      <w:r w:rsidR="001D24B7" w:rsidRPr="00197A8D">
        <w:t>continua</w:t>
      </w:r>
      <w:r w:rsidR="00B07746" w:rsidRPr="00197A8D">
        <w:t xml:space="preserve"> </w:t>
      </w:r>
      <w:r w:rsidR="001D24B7" w:rsidRPr="00197A8D">
        <w:t>a lo largo de</w:t>
      </w:r>
      <w:r w:rsidR="00B07746" w:rsidRPr="00197A8D">
        <w:t xml:space="preserve"> seis años, que</w:t>
      </w:r>
      <w:r w:rsidRPr="00197A8D">
        <w:t xml:space="preserve"> </w:t>
      </w:r>
      <w:r w:rsidR="00B07746" w:rsidRPr="00197A8D">
        <w:t>respond</w:t>
      </w:r>
      <w:r w:rsidR="001D24B7" w:rsidRPr="00197A8D">
        <w:t>e</w:t>
      </w:r>
      <w:r w:rsidR="00B07746" w:rsidRPr="00197A8D">
        <w:t xml:space="preserve"> a</w:t>
      </w:r>
      <w:r w:rsidRPr="00197A8D">
        <w:t xml:space="preserve"> las necesidades de la Organización en materia de inversiones de capital </w:t>
      </w:r>
      <w:r w:rsidR="00C77CBA" w:rsidRPr="00197A8D">
        <w:t xml:space="preserve">en los ámbitos de las </w:t>
      </w:r>
      <w:r w:rsidRPr="00197A8D">
        <w:t xml:space="preserve">tecnologías de la información y las comunicaciones (TIC), </w:t>
      </w:r>
      <w:r w:rsidR="00F22BB2" w:rsidRPr="00197A8D">
        <w:t xml:space="preserve">los </w:t>
      </w:r>
      <w:r w:rsidR="00C77CBA" w:rsidRPr="00197A8D">
        <w:t>e</w:t>
      </w:r>
      <w:r w:rsidRPr="00197A8D">
        <w:t xml:space="preserve">dificios y </w:t>
      </w:r>
      <w:r w:rsidR="00F22BB2" w:rsidRPr="00197A8D">
        <w:t xml:space="preserve">los proyectos relacionados con la </w:t>
      </w:r>
      <w:r w:rsidR="00C77CBA" w:rsidRPr="00197A8D">
        <w:t>s</w:t>
      </w:r>
      <w:r w:rsidRPr="00197A8D">
        <w:t>eguridad y</w:t>
      </w:r>
      <w:r w:rsidR="00F22BB2" w:rsidRPr="00197A8D">
        <w:t xml:space="preserve"> la</w:t>
      </w:r>
      <w:r w:rsidRPr="00197A8D">
        <w:t xml:space="preserve"> vigilancia.  </w:t>
      </w:r>
      <w:r w:rsidR="00171373" w:rsidRPr="00197A8D">
        <w:t>Los propósitos</w:t>
      </w:r>
      <w:r w:rsidRPr="00197A8D">
        <w:t xml:space="preserve"> del </w:t>
      </w:r>
      <w:r w:rsidR="005E5DFD" w:rsidRPr="00197A8D">
        <w:t>PM</w:t>
      </w:r>
      <w:r w:rsidR="00197A8D" w:rsidRPr="00197A8D">
        <w:t>M 2</w:t>
      </w:r>
      <w:r w:rsidR="00F22BB2" w:rsidRPr="00197A8D">
        <w:t>014-</w:t>
      </w:r>
      <w:r w:rsidRPr="00197A8D">
        <w:t xml:space="preserve">19 </w:t>
      </w:r>
      <w:r w:rsidR="00171373" w:rsidRPr="00197A8D">
        <w:t>c</w:t>
      </w:r>
      <w:r w:rsidR="00B07746" w:rsidRPr="00197A8D">
        <w:t>omprendía</w:t>
      </w:r>
      <w:r w:rsidR="00171373" w:rsidRPr="00197A8D">
        <w:t>n</w:t>
      </w:r>
      <w:r w:rsidRPr="00197A8D">
        <w:t>:</w:t>
      </w:r>
    </w:p>
    <w:p w:rsidR="00A06E57" w:rsidRPr="00197A8D" w:rsidRDefault="00A06E57" w:rsidP="002E02E7"/>
    <w:p w:rsidR="00F22BB2" w:rsidRPr="00197A8D" w:rsidRDefault="00F22BB2" w:rsidP="00F22BB2">
      <w:pPr>
        <w:numPr>
          <w:ilvl w:val="0"/>
          <w:numId w:val="8"/>
        </w:numPr>
        <w:tabs>
          <w:tab w:val="left" w:pos="567"/>
          <w:tab w:val="num" w:pos="1134"/>
          <w:tab w:val="left" w:pos="5670"/>
        </w:tabs>
        <w:ind w:left="567" w:firstLine="0"/>
        <w:contextualSpacing/>
      </w:pPr>
      <w:r w:rsidRPr="00197A8D">
        <w:t>velar por la oportuna planificación de las inversiones de c</w:t>
      </w:r>
      <w:r w:rsidR="00171373" w:rsidRPr="00197A8D">
        <w:t>apital necesarias para asegurar</w:t>
      </w:r>
      <w:r w:rsidRPr="00197A8D">
        <w:t xml:space="preserve"> que la OMPI siga siendo una organización adecuada a sus fines;</w:t>
      </w:r>
    </w:p>
    <w:p w:rsidR="00A06E57" w:rsidRPr="00197A8D" w:rsidRDefault="00A06E57" w:rsidP="00F22BB2">
      <w:pPr>
        <w:tabs>
          <w:tab w:val="left" w:pos="567"/>
          <w:tab w:val="left" w:pos="5670"/>
        </w:tabs>
        <w:ind w:left="567"/>
        <w:contextualSpacing/>
      </w:pPr>
    </w:p>
    <w:p w:rsidR="00A06E57" w:rsidRPr="00197A8D" w:rsidRDefault="00F22BB2" w:rsidP="002E02E7">
      <w:pPr>
        <w:numPr>
          <w:ilvl w:val="0"/>
          <w:numId w:val="8"/>
        </w:numPr>
        <w:tabs>
          <w:tab w:val="left" w:pos="567"/>
          <w:tab w:val="num" w:pos="1134"/>
          <w:tab w:val="left" w:pos="5670"/>
        </w:tabs>
        <w:ind w:left="567" w:firstLine="0"/>
        <w:contextualSpacing/>
      </w:pPr>
      <w:r w:rsidRPr="00197A8D">
        <w:t xml:space="preserve">reducir la necesidad de realizar reparaciones </w:t>
      </w:r>
      <w:r w:rsidR="00171373" w:rsidRPr="00197A8D">
        <w:t>específicas de</w:t>
      </w:r>
      <w:r w:rsidRPr="00197A8D">
        <w:t xml:space="preserve"> emergencia;</w:t>
      </w:r>
    </w:p>
    <w:p w:rsidR="00A06E57" w:rsidRPr="00197A8D" w:rsidRDefault="00A06E57" w:rsidP="002E02E7">
      <w:pPr>
        <w:tabs>
          <w:tab w:val="left" w:pos="567"/>
          <w:tab w:val="left" w:pos="5670"/>
        </w:tabs>
        <w:contextualSpacing/>
      </w:pPr>
    </w:p>
    <w:p w:rsidR="00F22BB2" w:rsidRPr="00197A8D" w:rsidRDefault="00F22BB2" w:rsidP="00F22BB2">
      <w:pPr>
        <w:numPr>
          <w:ilvl w:val="0"/>
          <w:numId w:val="8"/>
        </w:numPr>
        <w:tabs>
          <w:tab w:val="left" w:pos="567"/>
          <w:tab w:val="num" w:pos="1134"/>
          <w:tab w:val="left" w:pos="5670"/>
        </w:tabs>
        <w:ind w:left="567" w:firstLine="0"/>
        <w:contextualSpacing/>
      </w:pPr>
      <w:r w:rsidRPr="00197A8D">
        <w:t xml:space="preserve">eliminar o mitigar los riesgos medioambientales, de vigilancia, salud </w:t>
      </w:r>
      <w:r w:rsidR="00171373" w:rsidRPr="00197A8D">
        <w:t>y</w:t>
      </w:r>
      <w:r w:rsidRPr="00197A8D">
        <w:t xml:space="preserve"> seguridad.</w:t>
      </w:r>
    </w:p>
    <w:p w:rsidR="00A06E57" w:rsidRPr="00197A8D" w:rsidRDefault="00A06E57" w:rsidP="00F22BB2">
      <w:pPr>
        <w:tabs>
          <w:tab w:val="left" w:pos="567"/>
          <w:tab w:val="left" w:pos="5670"/>
        </w:tabs>
        <w:ind w:left="567"/>
        <w:contextualSpacing/>
      </w:pPr>
    </w:p>
    <w:p w:rsidR="00822607" w:rsidRPr="00197A8D" w:rsidRDefault="00A06E57" w:rsidP="002E02E7">
      <w:pPr>
        <w:numPr>
          <w:ilvl w:val="0"/>
          <w:numId w:val="13"/>
        </w:numPr>
        <w:tabs>
          <w:tab w:val="left" w:pos="567"/>
          <w:tab w:val="left" w:pos="5670"/>
        </w:tabs>
        <w:spacing w:after="220"/>
        <w:ind w:left="0" w:firstLine="0"/>
        <w:contextualSpacing/>
      </w:pPr>
      <w:r w:rsidRPr="00197A8D">
        <w:t xml:space="preserve">El </w:t>
      </w:r>
      <w:r w:rsidR="005E5DFD" w:rsidRPr="00197A8D">
        <w:t>PM</w:t>
      </w:r>
      <w:r w:rsidR="00197A8D" w:rsidRPr="00197A8D">
        <w:t>M 2</w:t>
      </w:r>
      <w:r w:rsidR="004F140A" w:rsidRPr="00197A8D">
        <w:t>014-</w:t>
      </w:r>
      <w:r w:rsidRPr="00197A8D">
        <w:t xml:space="preserve">19 </w:t>
      </w:r>
      <w:r w:rsidR="005E5DFD" w:rsidRPr="00197A8D">
        <w:t>es</w:t>
      </w:r>
      <w:r w:rsidRPr="00197A8D">
        <w:t xml:space="preserve"> un plan que </w:t>
      </w:r>
      <w:r w:rsidR="00171373" w:rsidRPr="00197A8D">
        <w:t>abarca</w:t>
      </w:r>
      <w:r w:rsidRPr="00197A8D">
        <w:t xml:space="preserve"> </w:t>
      </w:r>
      <w:r w:rsidR="004F140A" w:rsidRPr="00197A8D">
        <w:t>siete proyectos fundamentales d</w:t>
      </w:r>
      <w:r w:rsidRPr="00197A8D">
        <w:t>e</w:t>
      </w:r>
      <w:r w:rsidR="004F140A" w:rsidRPr="00197A8D">
        <w:t xml:space="preserve"> inversión de</w:t>
      </w:r>
      <w:r w:rsidRPr="00197A8D">
        <w:t xml:space="preserve"> capital que se </w:t>
      </w:r>
      <w:r w:rsidR="005E5DFD" w:rsidRPr="00197A8D">
        <w:t>financiará</w:t>
      </w:r>
      <w:r w:rsidRPr="00197A8D">
        <w:t>n</w:t>
      </w:r>
      <w:r w:rsidR="004F140A" w:rsidRPr="00197A8D">
        <w:t xml:space="preserve"> mediante las r</w:t>
      </w:r>
      <w:r w:rsidRPr="00197A8D">
        <w:t>eservas qu</w:t>
      </w:r>
      <w:r w:rsidR="005E5DFD" w:rsidRPr="00197A8D">
        <w:t>e cumplan los requisitos de la p</w:t>
      </w:r>
      <w:r w:rsidRPr="00197A8D">
        <w:t>olítica sobre los fondos de reserva y principios aplicados en relación con el uso de las reservas</w:t>
      </w:r>
      <w:r w:rsidR="002C162A" w:rsidRPr="00197A8D">
        <w:rPr>
          <w:vertAlign w:val="superscript"/>
        </w:rPr>
        <w:footnoteReference w:id="2"/>
      </w:r>
      <w:r w:rsidRPr="00197A8D">
        <w:t xml:space="preserve">.  El plan </w:t>
      </w:r>
      <w:r w:rsidR="00B07746" w:rsidRPr="00197A8D">
        <w:lastRenderedPageBreak/>
        <w:t>abarca</w:t>
      </w:r>
      <w:r w:rsidRPr="00197A8D">
        <w:t xml:space="preserve"> un período de seis años, q</w:t>
      </w:r>
      <w:r w:rsidR="00171373" w:rsidRPr="00197A8D">
        <w:t>ue incluye tres bienios (2014-15</w:t>
      </w:r>
      <w:r w:rsidRPr="00197A8D">
        <w:t xml:space="preserve">, 2016-17 </w:t>
      </w:r>
      <w:r w:rsidR="00197A8D" w:rsidRPr="00197A8D">
        <w:t>y 2</w:t>
      </w:r>
      <w:r w:rsidRPr="00197A8D">
        <w:t xml:space="preserve">018-19) y </w:t>
      </w:r>
      <w:r w:rsidR="00B07746" w:rsidRPr="00197A8D">
        <w:t>ha contado</w:t>
      </w:r>
      <w:r w:rsidRPr="00197A8D">
        <w:t xml:space="preserve"> con un presupuesto total d</w:t>
      </w:r>
      <w:r w:rsidR="00197A8D" w:rsidRPr="00197A8D">
        <w:t>e 1</w:t>
      </w:r>
      <w:r w:rsidRPr="00197A8D">
        <w:t>1,2 millones de francos suizos</w:t>
      </w:r>
      <w:r w:rsidR="00822607" w:rsidRPr="00197A8D">
        <w:t>.</w:t>
      </w:r>
    </w:p>
    <w:p w:rsidR="00A06E57" w:rsidRPr="00197A8D" w:rsidRDefault="00A06E57" w:rsidP="002E02E7"/>
    <w:p w:rsidR="00A06E57" w:rsidRPr="00197A8D" w:rsidRDefault="00A06E57" w:rsidP="002E02E7">
      <w:pPr>
        <w:pStyle w:val="Heading1"/>
        <w:keepNext w:val="0"/>
      </w:pPr>
      <w:r w:rsidRPr="00197A8D">
        <w:t xml:space="preserve">SITUACIÓN DEL </w:t>
      </w:r>
      <w:r w:rsidR="005E5DFD" w:rsidRPr="00197A8D">
        <w:t>PM</w:t>
      </w:r>
      <w:r w:rsidR="00197A8D" w:rsidRPr="00197A8D">
        <w:t>M 2</w:t>
      </w:r>
      <w:r w:rsidRPr="00197A8D">
        <w:t xml:space="preserve">014-2019 Y </w:t>
      </w:r>
      <w:r w:rsidR="00724E8B" w:rsidRPr="00197A8D">
        <w:t xml:space="preserve">de </w:t>
      </w:r>
      <w:r w:rsidRPr="00197A8D">
        <w:t xml:space="preserve">OTROS proyectos especiales financiados con cargo a las reservas </w:t>
      </w:r>
    </w:p>
    <w:p w:rsidR="00A06E57" w:rsidRPr="00197A8D" w:rsidRDefault="00A06E57" w:rsidP="002E02E7"/>
    <w:p w:rsidR="00822607" w:rsidRPr="00197A8D" w:rsidRDefault="00A06E57" w:rsidP="002E02E7">
      <w:pPr>
        <w:numPr>
          <w:ilvl w:val="0"/>
          <w:numId w:val="13"/>
        </w:numPr>
        <w:tabs>
          <w:tab w:val="left" w:pos="567"/>
          <w:tab w:val="left" w:pos="5670"/>
        </w:tabs>
        <w:spacing w:after="220"/>
        <w:ind w:left="0" w:firstLine="0"/>
        <w:contextualSpacing/>
      </w:pPr>
      <w:r w:rsidRPr="00197A8D">
        <w:t xml:space="preserve">En los informes sobre el rendimiento de los programas </w:t>
      </w:r>
      <w:r w:rsidR="00724E8B" w:rsidRPr="00197A8D">
        <w:t xml:space="preserve">anuales y bienales </w:t>
      </w:r>
      <w:r w:rsidRPr="00197A8D">
        <w:t>presentados al PBC se ha</w:t>
      </w:r>
      <w:r w:rsidR="00321550" w:rsidRPr="00197A8D">
        <w:t>n</w:t>
      </w:r>
      <w:r w:rsidRPr="00197A8D">
        <w:t xml:space="preserve"> incluido </w:t>
      </w:r>
      <w:r w:rsidR="00321550" w:rsidRPr="00197A8D">
        <w:t>periódicamente</w:t>
      </w:r>
      <w:r w:rsidRPr="00197A8D">
        <w:t xml:space="preserve"> informes sobre la situación de la aplicación de proyectos individuales en el </w:t>
      </w:r>
      <w:r w:rsidR="00724E8B" w:rsidRPr="00197A8D">
        <w:t>P</w:t>
      </w:r>
      <w:r w:rsidRPr="00197A8D">
        <w:t>lan maestro de mejoras de infraestructur</w:t>
      </w:r>
      <w:r w:rsidR="00197A8D" w:rsidRPr="00197A8D">
        <w:t>a 2</w:t>
      </w:r>
      <w:r w:rsidRPr="00197A8D">
        <w:t>014-2019.  El progreso de cada proyecto a fines d</w:t>
      </w:r>
      <w:r w:rsidR="00197A8D" w:rsidRPr="00197A8D">
        <w:t>e 2</w:t>
      </w:r>
      <w:r w:rsidRPr="00197A8D">
        <w:t xml:space="preserve">016 se </w:t>
      </w:r>
      <w:r w:rsidR="00321550" w:rsidRPr="00197A8D">
        <w:t xml:space="preserve">expone </w:t>
      </w:r>
      <w:r w:rsidRPr="00197A8D">
        <w:t>en el</w:t>
      </w:r>
      <w:r w:rsidR="00724E8B" w:rsidRPr="00197A8D">
        <w:t xml:space="preserve"> Anexo III del</w:t>
      </w:r>
      <w:r w:rsidRPr="00197A8D">
        <w:t xml:space="preserve"> informe sobre el rendimiento de programas par</w:t>
      </w:r>
      <w:r w:rsidR="00197A8D" w:rsidRPr="00197A8D">
        <w:t>a 2</w:t>
      </w:r>
      <w:r w:rsidR="00724E8B" w:rsidRPr="00197A8D">
        <w:t>016</w:t>
      </w:r>
      <w:r w:rsidR="00197A8D" w:rsidRPr="00197A8D">
        <w:t>.  L</w:t>
      </w:r>
      <w:r w:rsidRPr="00197A8D">
        <w:t>a presentación de informes sobre otros proyectos especiales fina</w:t>
      </w:r>
      <w:r w:rsidR="00D67A2B" w:rsidRPr="00197A8D">
        <w:t>n</w:t>
      </w:r>
      <w:r w:rsidRPr="00197A8D">
        <w:t xml:space="preserve">ciados con cargo a las reservas, como el proyecto de </w:t>
      </w:r>
      <w:r w:rsidR="00321550" w:rsidRPr="00197A8D">
        <w:t>planificación de los recursos institucionales</w:t>
      </w:r>
      <w:r w:rsidRPr="00197A8D">
        <w:t>, se han presentado/ se presentan</w:t>
      </w:r>
      <w:r w:rsidR="00724E8B" w:rsidRPr="00197A8D">
        <w:t xml:space="preserve"> al PBC en</w:t>
      </w:r>
      <w:r w:rsidRPr="00197A8D">
        <w:t xml:space="preserve"> informes anuales separados</w:t>
      </w:r>
      <w:r w:rsidR="00724E8B" w:rsidRPr="00197A8D">
        <w:t xml:space="preserve"> sobre la marcha del proyecto</w:t>
      </w:r>
      <w:r w:rsidR="00822607" w:rsidRPr="00197A8D">
        <w:t>.</w:t>
      </w:r>
    </w:p>
    <w:p w:rsidR="00A06E57" w:rsidRPr="00197A8D" w:rsidRDefault="00A06E57" w:rsidP="002E02E7">
      <w:pPr>
        <w:tabs>
          <w:tab w:val="left" w:pos="567"/>
          <w:tab w:val="left" w:pos="5670"/>
        </w:tabs>
        <w:spacing w:after="220"/>
        <w:contextualSpacing/>
      </w:pPr>
    </w:p>
    <w:p w:rsidR="00A06E57" w:rsidRPr="00197A8D" w:rsidRDefault="00A06E57" w:rsidP="002E02E7">
      <w:pPr>
        <w:numPr>
          <w:ilvl w:val="0"/>
          <w:numId w:val="13"/>
        </w:numPr>
        <w:tabs>
          <w:tab w:val="left" w:pos="567"/>
          <w:tab w:val="left" w:pos="5670"/>
        </w:tabs>
        <w:spacing w:after="220"/>
        <w:ind w:left="0" w:firstLine="0"/>
        <w:contextualSpacing/>
      </w:pPr>
      <w:r w:rsidRPr="00197A8D">
        <w:t>En el cuadr</w:t>
      </w:r>
      <w:r w:rsidR="00197A8D" w:rsidRPr="00197A8D">
        <w:t>o 1</w:t>
      </w:r>
      <w:r w:rsidRPr="00197A8D">
        <w:t xml:space="preserve"> se proporciona información actualizada sobre la situación de la utilización del presupuesto a fines d</w:t>
      </w:r>
      <w:r w:rsidR="00197A8D" w:rsidRPr="00197A8D">
        <w:t>e 2</w:t>
      </w:r>
      <w:r w:rsidRPr="00197A8D">
        <w:t>016 y los ga</w:t>
      </w:r>
      <w:r w:rsidR="00171373" w:rsidRPr="00197A8D">
        <w:t>stos previstos e</w:t>
      </w:r>
      <w:r w:rsidR="00197A8D" w:rsidRPr="00197A8D">
        <w:t>n 2</w:t>
      </w:r>
      <w:r w:rsidR="00171373" w:rsidRPr="00197A8D">
        <w:t xml:space="preserve">017 </w:t>
      </w:r>
      <w:r w:rsidR="00197A8D" w:rsidRPr="00197A8D">
        <w:t>y 2</w:t>
      </w:r>
      <w:r w:rsidR="00171373" w:rsidRPr="00197A8D">
        <w:t>018/</w:t>
      </w:r>
      <w:r w:rsidRPr="00197A8D">
        <w:t xml:space="preserve">19 para los proyectos </w:t>
      </w:r>
      <w:r w:rsidR="00171373" w:rsidRPr="00197A8D">
        <w:t>en virtud del</w:t>
      </w:r>
      <w:r w:rsidRPr="00197A8D">
        <w:t xml:space="preserve"> </w:t>
      </w:r>
      <w:r w:rsidR="005E5DFD" w:rsidRPr="00197A8D">
        <w:t>PM</w:t>
      </w:r>
      <w:r w:rsidR="00197A8D" w:rsidRPr="00197A8D">
        <w:t>M 2</w:t>
      </w:r>
      <w:r w:rsidR="00724E8B" w:rsidRPr="00197A8D">
        <w:t>014-</w:t>
      </w:r>
      <w:r w:rsidRPr="00197A8D">
        <w:t>19, así como para otros proyectos especiales financiados con cargo a las reservas, que se están ejecutando en la actualidad.</w:t>
      </w:r>
    </w:p>
    <w:p w:rsidR="00A06E57" w:rsidRPr="00197A8D" w:rsidRDefault="00A06E57" w:rsidP="002E02E7">
      <w:pPr>
        <w:spacing w:after="120"/>
      </w:pPr>
    </w:p>
    <w:tbl>
      <w:tblPr>
        <w:tblW w:w="9305" w:type="dxa"/>
        <w:jc w:val="center"/>
        <w:tblLook w:val="04A0" w:firstRow="1" w:lastRow="0" w:firstColumn="1" w:lastColumn="0" w:noHBand="0" w:noVBand="1"/>
      </w:tblPr>
      <w:tblGrid>
        <w:gridCol w:w="9305"/>
      </w:tblGrid>
      <w:tr w:rsidR="00A06E57" w:rsidRPr="00197A8D" w:rsidTr="00C9715D">
        <w:trPr>
          <w:trHeight w:val="594"/>
          <w:jc w:val="center"/>
        </w:trPr>
        <w:tc>
          <w:tcPr>
            <w:tcW w:w="9305" w:type="dxa"/>
            <w:tcBorders>
              <w:top w:val="nil"/>
            </w:tcBorders>
            <w:shd w:val="clear" w:color="000000" w:fill="C6D9F1" w:themeFill="text2" w:themeFillTint="33"/>
            <w:noWrap/>
            <w:vAlign w:val="bottom"/>
            <w:hideMark/>
          </w:tcPr>
          <w:p w:rsidR="00A06E57" w:rsidRPr="00197A8D" w:rsidRDefault="00A06E57" w:rsidP="002E02E7">
            <w:pPr>
              <w:jc w:val="center"/>
            </w:pPr>
            <w:r w:rsidRPr="00197A8D">
              <w:rPr>
                <w:color w:val="000000"/>
                <w:sz w:val="18"/>
                <w:szCs w:val="18"/>
              </w:rPr>
              <w:t> </w:t>
            </w:r>
            <w:r w:rsidR="00171373" w:rsidRPr="00197A8D">
              <w:t>Cuadr</w:t>
            </w:r>
            <w:r w:rsidR="00197A8D" w:rsidRPr="00197A8D">
              <w:t>o 1</w:t>
            </w:r>
            <w:r w:rsidR="00171373" w:rsidRPr="00197A8D">
              <w:t>:</w:t>
            </w:r>
            <w:r w:rsidR="00C91815" w:rsidRPr="00197A8D">
              <w:t xml:space="preserve"> </w:t>
            </w:r>
            <w:r w:rsidR="00171373" w:rsidRPr="00197A8D">
              <w:t xml:space="preserve"> Situación de los proyectos del</w:t>
            </w:r>
            <w:r w:rsidRPr="00197A8D">
              <w:t xml:space="preserve"> </w:t>
            </w:r>
            <w:r w:rsidR="005E5DFD" w:rsidRPr="00197A8D">
              <w:t>PM</w:t>
            </w:r>
            <w:r w:rsidR="00197A8D" w:rsidRPr="00197A8D">
              <w:t>M 2</w:t>
            </w:r>
            <w:r w:rsidRPr="00197A8D">
              <w:t>014-19 y otros proyectos especiales en curso financiado</w:t>
            </w:r>
            <w:r w:rsidR="00C46FD1" w:rsidRPr="00197A8D">
              <w:t>s</w:t>
            </w:r>
            <w:r w:rsidRPr="00197A8D">
              <w:t xml:space="preserve"> con cargo a las reservas</w:t>
            </w:r>
          </w:p>
          <w:p w:rsidR="00A06E57" w:rsidRPr="00197A8D" w:rsidRDefault="00A06E57" w:rsidP="002E02E7">
            <w:pPr>
              <w:jc w:val="center"/>
              <w:rPr>
                <w:rFonts w:eastAsia="Times New Roman"/>
                <w:b/>
                <w:color w:val="000000"/>
                <w:sz w:val="18"/>
                <w:szCs w:val="18"/>
              </w:rPr>
            </w:pPr>
            <w:r w:rsidRPr="00197A8D">
              <w:rPr>
                <w:rFonts w:asciiTheme="minorHAnsi" w:eastAsia="Times New Roman" w:hAnsiTheme="minorHAnsi" w:cstheme="minorHAnsi"/>
                <w:i/>
                <w:iCs/>
                <w:color w:val="000000"/>
                <w:sz w:val="18"/>
                <w:szCs w:val="18"/>
              </w:rPr>
              <w:t>(en miles de francos suizos)</w:t>
            </w:r>
          </w:p>
        </w:tc>
      </w:tr>
    </w:tbl>
    <w:p w:rsidR="00A06E57" w:rsidRPr="00197A8D" w:rsidRDefault="00A06E57" w:rsidP="002E02E7">
      <w:pPr>
        <w:rPr>
          <w:sz w:val="8"/>
          <w:szCs w:val="8"/>
        </w:rPr>
      </w:pPr>
    </w:p>
    <w:p w:rsidR="00A06E57" w:rsidRPr="00197A8D" w:rsidRDefault="001000D4" w:rsidP="002E02E7">
      <w:r w:rsidRPr="00197A8D">
        <w:rPr>
          <w:noProof/>
          <w:lang w:val="en-US" w:eastAsia="en-US"/>
        </w:rPr>
        <w:drawing>
          <wp:inline distT="0" distB="0" distL="0" distR="0" wp14:anchorId="302224F6" wp14:editId="28F0C0A5">
            <wp:extent cx="5940425" cy="3538786"/>
            <wp:effectExtent l="0" t="0" r="317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3538786"/>
                    </a:xfrm>
                    <a:prstGeom prst="rect">
                      <a:avLst/>
                    </a:prstGeom>
                    <a:noFill/>
                    <a:ln>
                      <a:noFill/>
                    </a:ln>
                  </pic:spPr>
                </pic:pic>
              </a:graphicData>
            </a:graphic>
          </wp:inline>
        </w:drawing>
      </w:r>
    </w:p>
    <w:p w:rsidR="00A06E57" w:rsidRPr="00197A8D" w:rsidRDefault="00A06E57" w:rsidP="002E02E7">
      <w:pPr>
        <w:spacing w:before="60"/>
      </w:pPr>
    </w:p>
    <w:p w:rsidR="00822607" w:rsidRPr="00197A8D" w:rsidRDefault="00A06E57" w:rsidP="002E02E7">
      <w:pPr>
        <w:numPr>
          <w:ilvl w:val="0"/>
          <w:numId w:val="13"/>
        </w:numPr>
        <w:tabs>
          <w:tab w:val="left" w:pos="567"/>
          <w:tab w:val="left" w:pos="5670"/>
        </w:tabs>
        <w:spacing w:after="220"/>
        <w:ind w:left="0" w:firstLine="0"/>
        <w:contextualSpacing/>
      </w:pPr>
      <w:r w:rsidRPr="00197A8D">
        <w:t>A fines d</w:t>
      </w:r>
      <w:r w:rsidR="00197A8D" w:rsidRPr="00197A8D">
        <w:t>e 2</w:t>
      </w:r>
      <w:r w:rsidRPr="00197A8D">
        <w:t xml:space="preserve">016, el saldo restante en las reservas </w:t>
      </w:r>
      <w:r w:rsidR="0015443D" w:rsidRPr="00197A8D">
        <w:t>para proyectos especiales ascendía</w:t>
      </w:r>
      <w:r w:rsidR="00C91815" w:rsidRPr="00197A8D">
        <w:t xml:space="preserve"> a </w:t>
      </w:r>
      <w:r w:rsidRPr="00197A8D">
        <w:t xml:space="preserve">16,786 millones de francos suizos.  Se ha estimado que </w:t>
      </w:r>
      <w:r w:rsidR="00DC303B" w:rsidRPr="00197A8D">
        <w:t>un total d</w:t>
      </w:r>
      <w:r w:rsidR="00197A8D" w:rsidRPr="00197A8D">
        <w:t>e 3</w:t>
      </w:r>
      <w:r w:rsidR="00DC303B" w:rsidRPr="00197A8D">
        <w:t>,</w:t>
      </w:r>
      <w:r w:rsidRPr="00197A8D">
        <w:t xml:space="preserve">435 millones de francos suizos de las reservas </w:t>
      </w:r>
      <w:r w:rsidR="0015443D" w:rsidRPr="00197A8D">
        <w:t>para</w:t>
      </w:r>
      <w:r w:rsidRPr="00197A8D">
        <w:t xml:space="preserve"> proyectos especiales </w:t>
      </w:r>
      <w:r w:rsidR="00DC303B" w:rsidRPr="00197A8D">
        <w:t xml:space="preserve">ya no serán necesarios </w:t>
      </w:r>
      <w:r w:rsidRPr="00197A8D">
        <w:t xml:space="preserve">y, por consiguiente, se </w:t>
      </w:r>
      <w:r w:rsidR="00DC303B" w:rsidRPr="00197A8D">
        <w:t>reintegrarán</w:t>
      </w:r>
      <w:r w:rsidR="0015443D" w:rsidRPr="00197A8D">
        <w:t xml:space="preserve"> a las r</w:t>
      </w:r>
      <w:r w:rsidRPr="00197A8D">
        <w:t>eservas.  Esto se debe a</w:t>
      </w:r>
      <w:r w:rsidR="00DC303B" w:rsidRPr="00197A8D">
        <w:t xml:space="preserve"> que</w:t>
      </w:r>
      <w:r w:rsidR="00197A8D" w:rsidRPr="00197A8D">
        <w:t>:  i</w:t>
      </w:r>
      <w:r w:rsidRPr="00197A8D">
        <w:t xml:space="preserve">) el costo </w:t>
      </w:r>
      <w:r w:rsidR="0015443D" w:rsidRPr="00197A8D">
        <w:t>d</w:t>
      </w:r>
      <w:r w:rsidRPr="00197A8D">
        <w:t xml:space="preserve">el proyecto de </w:t>
      </w:r>
      <w:r w:rsidR="00DC303B" w:rsidRPr="00197A8D">
        <w:t>PRI</w:t>
      </w:r>
      <w:r w:rsidRPr="00197A8D">
        <w:t xml:space="preserve"> fue inferior al </w:t>
      </w:r>
      <w:r w:rsidR="0015443D" w:rsidRPr="00197A8D">
        <w:t>calculado</w:t>
      </w:r>
      <w:r w:rsidRPr="00197A8D">
        <w:t xml:space="preserve"> </w:t>
      </w:r>
      <w:r w:rsidR="00D67A2B" w:rsidRPr="00197A8D">
        <w:t>inicialmente</w:t>
      </w:r>
      <w:r w:rsidR="00197A8D" w:rsidRPr="00197A8D">
        <w:t>;  i</w:t>
      </w:r>
      <w:r w:rsidRPr="00197A8D">
        <w:t xml:space="preserve">i) los gastos </w:t>
      </w:r>
      <w:r w:rsidR="0015443D" w:rsidRPr="00197A8D">
        <w:t>d</w:t>
      </w:r>
      <w:r w:rsidRPr="00197A8D">
        <w:t xml:space="preserve">el proyecto </w:t>
      </w:r>
      <w:r w:rsidR="00DC303B" w:rsidRPr="00197A8D">
        <w:t>del lago de Ginebra</w:t>
      </w:r>
      <w:r w:rsidRPr="00197A8D">
        <w:t xml:space="preserve"> fueron </w:t>
      </w:r>
      <w:r w:rsidR="000E3A3E" w:rsidRPr="00197A8D">
        <w:t>inferiores</w:t>
      </w:r>
      <w:r w:rsidRPr="00197A8D">
        <w:t xml:space="preserve"> a los </w:t>
      </w:r>
      <w:r w:rsidR="000E3A3E" w:rsidRPr="00197A8D">
        <w:t>proyectados</w:t>
      </w:r>
      <w:r w:rsidR="00197A8D" w:rsidRPr="00197A8D">
        <w:t>;  y</w:t>
      </w:r>
      <w:r w:rsidRPr="00197A8D">
        <w:t xml:space="preserve"> iii) </w:t>
      </w:r>
      <w:r w:rsidR="0015443D" w:rsidRPr="00197A8D">
        <w:t xml:space="preserve">se concluyó que </w:t>
      </w:r>
      <w:r w:rsidRPr="00197A8D">
        <w:t xml:space="preserve">el proyecto de </w:t>
      </w:r>
      <w:r w:rsidR="000E3A3E" w:rsidRPr="00197A8D">
        <w:t>sustitución</w:t>
      </w:r>
      <w:r w:rsidRPr="00197A8D">
        <w:t xml:space="preserve"> de las ventanas del edificio AB, tal cual se propuso inicialmente, no es viable.  Se prevé que el saldo d</w:t>
      </w:r>
      <w:r w:rsidR="00197A8D" w:rsidRPr="00197A8D">
        <w:t>e 1</w:t>
      </w:r>
      <w:r w:rsidRPr="00197A8D">
        <w:t xml:space="preserve">3,351 millones de </w:t>
      </w:r>
      <w:r w:rsidR="00D67A2B" w:rsidRPr="00197A8D">
        <w:lastRenderedPageBreak/>
        <w:t>francos</w:t>
      </w:r>
      <w:r w:rsidRPr="00197A8D">
        <w:t xml:space="preserve"> suizos en la reserva </w:t>
      </w:r>
      <w:r w:rsidR="000E3A3E" w:rsidRPr="00197A8D">
        <w:t>para</w:t>
      </w:r>
      <w:r w:rsidRPr="00197A8D">
        <w:t xml:space="preserve"> proyectos especiales se </w:t>
      </w:r>
      <w:r w:rsidR="000E3A3E" w:rsidRPr="00197A8D">
        <w:t>utilizará</w:t>
      </w:r>
      <w:r w:rsidRPr="00197A8D">
        <w:t xml:space="preserve"> </w:t>
      </w:r>
      <w:r w:rsidR="000E3A3E" w:rsidRPr="00197A8D">
        <w:t>en su totalidad durante el períod</w:t>
      </w:r>
      <w:r w:rsidR="00197A8D" w:rsidRPr="00197A8D">
        <w:t>o 2</w:t>
      </w:r>
      <w:r w:rsidR="000E3A3E" w:rsidRPr="00197A8D">
        <w:t>017-</w:t>
      </w:r>
      <w:r w:rsidRPr="00197A8D">
        <w:t>19</w:t>
      </w:r>
      <w:r w:rsidR="00822607" w:rsidRPr="00197A8D">
        <w:t>.</w:t>
      </w:r>
    </w:p>
    <w:p w:rsidR="00A06E57" w:rsidRPr="00197A8D" w:rsidRDefault="00A06E57" w:rsidP="002E02E7">
      <w:pPr>
        <w:tabs>
          <w:tab w:val="left" w:pos="567"/>
          <w:tab w:val="left" w:pos="5670"/>
        </w:tabs>
        <w:spacing w:after="220"/>
        <w:contextualSpacing/>
      </w:pPr>
    </w:p>
    <w:p w:rsidR="00A06E57" w:rsidRPr="00197A8D" w:rsidRDefault="00A06E57" w:rsidP="002E02E7">
      <w:pPr>
        <w:numPr>
          <w:ilvl w:val="0"/>
          <w:numId w:val="13"/>
        </w:numPr>
        <w:tabs>
          <w:tab w:val="left" w:pos="567"/>
          <w:tab w:val="left" w:pos="5670"/>
        </w:tabs>
        <w:ind w:left="0" w:firstLine="0"/>
        <w:contextualSpacing/>
        <w:rPr>
          <w:b/>
          <w:bCs/>
          <w:caps/>
          <w:kern w:val="32"/>
          <w:szCs w:val="32"/>
        </w:rPr>
      </w:pPr>
      <w:r w:rsidRPr="00197A8D">
        <w:t xml:space="preserve">Cabe señalar que el proyecto de renovación del edificio PCT se llevará a cabo junto con las mejoras adicionales a las instalaciones eléctricas y </w:t>
      </w:r>
      <w:r w:rsidR="000E3A3E" w:rsidRPr="00197A8D">
        <w:t>la</w:t>
      </w:r>
      <w:r w:rsidRPr="00197A8D">
        <w:t xml:space="preserve"> seguridad, para las que se </w:t>
      </w:r>
      <w:r w:rsidR="000E3A3E" w:rsidRPr="00197A8D">
        <w:t>presentó una propuesta de</w:t>
      </w:r>
      <w:r w:rsidRPr="00197A8D">
        <w:t xml:space="preserve"> fin</w:t>
      </w:r>
      <w:r w:rsidR="000E3A3E" w:rsidRPr="00197A8D">
        <w:t xml:space="preserve">anciación </w:t>
      </w:r>
      <w:r w:rsidR="0015443D" w:rsidRPr="00197A8D">
        <w:t>par</w:t>
      </w:r>
      <w:r w:rsidR="00197A8D" w:rsidRPr="00197A8D">
        <w:t>a 2</w:t>
      </w:r>
      <w:r w:rsidR="000E3A3E" w:rsidRPr="00197A8D">
        <w:t xml:space="preserve">018/19, en el marco del </w:t>
      </w:r>
      <w:r w:rsidR="005E5DFD" w:rsidRPr="00197A8D">
        <w:t>PM</w:t>
      </w:r>
      <w:r w:rsidR="00197A8D" w:rsidRPr="00197A8D">
        <w:t>M 2</w:t>
      </w:r>
      <w:r w:rsidR="005E5DFD" w:rsidRPr="00197A8D">
        <w:t>018-</w:t>
      </w:r>
      <w:r w:rsidRPr="00197A8D">
        <w:t xml:space="preserve">27.  Consolidar los proyectos </w:t>
      </w:r>
      <w:r w:rsidR="0015443D" w:rsidRPr="00197A8D">
        <w:t>disminuirá</w:t>
      </w:r>
      <w:r w:rsidRPr="00197A8D">
        <w:t xml:space="preserve"> </w:t>
      </w:r>
      <w:r w:rsidR="0015443D" w:rsidRPr="00197A8D">
        <w:t>la necesidad</w:t>
      </w:r>
      <w:r w:rsidRPr="00197A8D">
        <w:t xml:space="preserve"> </w:t>
      </w:r>
      <w:r w:rsidR="00044B7A" w:rsidRPr="00197A8D">
        <w:t>de</w:t>
      </w:r>
      <w:r w:rsidRPr="00197A8D">
        <w:t xml:space="preserve"> </w:t>
      </w:r>
      <w:r w:rsidR="00044B7A" w:rsidRPr="00197A8D">
        <w:t>trasladar al</w:t>
      </w:r>
      <w:r w:rsidRPr="00197A8D">
        <w:t xml:space="preserve"> personal durante la fase de construcción</w:t>
      </w:r>
      <w:r w:rsidR="000E3A3E" w:rsidRPr="00197A8D">
        <w:t xml:space="preserve">, </w:t>
      </w:r>
      <w:r w:rsidRPr="00197A8D">
        <w:t>evitar</w:t>
      </w:r>
      <w:r w:rsidR="00044B7A" w:rsidRPr="00197A8D">
        <w:t>á</w:t>
      </w:r>
      <w:r w:rsidRPr="00197A8D">
        <w:t xml:space="preserve"> la reapertura de </w:t>
      </w:r>
      <w:r w:rsidR="0015443D" w:rsidRPr="00197A8D">
        <w:t>otra gran obra</w:t>
      </w:r>
      <w:r w:rsidRPr="00197A8D">
        <w:t xml:space="preserve"> apenas unos años después de </w:t>
      </w:r>
      <w:r w:rsidR="00044B7A" w:rsidRPr="00197A8D">
        <w:t>la finalización d</w:t>
      </w:r>
      <w:r w:rsidRPr="00197A8D">
        <w:t xml:space="preserve">el </w:t>
      </w:r>
      <w:r w:rsidR="005E5DFD" w:rsidRPr="00197A8D">
        <w:t>PM</w:t>
      </w:r>
      <w:r w:rsidR="00197A8D" w:rsidRPr="00197A8D">
        <w:t>M 2</w:t>
      </w:r>
      <w:r w:rsidR="000E3A3E" w:rsidRPr="00197A8D">
        <w:t>014-19</w:t>
      </w:r>
      <w:r w:rsidR="00AF21E1" w:rsidRPr="00197A8D">
        <w:t xml:space="preserve">, </w:t>
      </w:r>
      <w:r w:rsidR="004F5601" w:rsidRPr="00197A8D">
        <w:t>conllevará</w:t>
      </w:r>
      <w:r w:rsidR="00EA38E2" w:rsidRPr="00197A8D">
        <w:t xml:space="preserve"> eficacia en función de los costos y oportunidades para reducir costos y</w:t>
      </w:r>
      <w:r w:rsidR="000E3A3E" w:rsidRPr="00197A8D">
        <w:t xml:space="preserve"> permitirá una integración más eficiente de las nuevas tecnologías para diversos artefactos y sistemas técnicos.</w:t>
      </w:r>
    </w:p>
    <w:p w:rsidR="00A06E57" w:rsidRPr="00197A8D" w:rsidRDefault="00A06E57" w:rsidP="002E02E7">
      <w:pPr>
        <w:pStyle w:val="Heading1"/>
        <w:keepNext w:val="0"/>
        <w:spacing w:before="0" w:after="0"/>
        <w:rPr>
          <w:b w:val="0"/>
        </w:rPr>
      </w:pPr>
    </w:p>
    <w:p w:rsidR="00A06E57" w:rsidRPr="00197A8D" w:rsidRDefault="00A06E57" w:rsidP="002E02E7"/>
    <w:p w:rsidR="00A06E57" w:rsidRPr="00197A8D" w:rsidRDefault="00A06E57" w:rsidP="002E02E7">
      <w:pPr>
        <w:pStyle w:val="Heading1"/>
        <w:keepNext w:val="0"/>
        <w:spacing w:before="0" w:after="0"/>
      </w:pPr>
      <w:r w:rsidRPr="00197A8D">
        <w:t xml:space="preserve">POLÍTICA </w:t>
      </w:r>
      <w:r w:rsidR="00DE77F4" w:rsidRPr="00197A8D">
        <w:t xml:space="preserve">DE RESERVAS </w:t>
      </w:r>
      <w:r w:rsidRPr="00197A8D">
        <w:t xml:space="preserve">REVISADA </w:t>
      </w:r>
    </w:p>
    <w:p w:rsidR="00A06E57" w:rsidRPr="00197A8D" w:rsidRDefault="00A06E57" w:rsidP="0015443D"/>
    <w:p w:rsidR="00A06E57" w:rsidRPr="00197A8D" w:rsidRDefault="00A06E57" w:rsidP="002E02E7">
      <w:pPr>
        <w:numPr>
          <w:ilvl w:val="0"/>
          <w:numId w:val="13"/>
        </w:numPr>
        <w:tabs>
          <w:tab w:val="left" w:pos="567"/>
          <w:tab w:val="left" w:pos="5670"/>
        </w:tabs>
        <w:spacing w:after="220"/>
        <w:ind w:left="0" w:firstLine="0"/>
        <w:contextualSpacing/>
      </w:pPr>
      <w:r w:rsidRPr="00197A8D">
        <w:t xml:space="preserve">En su vigesimotercera sesión, el PBC revisó y recomendó a las Asambleas </w:t>
      </w:r>
      <w:r w:rsidR="0015443D" w:rsidRPr="00197A8D">
        <w:t>una p</w:t>
      </w:r>
      <w:r w:rsidRPr="00197A8D">
        <w:t xml:space="preserve">olítica </w:t>
      </w:r>
      <w:r w:rsidR="00DE77F4" w:rsidRPr="00197A8D">
        <w:t>de reservas revisada</w:t>
      </w:r>
      <w:r w:rsidRPr="00197A8D">
        <w:rPr>
          <w:vertAlign w:val="superscript"/>
        </w:rPr>
        <w:footnoteReference w:id="3"/>
      </w:r>
      <w:r w:rsidRPr="00197A8D">
        <w:t xml:space="preserve">.  El propósito de la nueva política es seguir fortaleciendo la gestión financiera y </w:t>
      </w:r>
      <w:r w:rsidR="000B71DF" w:rsidRPr="00197A8D">
        <w:t xml:space="preserve">la gestión </w:t>
      </w:r>
      <w:r w:rsidRPr="00197A8D">
        <w:t>de riesgo</w:t>
      </w:r>
      <w:r w:rsidR="000B71DF" w:rsidRPr="00197A8D">
        <w:t>s</w:t>
      </w:r>
      <w:r w:rsidR="00197A8D" w:rsidRPr="00197A8D">
        <w:t>;  p</w:t>
      </w:r>
      <w:r w:rsidRPr="00197A8D">
        <w:t xml:space="preserve">roporcionar </w:t>
      </w:r>
      <w:r w:rsidR="000B71DF" w:rsidRPr="00197A8D">
        <w:t>a la Secretaría pautas mejoradas sob</w:t>
      </w:r>
      <w:r w:rsidRPr="00197A8D">
        <w:t xml:space="preserve">re la gestión </w:t>
      </w:r>
      <w:r w:rsidR="000B71DF" w:rsidRPr="00197A8D">
        <w:t>cotidiana de las reservas que abarquen, entre otros aspectos, los niveles objetivo y la liquidez</w:t>
      </w:r>
      <w:r w:rsidR="00197A8D" w:rsidRPr="00197A8D">
        <w:t>;  y</w:t>
      </w:r>
      <w:r w:rsidRPr="00197A8D">
        <w:t xml:space="preserve"> aclarar los requisitos para </w:t>
      </w:r>
      <w:r w:rsidR="006E349F" w:rsidRPr="00197A8D">
        <w:t>la presentación de</w:t>
      </w:r>
      <w:r w:rsidRPr="00197A8D">
        <w:t xml:space="preserve"> informes sobre las </w:t>
      </w:r>
      <w:r w:rsidR="006E349F" w:rsidRPr="00197A8D">
        <w:t>re</w:t>
      </w:r>
      <w:r w:rsidRPr="00197A8D">
        <w:t>servas</w:t>
      </w:r>
      <w:r w:rsidR="00197A8D" w:rsidRPr="00197A8D">
        <w:t>.  L</w:t>
      </w:r>
      <w:r w:rsidRPr="00197A8D">
        <w:t xml:space="preserve">a política revisada incluye un conjunto de principios revisados sobre la utilización de los </w:t>
      </w:r>
      <w:r w:rsidR="006E349F" w:rsidRPr="00197A8D">
        <w:t>fondos de r</w:t>
      </w:r>
      <w:r w:rsidRPr="00197A8D">
        <w:t>eservas y los fondos de operaciones que figura</w:t>
      </w:r>
      <w:r w:rsidR="000B71DF" w:rsidRPr="00197A8D">
        <w:t>n</w:t>
      </w:r>
      <w:r w:rsidRPr="00197A8D">
        <w:t xml:space="preserve"> en el Anexo I del presente documento.</w:t>
      </w:r>
    </w:p>
    <w:p w:rsidR="00A06E57" w:rsidRPr="00197A8D" w:rsidRDefault="00A06E57" w:rsidP="002E02E7"/>
    <w:p w:rsidR="00A06E57" w:rsidRPr="00197A8D" w:rsidRDefault="00A06E57" w:rsidP="002E02E7"/>
    <w:p w:rsidR="00A06E57" w:rsidRPr="00197A8D" w:rsidRDefault="00A06E57" w:rsidP="002E02E7">
      <w:pPr>
        <w:pStyle w:val="Heading1"/>
        <w:keepNext w:val="0"/>
        <w:spacing w:before="0" w:after="0"/>
      </w:pPr>
      <w:r w:rsidRPr="00197A8D">
        <w:rPr>
          <w:caps w:val="0"/>
        </w:rPr>
        <w:t xml:space="preserve">PLAN MAESTRO DE MEJORAS DE INFRAESTRUCTURA </w:t>
      </w:r>
      <w:r w:rsidR="005E5DFD" w:rsidRPr="00197A8D">
        <w:rPr>
          <w:caps w:val="0"/>
        </w:rPr>
        <w:t>(PMM)</w:t>
      </w:r>
      <w:r w:rsidRPr="00197A8D">
        <w:rPr>
          <w:caps w:val="0"/>
        </w:rPr>
        <w:t xml:space="preserve"> 2018-</w:t>
      </w:r>
      <w:r w:rsidR="006E349F" w:rsidRPr="00197A8D">
        <w:rPr>
          <w:caps w:val="0"/>
        </w:rPr>
        <w:t>27</w:t>
      </w:r>
    </w:p>
    <w:p w:rsidR="00A06E57" w:rsidRPr="00197A8D" w:rsidRDefault="00A06E57" w:rsidP="002E02E7"/>
    <w:p w:rsidR="00A06E57" w:rsidRPr="00197A8D" w:rsidRDefault="000B71DF" w:rsidP="002E02E7">
      <w:pPr>
        <w:numPr>
          <w:ilvl w:val="0"/>
          <w:numId w:val="13"/>
        </w:numPr>
        <w:tabs>
          <w:tab w:val="left" w:pos="567"/>
          <w:tab w:val="left" w:pos="5670"/>
        </w:tabs>
        <w:spacing w:after="220"/>
        <w:ind w:left="0" w:firstLine="0"/>
        <w:contextualSpacing/>
      </w:pPr>
      <w:r w:rsidRPr="00197A8D">
        <w:t xml:space="preserve">Para que la OMPI siga </w:t>
      </w:r>
      <w:bookmarkStart w:id="4" w:name="_GoBack"/>
      <w:bookmarkEnd w:id="4"/>
      <w:r w:rsidRPr="00197A8D">
        <w:t>siendo una organización adecuada a sus fines, es necesario que realice inversiones</w:t>
      </w:r>
      <w:r w:rsidR="00A06E57" w:rsidRPr="00197A8D">
        <w:t xml:space="preserve"> </w:t>
      </w:r>
      <w:r w:rsidRPr="00197A8D">
        <w:t xml:space="preserve">de </w:t>
      </w:r>
      <w:r w:rsidR="00A06E57" w:rsidRPr="00197A8D">
        <w:t xml:space="preserve">capital </w:t>
      </w:r>
      <w:r w:rsidR="00711C08" w:rsidRPr="00197A8D">
        <w:t>en</w:t>
      </w:r>
      <w:r w:rsidRPr="00197A8D">
        <w:t xml:space="preserve"> forma permanente en lo que respecta a</w:t>
      </w:r>
      <w:r w:rsidR="00A06E57" w:rsidRPr="00197A8D">
        <w:t xml:space="preserve"> lo</w:t>
      </w:r>
      <w:r w:rsidRPr="00197A8D">
        <w:t xml:space="preserve">cales, </w:t>
      </w:r>
      <w:r w:rsidR="00A06E57" w:rsidRPr="00197A8D">
        <w:t xml:space="preserve">seguridad y </w:t>
      </w:r>
      <w:r w:rsidRPr="00197A8D">
        <w:t xml:space="preserve">la </w:t>
      </w:r>
      <w:r w:rsidR="00A06E57" w:rsidRPr="00197A8D">
        <w:t xml:space="preserve">vigilancia </w:t>
      </w:r>
      <w:r w:rsidRPr="00197A8D">
        <w:t>e</w:t>
      </w:r>
      <w:r w:rsidR="00A06E57" w:rsidRPr="00197A8D">
        <w:t xml:space="preserve"> iniciativas TIC.  Se ha elaborado un Plan maestro de mejoras de infra</w:t>
      </w:r>
      <w:r w:rsidR="00711C08" w:rsidRPr="00197A8D">
        <w:t>estructura, en el que se describen</w:t>
      </w:r>
      <w:r w:rsidR="00A06E57" w:rsidRPr="00197A8D">
        <w:t xml:space="preserve"> </w:t>
      </w:r>
      <w:r w:rsidRPr="00197A8D">
        <w:t xml:space="preserve">las inversiones de capital con respecto a </w:t>
      </w:r>
      <w:r w:rsidR="00A06E57" w:rsidRPr="00197A8D">
        <w:t xml:space="preserve">los principales locales, así como </w:t>
      </w:r>
      <w:r w:rsidRPr="00197A8D">
        <w:t xml:space="preserve">a </w:t>
      </w:r>
      <w:r w:rsidR="00A06E57" w:rsidRPr="00197A8D">
        <w:t>la seguridad y vigilancia</w:t>
      </w:r>
      <w:r w:rsidRPr="00197A8D">
        <w:t xml:space="preserve"> que son</w:t>
      </w:r>
      <w:r w:rsidR="00A06E57" w:rsidRPr="00197A8D">
        <w:t xml:space="preserve"> </w:t>
      </w:r>
      <w:r w:rsidRPr="00197A8D">
        <w:t>necesarias en</w:t>
      </w:r>
      <w:r w:rsidR="00A06E57" w:rsidRPr="00197A8D">
        <w:t xml:space="preserve"> un período d</w:t>
      </w:r>
      <w:r w:rsidR="00197A8D" w:rsidRPr="00197A8D">
        <w:t>e 1</w:t>
      </w:r>
      <w:r w:rsidR="00A06E57" w:rsidRPr="00197A8D">
        <w:t xml:space="preserve">0 años.  Además, se han identificado </w:t>
      </w:r>
      <w:r w:rsidRPr="00197A8D">
        <w:t xml:space="preserve">numerosos proyectos de TIC de gran prioridad </w:t>
      </w:r>
      <w:r w:rsidR="00711C08" w:rsidRPr="00197A8D">
        <w:t>destinados a</w:t>
      </w:r>
      <w:r w:rsidR="00A06E57" w:rsidRPr="00197A8D">
        <w:t xml:space="preserve"> fortalecer y garantizar la</w:t>
      </w:r>
      <w:r w:rsidR="00F205DD" w:rsidRPr="00197A8D">
        <w:t>s</w:t>
      </w:r>
      <w:r w:rsidR="00A06E57" w:rsidRPr="00197A8D">
        <w:t xml:space="preserve"> actividad</w:t>
      </w:r>
      <w:r w:rsidR="00F205DD" w:rsidRPr="00197A8D">
        <w:t>es</w:t>
      </w:r>
      <w:r w:rsidR="00A06E57" w:rsidRPr="00197A8D">
        <w:t xml:space="preserve"> de los sistemas de registro internacional.</w:t>
      </w:r>
    </w:p>
    <w:p w:rsidR="00A06E57" w:rsidRPr="00197A8D" w:rsidRDefault="00A06E57" w:rsidP="002E02E7">
      <w:pPr>
        <w:tabs>
          <w:tab w:val="left" w:pos="567"/>
          <w:tab w:val="left" w:pos="5670"/>
        </w:tabs>
        <w:spacing w:after="220"/>
        <w:contextualSpacing/>
      </w:pPr>
    </w:p>
    <w:p w:rsidR="00A06E57" w:rsidRPr="00197A8D" w:rsidRDefault="00A06E57" w:rsidP="00B92EB8">
      <w:pPr>
        <w:numPr>
          <w:ilvl w:val="0"/>
          <w:numId w:val="13"/>
        </w:numPr>
        <w:tabs>
          <w:tab w:val="left" w:pos="567"/>
          <w:tab w:val="left" w:pos="5670"/>
        </w:tabs>
        <w:spacing w:after="220"/>
        <w:ind w:left="0" w:firstLine="0"/>
        <w:contextualSpacing/>
      </w:pPr>
      <w:r w:rsidRPr="00197A8D">
        <w:t>El Principi</w:t>
      </w:r>
      <w:r w:rsidR="00197A8D" w:rsidRPr="00197A8D">
        <w:t>o 3</w:t>
      </w:r>
      <w:r w:rsidRPr="00197A8D">
        <w:t xml:space="preserve"> de la política </w:t>
      </w:r>
      <w:r w:rsidR="00DE77F4" w:rsidRPr="00197A8D">
        <w:t>de</w:t>
      </w:r>
      <w:r w:rsidR="00A84141" w:rsidRPr="00197A8D">
        <w:t xml:space="preserve"> reservas</w:t>
      </w:r>
      <w:r w:rsidRPr="00197A8D">
        <w:t xml:space="preserve"> exige que los proyectos financiados con cargo a las reservas sean proyectos extraordinarios no recurrentes.  El Principi</w:t>
      </w:r>
      <w:r w:rsidR="00197A8D" w:rsidRPr="00197A8D">
        <w:t>o 3</w:t>
      </w:r>
      <w:r w:rsidRPr="00197A8D">
        <w:t xml:space="preserve"> dispone</w:t>
      </w:r>
      <w:r w:rsidR="00F205DD" w:rsidRPr="00197A8D">
        <w:t xml:space="preserve"> además</w:t>
      </w:r>
      <w:r w:rsidRPr="00197A8D">
        <w:t xml:space="preserve"> que los proyectos que figuran en el </w:t>
      </w:r>
      <w:r w:rsidR="005E5DFD" w:rsidRPr="00197A8D">
        <w:t>PMM</w:t>
      </w:r>
      <w:r w:rsidRPr="00197A8D">
        <w:t xml:space="preserve"> </w:t>
      </w:r>
      <w:r w:rsidR="00F87CB0" w:rsidRPr="00197A8D">
        <w:t>a</w:t>
      </w:r>
      <w:r w:rsidR="00F205DD" w:rsidRPr="00197A8D">
        <w:t xml:space="preserve"> largo plazo pueden</w:t>
      </w:r>
      <w:r w:rsidRPr="00197A8D">
        <w:t xml:space="preserve"> definirse como los proyectos r</w:t>
      </w:r>
      <w:r w:rsidR="00B92EB8" w:rsidRPr="00197A8D">
        <w:t xml:space="preserve">elacionados con </w:t>
      </w:r>
      <w:r w:rsidR="00DE77F4" w:rsidRPr="00197A8D">
        <w:t>la construcción/rehabilitación y</w:t>
      </w:r>
      <w:r w:rsidR="00B92EB8" w:rsidRPr="00197A8D">
        <w:t xml:space="preserve"> con las tecnologías de la información y la comunicación </w:t>
      </w:r>
      <w:proofErr w:type="gramStart"/>
      <w:r w:rsidR="00B92EB8" w:rsidRPr="00197A8D">
        <w:t>necesarios</w:t>
      </w:r>
      <w:proofErr w:type="gramEnd"/>
      <w:r w:rsidR="00B92EB8" w:rsidRPr="00197A8D">
        <w:t xml:space="preserve"> para </w:t>
      </w:r>
      <w:r w:rsidR="00DE77F4" w:rsidRPr="00197A8D">
        <w:t>que</w:t>
      </w:r>
      <w:r w:rsidR="00B92EB8" w:rsidRPr="00197A8D">
        <w:t xml:space="preserve"> las instalaciones y los sistemas de </w:t>
      </w:r>
      <w:r w:rsidR="00DE77F4" w:rsidRPr="00197A8D">
        <w:t>la</w:t>
      </w:r>
      <w:r w:rsidR="00B92EB8" w:rsidRPr="00197A8D">
        <w:t xml:space="preserve"> organización </w:t>
      </w:r>
      <w:r w:rsidR="00DE77F4" w:rsidRPr="00197A8D">
        <w:t xml:space="preserve">sigan siendo adecuados a sus fines </w:t>
      </w:r>
      <w:r w:rsidR="00B92EB8" w:rsidRPr="00197A8D">
        <w:t>mediante expansiones o adiciones significativas.</w:t>
      </w:r>
      <w:r w:rsidRPr="00197A8D">
        <w:t xml:space="preserve"> </w:t>
      </w:r>
      <w:r w:rsidR="00B92EB8" w:rsidRPr="00197A8D">
        <w:t xml:space="preserve"> </w:t>
      </w:r>
      <w:r w:rsidRPr="00197A8D">
        <w:t>De conformidad con el Principi</w:t>
      </w:r>
      <w:r w:rsidR="00197A8D" w:rsidRPr="00197A8D">
        <w:t>o 3</w:t>
      </w:r>
      <w:r w:rsidRPr="00197A8D">
        <w:t xml:space="preserve"> de la </w:t>
      </w:r>
      <w:r w:rsidR="00F205DD" w:rsidRPr="00197A8D">
        <w:t>p</w:t>
      </w:r>
      <w:r w:rsidRPr="00197A8D">
        <w:t xml:space="preserve">olítica </w:t>
      </w:r>
      <w:r w:rsidR="00F87CB0" w:rsidRPr="00197A8D">
        <w:t>de</w:t>
      </w:r>
      <w:r w:rsidR="00A84141" w:rsidRPr="00197A8D">
        <w:t xml:space="preserve"> reservas</w:t>
      </w:r>
      <w:r w:rsidR="00F87CB0" w:rsidRPr="00197A8D">
        <w:t xml:space="preserve"> revisada</w:t>
      </w:r>
      <w:r w:rsidRPr="00197A8D">
        <w:t>, todos los proyectos relativos al mantenimiento continuo de las instalaciones,</w:t>
      </w:r>
      <w:r w:rsidR="00F205DD" w:rsidRPr="00197A8D">
        <w:t xml:space="preserve"> las</w:t>
      </w:r>
      <w:r w:rsidRPr="00197A8D">
        <w:t xml:space="preserve"> mejoras mínimas</w:t>
      </w:r>
      <w:r w:rsidR="00F87CB0" w:rsidRPr="00197A8D">
        <w:t xml:space="preserve"> de</w:t>
      </w:r>
      <w:r w:rsidRPr="00197A8D">
        <w:t xml:space="preserve"> </w:t>
      </w:r>
      <w:r w:rsidR="00F205DD" w:rsidRPr="00197A8D">
        <w:t xml:space="preserve">las </w:t>
      </w:r>
      <w:r w:rsidRPr="00197A8D">
        <w:t xml:space="preserve">estructuras o sistemas, incluidas las de los sistemas informáticos, que serían necesarios para seguir brindando los servicios actuales fueron excluidos del </w:t>
      </w:r>
      <w:r w:rsidR="005E5DFD" w:rsidRPr="00197A8D">
        <w:t>PMM</w:t>
      </w:r>
      <w:r w:rsidRPr="00197A8D">
        <w:t xml:space="preserve"> porque no cumplían los criterios para ser considerados proyectos </w:t>
      </w:r>
      <w:r w:rsidR="001D24B7" w:rsidRPr="00197A8D">
        <w:t xml:space="preserve">de inversión </w:t>
      </w:r>
      <w:r w:rsidRPr="00197A8D">
        <w:t>extraordinarios no recurrentes.</w:t>
      </w:r>
    </w:p>
    <w:p w:rsidR="00A06E57" w:rsidRPr="00197A8D" w:rsidRDefault="00A06E57" w:rsidP="002E02E7">
      <w:pPr>
        <w:tabs>
          <w:tab w:val="left" w:pos="567"/>
          <w:tab w:val="left" w:pos="5670"/>
        </w:tabs>
        <w:spacing w:after="220"/>
        <w:contextualSpacing/>
      </w:pPr>
    </w:p>
    <w:p w:rsidR="00A06E57" w:rsidRPr="00197A8D" w:rsidRDefault="00A06E57" w:rsidP="002E02E7">
      <w:pPr>
        <w:numPr>
          <w:ilvl w:val="0"/>
          <w:numId w:val="13"/>
        </w:numPr>
        <w:tabs>
          <w:tab w:val="left" w:pos="567"/>
          <w:tab w:val="left" w:pos="5670"/>
        </w:tabs>
        <w:spacing w:after="220"/>
        <w:ind w:left="0" w:firstLine="0"/>
        <w:contextualSpacing/>
      </w:pPr>
      <w:r w:rsidRPr="00197A8D">
        <w:t xml:space="preserve">El </w:t>
      </w:r>
      <w:r w:rsidR="005E5DFD" w:rsidRPr="00197A8D">
        <w:t>PM</w:t>
      </w:r>
      <w:r w:rsidR="00197A8D" w:rsidRPr="00197A8D">
        <w:t>M 2</w:t>
      </w:r>
      <w:r w:rsidR="00F205DD" w:rsidRPr="00197A8D">
        <w:t>018-</w:t>
      </w:r>
      <w:r w:rsidRPr="00197A8D">
        <w:t>27 distingue entre</w:t>
      </w:r>
      <w:r w:rsidR="00197A8D" w:rsidRPr="00197A8D">
        <w:t>:  i</w:t>
      </w:r>
      <w:r w:rsidRPr="00197A8D">
        <w:t>) un plan maestro de mejoras de infraestructura para los locales</w:t>
      </w:r>
      <w:r w:rsidR="00385EA2" w:rsidRPr="00197A8D">
        <w:t xml:space="preserve"> y</w:t>
      </w:r>
      <w:r w:rsidRPr="00197A8D">
        <w:t xml:space="preserve"> proyectos relacionados con la seguridad y la vigilancia para el períod</w:t>
      </w:r>
      <w:r w:rsidR="00197A8D" w:rsidRPr="00197A8D">
        <w:t>o 2</w:t>
      </w:r>
      <w:r w:rsidRPr="00197A8D">
        <w:t>018-</w:t>
      </w:r>
      <w:r w:rsidR="00385EA2" w:rsidRPr="00197A8D">
        <w:t>27</w:t>
      </w:r>
      <w:r w:rsidRPr="00197A8D">
        <w:t xml:space="preserve">, </w:t>
      </w:r>
      <w:r w:rsidR="00385EA2" w:rsidRPr="00197A8D">
        <w:t>que se resume</w:t>
      </w:r>
      <w:r w:rsidRPr="00197A8D">
        <w:t xml:space="preserve"> en el Anexo VIII, y ii) </w:t>
      </w:r>
      <w:r w:rsidR="00EA38E2" w:rsidRPr="00197A8D">
        <w:t xml:space="preserve">cuatro </w:t>
      </w:r>
      <w:r w:rsidRPr="00197A8D">
        <w:t xml:space="preserve">proyectos </w:t>
      </w:r>
      <w:r w:rsidR="00385EA2" w:rsidRPr="00197A8D">
        <w:t>fundamentales de</w:t>
      </w:r>
      <w:r w:rsidRPr="00197A8D">
        <w:t xml:space="preserve"> inversión de capital en el </w:t>
      </w:r>
      <w:r w:rsidR="00385EA2" w:rsidRPr="00197A8D">
        <w:t>ámbito de las T.I.</w:t>
      </w:r>
      <w:r w:rsidRPr="00197A8D">
        <w:t xml:space="preserve"> </w:t>
      </w:r>
      <w:r w:rsidR="00385EA2" w:rsidRPr="00197A8D">
        <w:t>que han de ejecutarse</w:t>
      </w:r>
      <w:r w:rsidRPr="00197A8D">
        <w:t xml:space="preserve"> </w:t>
      </w:r>
      <w:r w:rsidR="00385EA2" w:rsidRPr="00197A8D">
        <w:t>en</w:t>
      </w:r>
      <w:r w:rsidRPr="00197A8D">
        <w:t xml:space="preserve"> el períod</w:t>
      </w:r>
      <w:r w:rsidR="00197A8D" w:rsidRPr="00197A8D">
        <w:t>o 2</w:t>
      </w:r>
      <w:r w:rsidRPr="00197A8D">
        <w:t>018-19.</w:t>
      </w:r>
    </w:p>
    <w:p w:rsidR="00A06E57" w:rsidRPr="00197A8D" w:rsidRDefault="00A06E57" w:rsidP="002E02E7"/>
    <w:p w:rsidR="00A06E57" w:rsidRPr="00197A8D" w:rsidRDefault="00A06E57" w:rsidP="002E02E7"/>
    <w:p w:rsidR="00A06E57" w:rsidRPr="00197A8D" w:rsidRDefault="00A06E57" w:rsidP="002E02E7">
      <w:pPr>
        <w:pStyle w:val="Heading2"/>
        <w:keepNext w:val="0"/>
        <w:spacing w:before="0" w:after="0"/>
        <w:rPr>
          <w:i/>
        </w:rPr>
      </w:pPr>
      <w:r w:rsidRPr="00197A8D">
        <w:rPr>
          <w:bCs w:val="0"/>
          <w:i/>
        </w:rPr>
        <w:lastRenderedPageBreak/>
        <w:t>FACTORES DETERMINANTES DEL PLAN MAESTRO DE MEJORAS DE INFRAESTRUCT</w:t>
      </w:r>
      <w:r w:rsidR="00385EA2" w:rsidRPr="00197A8D">
        <w:rPr>
          <w:bCs w:val="0"/>
          <w:i/>
        </w:rPr>
        <w:t>URA PAR</w:t>
      </w:r>
      <w:r w:rsidR="00197A8D" w:rsidRPr="00197A8D">
        <w:rPr>
          <w:bCs w:val="0"/>
          <w:i/>
        </w:rPr>
        <w:t>A 2</w:t>
      </w:r>
      <w:r w:rsidR="00385EA2" w:rsidRPr="00197A8D">
        <w:rPr>
          <w:bCs w:val="0"/>
          <w:i/>
        </w:rPr>
        <w:t>018-</w:t>
      </w:r>
      <w:r w:rsidRPr="00197A8D">
        <w:rPr>
          <w:bCs w:val="0"/>
          <w:i/>
        </w:rPr>
        <w:t xml:space="preserve">27 </w:t>
      </w:r>
    </w:p>
    <w:p w:rsidR="00A06E57" w:rsidRPr="00197A8D" w:rsidRDefault="00A06E57" w:rsidP="002E02E7"/>
    <w:p w:rsidR="00822607" w:rsidRPr="00197A8D" w:rsidRDefault="00A06E57" w:rsidP="002E02E7">
      <w:pPr>
        <w:numPr>
          <w:ilvl w:val="0"/>
          <w:numId w:val="13"/>
        </w:numPr>
        <w:tabs>
          <w:tab w:val="left" w:pos="567"/>
          <w:tab w:val="left" w:pos="5670"/>
        </w:tabs>
        <w:spacing w:after="220"/>
        <w:ind w:left="0" w:firstLine="0"/>
        <w:contextualSpacing/>
      </w:pPr>
      <w:r w:rsidRPr="00197A8D">
        <w:t xml:space="preserve">El </w:t>
      </w:r>
      <w:r w:rsidR="005E5DFD" w:rsidRPr="00197A8D">
        <w:t>PM</w:t>
      </w:r>
      <w:r w:rsidR="00197A8D" w:rsidRPr="00197A8D">
        <w:t>M 2</w:t>
      </w:r>
      <w:r w:rsidR="00385EA2" w:rsidRPr="00197A8D">
        <w:t>018-</w:t>
      </w:r>
      <w:r w:rsidRPr="00197A8D">
        <w:t xml:space="preserve">27 ha sido elaborado </w:t>
      </w:r>
      <w:r w:rsidR="00A84141" w:rsidRPr="00197A8D">
        <w:t>tras</w:t>
      </w:r>
      <w:r w:rsidRPr="00197A8D">
        <w:t xml:space="preserve"> haber estudiado los principales factores determinantes de los proyectos de inversión de capital, </w:t>
      </w:r>
      <w:r w:rsidR="00DE77F4" w:rsidRPr="00197A8D">
        <w:t>detallados a</w:t>
      </w:r>
      <w:r w:rsidRPr="00197A8D">
        <w:t xml:space="preserve"> continuación, </w:t>
      </w:r>
      <w:r w:rsidR="00DE77F4" w:rsidRPr="00197A8D">
        <w:t>para asegurar</w:t>
      </w:r>
      <w:r w:rsidRPr="00197A8D">
        <w:t xml:space="preserve"> que la OMPI siga siendo una Organización adecuada a sus fines.  Los factores determinantes también </w:t>
      </w:r>
      <w:r w:rsidR="00A84141" w:rsidRPr="00197A8D">
        <w:t>ayudan a</w:t>
      </w:r>
      <w:r w:rsidRPr="00197A8D">
        <w:t xml:space="preserve"> </w:t>
      </w:r>
      <w:r w:rsidR="00A84141" w:rsidRPr="00197A8D">
        <w:t>evaluar</w:t>
      </w:r>
      <w:r w:rsidRPr="00197A8D">
        <w:t xml:space="preserve"> si los proyectos </w:t>
      </w:r>
      <w:r w:rsidR="007F7B23" w:rsidRPr="00197A8D">
        <w:t>cumplen</w:t>
      </w:r>
      <w:r w:rsidRPr="00197A8D">
        <w:t xml:space="preserve"> los principios </w:t>
      </w:r>
      <w:r w:rsidR="00A84141" w:rsidRPr="00197A8D">
        <w:t xml:space="preserve">exigidos por la política </w:t>
      </w:r>
      <w:r w:rsidR="007F7B23" w:rsidRPr="00197A8D">
        <w:t>de reservas revisada</w:t>
      </w:r>
      <w:r w:rsidR="00822607" w:rsidRPr="00197A8D">
        <w:t>.</w:t>
      </w:r>
    </w:p>
    <w:p w:rsidR="00A06E57" w:rsidRPr="00197A8D" w:rsidRDefault="00A06E57" w:rsidP="002E02E7"/>
    <w:p w:rsidR="00A06E57" w:rsidRPr="00197A8D" w:rsidRDefault="00A06E57" w:rsidP="002E02E7">
      <w:pPr>
        <w:pStyle w:val="ListParagraph"/>
        <w:numPr>
          <w:ilvl w:val="0"/>
          <w:numId w:val="10"/>
        </w:numPr>
        <w:rPr>
          <w:lang w:val="es-ES"/>
        </w:rPr>
      </w:pPr>
      <w:r w:rsidRPr="00197A8D">
        <w:rPr>
          <w:i/>
          <w:iCs/>
          <w:lang w:val="es-ES"/>
        </w:rPr>
        <w:t xml:space="preserve">Ciclo de vida </w:t>
      </w:r>
      <w:r w:rsidRPr="00197A8D">
        <w:rPr>
          <w:lang w:val="es-ES"/>
        </w:rPr>
        <w:t xml:space="preserve">- la gestión eficaz durante el ciclo de vida de los activos </w:t>
      </w:r>
      <w:r w:rsidR="007F7B23" w:rsidRPr="00197A8D">
        <w:rPr>
          <w:lang w:val="es-ES"/>
        </w:rPr>
        <w:t xml:space="preserve">de los equipos </w:t>
      </w:r>
      <w:r w:rsidR="00A43825" w:rsidRPr="00197A8D">
        <w:rPr>
          <w:lang w:val="es-ES"/>
        </w:rPr>
        <w:t xml:space="preserve">e </w:t>
      </w:r>
      <w:r w:rsidRPr="00197A8D">
        <w:rPr>
          <w:lang w:val="es-ES"/>
        </w:rPr>
        <w:t xml:space="preserve">instalaciones, </w:t>
      </w:r>
      <w:r w:rsidR="007F7B23" w:rsidRPr="00197A8D">
        <w:rPr>
          <w:lang w:val="es-ES"/>
        </w:rPr>
        <w:t>como</w:t>
      </w:r>
      <w:r w:rsidRPr="00197A8D">
        <w:rPr>
          <w:lang w:val="es-ES"/>
        </w:rPr>
        <w:t xml:space="preserve"> las obras </w:t>
      </w:r>
      <w:r w:rsidR="007F7B23" w:rsidRPr="00197A8D">
        <w:rPr>
          <w:lang w:val="es-ES"/>
        </w:rPr>
        <w:t xml:space="preserve">fundamentales </w:t>
      </w:r>
      <w:r w:rsidRPr="00197A8D">
        <w:rPr>
          <w:lang w:val="es-ES"/>
        </w:rPr>
        <w:t xml:space="preserve">de </w:t>
      </w:r>
      <w:r w:rsidR="00DE4CF2" w:rsidRPr="00197A8D">
        <w:rPr>
          <w:lang w:val="es-ES"/>
        </w:rPr>
        <w:t>remodelación</w:t>
      </w:r>
      <w:r w:rsidRPr="00197A8D">
        <w:rPr>
          <w:lang w:val="es-ES"/>
        </w:rPr>
        <w:t xml:space="preserve"> y renovación </w:t>
      </w:r>
      <w:r w:rsidR="00A43825" w:rsidRPr="00197A8D">
        <w:rPr>
          <w:lang w:val="es-ES"/>
        </w:rPr>
        <w:t xml:space="preserve">o </w:t>
      </w:r>
      <w:r w:rsidR="007F7B23" w:rsidRPr="00197A8D">
        <w:rPr>
          <w:lang w:val="es-ES"/>
        </w:rPr>
        <w:t>de</w:t>
      </w:r>
      <w:r w:rsidR="00A43825" w:rsidRPr="00197A8D">
        <w:rPr>
          <w:lang w:val="es-ES"/>
        </w:rPr>
        <w:t xml:space="preserve"> </w:t>
      </w:r>
      <w:r w:rsidR="00DE4CF2" w:rsidRPr="00197A8D">
        <w:rPr>
          <w:lang w:val="es-ES"/>
        </w:rPr>
        <w:t>regeneración</w:t>
      </w:r>
      <w:r w:rsidR="00A43825" w:rsidRPr="00197A8D">
        <w:rPr>
          <w:lang w:val="es-ES"/>
        </w:rPr>
        <w:t xml:space="preserve"> de los activos deteriorados</w:t>
      </w:r>
      <w:r w:rsidRPr="00197A8D">
        <w:rPr>
          <w:lang w:val="es-ES"/>
        </w:rPr>
        <w:t xml:space="preserve">, para evitar riesgos relacionados con la seguridad y la </w:t>
      </w:r>
      <w:r w:rsidR="00A43825" w:rsidRPr="00197A8D">
        <w:rPr>
          <w:lang w:val="es-ES"/>
        </w:rPr>
        <w:t xml:space="preserve">falta de </w:t>
      </w:r>
      <w:r w:rsidR="00B92EB8" w:rsidRPr="00197A8D">
        <w:rPr>
          <w:lang w:val="es-ES"/>
        </w:rPr>
        <w:t>operabilidad</w:t>
      </w:r>
      <w:r w:rsidRPr="00197A8D">
        <w:rPr>
          <w:lang w:val="es-ES"/>
        </w:rPr>
        <w:t xml:space="preserve"> de </w:t>
      </w:r>
      <w:r w:rsidR="007F7B23" w:rsidRPr="00197A8D">
        <w:rPr>
          <w:lang w:val="es-ES"/>
        </w:rPr>
        <w:t>esos</w:t>
      </w:r>
      <w:r w:rsidRPr="00197A8D">
        <w:rPr>
          <w:lang w:val="es-ES"/>
        </w:rPr>
        <w:t xml:space="preserve"> activos.</w:t>
      </w:r>
    </w:p>
    <w:p w:rsidR="00A06E57" w:rsidRPr="00197A8D" w:rsidRDefault="00A06E57" w:rsidP="002E02E7">
      <w:pPr>
        <w:pStyle w:val="ListParagraph"/>
        <w:rPr>
          <w:lang w:val="es-ES"/>
        </w:rPr>
      </w:pPr>
    </w:p>
    <w:p w:rsidR="00A06E57" w:rsidRPr="00197A8D" w:rsidRDefault="00A06E57" w:rsidP="002E02E7">
      <w:pPr>
        <w:pStyle w:val="ListParagraph"/>
        <w:numPr>
          <w:ilvl w:val="0"/>
          <w:numId w:val="10"/>
        </w:numPr>
        <w:rPr>
          <w:lang w:val="es-ES"/>
        </w:rPr>
      </w:pPr>
      <w:r w:rsidRPr="00197A8D">
        <w:rPr>
          <w:i/>
          <w:iCs/>
          <w:lang w:val="es-ES"/>
        </w:rPr>
        <w:t>Reglamentación</w:t>
      </w:r>
      <w:r w:rsidRPr="00197A8D">
        <w:rPr>
          <w:lang w:val="es-ES"/>
        </w:rPr>
        <w:t xml:space="preserve"> - ejecutar proyectos para garantizar</w:t>
      </w:r>
      <w:r w:rsidR="002827EA" w:rsidRPr="00197A8D">
        <w:rPr>
          <w:lang w:val="es-ES"/>
        </w:rPr>
        <w:t xml:space="preserve"> que la organización cumple la reglamentación federal y local suiza</w:t>
      </w:r>
      <w:r w:rsidRPr="00197A8D">
        <w:rPr>
          <w:lang w:val="es-ES"/>
        </w:rPr>
        <w:t xml:space="preserve">, </w:t>
      </w:r>
      <w:r w:rsidR="002827EA" w:rsidRPr="00197A8D">
        <w:rPr>
          <w:lang w:val="es-ES"/>
        </w:rPr>
        <w:t>así como</w:t>
      </w:r>
      <w:r w:rsidRPr="00197A8D">
        <w:rPr>
          <w:lang w:val="es-ES"/>
        </w:rPr>
        <w:t xml:space="preserve"> </w:t>
      </w:r>
      <w:r w:rsidR="00A43825" w:rsidRPr="00197A8D">
        <w:rPr>
          <w:lang w:val="es-ES"/>
        </w:rPr>
        <w:t>las</w:t>
      </w:r>
      <w:r w:rsidRPr="00197A8D">
        <w:rPr>
          <w:lang w:val="es-ES"/>
        </w:rPr>
        <w:t xml:space="preserve"> </w:t>
      </w:r>
      <w:r w:rsidR="00A43825" w:rsidRPr="00197A8D">
        <w:rPr>
          <w:lang w:val="es-ES"/>
        </w:rPr>
        <w:t>directrices</w:t>
      </w:r>
      <w:r w:rsidRPr="00197A8D">
        <w:rPr>
          <w:lang w:val="es-ES"/>
        </w:rPr>
        <w:t xml:space="preserve"> </w:t>
      </w:r>
      <w:r w:rsidR="00A43825" w:rsidRPr="00197A8D">
        <w:rPr>
          <w:lang w:val="es-ES"/>
        </w:rPr>
        <w:t>adoptadas</w:t>
      </w:r>
      <w:r w:rsidRPr="00197A8D">
        <w:rPr>
          <w:lang w:val="es-ES"/>
        </w:rPr>
        <w:t xml:space="preserve"> por las Naciones Unidas.</w:t>
      </w:r>
    </w:p>
    <w:p w:rsidR="00B92EB8" w:rsidRPr="00197A8D" w:rsidRDefault="00B92EB8" w:rsidP="00B92EB8">
      <w:pPr>
        <w:pStyle w:val="ListParagraph"/>
        <w:rPr>
          <w:lang w:val="es-ES"/>
        </w:rPr>
      </w:pPr>
    </w:p>
    <w:p w:rsidR="00A06E57" w:rsidRPr="00197A8D" w:rsidRDefault="00A43825" w:rsidP="002E02E7">
      <w:pPr>
        <w:pStyle w:val="ListParagraph"/>
        <w:numPr>
          <w:ilvl w:val="0"/>
          <w:numId w:val="9"/>
        </w:numPr>
        <w:rPr>
          <w:lang w:val="es-ES"/>
        </w:rPr>
      </w:pPr>
      <w:r w:rsidRPr="00197A8D">
        <w:rPr>
          <w:i/>
          <w:iCs/>
          <w:lang w:val="es-ES"/>
        </w:rPr>
        <w:t>Nece</w:t>
      </w:r>
      <w:r w:rsidR="00B92EB8" w:rsidRPr="00197A8D">
        <w:rPr>
          <w:i/>
          <w:iCs/>
          <w:lang w:val="es-ES"/>
        </w:rPr>
        <w:t>sidades específicas</w:t>
      </w:r>
      <w:r w:rsidR="00A06E57" w:rsidRPr="00197A8D">
        <w:rPr>
          <w:i/>
          <w:iCs/>
          <w:lang w:val="es-ES"/>
        </w:rPr>
        <w:t xml:space="preserve"> </w:t>
      </w:r>
      <w:r w:rsidR="00A06E57" w:rsidRPr="00197A8D">
        <w:rPr>
          <w:lang w:val="es-ES"/>
        </w:rPr>
        <w:t>- construir o adquirir nuevos activos, que permitirán que la Organización mejore o amplíe los servicios que presta a los Estados miembros y a los clientes de la OMPI.</w:t>
      </w:r>
    </w:p>
    <w:p w:rsidR="00A06E57" w:rsidRPr="00197A8D" w:rsidRDefault="00A06E57" w:rsidP="002E02E7">
      <w:pPr>
        <w:pStyle w:val="ListParagraph"/>
        <w:rPr>
          <w:lang w:val="es-ES"/>
        </w:rPr>
      </w:pPr>
    </w:p>
    <w:p w:rsidR="00A06E57" w:rsidRPr="00197A8D" w:rsidRDefault="00A06E57" w:rsidP="002E02E7">
      <w:pPr>
        <w:pStyle w:val="ListParagraph"/>
        <w:numPr>
          <w:ilvl w:val="0"/>
          <w:numId w:val="10"/>
        </w:numPr>
        <w:rPr>
          <w:lang w:val="es-ES"/>
        </w:rPr>
      </w:pPr>
      <w:r w:rsidRPr="00197A8D">
        <w:rPr>
          <w:i/>
          <w:iCs/>
          <w:lang w:val="es-ES"/>
        </w:rPr>
        <w:t>Medio ambiente</w:t>
      </w:r>
      <w:r w:rsidRPr="00197A8D">
        <w:rPr>
          <w:lang w:val="es-ES"/>
        </w:rPr>
        <w:t xml:space="preserve"> - invertir en iniciativas de energía renovable, que reducirán la huella de emisiones de</w:t>
      </w:r>
      <w:r w:rsidR="00EA38E2" w:rsidRPr="00197A8D">
        <w:rPr>
          <w:lang w:val="es-ES"/>
        </w:rPr>
        <w:t xml:space="preserve"> carbono de</w:t>
      </w:r>
      <w:r w:rsidRPr="00197A8D">
        <w:rPr>
          <w:lang w:val="es-ES"/>
        </w:rPr>
        <w:t xml:space="preserve"> la OMPI.</w:t>
      </w:r>
    </w:p>
    <w:p w:rsidR="00A06E57" w:rsidRPr="00197A8D" w:rsidRDefault="00A06E57" w:rsidP="002E02E7">
      <w:pPr>
        <w:pStyle w:val="ListParagraph"/>
        <w:rPr>
          <w:lang w:val="es-ES"/>
        </w:rPr>
      </w:pPr>
    </w:p>
    <w:p w:rsidR="00A06E57" w:rsidRPr="00197A8D" w:rsidRDefault="00A06E57" w:rsidP="002E02E7">
      <w:pPr>
        <w:pStyle w:val="ListParagraph"/>
        <w:numPr>
          <w:ilvl w:val="0"/>
          <w:numId w:val="10"/>
        </w:numPr>
        <w:rPr>
          <w:lang w:val="es-ES"/>
        </w:rPr>
      </w:pPr>
      <w:r w:rsidRPr="00197A8D">
        <w:rPr>
          <w:i/>
          <w:iCs/>
          <w:lang w:val="es-ES"/>
        </w:rPr>
        <w:t>Accesibilidad</w:t>
      </w:r>
      <w:r w:rsidRPr="00197A8D">
        <w:rPr>
          <w:lang w:val="es-ES"/>
        </w:rPr>
        <w:t xml:space="preserve"> - invertir en iniciativas para que los locales y servicios de la OMPI </w:t>
      </w:r>
      <w:r w:rsidR="002827EA" w:rsidRPr="00197A8D">
        <w:rPr>
          <w:lang w:val="es-ES"/>
        </w:rPr>
        <w:t>sean</w:t>
      </w:r>
      <w:r w:rsidRPr="00197A8D">
        <w:rPr>
          <w:lang w:val="es-ES"/>
        </w:rPr>
        <w:t xml:space="preserve"> accesibles </w:t>
      </w:r>
      <w:r w:rsidR="009554FE" w:rsidRPr="00197A8D">
        <w:rPr>
          <w:lang w:val="es-ES"/>
        </w:rPr>
        <w:t>a</w:t>
      </w:r>
      <w:r w:rsidRPr="00197A8D">
        <w:rPr>
          <w:lang w:val="es-ES"/>
        </w:rPr>
        <w:t xml:space="preserve"> todas las partes interesadas, incluidas las personas con discapacidad.</w:t>
      </w:r>
    </w:p>
    <w:p w:rsidR="00A06E57" w:rsidRPr="00197A8D" w:rsidRDefault="00A06E57" w:rsidP="002E02E7">
      <w:pPr>
        <w:pStyle w:val="ListParagraph"/>
        <w:rPr>
          <w:lang w:val="es-ES"/>
        </w:rPr>
      </w:pPr>
    </w:p>
    <w:p w:rsidR="00A06E57" w:rsidRPr="00197A8D" w:rsidRDefault="00A06E57" w:rsidP="002E02E7">
      <w:pPr>
        <w:pStyle w:val="ListParagraph"/>
        <w:numPr>
          <w:ilvl w:val="0"/>
          <w:numId w:val="10"/>
        </w:numPr>
        <w:rPr>
          <w:lang w:val="es-ES"/>
        </w:rPr>
      </w:pPr>
      <w:r w:rsidRPr="00197A8D">
        <w:rPr>
          <w:i/>
          <w:iCs/>
          <w:lang w:val="es-ES"/>
        </w:rPr>
        <w:t xml:space="preserve">Eficacia en función de los costos </w:t>
      </w:r>
      <w:r w:rsidRPr="00197A8D">
        <w:rPr>
          <w:lang w:val="es-ES"/>
        </w:rPr>
        <w:t>- aprovechar las nuevas tecnologías y las mejoras a los equipos y sistemas para reducir los gastos operativos recurrentes.</w:t>
      </w:r>
    </w:p>
    <w:p w:rsidR="00A06E57" w:rsidRPr="00197A8D" w:rsidRDefault="00A06E57" w:rsidP="002E02E7">
      <w:pPr>
        <w:pStyle w:val="ListParagraph"/>
        <w:rPr>
          <w:lang w:val="es-ES"/>
        </w:rPr>
      </w:pPr>
    </w:p>
    <w:p w:rsidR="00A06E57" w:rsidRPr="00197A8D" w:rsidRDefault="00DE4CF2" w:rsidP="002E02E7">
      <w:pPr>
        <w:pStyle w:val="ListParagraph"/>
        <w:numPr>
          <w:ilvl w:val="0"/>
          <w:numId w:val="10"/>
        </w:numPr>
        <w:rPr>
          <w:lang w:val="es-ES"/>
        </w:rPr>
      </w:pPr>
      <w:r w:rsidRPr="00197A8D">
        <w:rPr>
          <w:i/>
          <w:iCs/>
          <w:lang w:val="es-ES"/>
        </w:rPr>
        <w:t>Aseguramiento de la</w:t>
      </w:r>
      <w:r w:rsidR="00A06E57" w:rsidRPr="00197A8D">
        <w:rPr>
          <w:i/>
          <w:iCs/>
          <w:lang w:val="es-ES"/>
        </w:rPr>
        <w:t xml:space="preserve"> información</w:t>
      </w:r>
      <w:r w:rsidRPr="00197A8D">
        <w:rPr>
          <w:i/>
          <w:iCs/>
          <w:lang w:val="es-ES"/>
        </w:rPr>
        <w:t>, seguridad y vigilancia</w:t>
      </w:r>
      <w:r w:rsidR="00A06E57" w:rsidRPr="00197A8D">
        <w:rPr>
          <w:i/>
          <w:iCs/>
          <w:lang w:val="es-ES"/>
        </w:rPr>
        <w:t xml:space="preserve"> </w:t>
      </w:r>
      <w:r w:rsidR="00A06E57" w:rsidRPr="00197A8D">
        <w:rPr>
          <w:lang w:val="es-ES"/>
        </w:rPr>
        <w:t xml:space="preserve">- </w:t>
      </w:r>
      <w:r w:rsidRPr="00197A8D">
        <w:rPr>
          <w:lang w:val="es-ES"/>
        </w:rPr>
        <w:t>adoptar</w:t>
      </w:r>
      <w:r w:rsidR="00A06E57" w:rsidRPr="00197A8D">
        <w:rPr>
          <w:lang w:val="es-ES"/>
        </w:rPr>
        <w:t xml:space="preserve"> medidas preventivas y de protección para reducir la vulnerabilidad de la OMPI en caso de amenazas y para proteger al personal, los delegados y visitantes de la OMPI, así como los activos </w:t>
      </w:r>
      <w:r w:rsidR="008A4076" w:rsidRPr="00197A8D">
        <w:rPr>
          <w:lang w:val="es-ES"/>
        </w:rPr>
        <w:t xml:space="preserve">físicos y de información </w:t>
      </w:r>
      <w:r w:rsidR="00A06E57" w:rsidRPr="00197A8D">
        <w:rPr>
          <w:lang w:val="es-ES"/>
        </w:rPr>
        <w:t>de la Organización.</w:t>
      </w:r>
    </w:p>
    <w:p w:rsidR="00A06E57" w:rsidRPr="00197A8D" w:rsidRDefault="00A06E57" w:rsidP="002E02E7"/>
    <w:p w:rsidR="00A06E57" w:rsidRPr="00197A8D" w:rsidRDefault="00A06E57" w:rsidP="002E02E7"/>
    <w:p w:rsidR="00A06E57" w:rsidRPr="00197A8D" w:rsidRDefault="00A06E57" w:rsidP="002E02E7">
      <w:pPr>
        <w:rPr>
          <w:i/>
        </w:rPr>
      </w:pPr>
      <w:r w:rsidRPr="00197A8D">
        <w:rPr>
          <w:i/>
          <w:iCs/>
        </w:rPr>
        <w:t>RESUMEN DEL PLAN MAESTRO DE MEJORAS</w:t>
      </w:r>
      <w:r w:rsidR="009554FE" w:rsidRPr="00197A8D">
        <w:rPr>
          <w:i/>
          <w:iCs/>
        </w:rPr>
        <w:t xml:space="preserve"> DE INFRAESTRUCTURA PAR</w:t>
      </w:r>
      <w:r w:rsidR="00197A8D" w:rsidRPr="00197A8D">
        <w:rPr>
          <w:i/>
          <w:iCs/>
        </w:rPr>
        <w:t>A 2</w:t>
      </w:r>
      <w:r w:rsidR="009554FE" w:rsidRPr="00197A8D">
        <w:rPr>
          <w:i/>
          <w:iCs/>
        </w:rPr>
        <w:t>018-</w:t>
      </w:r>
      <w:r w:rsidRPr="00197A8D">
        <w:rPr>
          <w:i/>
          <w:iCs/>
        </w:rPr>
        <w:t>27</w:t>
      </w:r>
    </w:p>
    <w:p w:rsidR="00A06E57" w:rsidRPr="00197A8D" w:rsidRDefault="00A06E57" w:rsidP="002E02E7"/>
    <w:p w:rsidR="00A06E57" w:rsidRPr="00197A8D" w:rsidRDefault="00A06E57" w:rsidP="002E02E7">
      <w:pPr>
        <w:numPr>
          <w:ilvl w:val="0"/>
          <w:numId w:val="13"/>
        </w:numPr>
        <w:tabs>
          <w:tab w:val="left" w:pos="567"/>
          <w:tab w:val="left" w:pos="5670"/>
        </w:tabs>
        <w:spacing w:after="220"/>
        <w:ind w:left="0" w:firstLine="0"/>
        <w:contextualSpacing/>
      </w:pPr>
      <w:r w:rsidRPr="00197A8D">
        <w:t>E</w:t>
      </w:r>
      <w:r w:rsidR="001D24B7" w:rsidRPr="00197A8D">
        <w:t>n e</w:t>
      </w:r>
      <w:r w:rsidRPr="00197A8D">
        <w:t>l cuadr</w:t>
      </w:r>
      <w:r w:rsidR="00197A8D" w:rsidRPr="00197A8D">
        <w:t>o 2</w:t>
      </w:r>
      <w:r w:rsidRPr="00197A8D">
        <w:t xml:space="preserve"> </w:t>
      </w:r>
      <w:r w:rsidR="001D24B7" w:rsidRPr="00197A8D">
        <w:t xml:space="preserve">se </w:t>
      </w:r>
      <w:r w:rsidRPr="00197A8D">
        <w:t>resume</w:t>
      </w:r>
      <w:r w:rsidR="001D24B7" w:rsidRPr="00197A8D">
        <w:t>n</w:t>
      </w:r>
      <w:r w:rsidRPr="00197A8D">
        <w:t xml:space="preserve"> los proyectos del Plan maestro de mejoras de infraestructura, sus plazos de ejecución y el cálculo de los gastos no recurrentes para el períod</w:t>
      </w:r>
      <w:r w:rsidR="00197A8D" w:rsidRPr="00197A8D">
        <w:t>o 2</w:t>
      </w:r>
      <w:r w:rsidRPr="00197A8D">
        <w:t>018-</w:t>
      </w:r>
      <w:r w:rsidR="009554FE" w:rsidRPr="00197A8D">
        <w:t>27</w:t>
      </w:r>
      <w:r w:rsidRPr="00197A8D">
        <w:t>:</w:t>
      </w:r>
    </w:p>
    <w:p w:rsidR="00A06E57" w:rsidRPr="00197A8D" w:rsidRDefault="00A06E57" w:rsidP="001E2102">
      <w:pPr>
        <w:keepNext/>
        <w:keepLines/>
        <w:jc w:val="center"/>
        <w:rPr>
          <w:i/>
        </w:rPr>
      </w:pPr>
    </w:p>
    <w:tbl>
      <w:tblPr>
        <w:tblW w:w="9015" w:type="dxa"/>
        <w:jc w:val="center"/>
        <w:tblLook w:val="04A0" w:firstRow="1" w:lastRow="0" w:firstColumn="1" w:lastColumn="0" w:noHBand="0" w:noVBand="1"/>
      </w:tblPr>
      <w:tblGrid>
        <w:gridCol w:w="9015"/>
      </w:tblGrid>
      <w:tr w:rsidR="00A06E57" w:rsidRPr="00197A8D" w:rsidTr="002E02E7">
        <w:trPr>
          <w:trHeight w:val="510"/>
          <w:jc w:val="center"/>
        </w:trPr>
        <w:tc>
          <w:tcPr>
            <w:tcW w:w="9015" w:type="dxa"/>
            <w:tcBorders>
              <w:top w:val="nil"/>
            </w:tcBorders>
            <w:shd w:val="clear" w:color="000000" w:fill="C6D9F1" w:themeFill="text2" w:themeFillTint="33"/>
            <w:noWrap/>
            <w:vAlign w:val="bottom"/>
            <w:hideMark/>
          </w:tcPr>
          <w:p w:rsidR="00A06E57" w:rsidRPr="00197A8D" w:rsidRDefault="002827EA" w:rsidP="001E2102">
            <w:pPr>
              <w:keepNext/>
              <w:keepLines/>
              <w:jc w:val="center"/>
            </w:pPr>
            <w:r w:rsidRPr="00197A8D">
              <w:t>Cuadr</w:t>
            </w:r>
            <w:r w:rsidR="00197A8D" w:rsidRPr="00197A8D">
              <w:t>o 2:  R</w:t>
            </w:r>
            <w:r w:rsidRPr="00197A8D">
              <w:t>esumen del P</w:t>
            </w:r>
            <w:r w:rsidR="00A06E57" w:rsidRPr="00197A8D">
              <w:t>lan maestro de mejoras de infraestructura par</w:t>
            </w:r>
            <w:r w:rsidR="00197A8D" w:rsidRPr="00197A8D">
              <w:t>a 2</w:t>
            </w:r>
            <w:r w:rsidR="00A06E57" w:rsidRPr="00197A8D">
              <w:t>018-</w:t>
            </w:r>
            <w:r w:rsidR="009554FE" w:rsidRPr="00197A8D">
              <w:t>27</w:t>
            </w:r>
          </w:p>
          <w:p w:rsidR="00A06E57" w:rsidRPr="00197A8D" w:rsidRDefault="005147AE" w:rsidP="001E2102">
            <w:pPr>
              <w:keepNext/>
              <w:keepLines/>
              <w:jc w:val="center"/>
              <w:rPr>
                <w:i/>
              </w:rPr>
            </w:pPr>
            <w:r w:rsidRPr="00197A8D">
              <w:rPr>
                <w:rFonts w:asciiTheme="minorHAnsi" w:eastAsia="Times New Roman" w:hAnsiTheme="minorHAnsi" w:cstheme="minorHAnsi"/>
                <w:i/>
                <w:iCs/>
                <w:color w:val="000000"/>
                <w:sz w:val="18"/>
                <w:szCs w:val="18"/>
              </w:rPr>
              <w:t xml:space="preserve"> </w:t>
            </w:r>
            <w:r w:rsidR="00A06E57" w:rsidRPr="00197A8D">
              <w:rPr>
                <w:rFonts w:asciiTheme="minorHAnsi" w:eastAsia="Times New Roman" w:hAnsiTheme="minorHAnsi" w:cstheme="minorHAnsi"/>
                <w:i/>
                <w:iCs/>
                <w:color w:val="000000"/>
                <w:sz w:val="18"/>
                <w:szCs w:val="18"/>
              </w:rPr>
              <w:t>(en miles de francos suizos)</w:t>
            </w:r>
          </w:p>
        </w:tc>
      </w:tr>
    </w:tbl>
    <w:p w:rsidR="009554FE" w:rsidRPr="00197A8D" w:rsidRDefault="001E2102" w:rsidP="001E2102">
      <w:pPr>
        <w:keepNext/>
        <w:keepLines/>
        <w:ind w:left="567" w:hanging="567"/>
        <w:jc w:val="center"/>
      </w:pPr>
      <w:r w:rsidRPr="00197A8D">
        <w:rPr>
          <w:noProof/>
          <w:lang w:val="en-US" w:eastAsia="en-US"/>
        </w:rPr>
        <w:drawing>
          <wp:inline distT="0" distB="0" distL="0" distR="0" wp14:anchorId="371B3429" wp14:editId="29ACE7E8">
            <wp:extent cx="5752214" cy="4854483"/>
            <wp:effectExtent l="0" t="0" r="127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998" cy="4863584"/>
                    </a:xfrm>
                    <a:prstGeom prst="rect">
                      <a:avLst/>
                    </a:prstGeom>
                    <a:noFill/>
                    <a:ln>
                      <a:noFill/>
                    </a:ln>
                  </pic:spPr>
                </pic:pic>
              </a:graphicData>
            </a:graphic>
          </wp:inline>
        </w:drawing>
      </w:r>
    </w:p>
    <w:p w:rsidR="00A06E57" w:rsidRPr="00197A8D" w:rsidRDefault="00A06E57" w:rsidP="001E2102">
      <w:pPr>
        <w:keepNext/>
        <w:keepLines/>
        <w:rPr>
          <w:i/>
          <w:sz w:val="8"/>
          <w:szCs w:val="8"/>
        </w:rPr>
      </w:pPr>
    </w:p>
    <w:p w:rsidR="00A06E57" w:rsidRPr="00197A8D" w:rsidRDefault="00A06E57" w:rsidP="001E2102">
      <w:pPr>
        <w:keepNext/>
        <w:keepLines/>
        <w:rPr>
          <w:i/>
          <w:sz w:val="16"/>
          <w:szCs w:val="16"/>
        </w:rPr>
      </w:pPr>
      <w:r w:rsidRPr="00197A8D">
        <w:rPr>
          <w:i/>
          <w:iCs/>
          <w:sz w:val="16"/>
          <w:szCs w:val="16"/>
        </w:rPr>
        <w:t>Nota</w:t>
      </w:r>
      <w:proofErr w:type="gramStart"/>
      <w:r w:rsidR="00197A8D" w:rsidRPr="00197A8D">
        <w:rPr>
          <w:i/>
          <w:iCs/>
          <w:sz w:val="16"/>
          <w:szCs w:val="16"/>
        </w:rPr>
        <w:t>:  x</w:t>
      </w:r>
      <w:proofErr w:type="gramEnd"/>
      <w:r w:rsidRPr="00197A8D">
        <w:rPr>
          <w:i/>
          <w:iCs/>
          <w:sz w:val="16"/>
          <w:szCs w:val="16"/>
        </w:rPr>
        <w:t xml:space="preserve"> indica los costos que hay que determinar </w:t>
      </w:r>
    </w:p>
    <w:p w:rsidR="00A06E57" w:rsidRPr="00197A8D" w:rsidRDefault="00A06E57" w:rsidP="002E02E7">
      <w:pPr>
        <w:tabs>
          <w:tab w:val="left" w:pos="567"/>
          <w:tab w:val="left" w:pos="5670"/>
        </w:tabs>
        <w:spacing w:after="220"/>
        <w:contextualSpacing/>
      </w:pPr>
    </w:p>
    <w:p w:rsidR="00822607" w:rsidRPr="00197A8D" w:rsidRDefault="00A06E57" w:rsidP="002E02E7">
      <w:pPr>
        <w:numPr>
          <w:ilvl w:val="0"/>
          <w:numId w:val="13"/>
        </w:numPr>
        <w:tabs>
          <w:tab w:val="left" w:pos="567"/>
          <w:tab w:val="left" w:pos="5670"/>
        </w:tabs>
        <w:spacing w:after="220"/>
        <w:ind w:left="0" w:firstLine="0"/>
        <w:contextualSpacing/>
      </w:pPr>
      <w:r w:rsidRPr="00197A8D">
        <w:t xml:space="preserve">El </w:t>
      </w:r>
      <w:r w:rsidR="005E5DFD" w:rsidRPr="00197A8D">
        <w:t>PM</w:t>
      </w:r>
      <w:r w:rsidR="00197A8D" w:rsidRPr="00197A8D">
        <w:t>M 2</w:t>
      </w:r>
      <w:r w:rsidR="00032B08" w:rsidRPr="00197A8D">
        <w:t>018-27 es</w:t>
      </w:r>
      <w:r w:rsidRPr="00197A8D">
        <w:t xml:space="preserve"> un plan </w:t>
      </w:r>
      <w:r w:rsidR="00032B08" w:rsidRPr="00197A8D">
        <w:t>de</w:t>
      </w:r>
      <w:r w:rsidRPr="00197A8D">
        <w:t xml:space="preserve"> proyectos de inversión de capital</w:t>
      </w:r>
      <w:r w:rsidR="001D24B7" w:rsidRPr="00197A8D">
        <w:t xml:space="preserve"> de aplicación continua</w:t>
      </w:r>
      <w:r w:rsidRPr="00197A8D">
        <w:t>, que se actualizará y presentará</w:t>
      </w:r>
      <w:r w:rsidR="002317CA" w:rsidRPr="00197A8D">
        <w:t xml:space="preserve"> a los Estados</w:t>
      </w:r>
      <w:r w:rsidR="00A8002A" w:rsidRPr="00197A8D">
        <w:t xml:space="preserve"> miembros</w:t>
      </w:r>
      <w:r w:rsidR="00032B08" w:rsidRPr="00197A8D">
        <w:t xml:space="preserve"> cada dos años, tiene</w:t>
      </w:r>
      <w:r w:rsidR="00A8002A" w:rsidRPr="00197A8D">
        <w:t xml:space="preserve"> un </w:t>
      </w:r>
      <w:r w:rsidR="00032B08" w:rsidRPr="00197A8D">
        <w:t>ámbito de aplicación</w:t>
      </w:r>
      <w:r w:rsidR="00A8002A" w:rsidRPr="00197A8D">
        <w:t xml:space="preserve"> preciso</w:t>
      </w:r>
      <w:r w:rsidRPr="00197A8D">
        <w:t xml:space="preserve"> y </w:t>
      </w:r>
      <w:r w:rsidR="00032B08" w:rsidRPr="00197A8D">
        <w:t>el cálculo de costos es específico para</w:t>
      </w:r>
      <w:r w:rsidRPr="00197A8D">
        <w:t xml:space="preserve"> cada proyecto</w:t>
      </w:r>
      <w:r w:rsidR="00822607" w:rsidRPr="00197A8D">
        <w:t>.</w:t>
      </w:r>
    </w:p>
    <w:p w:rsidR="00A06E57" w:rsidRPr="00197A8D" w:rsidRDefault="00A06E57" w:rsidP="002E02E7"/>
    <w:p w:rsidR="00A06E57" w:rsidRPr="00197A8D" w:rsidRDefault="00A06E57" w:rsidP="002E02E7"/>
    <w:p w:rsidR="00A06E57" w:rsidRPr="00197A8D" w:rsidRDefault="00A06E57" w:rsidP="002E02E7">
      <w:pPr>
        <w:pStyle w:val="Heading1"/>
        <w:keepNext w:val="0"/>
        <w:spacing w:before="0" w:after="0"/>
      </w:pPr>
      <w:r w:rsidRPr="00197A8D">
        <w:t>PROPUESTA DE FINANCIACIÓN CON CARGO A LAS RESERVAS DE DETERMINADO</w:t>
      </w:r>
      <w:r w:rsidR="00822607" w:rsidRPr="00197A8D">
        <w:t>S P</w:t>
      </w:r>
      <w:r w:rsidRPr="00197A8D">
        <w:t xml:space="preserve">ROYECTOS DEL </w:t>
      </w:r>
      <w:r w:rsidR="005E5DFD" w:rsidRPr="00197A8D">
        <w:t>PMM</w:t>
      </w:r>
      <w:r w:rsidRPr="00197A8D">
        <w:t xml:space="preserve"> en EL BIENI</w:t>
      </w:r>
      <w:r w:rsidR="00197A8D" w:rsidRPr="00197A8D">
        <w:t>O 2</w:t>
      </w:r>
      <w:r w:rsidRPr="00197A8D">
        <w:t>018/19</w:t>
      </w:r>
    </w:p>
    <w:p w:rsidR="00A06E57" w:rsidRPr="00197A8D" w:rsidRDefault="00A06E57" w:rsidP="002E02E7"/>
    <w:p w:rsidR="00A06E57" w:rsidRPr="00197A8D" w:rsidRDefault="00A06E57" w:rsidP="002E02E7">
      <w:pPr>
        <w:numPr>
          <w:ilvl w:val="0"/>
          <w:numId w:val="13"/>
        </w:numPr>
        <w:tabs>
          <w:tab w:val="left" w:pos="567"/>
          <w:tab w:val="left" w:pos="5670"/>
        </w:tabs>
        <w:spacing w:after="220"/>
        <w:ind w:left="0" w:firstLine="0"/>
        <w:contextualSpacing/>
      </w:pPr>
      <w:r w:rsidRPr="00197A8D">
        <w:t xml:space="preserve">Sobre la base del </w:t>
      </w:r>
      <w:r w:rsidR="005E5DFD" w:rsidRPr="00197A8D">
        <w:t>PM</w:t>
      </w:r>
      <w:r w:rsidR="00197A8D" w:rsidRPr="00197A8D">
        <w:t>M 2</w:t>
      </w:r>
      <w:r w:rsidR="005E5DFD" w:rsidRPr="00197A8D">
        <w:t>018-</w:t>
      </w:r>
      <w:r w:rsidRPr="00197A8D">
        <w:t xml:space="preserve">27, </w:t>
      </w:r>
      <w:r w:rsidR="00032B08" w:rsidRPr="00197A8D">
        <w:t>en el Cuadr</w:t>
      </w:r>
      <w:r w:rsidR="00197A8D" w:rsidRPr="00197A8D">
        <w:t>o 3</w:t>
      </w:r>
      <w:r w:rsidR="00032B08" w:rsidRPr="00197A8D">
        <w:t xml:space="preserve"> se resumen </w:t>
      </w:r>
      <w:r w:rsidRPr="00197A8D">
        <w:t>los proyectos propuestos para</w:t>
      </w:r>
      <w:r w:rsidR="00032B08" w:rsidRPr="00197A8D">
        <w:t xml:space="preserve"> recibir</w:t>
      </w:r>
      <w:r w:rsidRPr="00197A8D">
        <w:t xml:space="preserve"> financiación con cargo a l</w:t>
      </w:r>
      <w:r w:rsidR="002317CA" w:rsidRPr="00197A8D">
        <w:t>as reservas en el bieni</w:t>
      </w:r>
      <w:r w:rsidR="00197A8D" w:rsidRPr="00197A8D">
        <w:t>o 2</w:t>
      </w:r>
      <w:r w:rsidR="002317CA" w:rsidRPr="00197A8D">
        <w:t>018/</w:t>
      </w:r>
      <w:r w:rsidR="00F56B64" w:rsidRPr="00197A8D">
        <w:t>19.</w:t>
      </w:r>
    </w:p>
    <w:p w:rsidR="00F56B64" w:rsidRPr="00197A8D" w:rsidRDefault="00F56B64" w:rsidP="00F56B64">
      <w:pPr>
        <w:tabs>
          <w:tab w:val="left" w:pos="567"/>
          <w:tab w:val="left" w:pos="5670"/>
        </w:tabs>
        <w:spacing w:after="220"/>
        <w:contextualSpacing/>
      </w:pPr>
    </w:p>
    <w:p w:rsidR="00F56B64" w:rsidRPr="00197A8D" w:rsidRDefault="00F56B64" w:rsidP="005863B1">
      <w:pPr>
        <w:keepNext/>
        <w:jc w:val="center"/>
        <w:rPr>
          <w:rFonts w:asciiTheme="minorHAnsi" w:eastAsia="Times New Roman" w:hAnsiTheme="minorHAnsi" w:cstheme="minorHAnsi"/>
          <w:i/>
          <w:color w:val="000000"/>
          <w:sz w:val="18"/>
          <w:szCs w:val="18"/>
          <w:lang w:eastAsia="en-US"/>
        </w:rPr>
      </w:pPr>
    </w:p>
    <w:tbl>
      <w:tblPr>
        <w:tblW w:w="5575" w:type="dxa"/>
        <w:jc w:val="center"/>
        <w:tblInd w:w="1594" w:type="dxa"/>
        <w:tblLook w:val="04A0" w:firstRow="1" w:lastRow="0" w:firstColumn="1" w:lastColumn="0" w:noHBand="0" w:noVBand="1"/>
      </w:tblPr>
      <w:tblGrid>
        <w:gridCol w:w="5575"/>
      </w:tblGrid>
      <w:tr w:rsidR="00F56B64" w:rsidRPr="00197A8D" w:rsidTr="00B3448F">
        <w:trPr>
          <w:trHeight w:val="255"/>
          <w:jc w:val="center"/>
        </w:trPr>
        <w:tc>
          <w:tcPr>
            <w:tcW w:w="5575" w:type="dxa"/>
            <w:shd w:val="clear" w:color="auto" w:fill="C6D9F1" w:themeFill="text2" w:themeFillTint="33"/>
            <w:noWrap/>
            <w:vAlign w:val="center"/>
          </w:tcPr>
          <w:p w:rsidR="005863B1" w:rsidRPr="00197A8D" w:rsidRDefault="00F56B64" w:rsidP="005863B1">
            <w:pPr>
              <w:keepNext/>
              <w:jc w:val="center"/>
            </w:pPr>
            <w:r w:rsidRPr="00197A8D">
              <w:t>Cuadr</w:t>
            </w:r>
            <w:r w:rsidR="00197A8D" w:rsidRPr="00197A8D">
              <w:t>o 3</w:t>
            </w:r>
            <w:r w:rsidRPr="00197A8D">
              <w:t xml:space="preserve">:  </w:t>
            </w:r>
            <w:r w:rsidR="005863B1" w:rsidRPr="00197A8D">
              <w:t>Proyectos del Plan maestro de mejoras de infraestructur</w:t>
            </w:r>
            <w:r w:rsidR="00197A8D" w:rsidRPr="00197A8D">
              <w:t>a 2</w:t>
            </w:r>
            <w:r w:rsidR="005863B1" w:rsidRPr="00197A8D">
              <w:t>018-19</w:t>
            </w:r>
          </w:p>
          <w:p w:rsidR="00F56B64" w:rsidRPr="00197A8D" w:rsidRDefault="00F56B64" w:rsidP="005863B1">
            <w:pPr>
              <w:keepNext/>
              <w:jc w:val="center"/>
              <w:rPr>
                <w:rFonts w:asciiTheme="minorHAnsi" w:eastAsia="Times New Roman" w:hAnsiTheme="minorHAnsi" w:cstheme="minorHAnsi"/>
                <w:i/>
                <w:color w:val="000000"/>
                <w:sz w:val="18"/>
                <w:szCs w:val="18"/>
                <w:lang w:eastAsia="en-US"/>
              </w:rPr>
            </w:pPr>
            <w:r w:rsidRPr="00197A8D">
              <w:rPr>
                <w:rFonts w:asciiTheme="minorHAnsi" w:eastAsia="Times New Roman" w:hAnsiTheme="minorHAnsi" w:cstheme="minorHAnsi"/>
                <w:i/>
                <w:color w:val="000000"/>
                <w:sz w:val="18"/>
                <w:szCs w:val="18"/>
                <w:lang w:eastAsia="en-US"/>
              </w:rPr>
              <w:t>(en miles de francos suizos)</w:t>
            </w:r>
          </w:p>
        </w:tc>
      </w:tr>
    </w:tbl>
    <w:p w:rsidR="00F56B64" w:rsidRPr="00197A8D" w:rsidRDefault="00F56B64" w:rsidP="005863B1">
      <w:pPr>
        <w:keepNext/>
        <w:tabs>
          <w:tab w:val="left" w:pos="567"/>
          <w:tab w:val="left" w:pos="5670"/>
        </w:tabs>
        <w:spacing w:after="220"/>
        <w:contextualSpacing/>
        <w:jc w:val="center"/>
        <w:rPr>
          <w:sz w:val="8"/>
          <w:szCs w:val="8"/>
        </w:rPr>
      </w:pPr>
    </w:p>
    <w:p w:rsidR="00A06E57" w:rsidRPr="00197A8D" w:rsidRDefault="00F56B64" w:rsidP="005863B1">
      <w:pPr>
        <w:keepNext/>
        <w:jc w:val="center"/>
        <w:rPr>
          <w:sz w:val="12"/>
          <w:szCs w:val="12"/>
        </w:rPr>
      </w:pPr>
      <w:r w:rsidRPr="00197A8D">
        <w:rPr>
          <w:noProof/>
          <w:lang w:val="en-US" w:eastAsia="en-US"/>
        </w:rPr>
        <w:drawing>
          <wp:inline distT="0" distB="0" distL="0" distR="0" wp14:anchorId="69496F0B" wp14:editId="4135E8F0">
            <wp:extent cx="3567703" cy="478465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67564" cy="4784465"/>
                    </a:xfrm>
                    <a:prstGeom prst="rect">
                      <a:avLst/>
                    </a:prstGeom>
                    <a:noFill/>
                    <a:ln>
                      <a:noFill/>
                    </a:ln>
                  </pic:spPr>
                </pic:pic>
              </a:graphicData>
            </a:graphic>
          </wp:inline>
        </w:drawing>
      </w:r>
    </w:p>
    <w:p w:rsidR="00A06E57" w:rsidRPr="00197A8D" w:rsidRDefault="00A06E57" w:rsidP="005863B1">
      <w:pPr>
        <w:keepNext/>
        <w:jc w:val="center"/>
        <w:rPr>
          <w:sz w:val="8"/>
          <w:szCs w:val="8"/>
        </w:rPr>
      </w:pPr>
    </w:p>
    <w:p w:rsidR="00A06E57" w:rsidRPr="00197A8D" w:rsidRDefault="00A06E57" w:rsidP="002E02E7"/>
    <w:p w:rsidR="00822607" w:rsidRPr="00197A8D" w:rsidRDefault="00A06E57" w:rsidP="002E02E7">
      <w:pPr>
        <w:numPr>
          <w:ilvl w:val="0"/>
          <w:numId w:val="13"/>
        </w:numPr>
        <w:tabs>
          <w:tab w:val="left" w:pos="567"/>
          <w:tab w:val="left" w:pos="5670"/>
        </w:tabs>
        <w:spacing w:after="220"/>
        <w:ind w:left="0" w:firstLine="0"/>
        <w:contextualSpacing/>
      </w:pPr>
      <w:r w:rsidRPr="00197A8D">
        <w:t>El costo total no recurrente estimado de los principales proyectos prioritarios e</w:t>
      </w:r>
      <w:r w:rsidR="00197A8D" w:rsidRPr="00197A8D">
        <w:t>n 2</w:t>
      </w:r>
      <w:r w:rsidRPr="00197A8D">
        <w:t xml:space="preserve">018/19 asciende </w:t>
      </w:r>
      <w:r w:rsidR="00197A8D" w:rsidRPr="00197A8D">
        <w:t>a 2</w:t>
      </w:r>
      <w:r w:rsidRPr="00197A8D">
        <w:t>5,5 millones de francos suizos.  No hay costos de funcionamiento/recurrentes para los proyectos en el bieni</w:t>
      </w:r>
      <w:r w:rsidR="00197A8D" w:rsidRPr="00197A8D">
        <w:t>o 2</w:t>
      </w:r>
      <w:r w:rsidRPr="00197A8D">
        <w:t>018/19</w:t>
      </w:r>
      <w:r w:rsidR="00822607" w:rsidRPr="00197A8D">
        <w:t>.</w:t>
      </w:r>
    </w:p>
    <w:p w:rsidR="00A06E57" w:rsidRPr="00197A8D" w:rsidRDefault="00A06E57" w:rsidP="002E02E7">
      <w:pPr>
        <w:tabs>
          <w:tab w:val="left" w:pos="567"/>
          <w:tab w:val="left" w:pos="5670"/>
        </w:tabs>
        <w:spacing w:after="220"/>
        <w:contextualSpacing/>
      </w:pPr>
    </w:p>
    <w:p w:rsidR="00822607" w:rsidRPr="00197A8D" w:rsidRDefault="00A06E57" w:rsidP="002E02E7">
      <w:pPr>
        <w:numPr>
          <w:ilvl w:val="0"/>
          <w:numId w:val="13"/>
        </w:numPr>
        <w:tabs>
          <w:tab w:val="left" w:pos="567"/>
          <w:tab w:val="left" w:pos="5670"/>
        </w:tabs>
        <w:spacing w:after="220"/>
        <w:ind w:left="0" w:firstLine="0"/>
        <w:contextualSpacing/>
      </w:pPr>
      <w:r w:rsidRPr="00197A8D">
        <w:t>Cada</w:t>
      </w:r>
      <w:r w:rsidR="00680E9B" w:rsidRPr="00197A8D">
        <w:t xml:space="preserve"> propuesta de</w:t>
      </w:r>
      <w:r w:rsidRPr="00197A8D">
        <w:t xml:space="preserve"> proyecto/fase de proyecto es independiente</w:t>
      </w:r>
      <w:r w:rsidR="00197A8D" w:rsidRPr="00197A8D">
        <w:t>.  L</w:t>
      </w:r>
      <w:r w:rsidRPr="00197A8D">
        <w:t xml:space="preserve">a aprobación de </w:t>
      </w:r>
      <w:r w:rsidR="00680E9B" w:rsidRPr="00197A8D">
        <w:t xml:space="preserve">los </w:t>
      </w:r>
      <w:r w:rsidRPr="00197A8D">
        <w:t>proyectos para su ejecución e</w:t>
      </w:r>
      <w:r w:rsidR="00197A8D" w:rsidRPr="00197A8D">
        <w:t>n 2</w:t>
      </w:r>
      <w:r w:rsidRPr="00197A8D">
        <w:t xml:space="preserve">018/19 no </w:t>
      </w:r>
      <w:r w:rsidR="00680E9B" w:rsidRPr="00197A8D">
        <w:t>pre</w:t>
      </w:r>
      <w:r w:rsidRPr="00197A8D">
        <w:t>supone, por consiguiente, ninguna decisión futura con respecto a la financiación de proyectos/ fases de proyectos en los bienios subsiguientes.  En los Anexos II a VII figura una descripción detallada de cada una de las propuestas de proyectos que s</w:t>
      </w:r>
      <w:r w:rsidR="00680E9B" w:rsidRPr="00197A8D">
        <w:t>e financiarán con cargo a las re</w:t>
      </w:r>
      <w:r w:rsidRPr="00197A8D">
        <w:t>servas</w:t>
      </w:r>
      <w:r w:rsidR="00822607" w:rsidRPr="00197A8D">
        <w:t>.</w:t>
      </w:r>
    </w:p>
    <w:p w:rsidR="00A06E57" w:rsidRPr="00197A8D" w:rsidRDefault="00A06E57" w:rsidP="002E02E7">
      <w:pPr>
        <w:rPr>
          <w:bCs/>
          <w:caps/>
          <w:kern w:val="32"/>
          <w:szCs w:val="32"/>
        </w:rPr>
      </w:pPr>
    </w:p>
    <w:p w:rsidR="00A06E57" w:rsidRPr="00197A8D" w:rsidRDefault="00A06E57" w:rsidP="002E02E7">
      <w:pPr>
        <w:rPr>
          <w:bCs/>
          <w:iCs/>
          <w:caps/>
          <w:szCs w:val="28"/>
        </w:rPr>
      </w:pPr>
    </w:p>
    <w:p w:rsidR="00A06E57" w:rsidRPr="00197A8D" w:rsidRDefault="00A06E57" w:rsidP="002E02E7">
      <w:pPr>
        <w:pStyle w:val="Heading2"/>
        <w:keepNext w:val="0"/>
        <w:spacing w:before="0" w:after="0"/>
        <w:rPr>
          <w:i/>
        </w:rPr>
      </w:pPr>
      <w:r w:rsidRPr="00197A8D">
        <w:rPr>
          <w:bCs w:val="0"/>
          <w:i/>
        </w:rPr>
        <w:t>SITUACIÓN DE LA UTILIZACIÓN DE LAS RESERVAS</w:t>
      </w:r>
    </w:p>
    <w:p w:rsidR="00A06E57" w:rsidRPr="00197A8D" w:rsidRDefault="00A06E57" w:rsidP="002E02E7">
      <w:pPr>
        <w:jc w:val="both"/>
      </w:pPr>
    </w:p>
    <w:p w:rsidR="00822607" w:rsidRPr="00197A8D" w:rsidRDefault="00A06E57" w:rsidP="002E02E7">
      <w:pPr>
        <w:numPr>
          <w:ilvl w:val="0"/>
          <w:numId w:val="13"/>
        </w:numPr>
        <w:tabs>
          <w:tab w:val="left" w:pos="567"/>
          <w:tab w:val="left" w:pos="5670"/>
        </w:tabs>
        <w:spacing w:after="220"/>
        <w:ind w:left="0" w:firstLine="0"/>
        <w:contextualSpacing/>
      </w:pPr>
      <w:r w:rsidRPr="00197A8D">
        <w:t>El primer principio (Principi</w:t>
      </w:r>
      <w:r w:rsidR="00197A8D" w:rsidRPr="00197A8D">
        <w:t>o 1</w:t>
      </w:r>
      <w:r w:rsidRPr="00197A8D">
        <w:t xml:space="preserve">) establecido para el uso de Reservas se refiere a la disponibilidad de sumas que excedan el </w:t>
      </w:r>
      <w:r w:rsidR="001619E0" w:rsidRPr="00197A8D">
        <w:t>nivel de reservas previsto</w:t>
      </w:r>
      <w:r w:rsidR="00197A8D" w:rsidRPr="00197A8D">
        <w:t>.  A</w:t>
      </w:r>
      <w:r w:rsidRPr="00197A8D">
        <w:t xml:space="preserve"> fines d</w:t>
      </w:r>
      <w:r w:rsidR="00197A8D" w:rsidRPr="00197A8D">
        <w:t>e 2</w:t>
      </w:r>
      <w:r w:rsidRPr="00197A8D">
        <w:t>017,</w:t>
      </w:r>
      <w:r w:rsidR="001619E0" w:rsidRPr="00197A8D">
        <w:t xml:space="preserve"> se estima que</w:t>
      </w:r>
      <w:r w:rsidRPr="00197A8D">
        <w:t xml:space="preserve"> el saldo </w:t>
      </w:r>
      <w:r w:rsidR="001619E0" w:rsidRPr="00197A8D">
        <w:t>de</w:t>
      </w:r>
      <w:r w:rsidRPr="00197A8D">
        <w:t xml:space="preserve"> las reservas que </w:t>
      </w:r>
      <w:r w:rsidR="001619E0" w:rsidRPr="00197A8D">
        <w:t>excederá</w:t>
      </w:r>
      <w:r w:rsidRPr="00197A8D">
        <w:t xml:space="preserve"> el nivel de reservas </w:t>
      </w:r>
      <w:r w:rsidR="001619E0" w:rsidRPr="00197A8D">
        <w:t>previsto</w:t>
      </w:r>
      <w:r w:rsidRPr="00197A8D">
        <w:t xml:space="preserve"> y la reserva </w:t>
      </w:r>
      <w:r w:rsidR="001619E0" w:rsidRPr="00197A8D">
        <w:t>para</w:t>
      </w:r>
      <w:r w:rsidRPr="00197A8D">
        <w:t xml:space="preserve"> proyectos especiales </w:t>
      </w:r>
      <w:r w:rsidR="001619E0" w:rsidRPr="00197A8D">
        <w:t>será d</w:t>
      </w:r>
      <w:r w:rsidR="00197A8D" w:rsidRPr="00197A8D">
        <w:t>e 8</w:t>
      </w:r>
      <w:r w:rsidRPr="00197A8D">
        <w:t>9,1 millones de francos suizos</w:t>
      </w:r>
      <w:r w:rsidRPr="00197A8D">
        <w:rPr>
          <w:vertAlign w:val="superscript"/>
        </w:rPr>
        <w:footnoteReference w:id="4"/>
      </w:r>
      <w:r w:rsidRPr="00197A8D">
        <w:t xml:space="preserve">.  </w:t>
      </w:r>
      <w:r w:rsidR="00AC2358" w:rsidRPr="00197A8D">
        <w:t xml:space="preserve">En aras de la </w:t>
      </w:r>
      <w:r w:rsidR="001522BD" w:rsidRPr="00197A8D">
        <w:t>prudencia</w:t>
      </w:r>
      <w:r w:rsidR="00AC2358" w:rsidRPr="00197A8D">
        <w:t>, e</w:t>
      </w:r>
      <w:r w:rsidRPr="00197A8D">
        <w:t xml:space="preserve">l </w:t>
      </w:r>
      <w:r w:rsidRPr="00197A8D">
        <w:lastRenderedPageBreak/>
        <w:t>cálculo de</w:t>
      </w:r>
      <w:r w:rsidR="00B14F7E" w:rsidRPr="00197A8D">
        <w:t xml:space="preserve"> las</w:t>
      </w:r>
      <w:r w:rsidRPr="00197A8D">
        <w:t xml:space="preserve"> reservas disponibles excluye</w:t>
      </w:r>
      <w:r w:rsidR="00197A8D" w:rsidRPr="00197A8D">
        <w:t>:  i</w:t>
      </w:r>
      <w:r w:rsidRPr="00197A8D">
        <w:t xml:space="preserve">) los fondos de operaciones y las reservas </w:t>
      </w:r>
      <w:r w:rsidR="0025516D" w:rsidRPr="00197A8D">
        <w:t>correspondientes al superávit de revaluación</w:t>
      </w:r>
      <w:r w:rsidRPr="00197A8D">
        <w:t>, de conformidad con el Principi</w:t>
      </w:r>
      <w:r w:rsidR="00197A8D" w:rsidRPr="00197A8D">
        <w:t>o 2</w:t>
      </w:r>
      <w:r w:rsidRPr="00197A8D">
        <w:t xml:space="preserve"> de la política </w:t>
      </w:r>
      <w:r w:rsidR="00B14F7E" w:rsidRPr="00197A8D">
        <w:t>de</w:t>
      </w:r>
      <w:r w:rsidRPr="00197A8D">
        <w:t xml:space="preserve"> reservas</w:t>
      </w:r>
      <w:r w:rsidR="00B14F7E" w:rsidRPr="00197A8D">
        <w:t xml:space="preserve"> revisada</w:t>
      </w:r>
      <w:r w:rsidRPr="00197A8D">
        <w:t>, y ii) el resultado global previsto tras el gasto de</w:t>
      </w:r>
      <w:r w:rsidR="001619E0" w:rsidRPr="00197A8D">
        <w:t xml:space="preserve"> las</w:t>
      </w:r>
      <w:r w:rsidRPr="00197A8D">
        <w:t xml:space="preserve"> reservas par</w:t>
      </w:r>
      <w:r w:rsidR="00197A8D" w:rsidRPr="00197A8D">
        <w:t>a 2</w:t>
      </w:r>
      <w:r w:rsidRPr="00197A8D">
        <w:t>017</w:t>
      </w:r>
      <w:r w:rsidR="00822607" w:rsidRPr="00197A8D">
        <w:t>.</w:t>
      </w:r>
    </w:p>
    <w:p w:rsidR="00A06E57" w:rsidRPr="00197A8D" w:rsidRDefault="00A06E57" w:rsidP="002E02E7"/>
    <w:tbl>
      <w:tblPr>
        <w:tblW w:w="8612" w:type="dxa"/>
        <w:jc w:val="center"/>
        <w:tblLook w:val="04A0" w:firstRow="1" w:lastRow="0" w:firstColumn="1" w:lastColumn="0" w:noHBand="0" w:noVBand="1"/>
      </w:tblPr>
      <w:tblGrid>
        <w:gridCol w:w="7448"/>
        <w:gridCol w:w="1164"/>
      </w:tblGrid>
      <w:tr w:rsidR="00A06E57" w:rsidRPr="00197A8D" w:rsidTr="002E02E7">
        <w:trPr>
          <w:trHeight w:val="510"/>
          <w:jc w:val="center"/>
        </w:trPr>
        <w:tc>
          <w:tcPr>
            <w:tcW w:w="8612" w:type="dxa"/>
            <w:gridSpan w:val="2"/>
            <w:tcBorders>
              <w:top w:val="nil"/>
            </w:tcBorders>
            <w:shd w:val="clear" w:color="000000" w:fill="C6D9F1" w:themeFill="text2" w:themeFillTint="33"/>
            <w:noWrap/>
            <w:vAlign w:val="bottom"/>
            <w:hideMark/>
          </w:tcPr>
          <w:p w:rsidR="00A06E57" w:rsidRPr="00197A8D" w:rsidRDefault="00A06E57" w:rsidP="002E02E7">
            <w:pPr>
              <w:jc w:val="center"/>
            </w:pPr>
            <w:r w:rsidRPr="00197A8D">
              <w:rPr>
                <w:color w:val="000000"/>
                <w:sz w:val="18"/>
                <w:szCs w:val="18"/>
              </w:rPr>
              <w:t> </w:t>
            </w:r>
            <w:r w:rsidRPr="00197A8D">
              <w:t>Cuadr</w:t>
            </w:r>
            <w:r w:rsidR="00197A8D" w:rsidRPr="00197A8D">
              <w:t>o 4:  S</w:t>
            </w:r>
            <w:r w:rsidRPr="00197A8D">
              <w:t>ituación estimada de las reservas a fines d</w:t>
            </w:r>
            <w:r w:rsidR="00197A8D" w:rsidRPr="00197A8D">
              <w:t>e 2</w:t>
            </w:r>
            <w:r w:rsidRPr="00197A8D">
              <w:t xml:space="preserve">017 </w:t>
            </w:r>
          </w:p>
          <w:tbl>
            <w:tblPr>
              <w:tblW w:w="6419" w:type="dxa"/>
              <w:jc w:val="center"/>
              <w:tblLook w:val="04A0" w:firstRow="1" w:lastRow="0" w:firstColumn="1" w:lastColumn="0" w:noHBand="0" w:noVBand="1"/>
            </w:tblPr>
            <w:tblGrid>
              <w:gridCol w:w="6419"/>
            </w:tblGrid>
            <w:tr w:rsidR="00A06E57" w:rsidRPr="00197A8D" w:rsidTr="002E02E7">
              <w:trPr>
                <w:trHeight w:val="255"/>
                <w:jc w:val="center"/>
              </w:trPr>
              <w:tc>
                <w:tcPr>
                  <w:tcW w:w="6419" w:type="dxa"/>
                  <w:tcBorders>
                    <w:top w:val="nil"/>
                    <w:left w:val="nil"/>
                    <w:right w:val="nil"/>
                  </w:tcBorders>
                  <w:shd w:val="clear" w:color="auto" w:fill="auto"/>
                  <w:noWrap/>
                  <w:vAlign w:val="bottom"/>
                  <w:hideMark/>
                </w:tcPr>
                <w:p w:rsidR="00A06E57" w:rsidRPr="00197A8D" w:rsidRDefault="00A06E57" w:rsidP="001619E0">
                  <w:pPr>
                    <w:jc w:val="center"/>
                    <w:rPr>
                      <w:rFonts w:eastAsia="Times New Roman"/>
                      <w:i/>
                      <w:color w:val="000000"/>
                      <w:sz w:val="18"/>
                      <w:szCs w:val="18"/>
                    </w:rPr>
                  </w:pPr>
                  <w:r w:rsidRPr="00197A8D">
                    <w:rPr>
                      <w:rFonts w:eastAsia="Times New Roman"/>
                      <w:i/>
                      <w:iCs/>
                      <w:color w:val="000000"/>
                      <w:sz w:val="18"/>
                      <w:szCs w:val="18"/>
                    </w:rPr>
                    <w:t xml:space="preserve">(en </w:t>
                  </w:r>
                  <w:r w:rsidR="001619E0" w:rsidRPr="00197A8D">
                    <w:rPr>
                      <w:rFonts w:eastAsia="Times New Roman"/>
                      <w:i/>
                      <w:iCs/>
                      <w:color w:val="000000"/>
                      <w:sz w:val="18"/>
                      <w:szCs w:val="18"/>
                    </w:rPr>
                    <w:t>millones</w:t>
                  </w:r>
                  <w:r w:rsidRPr="00197A8D">
                    <w:rPr>
                      <w:rFonts w:eastAsia="Times New Roman"/>
                      <w:i/>
                      <w:iCs/>
                      <w:color w:val="000000"/>
                      <w:sz w:val="18"/>
                      <w:szCs w:val="18"/>
                    </w:rPr>
                    <w:t xml:space="preserve"> de francos suizos)</w:t>
                  </w:r>
                </w:p>
              </w:tc>
            </w:tr>
          </w:tbl>
          <w:p w:rsidR="00A06E57" w:rsidRPr="00197A8D" w:rsidRDefault="00A06E57" w:rsidP="002E02E7">
            <w:pPr>
              <w:jc w:val="center"/>
              <w:rPr>
                <w:rFonts w:eastAsia="Times New Roman"/>
                <w:b/>
                <w:color w:val="000000"/>
                <w:sz w:val="18"/>
                <w:szCs w:val="18"/>
              </w:rPr>
            </w:pPr>
          </w:p>
        </w:tc>
      </w:tr>
      <w:tr w:rsidR="00A06E57" w:rsidRPr="00197A8D" w:rsidTr="002E02E7">
        <w:trPr>
          <w:trHeight w:val="85"/>
          <w:jc w:val="center"/>
        </w:trPr>
        <w:tc>
          <w:tcPr>
            <w:tcW w:w="7448" w:type="dxa"/>
            <w:tcBorders>
              <w:top w:val="nil"/>
              <w:left w:val="nil"/>
              <w:bottom w:val="single" w:sz="4" w:space="0" w:color="BFBFBF" w:themeColor="background1" w:themeShade="BF"/>
              <w:right w:val="nil"/>
            </w:tcBorders>
            <w:shd w:val="clear" w:color="auto" w:fill="auto"/>
            <w:noWrap/>
            <w:vAlign w:val="bottom"/>
            <w:hideMark/>
          </w:tcPr>
          <w:p w:rsidR="00A06E57" w:rsidRPr="00197A8D" w:rsidRDefault="00A06E57" w:rsidP="002E02E7">
            <w:pPr>
              <w:rPr>
                <w:rFonts w:eastAsia="Times New Roman"/>
                <w:color w:val="000000"/>
                <w:sz w:val="18"/>
                <w:szCs w:val="18"/>
              </w:rPr>
            </w:pPr>
          </w:p>
        </w:tc>
        <w:tc>
          <w:tcPr>
            <w:tcW w:w="1164" w:type="dxa"/>
            <w:tcBorders>
              <w:top w:val="nil"/>
              <w:left w:val="nil"/>
              <w:bottom w:val="single" w:sz="4" w:space="0" w:color="BFBFBF" w:themeColor="background1" w:themeShade="BF"/>
              <w:right w:val="nil"/>
            </w:tcBorders>
            <w:shd w:val="clear" w:color="auto" w:fill="auto"/>
            <w:noWrap/>
            <w:vAlign w:val="bottom"/>
            <w:hideMark/>
          </w:tcPr>
          <w:p w:rsidR="00A06E57" w:rsidRPr="00197A8D" w:rsidRDefault="00A06E57" w:rsidP="002E02E7">
            <w:pPr>
              <w:jc w:val="right"/>
              <w:rPr>
                <w:rFonts w:eastAsia="Times New Roman"/>
                <w:color w:val="000000"/>
                <w:sz w:val="18"/>
                <w:szCs w:val="18"/>
              </w:rPr>
            </w:pPr>
          </w:p>
        </w:tc>
      </w:tr>
      <w:tr w:rsidR="00A06E57" w:rsidRPr="00197A8D" w:rsidTr="002E02E7">
        <w:trPr>
          <w:trHeight w:val="255"/>
          <w:jc w:val="center"/>
        </w:trPr>
        <w:tc>
          <w:tcPr>
            <w:tcW w:w="7448" w:type="dxa"/>
            <w:tcBorders>
              <w:top w:val="single" w:sz="4" w:space="0" w:color="BFBFBF" w:themeColor="background1" w:themeShade="BF"/>
              <w:left w:val="single" w:sz="4" w:space="0" w:color="BFBFBF" w:themeColor="background1" w:themeShade="BF"/>
            </w:tcBorders>
            <w:shd w:val="clear" w:color="auto" w:fill="auto"/>
            <w:noWrap/>
            <w:vAlign w:val="bottom"/>
          </w:tcPr>
          <w:p w:rsidR="00A06E57" w:rsidRPr="00197A8D" w:rsidRDefault="00A06E57" w:rsidP="002E02E7">
            <w:pPr>
              <w:rPr>
                <w:rFonts w:eastAsia="Times New Roman"/>
                <w:color w:val="000000"/>
                <w:sz w:val="18"/>
                <w:szCs w:val="18"/>
              </w:rPr>
            </w:pPr>
            <w:r w:rsidRPr="00197A8D">
              <w:rPr>
                <w:rFonts w:eastAsia="Times New Roman"/>
                <w:color w:val="000000"/>
                <w:sz w:val="18"/>
                <w:szCs w:val="18"/>
              </w:rPr>
              <w:t>Total de reservas*, saldo final a</w:t>
            </w:r>
            <w:r w:rsidR="00197A8D" w:rsidRPr="00197A8D">
              <w:rPr>
                <w:rFonts w:eastAsia="Times New Roman"/>
                <w:color w:val="000000"/>
                <w:sz w:val="18"/>
                <w:szCs w:val="18"/>
              </w:rPr>
              <w:t>l 3</w:t>
            </w:r>
            <w:r w:rsidRPr="00197A8D">
              <w:rPr>
                <w:rFonts w:eastAsia="Times New Roman"/>
                <w:color w:val="000000"/>
                <w:sz w:val="18"/>
                <w:szCs w:val="18"/>
              </w:rPr>
              <w:t>1 de diciembre d</w:t>
            </w:r>
            <w:r w:rsidR="00197A8D" w:rsidRPr="00197A8D">
              <w:rPr>
                <w:rFonts w:eastAsia="Times New Roman"/>
                <w:color w:val="000000"/>
                <w:sz w:val="18"/>
                <w:szCs w:val="18"/>
              </w:rPr>
              <w:t>e 2</w:t>
            </w:r>
            <w:r w:rsidRPr="00197A8D">
              <w:rPr>
                <w:rFonts w:eastAsia="Times New Roman"/>
                <w:color w:val="000000"/>
                <w:sz w:val="18"/>
                <w:szCs w:val="18"/>
              </w:rPr>
              <w:t>016</w:t>
            </w:r>
          </w:p>
        </w:tc>
        <w:tc>
          <w:tcPr>
            <w:tcW w:w="1164" w:type="dxa"/>
            <w:tcBorders>
              <w:top w:val="single" w:sz="4" w:space="0" w:color="BFBFBF" w:themeColor="background1" w:themeShade="BF"/>
              <w:right w:val="single" w:sz="4" w:space="0" w:color="BFBFBF" w:themeColor="background1" w:themeShade="BF"/>
            </w:tcBorders>
            <w:shd w:val="clear" w:color="auto" w:fill="auto"/>
            <w:noWrap/>
            <w:vAlign w:val="bottom"/>
          </w:tcPr>
          <w:p w:rsidR="00A06E57" w:rsidRPr="00197A8D" w:rsidRDefault="00A06E57" w:rsidP="002E02E7">
            <w:pPr>
              <w:jc w:val="right"/>
              <w:rPr>
                <w:rFonts w:eastAsia="Times New Roman"/>
                <w:color w:val="000000"/>
                <w:sz w:val="18"/>
                <w:szCs w:val="18"/>
              </w:rPr>
            </w:pPr>
            <w:r w:rsidRPr="00197A8D">
              <w:rPr>
                <w:rFonts w:eastAsia="Times New Roman"/>
                <w:color w:val="000000"/>
                <w:sz w:val="18"/>
                <w:szCs w:val="18"/>
              </w:rPr>
              <w:t>287,7</w:t>
            </w:r>
          </w:p>
        </w:tc>
      </w:tr>
      <w:tr w:rsidR="00A06E57" w:rsidRPr="00197A8D" w:rsidTr="002E02E7">
        <w:trPr>
          <w:trHeight w:val="255"/>
          <w:jc w:val="center"/>
        </w:trPr>
        <w:tc>
          <w:tcPr>
            <w:tcW w:w="7448" w:type="dxa"/>
            <w:tcBorders>
              <w:left w:val="single" w:sz="4" w:space="0" w:color="BFBFBF" w:themeColor="background1" w:themeShade="BF"/>
            </w:tcBorders>
            <w:shd w:val="clear" w:color="auto" w:fill="auto"/>
            <w:noWrap/>
            <w:vAlign w:val="bottom"/>
            <w:hideMark/>
          </w:tcPr>
          <w:p w:rsidR="00A06E57" w:rsidRPr="00197A8D" w:rsidRDefault="00A06E57" w:rsidP="002E02E7">
            <w:pPr>
              <w:rPr>
                <w:rFonts w:eastAsia="Times New Roman"/>
                <w:i/>
                <w:color w:val="000000"/>
                <w:sz w:val="12"/>
                <w:szCs w:val="12"/>
              </w:rPr>
            </w:pPr>
          </w:p>
          <w:p w:rsidR="00A06E57" w:rsidRPr="00197A8D" w:rsidRDefault="00A06E57" w:rsidP="002E02E7">
            <w:pPr>
              <w:rPr>
                <w:rFonts w:eastAsia="Times New Roman"/>
                <w:color w:val="000000"/>
                <w:sz w:val="18"/>
                <w:szCs w:val="18"/>
              </w:rPr>
            </w:pPr>
            <w:r w:rsidRPr="00197A8D">
              <w:rPr>
                <w:rFonts w:eastAsia="Times New Roman"/>
                <w:i/>
                <w:iCs/>
                <w:color w:val="000000"/>
                <w:sz w:val="18"/>
                <w:szCs w:val="18"/>
              </w:rPr>
              <w:t xml:space="preserve">de los cuales: </w:t>
            </w:r>
          </w:p>
          <w:p w:rsidR="00A06E57" w:rsidRPr="00197A8D" w:rsidRDefault="00A06E57" w:rsidP="002E02E7">
            <w:pPr>
              <w:rPr>
                <w:rFonts w:eastAsia="Times New Roman"/>
                <w:color w:val="000000"/>
                <w:sz w:val="18"/>
                <w:szCs w:val="18"/>
              </w:rPr>
            </w:pPr>
            <w:r w:rsidRPr="00197A8D">
              <w:rPr>
                <w:rFonts w:eastAsia="Times New Roman"/>
                <w:color w:val="000000"/>
                <w:sz w:val="18"/>
                <w:szCs w:val="18"/>
              </w:rPr>
              <w:tab/>
              <w:t>Superávit acumulado, saldo final a</w:t>
            </w:r>
            <w:r w:rsidR="00197A8D" w:rsidRPr="00197A8D">
              <w:rPr>
                <w:rFonts w:eastAsia="Times New Roman"/>
                <w:color w:val="000000"/>
                <w:sz w:val="18"/>
                <w:szCs w:val="18"/>
              </w:rPr>
              <w:t>l 3</w:t>
            </w:r>
            <w:r w:rsidRPr="00197A8D">
              <w:rPr>
                <w:rFonts w:eastAsia="Times New Roman"/>
                <w:color w:val="000000"/>
                <w:sz w:val="18"/>
                <w:szCs w:val="18"/>
              </w:rPr>
              <w:t>1 de diciembre d</w:t>
            </w:r>
            <w:r w:rsidR="00197A8D" w:rsidRPr="00197A8D">
              <w:rPr>
                <w:rFonts w:eastAsia="Times New Roman"/>
                <w:color w:val="000000"/>
                <w:sz w:val="18"/>
                <w:szCs w:val="18"/>
              </w:rPr>
              <w:t>e 2</w:t>
            </w:r>
            <w:r w:rsidRPr="00197A8D">
              <w:rPr>
                <w:rFonts w:eastAsia="Times New Roman"/>
                <w:color w:val="000000"/>
                <w:sz w:val="18"/>
                <w:szCs w:val="18"/>
              </w:rPr>
              <w:t>016</w:t>
            </w:r>
          </w:p>
        </w:tc>
        <w:tc>
          <w:tcPr>
            <w:tcW w:w="1164" w:type="dxa"/>
            <w:tcBorders>
              <w:right w:val="single" w:sz="4" w:space="0" w:color="BFBFBF" w:themeColor="background1" w:themeShade="BF"/>
            </w:tcBorders>
            <w:shd w:val="clear" w:color="auto" w:fill="auto"/>
            <w:noWrap/>
            <w:vAlign w:val="bottom"/>
            <w:hideMark/>
          </w:tcPr>
          <w:p w:rsidR="00A06E57" w:rsidRPr="00197A8D" w:rsidRDefault="00A06E57" w:rsidP="002E02E7">
            <w:pPr>
              <w:jc w:val="right"/>
              <w:rPr>
                <w:rFonts w:eastAsia="Times New Roman"/>
                <w:color w:val="000000"/>
                <w:sz w:val="18"/>
                <w:szCs w:val="18"/>
              </w:rPr>
            </w:pPr>
            <w:r w:rsidRPr="00197A8D">
              <w:rPr>
                <w:rFonts w:eastAsia="Times New Roman"/>
                <w:color w:val="000000"/>
                <w:sz w:val="18"/>
                <w:szCs w:val="18"/>
              </w:rPr>
              <w:t>270,9</w:t>
            </w:r>
          </w:p>
        </w:tc>
      </w:tr>
      <w:tr w:rsidR="00A06E57" w:rsidRPr="00197A8D" w:rsidTr="002E02E7">
        <w:trPr>
          <w:trHeight w:val="94"/>
          <w:jc w:val="center"/>
        </w:trPr>
        <w:tc>
          <w:tcPr>
            <w:tcW w:w="7448" w:type="dxa"/>
            <w:tcBorders>
              <w:left w:val="single" w:sz="4" w:space="0" w:color="BFBFBF" w:themeColor="background1" w:themeShade="BF"/>
            </w:tcBorders>
            <w:shd w:val="clear" w:color="auto" w:fill="auto"/>
            <w:noWrap/>
            <w:vAlign w:val="bottom"/>
            <w:hideMark/>
          </w:tcPr>
          <w:p w:rsidR="00A06E57" w:rsidRPr="00197A8D" w:rsidRDefault="00A06E57" w:rsidP="002E02E7">
            <w:pPr>
              <w:rPr>
                <w:rFonts w:eastAsia="Times New Roman"/>
                <w:color w:val="000000"/>
                <w:sz w:val="12"/>
                <w:szCs w:val="12"/>
              </w:rPr>
            </w:pPr>
          </w:p>
        </w:tc>
        <w:tc>
          <w:tcPr>
            <w:tcW w:w="1164" w:type="dxa"/>
            <w:tcBorders>
              <w:right w:val="single" w:sz="4" w:space="0" w:color="BFBFBF" w:themeColor="background1" w:themeShade="BF"/>
            </w:tcBorders>
            <w:shd w:val="clear" w:color="auto" w:fill="auto"/>
            <w:noWrap/>
            <w:vAlign w:val="bottom"/>
            <w:hideMark/>
          </w:tcPr>
          <w:p w:rsidR="00A06E57" w:rsidRPr="00197A8D" w:rsidRDefault="00A06E57" w:rsidP="002E02E7">
            <w:pPr>
              <w:jc w:val="right"/>
              <w:rPr>
                <w:rFonts w:eastAsia="Times New Roman"/>
                <w:color w:val="000000"/>
                <w:sz w:val="18"/>
                <w:szCs w:val="18"/>
              </w:rPr>
            </w:pPr>
          </w:p>
        </w:tc>
      </w:tr>
      <w:tr w:rsidR="00A06E57" w:rsidRPr="00197A8D" w:rsidTr="002E02E7">
        <w:trPr>
          <w:trHeight w:val="255"/>
          <w:jc w:val="center"/>
        </w:trPr>
        <w:tc>
          <w:tcPr>
            <w:tcW w:w="7448" w:type="dxa"/>
            <w:tcBorders>
              <w:left w:val="single" w:sz="4" w:space="0" w:color="BFBFBF" w:themeColor="background1" w:themeShade="BF"/>
            </w:tcBorders>
            <w:shd w:val="clear" w:color="auto" w:fill="auto"/>
            <w:noWrap/>
            <w:vAlign w:val="bottom"/>
            <w:hideMark/>
          </w:tcPr>
          <w:p w:rsidR="00A06E57" w:rsidRPr="00197A8D" w:rsidRDefault="00A06E57" w:rsidP="002E02E7">
            <w:pPr>
              <w:spacing w:after="60"/>
              <w:rPr>
                <w:rFonts w:eastAsia="Times New Roman"/>
                <w:color w:val="000000"/>
                <w:sz w:val="18"/>
                <w:szCs w:val="18"/>
              </w:rPr>
            </w:pPr>
            <w:r w:rsidRPr="00197A8D">
              <w:rPr>
                <w:rFonts w:eastAsia="Times New Roman"/>
                <w:color w:val="000000"/>
                <w:sz w:val="18"/>
                <w:szCs w:val="18"/>
              </w:rPr>
              <w:tab/>
              <w:t>Reservas para proyectos especiales, saldo final a</w:t>
            </w:r>
            <w:r w:rsidR="00197A8D" w:rsidRPr="00197A8D">
              <w:rPr>
                <w:rFonts w:eastAsia="Times New Roman"/>
                <w:color w:val="000000"/>
                <w:sz w:val="18"/>
                <w:szCs w:val="18"/>
              </w:rPr>
              <w:t>l 3</w:t>
            </w:r>
            <w:r w:rsidRPr="00197A8D">
              <w:rPr>
                <w:rFonts w:eastAsia="Times New Roman"/>
                <w:color w:val="000000"/>
                <w:sz w:val="18"/>
                <w:szCs w:val="18"/>
              </w:rPr>
              <w:t>1 de diciembre d</w:t>
            </w:r>
            <w:r w:rsidR="00197A8D" w:rsidRPr="00197A8D">
              <w:rPr>
                <w:rFonts w:eastAsia="Times New Roman"/>
                <w:color w:val="000000"/>
                <w:sz w:val="18"/>
                <w:szCs w:val="18"/>
              </w:rPr>
              <w:t>e 2</w:t>
            </w:r>
            <w:r w:rsidRPr="00197A8D">
              <w:rPr>
                <w:rFonts w:eastAsia="Times New Roman"/>
                <w:color w:val="000000"/>
                <w:sz w:val="18"/>
                <w:szCs w:val="18"/>
              </w:rPr>
              <w:t>016</w:t>
            </w:r>
          </w:p>
        </w:tc>
        <w:tc>
          <w:tcPr>
            <w:tcW w:w="1164" w:type="dxa"/>
            <w:tcBorders>
              <w:right w:val="single" w:sz="4" w:space="0" w:color="BFBFBF" w:themeColor="background1" w:themeShade="BF"/>
            </w:tcBorders>
            <w:shd w:val="clear" w:color="auto" w:fill="auto"/>
            <w:noWrap/>
            <w:vAlign w:val="bottom"/>
            <w:hideMark/>
          </w:tcPr>
          <w:p w:rsidR="00A06E57" w:rsidRPr="00197A8D" w:rsidRDefault="00A06E57" w:rsidP="002E02E7">
            <w:pPr>
              <w:spacing w:after="60"/>
              <w:jc w:val="right"/>
              <w:rPr>
                <w:rFonts w:eastAsia="Times New Roman"/>
                <w:color w:val="000000"/>
                <w:sz w:val="18"/>
                <w:szCs w:val="18"/>
              </w:rPr>
            </w:pPr>
            <w:r w:rsidRPr="00197A8D">
              <w:rPr>
                <w:rFonts w:eastAsia="Times New Roman"/>
                <w:color w:val="000000"/>
                <w:sz w:val="18"/>
                <w:szCs w:val="18"/>
              </w:rPr>
              <w:t>16,8</w:t>
            </w:r>
          </w:p>
        </w:tc>
      </w:tr>
      <w:tr w:rsidR="00A06E57" w:rsidRPr="00197A8D" w:rsidTr="002E02E7">
        <w:trPr>
          <w:trHeight w:val="255"/>
          <w:jc w:val="center"/>
        </w:trPr>
        <w:tc>
          <w:tcPr>
            <w:tcW w:w="7448" w:type="dxa"/>
            <w:tcBorders>
              <w:top w:val="single" w:sz="4" w:space="0" w:color="BFBFBF" w:themeColor="background1" w:themeShade="BF"/>
              <w:bottom w:val="single" w:sz="4" w:space="0" w:color="BFBFBF" w:themeColor="background1" w:themeShade="BF"/>
            </w:tcBorders>
            <w:shd w:val="clear" w:color="auto" w:fill="auto"/>
            <w:noWrap/>
            <w:vAlign w:val="bottom"/>
          </w:tcPr>
          <w:p w:rsidR="00A06E57" w:rsidRPr="00197A8D" w:rsidRDefault="00A06E57" w:rsidP="002E02E7">
            <w:pPr>
              <w:rPr>
                <w:rFonts w:eastAsia="Times New Roman"/>
                <w:color w:val="000000"/>
                <w:sz w:val="12"/>
                <w:szCs w:val="12"/>
              </w:rPr>
            </w:pPr>
          </w:p>
        </w:tc>
        <w:tc>
          <w:tcPr>
            <w:tcW w:w="1164" w:type="dxa"/>
            <w:tcBorders>
              <w:top w:val="single" w:sz="4" w:space="0" w:color="BFBFBF" w:themeColor="background1" w:themeShade="BF"/>
              <w:bottom w:val="single" w:sz="4" w:space="0" w:color="BFBFBF" w:themeColor="background1" w:themeShade="BF"/>
            </w:tcBorders>
            <w:shd w:val="clear" w:color="auto" w:fill="auto"/>
            <w:noWrap/>
            <w:vAlign w:val="bottom"/>
          </w:tcPr>
          <w:p w:rsidR="00A06E57" w:rsidRPr="00197A8D" w:rsidRDefault="00A06E57" w:rsidP="002E02E7">
            <w:pPr>
              <w:jc w:val="right"/>
              <w:rPr>
                <w:rFonts w:eastAsia="Times New Roman"/>
                <w:color w:val="000000"/>
                <w:sz w:val="18"/>
                <w:szCs w:val="18"/>
              </w:rPr>
            </w:pPr>
          </w:p>
        </w:tc>
      </w:tr>
      <w:tr w:rsidR="00A06E57" w:rsidRPr="00197A8D" w:rsidTr="002E02E7">
        <w:trPr>
          <w:trHeight w:val="255"/>
          <w:jc w:val="center"/>
        </w:trPr>
        <w:tc>
          <w:tcPr>
            <w:tcW w:w="7448" w:type="dxa"/>
            <w:tcBorders>
              <w:top w:val="single" w:sz="4" w:space="0" w:color="BFBFBF" w:themeColor="background1" w:themeShade="BF"/>
              <w:left w:val="single" w:sz="4" w:space="0" w:color="BFBFBF" w:themeColor="background1" w:themeShade="BF"/>
            </w:tcBorders>
            <w:shd w:val="clear" w:color="auto" w:fill="auto"/>
            <w:noWrap/>
            <w:vAlign w:val="bottom"/>
          </w:tcPr>
          <w:p w:rsidR="00A06E57" w:rsidRPr="00197A8D" w:rsidRDefault="0055221B" w:rsidP="00F41B07">
            <w:pPr>
              <w:rPr>
                <w:rFonts w:eastAsia="Times New Roman"/>
                <w:color w:val="000000"/>
                <w:sz w:val="18"/>
                <w:szCs w:val="18"/>
              </w:rPr>
            </w:pPr>
            <w:r w:rsidRPr="00197A8D">
              <w:rPr>
                <w:rFonts w:eastAsia="Times New Roman"/>
                <w:color w:val="000000"/>
                <w:sz w:val="18"/>
                <w:szCs w:val="18"/>
              </w:rPr>
              <w:t>Reserva</w:t>
            </w:r>
            <w:r w:rsidR="00A06E57" w:rsidRPr="00197A8D">
              <w:rPr>
                <w:rFonts w:eastAsia="Times New Roman"/>
                <w:color w:val="000000"/>
                <w:sz w:val="18"/>
                <w:szCs w:val="18"/>
              </w:rPr>
              <w:t xml:space="preserve"> para proyectos especiales</w:t>
            </w:r>
            <w:r w:rsidR="00AC2358" w:rsidRPr="00197A8D">
              <w:rPr>
                <w:rFonts w:eastAsia="Times New Roman"/>
                <w:color w:val="000000"/>
                <w:sz w:val="18"/>
                <w:szCs w:val="18"/>
              </w:rPr>
              <w:t xml:space="preserve">, que </w:t>
            </w:r>
            <w:r w:rsidRPr="00197A8D">
              <w:rPr>
                <w:rFonts w:eastAsia="Times New Roman"/>
                <w:color w:val="000000"/>
                <w:sz w:val="18"/>
                <w:szCs w:val="18"/>
              </w:rPr>
              <w:t>ya no es necesaria</w:t>
            </w:r>
          </w:p>
        </w:tc>
        <w:tc>
          <w:tcPr>
            <w:tcW w:w="1164" w:type="dxa"/>
            <w:tcBorders>
              <w:top w:val="single" w:sz="4" w:space="0" w:color="BFBFBF" w:themeColor="background1" w:themeShade="BF"/>
              <w:right w:val="single" w:sz="4" w:space="0" w:color="BFBFBF" w:themeColor="background1" w:themeShade="BF"/>
            </w:tcBorders>
            <w:shd w:val="clear" w:color="auto" w:fill="auto"/>
            <w:noWrap/>
            <w:vAlign w:val="bottom"/>
          </w:tcPr>
          <w:p w:rsidR="00A06E57" w:rsidRPr="00197A8D" w:rsidRDefault="00A06E57" w:rsidP="002E02E7">
            <w:pPr>
              <w:jc w:val="right"/>
              <w:rPr>
                <w:rFonts w:eastAsia="Times New Roman"/>
                <w:color w:val="000000"/>
                <w:sz w:val="18"/>
                <w:szCs w:val="18"/>
                <w:u w:val="single"/>
              </w:rPr>
            </w:pPr>
            <w:r w:rsidRPr="00197A8D">
              <w:rPr>
                <w:rFonts w:eastAsia="Times New Roman"/>
                <w:color w:val="000000"/>
                <w:sz w:val="18"/>
                <w:szCs w:val="18"/>
                <w:u w:val="single"/>
              </w:rPr>
              <w:t>(3,4)</w:t>
            </w:r>
          </w:p>
        </w:tc>
      </w:tr>
      <w:tr w:rsidR="00A06E57" w:rsidRPr="00197A8D" w:rsidTr="002E02E7">
        <w:trPr>
          <w:trHeight w:val="255"/>
          <w:jc w:val="center"/>
        </w:trPr>
        <w:tc>
          <w:tcPr>
            <w:tcW w:w="7448" w:type="dxa"/>
            <w:tcBorders>
              <w:left w:val="single" w:sz="4" w:space="0" w:color="BFBFBF" w:themeColor="background1" w:themeShade="BF"/>
            </w:tcBorders>
            <w:shd w:val="clear" w:color="auto" w:fill="auto"/>
            <w:noWrap/>
            <w:vAlign w:val="bottom"/>
            <w:hideMark/>
          </w:tcPr>
          <w:p w:rsidR="00A06E57" w:rsidRPr="00197A8D" w:rsidRDefault="00A06E57" w:rsidP="002E02E7">
            <w:pPr>
              <w:rPr>
                <w:rFonts w:eastAsia="Times New Roman"/>
                <w:color w:val="000000"/>
                <w:sz w:val="12"/>
                <w:szCs w:val="12"/>
              </w:rPr>
            </w:pPr>
          </w:p>
          <w:p w:rsidR="00A06E57" w:rsidRPr="00197A8D" w:rsidRDefault="00171373" w:rsidP="00F41B07">
            <w:pPr>
              <w:rPr>
                <w:rFonts w:eastAsia="Times New Roman"/>
                <w:color w:val="000000"/>
                <w:sz w:val="18"/>
                <w:szCs w:val="18"/>
              </w:rPr>
            </w:pPr>
            <w:r w:rsidRPr="00197A8D">
              <w:rPr>
                <w:rFonts w:eastAsia="Times New Roman"/>
                <w:color w:val="000000"/>
                <w:sz w:val="18"/>
                <w:szCs w:val="18"/>
              </w:rPr>
              <w:t>Saldo</w:t>
            </w:r>
            <w:r w:rsidR="00F41B07" w:rsidRPr="00197A8D">
              <w:rPr>
                <w:rFonts w:eastAsia="Times New Roman"/>
                <w:color w:val="000000"/>
                <w:sz w:val="18"/>
                <w:szCs w:val="18"/>
              </w:rPr>
              <w:t xml:space="preserve"> restante</w:t>
            </w:r>
            <w:r w:rsidRPr="00197A8D">
              <w:rPr>
                <w:rFonts w:eastAsia="Times New Roman"/>
                <w:color w:val="000000"/>
                <w:sz w:val="18"/>
                <w:szCs w:val="18"/>
              </w:rPr>
              <w:t xml:space="preserve"> de la reserva para proyectos especiales </w:t>
            </w:r>
            <w:r w:rsidR="00F41B07" w:rsidRPr="00197A8D">
              <w:rPr>
                <w:rFonts w:eastAsia="Times New Roman"/>
                <w:color w:val="000000"/>
                <w:sz w:val="18"/>
                <w:szCs w:val="18"/>
              </w:rPr>
              <w:t>d</w:t>
            </w:r>
            <w:r w:rsidRPr="00197A8D">
              <w:rPr>
                <w:rFonts w:eastAsia="Times New Roman"/>
                <w:color w:val="000000"/>
                <w:sz w:val="18"/>
                <w:szCs w:val="18"/>
              </w:rPr>
              <w:t>el</w:t>
            </w:r>
            <w:r w:rsidR="00A06E57" w:rsidRPr="00197A8D">
              <w:rPr>
                <w:rFonts w:eastAsia="Times New Roman"/>
                <w:color w:val="000000"/>
                <w:sz w:val="18"/>
                <w:szCs w:val="18"/>
              </w:rPr>
              <w:t xml:space="preserve"> </w:t>
            </w:r>
            <w:r w:rsidR="005E5DFD" w:rsidRPr="00197A8D">
              <w:rPr>
                <w:rFonts w:eastAsia="Times New Roman"/>
                <w:color w:val="000000"/>
                <w:sz w:val="18"/>
                <w:szCs w:val="18"/>
              </w:rPr>
              <w:t>PM</w:t>
            </w:r>
            <w:r w:rsidR="00197A8D" w:rsidRPr="00197A8D">
              <w:rPr>
                <w:rFonts w:eastAsia="Times New Roman"/>
                <w:color w:val="000000"/>
                <w:sz w:val="18"/>
                <w:szCs w:val="18"/>
              </w:rPr>
              <w:t>M 2</w:t>
            </w:r>
            <w:r w:rsidR="00A06E57" w:rsidRPr="00197A8D">
              <w:rPr>
                <w:rFonts w:eastAsia="Times New Roman"/>
                <w:color w:val="000000"/>
                <w:sz w:val="18"/>
                <w:szCs w:val="18"/>
              </w:rPr>
              <w:t>014-19 y otros proyectos especiales financiados con cargo a las reservas</w:t>
            </w:r>
            <w:r w:rsidRPr="00197A8D">
              <w:rPr>
                <w:rFonts w:eastAsia="Times New Roman"/>
                <w:color w:val="000000"/>
                <w:sz w:val="18"/>
                <w:szCs w:val="18"/>
              </w:rPr>
              <w:t xml:space="preserve"> </w:t>
            </w:r>
          </w:p>
        </w:tc>
        <w:tc>
          <w:tcPr>
            <w:tcW w:w="1164" w:type="dxa"/>
            <w:tcBorders>
              <w:right w:val="single" w:sz="4" w:space="0" w:color="BFBFBF" w:themeColor="background1" w:themeShade="BF"/>
            </w:tcBorders>
            <w:shd w:val="clear" w:color="auto" w:fill="auto"/>
            <w:noWrap/>
            <w:vAlign w:val="bottom"/>
            <w:hideMark/>
          </w:tcPr>
          <w:p w:rsidR="00A06E57" w:rsidRPr="00197A8D" w:rsidRDefault="00822607" w:rsidP="002E02E7">
            <w:pPr>
              <w:jc w:val="right"/>
              <w:rPr>
                <w:rFonts w:eastAsia="Times New Roman"/>
                <w:color w:val="000000"/>
                <w:sz w:val="18"/>
                <w:szCs w:val="18"/>
              </w:rPr>
            </w:pPr>
            <w:r w:rsidRPr="00197A8D">
              <w:rPr>
                <w:rFonts w:eastAsia="Times New Roman"/>
                <w:color w:val="000000"/>
                <w:sz w:val="18"/>
                <w:szCs w:val="18"/>
              </w:rPr>
              <w:t xml:space="preserve">   </w:t>
            </w:r>
            <w:r w:rsidR="00A06E57" w:rsidRPr="00197A8D">
              <w:rPr>
                <w:rFonts w:eastAsia="Times New Roman"/>
                <w:color w:val="000000"/>
                <w:sz w:val="18"/>
                <w:szCs w:val="18"/>
              </w:rPr>
              <w:t xml:space="preserve">  13,4</w:t>
            </w:r>
          </w:p>
        </w:tc>
      </w:tr>
      <w:tr w:rsidR="00A06E57" w:rsidRPr="00197A8D" w:rsidTr="002E02E7">
        <w:trPr>
          <w:trHeight w:val="212"/>
          <w:jc w:val="center"/>
        </w:trPr>
        <w:tc>
          <w:tcPr>
            <w:tcW w:w="7448" w:type="dxa"/>
            <w:tcBorders>
              <w:left w:val="single" w:sz="4" w:space="0" w:color="BFBFBF" w:themeColor="background1" w:themeShade="BF"/>
            </w:tcBorders>
            <w:shd w:val="clear" w:color="auto" w:fill="auto"/>
            <w:noWrap/>
            <w:vAlign w:val="bottom"/>
            <w:hideMark/>
          </w:tcPr>
          <w:p w:rsidR="00A06E57" w:rsidRPr="00197A8D" w:rsidRDefault="00A06E57" w:rsidP="002E02E7">
            <w:pPr>
              <w:rPr>
                <w:rFonts w:eastAsia="Times New Roman"/>
                <w:color w:val="000000"/>
                <w:sz w:val="12"/>
                <w:szCs w:val="12"/>
              </w:rPr>
            </w:pPr>
          </w:p>
          <w:p w:rsidR="00A06E57" w:rsidRPr="00197A8D" w:rsidRDefault="00A06E57" w:rsidP="00B17BC8">
            <w:pPr>
              <w:rPr>
                <w:rFonts w:eastAsia="Times New Roman"/>
                <w:color w:val="000000"/>
                <w:sz w:val="18"/>
                <w:szCs w:val="18"/>
              </w:rPr>
            </w:pPr>
            <w:r w:rsidRPr="00197A8D">
              <w:rPr>
                <w:rFonts w:eastAsia="Times New Roman"/>
                <w:color w:val="000000"/>
                <w:sz w:val="18"/>
                <w:szCs w:val="18"/>
              </w:rPr>
              <w:t>Reserva para proyectos especiales</w:t>
            </w:r>
            <w:r w:rsidR="00B17BC8" w:rsidRPr="00197A8D">
              <w:rPr>
                <w:rFonts w:eastAsia="Times New Roman"/>
                <w:color w:val="000000"/>
                <w:sz w:val="18"/>
                <w:szCs w:val="18"/>
              </w:rPr>
              <w:t xml:space="preserve"> prevista</w:t>
            </w:r>
            <w:r w:rsidRPr="00197A8D">
              <w:rPr>
                <w:rFonts w:eastAsia="Times New Roman"/>
                <w:color w:val="000000"/>
                <w:sz w:val="18"/>
                <w:szCs w:val="18"/>
              </w:rPr>
              <w:t xml:space="preserve"> tras la aprobación </w:t>
            </w:r>
            <w:r w:rsidR="00F1593B" w:rsidRPr="00197A8D">
              <w:rPr>
                <w:rFonts w:eastAsia="Times New Roman"/>
                <w:color w:val="000000"/>
                <w:sz w:val="18"/>
                <w:szCs w:val="18"/>
              </w:rPr>
              <w:t>de</w:t>
            </w:r>
            <w:r w:rsidRPr="00197A8D">
              <w:rPr>
                <w:rFonts w:eastAsia="Times New Roman"/>
                <w:color w:val="000000"/>
                <w:sz w:val="18"/>
                <w:szCs w:val="18"/>
              </w:rPr>
              <w:t xml:space="preserve"> los proyectos del </w:t>
            </w:r>
            <w:r w:rsidR="005E5DFD" w:rsidRPr="00197A8D">
              <w:rPr>
                <w:rFonts w:eastAsia="Times New Roman"/>
                <w:color w:val="000000"/>
                <w:sz w:val="18"/>
                <w:szCs w:val="18"/>
              </w:rPr>
              <w:t>PM</w:t>
            </w:r>
            <w:r w:rsidR="00197A8D" w:rsidRPr="00197A8D">
              <w:rPr>
                <w:rFonts w:eastAsia="Times New Roman"/>
                <w:color w:val="000000"/>
                <w:sz w:val="18"/>
                <w:szCs w:val="18"/>
              </w:rPr>
              <w:t>M 2</w:t>
            </w:r>
            <w:r w:rsidRPr="00197A8D">
              <w:rPr>
                <w:rFonts w:eastAsia="Times New Roman"/>
                <w:color w:val="000000"/>
                <w:sz w:val="18"/>
                <w:szCs w:val="18"/>
              </w:rPr>
              <w:t xml:space="preserve">018-19 </w:t>
            </w:r>
          </w:p>
        </w:tc>
        <w:tc>
          <w:tcPr>
            <w:tcW w:w="1164" w:type="dxa"/>
            <w:tcBorders>
              <w:right w:val="single" w:sz="4" w:space="0" w:color="BFBFBF" w:themeColor="background1" w:themeShade="BF"/>
            </w:tcBorders>
            <w:shd w:val="clear" w:color="auto" w:fill="auto"/>
            <w:noWrap/>
            <w:vAlign w:val="bottom"/>
            <w:hideMark/>
          </w:tcPr>
          <w:p w:rsidR="00A06E57" w:rsidRPr="00197A8D" w:rsidRDefault="00822607" w:rsidP="002E02E7">
            <w:pPr>
              <w:jc w:val="right"/>
              <w:rPr>
                <w:rFonts w:eastAsia="Times New Roman"/>
                <w:color w:val="000000"/>
                <w:sz w:val="18"/>
                <w:szCs w:val="18"/>
                <w:u w:val="single"/>
              </w:rPr>
            </w:pPr>
            <w:r w:rsidRPr="00197A8D">
              <w:rPr>
                <w:rFonts w:eastAsia="Times New Roman"/>
                <w:color w:val="000000"/>
                <w:sz w:val="18"/>
                <w:szCs w:val="18"/>
              </w:rPr>
              <w:t xml:space="preserve">   </w:t>
            </w:r>
            <w:r w:rsidR="00A06E57" w:rsidRPr="00197A8D">
              <w:rPr>
                <w:rFonts w:eastAsia="Times New Roman"/>
                <w:color w:val="000000"/>
                <w:sz w:val="18"/>
                <w:szCs w:val="18"/>
                <w:u w:val="single"/>
              </w:rPr>
              <w:t>25,5</w:t>
            </w:r>
          </w:p>
        </w:tc>
      </w:tr>
      <w:tr w:rsidR="00A06E57" w:rsidRPr="00197A8D" w:rsidTr="002E02E7">
        <w:trPr>
          <w:trHeight w:val="255"/>
          <w:jc w:val="center"/>
        </w:trPr>
        <w:tc>
          <w:tcPr>
            <w:tcW w:w="7448" w:type="dxa"/>
            <w:tcBorders>
              <w:left w:val="single" w:sz="4" w:space="0" w:color="BFBFBF" w:themeColor="background1" w:themeShade="BF"/>
              <w:bottom w:val="single" w:sz="4" w:space="0" w:color="BFBFBF" w:themeColor="background1" w:themeShade="BF"/>
            </w:tcBorders>
            <w:shd w:val="clear" w:color="auto" w:fill="auto"/>
            <w:noWrap/>
            <w:vAlign w:val="bottom"/>
            <w:hideMark/>
          </w:tcPr>
          <w:p w:rsidR="00A06E57" w:rsidRPr="00197A8D" w:rsidRDefault="00A06E57" w:rsidP="002E02E7">
            <w:pPr>
              <w:rPr>
                <w:rFonts w:eastAsia="Times New Roman"/>
                <w:color w:val="000000"/>
                <w:sz w:val="12"/>
                <w:szCs w:val="12"/>
              </w:rPr>
            </w:pPr>
          </w:p>
          <w:p w:rsidR="00A06E57" w:rsidRPr="00197A8D" w:rsidRDefault="00A06E57" w:rsidP="005E5DFD">
            <w:pPr>
              <w:spacing w:after="60"/>
              <w:rPr>
                <w:rFonts w:eastAsia="Times New Roman"/>
                <w:color w:val="000000"/>
                <w:sz w:val="12"/>
                <w:szCs w:val="12"/>
              </w:rPr>
            </w:pPr>
            <w:r w:rsidRPr="00197A8D">
              <w:rPr>
                <w:rFonts w:eastAsia="Times New Roman"/>
                <w:color w:val="000000"/>
                <w:sz w:val="18"/>
                <w:szCs w:val="18"/>
              </w:rPr>
              <w:t xml:space="preserve">Total estimado de reservas para proyectos especiales, incluido el </w:t>
            </w:r>
            <w:r w:rsidR="005E5DFD" w:rsidRPr="00197A8D">
              <w:rPr>
                <w:rFonts w:eastAsia="Times New Roman"/>
                <w:color w:val="000000"/>
                <w:sz w:val="18"/>
                <w:szCs w:val="18"/>
              </w:rPr>
              <w:t>PM</w:t>
            </w:r>
            <w:r w:rsidR="00197A8D" w:rsidRPr="00197A8D">
              <w:rPr>
                <w:rFonts w:eastAsia="Times New Roman"/>
                <w:color w:val="000000"/>
                <w:sz w:val="18"/>
                <w:szCs w:val="18"/>
              </w:rPr>
              <w:t>M 2</w:t>
            </w:r>
            <w:r w:rsidRPr="00197A8D">
              <w:rPr>
                <w:rFonts w:eastAsia="Times New Roman"/>
                <w:color w:val="000000"/>
                <w:sz w:val="18"/>
                <w:szCs w:val="18"/>
              </w:rPr>
              <w:t>018-19</w:t>
            </w:r>
          </w:p>
        </w:tc>
        <w:tc>
          <w:tcPr>
            <w:tcW w:w="1164" w:type="dxa"/>
            <w:tcBorders>
              <w:bottom w:val="single" w:sz="4" w:space="0" w:color="BFBFBF" w:themeColor="background1" w:themeShade="BF"/>
              <w:right w:val="single" w:sz="4" w:space="0" w:color="BFBFBF" w:themeColor="background1" w:themeShade="BF"/>
            </w:tcBorders>
            <w:shd w:val="clear" w:color="auto" w:fill="auto"/>
            <w:noWrap/>
            <w:vAlign w:val="bottom"/>
            <w:hideMark/>
          </w:tcPr>
          <w:p w:rsidR="00A06E57" w:rsidRPr="00197A8D" w:rsidRDefault="00822607" w:rsidP="002E02E7">
            <w:pPr>
              <w:spacing w:after="60"/>
              <w:rPr>
                <w:rFonts w:eastAsia="Times New Roman"/>
                <w:color w:val="000000"/>
                <w:sz w:val="18"/>
                <w:szCs w:val="18"/>
              </w:rPr>
            </w:pPr>
            <w:r w:rsidRPr="00197A8D">
              <w:rPr>
                <w:rFonts w:eastAsia="Times New Roman"/>
                <w:color w:val="000000"/>
                <w:sz w:val="18"/>
                <w:szCs w:val="18"/>
              </w:rPr>
              <w:t xml:space="preserve">   </w:t>
            </w:r>
            <w:r w:rsidR="00A06E57" w:rsidRPr="00197A8D">
              <w:rPr>
                <w:rFonts w:eastAsia="Times New Roman"/>
                <w:color w:val="000000"/>
                <w:sz w:val="18"/>
                <w:szCs w:val="18"/>
              </w:rPr>
              <w:t xml:space="preserve">  38,9</w:t>
            </w:r>
          </w:p>
        </w:tc>
      </w:tr>
      <w:tr w:rsidR="00A06E57" w:rsidRPr="00197A8D" w:rsidTr="002E02E7">
        <w:trPr>
          <w:trHeight w:val="210"/>
          <w:jc w:val="center"/>
        </w:trPr>
        <w:tc>
          <w:tcPr>
            <w:tcW w:w="7448" w:type="dxa"/>
            <w:tcBorders>
              <w:top w:val="single" w:sz="4" w:space="0" w:color="BFBFBF" w:themeColor="background1" w:themeShade="BF"/>
              <w:bottom w:val="single" w:sz="4" w:space="0" w:color="BFBFBF" w:themeColor="background1" w:themeShade="BF"/>
            </w:tcBorders>
            <w:shd w:val="clear" w:color="auto" w:fill="auto"/>
            <w:noWrap/>
            <w:vAlign w:val="bottom"/>
          </w:tcPr>
          <w:p w:rsidR="00A06E57" w:rsidRPr="00197A8D" w:rsidRDefault="00A06E57" w:rsidP="002E02E7">
            <w:pPr>
              <w:rPr>
                <w:rFonts w:eastAsia="Times New Roman"/>
                <w:color w:val="000000"/>
                <w:sz w:val="18"/>
                <w:szCs w:val="18"/>
              </w:rPr>
            </w:pPr>
          </w:p>
        </w:tc>
        <w:tc>
          <w:tcPr>
            <w:tcW w:w="1164" w:type="dxa"/>
            <w:tcBorders>
              <w:top w:val="single" w:sz="4" w:space="0" w:color="BFBFBF" w:themeColor="background1" w:themeShade="BF"/>
              <w:bottom w:val="single" w:sz="4" w:space="0" w:color="BFBFBF" w:themeColor="background1" w:themeShade="BF"/>
            </w:tcBorders>
            <w:shd w:val="clear" w:color="auto" w:fill="auto"/>
            <w:noWrap/>
            <w:vAlign w:val="bottom"/>
          </w:tcPr>
          <w:p w:rsidR="00A06E57" w:rsidRPr="00197A8D" w:rsidRDefault="00A06E57" w:rsidP="002E02E7">
            <w:pPr>
              <w:jc w:val="right"/>
              <w:rPr>
                <w:rFonts w:eastAsia="Times New Roman"/>
                <w:color w:val="000000"/>
                <w:sz w:val="18"/>
                <w:szCs w:val="18"/>
              </w:rPr>
            </w:pPr>
          </w:p>
        </w:tc>
      </w:tr>
      <w:tr w:rsidR="00A06E57" w:rsidRPr="00197A8D" w:rsidTr="002E02E7">
        <w:trPr>
          <w:trHeight w:val="210"/>
          <w:jc w:val="center"/>
        </w:trPr>
        <w:tc>
          <w:tcPr>
            <w:tcW w:w="7448" w:type="dxa"/>
            <w:tcBorders>
              <w:top w:val="single" w:sz="4" w:space="0" w:color="BFBFBF" w:themeColor="background1" w:themeShade="BF"/>
              <w:left w:val="single" w:sz="4" w:space="0" w:color="BFBFBF" w:themeColor="background1" w:themeShade="BF"/>
            </w:tcBorders>
            <w:shd w:val="clear" w:color="auto" w:fill="auto"/>
            <w:noWrap/>
            <w:vAlign w:val="bottom"/>
            <w:hideMark/>
          </w:tcPr>
          <w:p w:rsidR="00A06E57" w:rsidRPr="00197A8D" w:rsidRDefault="00A06E57" w:rsidP="00B17BC8">
            <w:pPr>
              <w:rPr>
                <w:rFonts w:eastAsia="Times New Roman"/>
                <w:color w:val="000000"/>
                <w:sz w:val="18"/>
                <w:szCs w:val="18"/>
              </w:rPr>
            </w:pPr>
            <w:r w:rsidRPr="00197A8D">
              <w:rPr>
                <w:rFonts w:eastAsia="Times New Roman"/>
                <w:color w:val="000000"/>
                <w:sz w:val="18"/>
                <w:szCs w:val="18"/>
              </w:rPr>
              <w:t xml:space="preserve">Total estimado de reservas con exclusión del cálculo total de la reserva para proyectos especiales, incluido el </w:t>
            </w:r>
            <w:r w:rsidR="00B17BC8" w:rsidRPr="00197A8D">
              <w:rPr>
                <w:rFonts w:eastAsia="Times New Roman"/>
                <w:color w:val="000000"/>
                <w:sz w:val="18"/>
                <w:szCs w:val="18"/>
              </w:rPr>
              <w:t>PM</w:t>
            </w:r>
            <w:r w:rsidR="00197A8D" w:rsidRPr="00197A8D">
              <w:rPr>
                <w:rFonts w:eastAsia="Times New Roman"/>
                <w:color w:val="000000"/>
                <w:sz w:val="18"/>
                <w:szCs w:val="18"/>
              </w:rPr>
              <w:t>M 2</w:t>
            </w:r>
            <w:r w:rsidR="009F7C4C" w:rsidRPr="00197A8D">
              <w:rPr>
                <w:rFonts w:eastAsia="Times New Roman"/>
                <w:color w:val="000000"/>
                <w:sz w:val="18"/>
                <w:szCs w:val="18"/>
              </w:rPr>
              <w:t>018-</w:t>
            </w:r>
            <w:r w:rsidRPr="00197A8D">
              <w:rPr>
                <w:rFonts w:eastAsia="Times New Roman"/>
                <w:color w:val="000000"/>
                <w:sz w:val="18"/>
                <w:szCs w:val="18"/>
              </w:rPr>
              <w:t xml:space="preserve">19 </w:t>
            </w:r>
          </w:p>
        </w:tc>
        <w:tc>
          <w:tcPr>
            <w:tcW w:w="1164" w:type="dxa"/>
            <w:tcBorders>
              <w:top w:val="single" w:sz="4" w:space="0" w:color="BFBFBF" w:themeColor="background1" w:themeShade="BF"/>
              <w:right w:val="single" w:sz="4" w:space="0" w:color="BFBFBF" w:themeColor="background1" w:themeShade="BF"/>
            </w:tcBorders>
            <w:shd w:val="clear" w:color="auto" w:fill="auto"/>
            <w:noWrap/>
            <w:vAlign w:val="bottom"/>
            <w:hideMark/>
          </w:tcPr>
          <w:p w:rsidR="00A06E57" w:rsidRPr="00197A8D" w:rsidRDefault="00822607" w:rsidP="002E02E7">
            <w:pPr>
              <w:jc w:val="right"/>
              <w:rPr>
                <w:rFonts w:eastAsia="Times New Roman"/>
                <w:color w:val="000000"/>
                <w:sz w:val="18"/>
                <w:szCs w:val="18"/>
              </w:rPr>
            </w:pPr>
            <w:r w:rsidRPr="00197A8D">
              <w:rPr>
                <w:rFonts w:eastAsia="Times New Roman"/>
                <w:color w:val="000000"/>
                <w:sz w:val="18"/>
                <w:szCs w:val="18"/>
              </w:rPr>
              <w:t xml:space="preserve">   </w:t>
            </w:r>
            <w:r w:rsidR="00A06E57" w:rsidRPr="00197A8D">
              <w:rPr>
                <w:rFonts w:eastAsia="Times New Roman"/>
                <w:color w:val="000000"/>
                <w:sz w:val="18"/>
                <w:szCs w:val="18"/>
              </w:rPr>
              <w:t xml:space="preserve">248,9 </w:t>
            </w:r>
          </w:p>
        </w:tc>
      </w:tr>
      <w:tr w:rsidR="00A06E57" w:rsidRPr="00197A8D" w:rsidTr="002E02E7">
        <w:trPr>
          <w:trHeight w:val="362"/>
          <w:jc w:val="center"/>
        </w:trPr>
        <w:tc>
          <w:tcPr>
            <w:tcW w:w="7448" w:type="dxa"/>
            <w:tcBorders>
              <w:left w:val="single" w:sz="4" w:space="0" w:color="BFBFBF" w:themeColor="background1" w:themeShade="BF"/>
            </w:tcBorders>
            <w:shd w:val="clear" w:color="auto" w:fill="auto"/>
            <w:noWrap/>
            <w:vAlign w:val="center"/>
            <w:hideMark/>
          </w:tcPr>
          <w:p w:rsidR="00A06E57" w:rsidRPr="00197A8D" w:rsidRDefault="00A06E57" w:rsidP="002E02E7">
            <w:pPr>
              <w:rPr>
                <w:rFonts w:eastAsia="Times New Roman"/>
                <w:color w:val="000000"/>
                <w:sz w:val="12"/>
                <w:szCs w:val="12"/>
              </w:rPr>
            </w:pPr>
          </w:p>
          <w:p w:rsidR="00A06E57" w:rsidRPr="00197A8D" w:rsidRDefault="00A06E57" w:rsidP="002E02E7">
            <w:pPr>
              <w:spacing w:after="60"/>
              <w:rPr>
                <w:rFonts w:eastAsia="Times New Roman"/>
                <w:color w:val="000000"/>
                <w:sz w:val="18"/>
                <w:szCs w:val="18"/>
              </w:rPr>
            </w:pPr>
            <w:r w:rsidRPr="00197A8D">
              <w:rPr>
                <w:rFonts w:eastAsia="Times New Roman"/>
                <w:color w:val="000000"/>
                <w:sz w:val="18"/>
                <w:szCs w:val="18"/>
              </w:rPr>
              <w:t>Objetivo del FRO par</w:t>
            </w:r>
            <w:r w:rsidR="00197A8D" w:rsidRPr="00197A8D">
              <w:rPr>
                <w:rFonts w:eastAsia="Times New Roman"/>
                <w:color w:val="000000"/>
                <w:sz w:val="18"/>
                <w:szCs w:val="18"/>
              </w:rPr>
              <w:t>a 2</w:t>
            </w:r>
            <w:r w:rsidRPr="00197A8D">
              <w:rPr>
                <w:rFonts w:eastAsia="Times New Roman"/>
                <w:color w:val="000000"/>
                <w:sz w:val="18"/>
                <w:szCs w:val="18"/>
              </w:rPr>
              <w:t>018/2019**</w:t>
            </w:r>
          </w:p>
        </w:tc>
        <w:tc>
          <w:tcPr>
            <w:tcW w:w="1164" w:type="dxa"/>
            <w:tcBorders>
              <w:right w:val="single" w:sz="4" w:space="0" w:color="BFBFBF" w:themeColor="background1" w:themeShade="BF"/>
            </w:tcBorders>
            <w:shd w:val="clear" w:color="auto" w:fill="auto"/>
            <w:noWrap/>
            <w:vAlign w:val="center"/>
            <w:hideMark/>
          </w:tcPr>
          <w:p w:rsidR="00A06E57" w:rsidRPr="00197A8D" w:rsidRDefault="00A06E57" w:rsidP="002E02E7">
            <w:pPr>
              <w:jc w:val="right"/>
              <w:rPr>
                <w:rFonts w:eastAsia="Times New Roman"/>
                <w:color w:val="000000"/>
                <w:sz w:val="12"/>
                <w:szCs w:val="12"/>
                <w:u w:val="single"/>
              </w:rPr>
            </w:pPr>
          </w:p>
          <w:p w:rsidR="00A06E57" w:rsidRPr="00197A8D" w:rsidRDefault="00A06E57" w:rsidP="002E02E7">
            <w:pPr>
              <w:spacing w:after="60"/>
              <w:jc w:val="right"/>
              <w:rPr>
                <w:rFonts w:eastAsia="Times New Roman"/>
                <w:color w:val="000000"/>
                <w:sz w:val="18"/>
                <w:szCs w:val="18"/>
                <w:u w:val="single"/>
              </w:rPr>
            </w:pPr>
            <w:r w:rsidRPr="00197A8D">
              <w:rPr>
                <w:rFonts w:eastAsia="Times New Roman"/>
                <w:color w:val="000000"/>
                <w:sz w:val="18"/>
                <w:szCs w:val="18"/>
                <w:u w:val="single"/>
              </w:rPr>
              <w:t>159,8</w:t>
            </w:r>
          </w:p>
        </w:tc>
      </w:tr>
      <w:tr w:rsidR="00A06E57" w:rsidRPr="00197A8D" w:rsidTr="002E02E7">
        <w:trPr>
          <w:trHeight w:val="255"/>
          <w:jc w:val="center"/>
        </w:trPr>
        <w:tc>
          <w:tcPr>
            <w:tcW w:w="7448" w:type="dxa"/>
            <w:tcBorders>
              <w:left w:val="single" w:sz="4" w:space="0" w:color="BFBFBF" w:themeColor="background1" w:themeShade="BF"/>
            </w:tcBorders>
            <w:shd w:val="clear" w:color="auto" w:fill="C6D9F1" w:themeFill="text2" w:themeFillTint="33"/>
            <w:noWrap/>
            <w:tcMar>
              <w:top w:w="57" w:type="dxa"/>
            </w:tcMar>
            <w:hideMark/>
          </w:tcPr>
          <w:p w:rsidR="00A06E57" w:rsidRPr="00197A8D" w:rsidRDefault="00A06E57" w:rsidP="00F41B07">
            <w:pPr>
              <w:rPr>
                <w:rFonts w:eastAsia="Times New Roman"/>
                <w:b/>
                <w:bCs/>
                <w:color w:val="000000"/>
                <w:sz w:val="18"/>
                <w:szCs w:val="18"/>
              </w:rPr>
            </w:pPr>
            <w:r w:rsidRPr="00197A8D">
              <w:rPr>
                <w:rFonts w:eastAsia="Times New Roman"/>
                <w:b/>
                <w:bCs/>
                <w:color w:val="000000"/>
                <w:sz w:val="18"/>
                <w:szCs w:val="18"/>
              </w:rPr>
              <w:t>Saldo de reservas exced</w:t>
            </w:r>
            <w:r w:rsidR="009F7C4C" w:rsidRPr="00197A8D">
              <w:rPr>
                <w:rFonts w:eastAsia="Times New Roman"/>
                <w:b/>
                <w:bCs/>
                <w:color w:val="000000"/>
                <w:sz w:val="18"/>
                <w:szCs w:val="18"/>
              </w:rPr>
              <w:t>e</w:t>
            </w:r>
            <w:r w:rsidRPr="00197A8D">
              <w:rPr>
                <w:rFonts w:eastAsia="Times New Roman"/>
                <w:b/>
                <w:bCs/>
                <w:color w:val="000000"/>
                <w:sz w:val="18"/>
                <w:szCs w:val="18"/>
              </w:rPr>
              <w:t xml:space="preserve"> el nivel de reservas estipulado*** </w:t>
            </w:r>
          </w:p>
        </w:tc>
        <w:tc>
          <w:tcPr>
            <w:tcW w:w="1164" w:type="dxa"/>
            <w:tcBorders>
              <w:right w:val="single" w:sz="4" w:space="0" w:color="BFBFBF" w:themeColor="background1" w:themeShade="BF"/>
            </w:tcBorders>
            <w:shd w:val="clear" w:color="auto" w:fill="C6D9F1" w:themeFill="text2" w:themeFillTint="33"/>
            <w:noWrap/>
            <w:hideMark/>
          </w:tcPr>
          <w:p w:rsidR="00A06E57" w:rsidRPr="00197A8D" w:rsidRDefault="00822607" w:rsidP="002E02E7">
            <w:pPr>
              <w:jc w:val="right"/>
              <w:rPr>
                <w:rFonts w:eastAsia="Times New Roman"/>
                <w:b/>
                <w:bCs/>
                <w:color w:val="000000"/>
                <w:sz w:val="18"/>
                <w:szCs w:val="18"/>
              </w:rPr>
            </w:pPr>
            <w:r w:rsidRPr="00197A8D">
              <w:rPr>
                <w:rFonts w:eastAsia="Times New Roman"/>
                <w:b/>
                <w:bCs/>
                <w:color w:val="000000"/>
                <w:sz w:val="18"/>
                <w:szCs w:val="18"/>
              </w:rPr>
              <w:t xml:space="preserve">   </w:t>
            </w:r>
            <w:r w:rsidR="00A06E57" w:rsidRPr="00197A8D">
              <w:rPr>
                <w:rFonts w:eastAsia="Times New Roman"/>
                <w:b/>
                <w:bCs/>
                <w:color w:val="000000"/>
                <w:sz w:val="18"/>
                <w:szCs w:val="18"/>
              </w:rPr>
              <w:t xml:space="preserve"> 89,1 </w:t>
            </w:r>
          </w:p>
        </w:tc>
      </w:tr>
      <w:tr w:rsidR="00A06E57" w:rsidRPr="00197A8D" w:rsidTr="002E02E7">
        <w:trPr>
          <w:trHeight w:val="255"/>
          <w:jc w:val="center"/>
        </w:trPr>
        <w:tc>
          <w:tcPr>
            <w:tcW w:w="8612" w:type="dxa"/>
            <w:gridSpan w:val="2"/>
            <w:tcBorders>
              <w:top w:val="single" w:sz="4" w:space="0" w:color="BFBFBF" w:themeColor="background1" w:themeShade="BF"/>
            </w:tcBorders>
            <w:shd w:val="clear" w:color="auto" w:fill="auto"/>
            <w:noWrap/>
            <w:vAlign w:val="bottom"/>
            <w:hideMark/>
          </w:tcPr>
          <w:p w:rsidR="00A06E57" w:rsidRPr="00197A8D" w:rsidRDefault="00A06E57" w:rsidP="002E02E7">
            <w:pPr>
              <w:rPr>
                <w:rFonts w:eastAsia="Times New Roman"/>
                <w:i/>
                <w:color w:val="000000"/>
                <w:sz w:val="8"/>
                <w:szCs w:val="8"/>
              </w:rPr>
            </w:pPr>
          </w:p>
          <w:p w:rsidR="00A06E57" w:rsidRPr="00197A8D" w:rsidRDefault="00A06E57" w:rsidP="002E02E7">
            <w:pPr>
              <w:rPr>
                <w:rFonts w:eastAsia="Times New Roman"/>
                <w:i/>
                <w:color w:val="000000"/>
                <w:sz w:val="16"/>
                <w:szCs w:val="16"/>
              </w:rPr>
            </w:pPr>
            <w:r w:rsidRPr="00197A8D">
              <w:rPr>
                <w:rFonts w:eastAsia="Times New Roman"/>
                <w:i/>
                <w:iCs/>
                <w:color w:val="000000"/>
                <w:sz w:val="16"/>
                <w:szCs w:val="16"/>
              </w:rPr>
              <w:t>*Con exclusión de los fondos de reserva y operaciones (FRO) y la</w:t>
            </w:r>
            <w:r w:rsidR="009F7C4C" w:rsidRPr="00197A8D">
              <w:rPr>
                <w:rFonts w:eastAsia="Times New Roman"/>
                <w:i/>
                <w:iCs/>
                <w:color w:val="000000"/>
                <w:sz w:val="16"/>
                <w:szCs w:val="16"/>
              </w:rPr>
              <w:t xml:space="preserve">s reservas correspondientes al </w:t>
            </w:r>
            <w:r w:rsidRPr="00197A8D">
              <w:rPr>
                <w:rFonts w:eastAsia="Times New Roman"/>
                <w:i/>
                <w:iCs/>
                <w:color w:val="000000"/>
                <w:sz w:val="16"/>
                <w:szCs w:val="16"/>
              </w:rPr>
              <w:t>superávit de revaluación</w:t>
            </w:r>
            <w:r w:rsidR="0025516D" w:rsidRPr="00197A8D">
              <w:rPr>
                <w:rFonts w:eastAsia="Times New Roman"/>
                <w:i/>
                <w:iCs/>
                <w:color w:val="000000"/>
                <w:sz w:val="16"/>
                <w:szCs w:val="16"/>
              </w:rPr>
              <w:t>.</w:t>
            </w:r>
          </w:p>
          <w:p w:rsidR="00A06E57" w:rsidRPr="00197A8D" w:rsidRDefault="00A06E57" w:rsidP="002E02E7">
            <w:pPr>
              <w:rPr>
                <w:rFonts w:eastAsia="Times New Roman"/>
                <w:i/>
                <w:color w:val="000000"/>
                <w:sz w:val="16"/>
                <w:szCs w:val="16"/>
              </w:rPr>
            </w:pPr>
            <w:r w:rsidRPr="00197A8D">
              <w:rPr>
                <w:rFonts w:eastAsia="Times New Roman"/>
                <w:i/>
                <w:iCs/>
                <w:color w:val="000000"/>
                <w:sz w:val="16"/>
                <w:szCs w:val="16"/>
              </w:rPr>
              <w:t>**Las reservas previstas se basan en los objetivos para las Uniones establecidos en la política</w:t>
            </w:r>
            <w:r w:rsidR="009F7C4C" w:rsidRPr="00197A8D">
              <w:rPr>
                <w:rFonts w:eastAsia="Times New Roman"/>
                <w:i/>
                <w:iCs/>
                <w:color w:val="000000"/>
                <w:sz w:val="16"/>
                <w:szCs w:val="16"/>
              </w:rPr>
              <w:t xml:space="preserve"> </w:t>
            </w:r>
            <w:r w:rsidR="00F41B07" w:rsidRPr="00197A8D">
              <w:rPr>
                <w:rFonts w:eastAsia="Times New Roman"/>
                <w:i/>
                <w:iCs/>
                <w:color w:val="000000"/>
                <w:sz w:val="16"/>
                <w:szCs w:val="16"/>
              </w:rPr>
              <w:t>de</w:t>
            </w:r>
            <w:r w:rsidRPr="00197A8D">
              <w:rPr>
                <w:rFonts w:eastAsia="Times New Roman"/>
                <w:i/>
                <w:iCs/>
                <w:color w:val="000000"/>
                <w:sz w:val="16"/>
                <w:szCs w:val="16"/>
              </w:rPr>
              <w:t xml:space="preserve"> reservas</w:t>
            </w:r>
            <w:r w:rsidR="00F41B07" w:rsidRPr="00197A8D">
              <w:rPr>
                <w:rFonts w:eastAsia="Times New Roman"/>
                <w:i/>
                <w:iCs/>
                <w:color w:val="000000"/>
                <w:sz w:val="16"/>
                <w:szCs w:val="16"/>
              </w:rPr>
              <w:t xml:space="preserve"> revisada</w:t>
            </w:r>
            <w:r w:rsidRPr="00197A8D">
              <w:rPr>
                <w:rFonts w:eastAsia="Times New Roman"/>
                <w:i/>
                <w:iCs/>
                <w:color w:val="000000"/>
                <w:sz w:val="16"/>
                <w:szCs w:val="16"/>
              </w:rPr>
              <w:t>, es decir, u</w:t>
            </w:r>
            <w:r w:rsidR="00197A8D" w:rsidRPr="00197A8D">
              <w:rPr>
                <w:rFonts w:eastAsia="Times New Roman"/>
                <w:i/>
                <w:iCs/>
                <w:color w:val="000000"/>
                <w:sz w:val="16"/>
                <w:szCs w:val="16"/>
              </w:rPr>
              <w:t>n 2</w:t>
            </w:r>
            <w:r w:rsidRPr="00197A8D">
              <w:rPr>
                <w:rFonts w:eastAsia="Times New Roman"/>
                <w:i/>
                <w:iCs/>
                <w:color w:val="000000"/>
                <w:sz w:val="16"/>
                <w:szCs w:val="16"/>
              </w:rPr>
              <w:t>2% del total del presup</w:t>
            </w:r>
            <w:r w:rsidR="009F7C4C" w:rsidRPr="00197A8D">
              <w:rPr>
                <w:rFonts w:eastAsia="Times New Roman"/>
                <w:i/>
                <w:iCs/>
                <w:color w:val="000000"/>
                <w:sz w:val="16"/>
                <w:szCs w:val="16"/>
              </w:rPr>
              <w:t>uesto bienal d</w:t>
            </w:r>
            <w:r w:rsidR="00197A8D" w:rsidRPr="00197A8D">
              <w:rPr>
                <w:rFonts w:eastAsia="Times New Roman"/>
                <w:i/>
                <w:iCs/>
                <w:color w:val="000000"/>
                <w:sz w:val="16"/>
                <w:szCs w:val="16"/>
              </w:rPr>
              <w:t>e 2</w:t>
            </w:r>
            <w:r w:rsidR="009F7C4C" w:rsidRPr="00197A8D">
              <w:rPr>
                <w:rFonts w:eastAsia="Times New Roman"/>
                <w:i/>
                <w:iCs/>
                <w:color w:val="000000"/>
                <w:sz w:val="16"/>
                <w:szCs w:val="16"/>
              </w:rPr>
              <w:t>018/</w:t>
            </w:r>
            <w:r w:rsidRPr="00197A8D">
              <w:rPr>
                <w:rFonts w:eastAsia="Times New Roman"/>
                <w:i/>
                <w:iCs/>
                <w:color w:val="000000"/>
                <w:sz w:val="16"/>
                <w:szCs w:val="16"/>
              </w:rPr>
              <w:t>19 d</w:t>
            </w:r>
            <w:r w:rsidR="00197A8D" w:rsidRPr="00197A8D">
              <w:rPr>
                <w:rFonts w:eastAsia="Times New Roman"/>
                <w:i/>
                <w:iCs/>
                <w:color w:val="000000"/>
                <w:sz w:val="16"/>
                <w:szCs w:val="16"/>
              </w:rPr>
              <w:t>e 7</w:t>
            </w:r>
            <w:r w:rsidRPr="00197A8D">
              <w:rPr>
                <w:rFonts w:eastAsia="Times New Roman"/>
                <w:i/>
                <w:iCs/>
                <w:color w:val="000000"/>
                <w:sz w:val="16"/>
                <w:szCs w:val="16"/>
              </w:rPr>
              <w:t>25 millones de francos suizos</w:t>
            </w:r>
            <w:r w:rsidR="00F41B07" w:rsidRPr="00197A8D">
              <w:rPr>
                <w:rFonts w:eastAsia="Times New Roman"/>
                <w:i/>
                <w:iCs/>
                <w:color w:val="000000"/>
                <w:sz w:val="16"/>
                <w:szCs w:val="16"/>
              </w:rPr>
              <w:t>.</w:t>
            </w:r>
          </w:p>
          <w:p w:rsidR="00A06E57" w:rsidRPr="00197A8D" w:rsidRDefault="00A06E57" w:rsidP="002E02E7">
            <w:pPr>
              <w:rPr>
                <w:rFonts w:eastAsia="Times New Roman"/>
                <w:color w:val="000000"/>
                <w:sz w:val="18"/>
                <w:szCs w:val="18"/>
              </w:rPr>
            </w:pPr>
            <w:r w:rsidRPr="00197A8D">
              <w:rPr>
                <w:rFonts w:eastAsia="Times New Roman"/>
                <w:i/>
                <w:iCs/>
                <w:color w:val="000000"/>
                <w:sz w:val="16"/>
                <w:szCs w:val="16"/>
              </w:rPr>
              <w:t>***No tiene en cuenta el resultado global previsto tras el gasto de reserva par</w:t>
            </w:r>
            <w:r w:rsidR="00197A8D" w:rsidRPr="00197A8D">
              <w:rPr>
                <w:rFonts w:eastAsia="Times New Roman"/>
                <w:i/>
                <w:iCs/>
                <w:color w:val="000000"/>
                <w:sz w:val="16"/>
                <w:szCs w:val="16"/>
              </w:rPr>
              <w:t>a 2</w:t>
            </w:r>
            <w:r w:rsidRPr="00197A8D">
              <w:rPr>
                <w:rFonts w:eastAsia="Times New Roman"/>
                <w:i/>
                <w:iCs/>
                <w:color w:val="000000"/>
                <w:sz w:val="16"/>
                <w:szCs w:val="16"/>
              </w:rPr>
              <w:t xml:space="preserve">017, que </w:t>
            </w:r>
            <w:r w:rsidR="00F1593B" w:rsidRPr="00197A8D">
              <w:rPr>
                <w:rFonts w:eastAsia="Times New Roman"/>
                <w:i/>
                <w:iCs/>
                <w:color w:val="000000"/>
                <w:sz w:val="16"/>
                <w:szCs w:val="16"/>
              </w:rPr>
              <w:t>asciende</w:t>
            </w:r>
            <w:r w:rsidRPr="00197A8D">
              <w:rPr>
                <w:rFonts w:eastAsia="Times New Roman"/>
                <w:i/>
                <w:iCs/>
                <w:color w:val="000000"/>
                <w:sz w:val="16"/>
                <w:szCs w:val="16"/>
              </w:rPr>
              <w:t xml:space="preserve"> </w:t>
            </w:r>
            <w:r w:rsidR="00197A8D" w:rsidRPr="00197A8D">
              <w:rPr>
                <w:rFonts w:eastAsia="Times New Roman"/>
                <w:i/>
                <w:iCs/>
                <w:color w:val="000000"/>
                <w:sz w:val="16"/>
                <w:szCs w:val="16"/>
              </w:rPr>
              <w:t>a 2</w:t>
            </w:r>
            <w:r w:rsidRPr="00197A8D">
              <w:rPr>
                <w:rFonts w:eastAsia="Times New Roman"/>
                <w:i/>
                <w:iCs/>
                <w:color w:val="000000"/>
                <w:sz w:val="16"/>
                <w:szCs w:val="16"/>
              </w:rPr>
              <w:t>4,3 millones de francos suizos</w:t>
            </w:r>
          </w:p>
        </w:tc>
      </w:tr>
    </w:tbl>
    <w:p w:rsidR="00A06E57" w:rsidRPr="00197A8D" w:rsidRDefault="00A06E57" w:rsidP="002E02E7"/>
    <w:p w:rsidR="00822607" w:rsidRPr="00197A8D" w:rsidRDefault="00B8751E" w:rsidP="002E02E7">
      <w:pPr>
        <w:numPr>
          <w:ilvl w:val="0"/>
          <w:numId w:val="13"/>
        </w:numPr>
        <w:tabs>
          <w:tab w:val="left" w:pos="567"/>
          <w:tab w:val="left" w:pos="5670"/>
        </w:tabs>
        <w:spacing w:after="220"/>
        <w:ind w:left="0" w:firstLine="0"/>
        <w:contextualSpacing/>
      </w:pPr>
      <w:r w:rsidRPr="00197A8D">
        <w:t>Tal como figura en</w:t>
      </w:r>
      <w:r w:rsidR="00A06E57" w:rsidRPr="00197A8D">
        <w:t xml:space="preserve"> el Cuadr</w:t>
      </w:r>
      <w:r w:rsidR="00197A8D" w:rsidRPr="00197A8D">
        <w:t>o 4</w:t>
      </w:r>
      <w:r w:rsidR="00A06E57" w:rsidRPr="00197A8D">
        <w:t>, la financiación propuesta d</w:t>
      </w:r>
      <w:r w:rsidR="00197A8D" w:rsidRPr="00197A8D">
        <w:t>e 2</w:t>
      </w:r>
      <w:r w:rsidR="00A06E57" w:rsidRPr="00197A8D">
        <w:t xml:space="preserve">5,5 millones de francos suizos para el </w:t>
      </w:r>
      <w:r w:rsidR="005E5DFD" w:rsidRPr="00197A8D">
        <w:t>PM</w:t>
      </w:r>
      <w:r w:rsidR="00197A8D" w:rsidRPr="00197A8D">
        <w:t>M 2</w:t>
      </w:r>
      <w:r w:rsidRPr="00197A8D">
        <w:t>018-</w:t>
      </w:r>
      <w:r w:rsidR="00A06E57" w:rsidRPr="00197A8D">
        <w:t xml:space="preserve">19 puede absorberse sin afectar el nivel de reservas </w:t>
      </w:r>
      <w:r w:rsidR="000F003F" w:rsidRPr="00197A8D">
        <w:t>necesario</w:t>
      </w:r>
      <w:r w:rsidR="00A06E57" w:rsidRPr="00197A8D">
        <w:t xml:space="preserve">, puesto que los saldos previstos pueden cubrir, de forma </w:t>
      </w:r>
      <w:r w:rsidR="000F003F" w:rsidRPr="00197A8D">
        <w:t>moderada</w:t>
      </w:r>
      <w:r w:rsidR="00A06E57" w:rsidRPr="00197A8D">
        <w:t>, los gastos correspondientes a lo</w:t>
      </w:r>
      <w:r w:rsidR="000F003F" w:rsidRPr="00197A8D">
        <w:t xml:space="preserve">s </w:t>
      </w:r>
      <w:r w:rsidR="00A06E57" w:rsidRPr="00197A8D">
        <w:t>proyectos propuestos</w:t>
      </w:r>
      <w:r w:rsidR="00822607" w:rsidRPr="00197A8D">
        <w:t>.</w:t>
      </w:r>
    </w:p>
    <w:p w:rsidR="00A06E57" w:rsidRPr="00197A8D" w:rsidRDefault="00A06E57" w:rsidP="002E02E7">
      <w:pPr>
        <w:tabs>
          <w:tab w:val="left" w:pos="567"/>
          <w:tab w:val="left" w:pos="5670"/>
        </w:tabs>
        <w:spacing w:after="220"/>
        <w:contextualSpacing/>
      </w:pPr>
    </w:p>
    <w:p w:rsidR="00822607" w:rsidRPr="00197A8D" w:rsidRDefault="00CA4692" w:rsidP="002E02E7">
      <w:pPr>
        <w:numPr>
          <w:ilvl w:val="0"/>
          <w:numId w:val="13"/>
        </w:numPr>
        <w:tabs>
          <w:tab w:val="left" w:pos="567"/>
          <w:tab w:val="left" w:pos="5670"/>
        </w:tabs>
        <w:spacing w:after="220"/>
        <w:ind w:left="0" w:firstLine="0"/>
        <w:contextualSpacing/>
      </w:pPr>
      <w:r w:rsidRPr="00197A8D">
        <w:t xml:space="preserve">Cabe señalar que dado que los estados financieros </w:t>
      </w:r>
      <w:r w:rsidR="00A06E57" w:rsidRPr="00197A8D">
        <w:t>de la Organización se preparan con arreglo a las Normas Internacionale</w:t>
      </w:r>
      <w:r w:rsidR="00F41B07" w:rsidRPr="00197A8D">
        <w:t xml:space="preserve">s de </w:t>
      </w:r>
      <w:r w:rsidR="00A06E57" w:rsidRPr="00197A8D">
        <w:t>Contabilidad del Sector Público (IPSAS), los gastos en proyectos de Tecnología de la Información (TI) se capitalizará</w:t>
      </w:r>
      <w:r w:rsidRPr="00197A8D">
        <w:t>n</w:t>
      </w:r>
      <w:r w:rsidR="00A06E57" w:rsidRPr="00197A8D">
        <w:t xml:space="preserve"> cuando</w:t>
      </w:r>
      <w:r w:rsidR="006C4E13" w:rsidRPr="00197A8D">
        <w:t xml:space="preserve"> se</w:t>
      </w:r>
      <w:r w:rsidR="00A06E57" w:rsidRPr="00197A8D">
        <w:t xml:space="preserve"> cumpl</w:t>
      </w:r>
      <w:r w:rsidRPr="00197A8D">
        <w:t>an</w:t>
      </w:r>
      <w:r w:rsidR="00A06E57" w:rsidRPr="00197A8D">
        <w:t xml:space="preserve"> los criterios de reconocimiento</w:t>
      </w:r>
      <w:r w:rsidRPr="00197A8D">
        <w:t xml:space="preserve"> exigidos</w:t>
      </w:r>
      <w:r w:rsidR="00197A8D" w:rsidRPr="00197A8D">
        <w:t>.  D</w:t>
      </w:r>
      <w:r w:rsidR="00A06E57" w:rsidRPr="00197A8D">
        <w:t xml:space="preserve">e modo similar, también se capitalizarán los gastos en proyectos </w:t>
      </w:r>
      <w:r w:rsidR="00F41B07" w:rsidRPr="00197A8D">
        <w:t>de edificación que amplíen la vida útil o aumente</w:t>
      </w:r>
      <w:r w:rsidR="00A06E57" w:rsidRPr="00197A8D">
        <w:t>n el valor de los edificios en cuestión</w:t>
      </w:r>
      <w:r w:rsidR="00197A8D" w:rsidRPr="00197A8D">
        <w:t>.  P</w:t>
      </w:r>
      <w:r w:rsidR="00A06E57" w:rsidRPr="00197A8D">
        <w:t xml:space="preserve">ara cada proyecto, se adoptará una decisión </w:t>
      </w:r>
      <w:r w:rsidRPr="00197A8D">
        <w:t>c</w:t>
      </w:r>
      <w:r w:rsidR="00A06E57" w:rsidRPr="00197A8D">
        <w:t xml:space="preserve">on respecto a si la capitalización es </w:t>
      </w:r>
      <w:r w:rsidR="007E7464" w:rsidRPr="00197A8D">
        <w:t>admisible</w:t>
      </w:r>
      <w:r w:rsidR="00F41B07" w:rsidRPr="00197A8D">
        <w:t xml:space="preserve"> en virtud de las IPSAS, cuando esté </w:t>
      </w:r>
      <w:r w:rsidR="00A06E57" w:rsidRPr="00197A8D">
        <w:t>disponible la información</w:t>
      </w:r>
      <w:r w:rsidR="007E7464" w:rsidRPr="00197A8D">
        <w:t xml:space="preserve"> detallada</w:t>
      </w:r>
      <w:r w:rsidR="00A06E57" w:rsidRPr="00197A8D">
        <w:t xml:space="preserve"> sobre los </w:t>
      </w:r>
      <w:r w:rsidR="00C84DAA" w:rsidRPr="00197A8D">
        <w:t xml:space="preserve">costos y el calendario </w:t>
      </w:r>
      <w:r w:rsidR="00A06E57" w:rsidRPr="00197A8D">
        <w:t>de ejecución</w:t>
      </w:r>
      <w:r w:rsidR="00197A8D" w:rsidRPr="00197A8D">
        <w:t>.  C</w:t>
      </w:r>
      <w:r w:rsidR="00A06E57" w:rsidRPr="00197A8D">
        <w:t>uando se capitaliza</w:t>
      </w:r>
      <w:r w:rsidR="00C84DAA" w:rsidRPr="00197A8D">
        <w:t xml:space="preserve"> un proyecto</w:t>
      </w:r>
      <w:r w:rsidR="00A06E57" w:rsidRPr="00197A8D">
        <w:t xml:space="preserve">, se </w:t>
      </w:r>
      <w:r w:rsidR="00F41B07" w:rsidRPr="00197A8D">
        <w:t>calculan</w:t>
      </w:r>
      <w:r w:rsidR="00C84DAA" w:rsidRPr="00197A8D">
        <w:t xml:space="preserve"> los gastos</w:t>
      </w:r>
      <w:r w:rsidR="00A06E57" w:rsidRPr="00197A8D">
        <w:t xml:space="preserve"> a lo largo de la vida útil del activo resultante </w:t>
      </w:r>
      <w:r w:rsidR="00F41B07" w:rsidRPr="00197A8D">
        <w:t>cuando</w:t>
      </w:r>
      <w:r w:rsidR="00A06E57" w:rsidRPr="00197A8D">
        <w:t xml:space="preserve"> el proyecto </w:t>
      </w:r>
      <w:r w:rsidR="00F41B07" w:rsidRPr="00197A8D">
        <w:t xml:space="preserve">se ha finalizado </w:t>
      </w:r>
      <w:r w:rsidR="00A06E57" w:rsidRPr="00197A8D">
        <w:t>y puede</w:t>
      </w:r>
      <w:r w:rsidR="00F41B07" w:rsidRPr="00197A8D">
        <w:t xml:space="preserve"> comenzar a</w:t>
      </w:r>
      <w:r w:rsidR="00A06E57" w:rsidRPr="00197A8D">
        <w:t xml:space="preserve"> utilizarse</w:t>
      </w:r>
      <w:r w:rsidR="00197A8D" w:rsidRPr="00197A8D">
        <w:t>.  E</w:t>
      </w:r>
      <w:r w:rsidR="00A06E57" w:rsidRPr="00197A8D">
        <w:t xml:space="preserve">n estos casos, el </w:t>
      </w:r>
      <w:r w:rsidR="00F55065" w:rsidRPr="00197A8D">
        <w:t>impacto del</w:t>
      </w:r>
      <w:r w:rsidR="00A06E57" w:rsidRPr="00197A8D">
        <w:t xml:space="preserve"> gasto </w:t>
      </w:r>
      <w:r w:rsidR="00F55065" w:rsidRPr="00197A8D">
        <w:t>en</w:t>
      </w:r>
      <w:r w:rsidR="00A06E57" w:rsidRPr="00197A8D">
        <w:t xml:space="preserve"> las reservas de la Organización se difiere en un largo período de tiempo mediante una amortización </w:t>
      </w:r>
      <w:r w:rsidR="00F55065" w:rsidRPr="00197A8D">
        <w:t>anual</w:t>
      </w:r>
      <w:r w:rsidR="00A06E57" w:rsidRPr="00197A8D">
        <w:t xml:space="preserve">, </w:t>
      </w:r>
      <w:r w:rsidR="00F55065" w:rsidRPr="00197A8D">
        <w:t xml:space="preserve">en lugar de </w:t>
      </w:r>
      <w:r w:rsidR="00F41B07" w:rsidRPr="00197A8D">
        <w:t>que el</w:t>
      </w:r>
      <w:r w:rsidR="00F55065" w:rsidRPr="00197A8D">
        <w:t xml:space="preserve"> impacto </w:t>
      </w:r>
      <w:r w:rsidR="00F41B07" w:rsidRPr="00197A8D">
        <w:t xml:space="preserve">sea inmediato, </w:t>
      </w:r>
      <w:r w:rsidR="00A06E57" w:rsidRPr="00197A8D">
        <w:t>en el momento en que se está ejecutando el proyecto</w:t>
      </w:r>
      <w:r w:rsidR="00822607" w:rsidRPr="00197A8D">
        <w:t>.</w:t>
      </w:r>
    </w:p>
    <w:p w:rsidR="00A06E57" w:rsidRPr="00197A8D" w:rsidRDefault="00A06E57" w:rsidP="002E02E7">
      <w:pPr>
        <w:tabs>
          <w:tab w:val="left" w:pos="567"/>
          <w:tab w:val="left" w:pos="5670"/>
        </w:tabs>
        <w:spacing w:after="220"/>
        <w:contextualSpacing/>
      </w:pPr>
    </w:p>
    <w:p w:rsidR="00A06E57" w:rsidRPr="00197A8D" w:rsidRDefault="00A06E57" w:rsidP="005863B1">
      <w:pPr>
        <w:keepNext/>
        <w:rPr>
          <w:i/>
        </w:rPr>
      </w:pPr>
      <w:r w:rsidRPr="00197A8D">
        <w:rPr>
          <w:i/>
          <w:iCs/>
        </w:rPr>
        <w:t xml:space="preserve">ASIGNACIÓN A LAS UNIONES DE PROYECTOS PROPUESTOS EN EL </w:t>
      </w:r>
      <w:r w:rsidR="005E5DFD" w:rsidRPr="00197A8D">
        <w:rPr>
          <w:i/>
          <w:iCs/>
        </w:rPr>
        <w:t>PM</w:t>
      </w:r>
      <w:r w:rsidR="00197A8D" w:rsidRPr="00197A8D">
        <w:rPr>
          <w:i/>
          <w:iCs/>
        </w:rPr>
        <w:t>M 2</w:t>
      </w:r>
      <w:r w:rsidR="00F55065" w:rsidRPr="00197A8D">
        <w:rPr>
          <w:i/>
          <w:iCs/>
        </w:rPr>
        <w:t>018-</w:t>
      </w:r>
      <w:r w:rsidRPr="00197A8D">
        <w:rPr>
          <w:i/>
          <w:iCs/>
        </w:rPr>
        <w:t>19</w:t>
      </w:r>
    </w:p>
    <w:p w:rsidR="00A06E57" w:rsidRPr="00197A8D" w:rsidRDefault="00A06E57" w:rsidP="005863B1">
      <w:pPr>
        <w:keepNext/>
      </w:pPr>
    </w:p>
    <w:p w:rsidR="00A06E57" w:rsidRPr="00197A8D" w:rsidRDefault="00A06E57" w:rsidP="005863B1">
      <w:pPr>
        <w:keepNext/>
        <w:numPr>
          <w:ilvl w:val="0"/>
          <w:numId w:val="13"/>
        </w:numPr>
        <w:tabs>
          <w:tab w:val="left" w:pos="567"/>
          <w:tab w:val="left" w:pos="5670"/>
        </w:tabs>
        <w:spacing w:after="220"/>
        <w:ind w:left="0" w:firstLine="0"/>
        <w:contextualSpacing/>
      </w:pPr>
      <w:r w:rsidRPr="00197A8D">
        <w:t xml:space="preserve">Los proyectos del </w:t>
      </w:r>
      <w:r w:rsidR="005E5DFD" w:rsidRPr="00197A8D">
        <w:t>PMM</w:t>
      </w:r>
      <w:r w:rsidRPr="00197A8D">
        <w:t xml:space="preserve"> </w:t>
      </w:r>
      <w:r w:rsidR="00F41B07" w:rsidRPr="00197A8D">
        <w:t>propuestos para recibir</w:t>
      </w:r>
      <w:r w:rsidR="00F55065" w:rsidRPr="00197A8D">
        <w:t xml:space="preserve"> financia</w:t>
      </w:r>
      <w:r w:rsidR="00F41B07" w:rsidRPr="00197A8D">
        <w:t>ción</w:t>
      </w:r>
      <w:r w:rsidR="00F55065" w:rsidRPr="00197A8D">
        <w:t xml:space="preserve"> con</w:t>
      </w:r>
      <w:r w:rsidRPr="00197A8D">
        <w:t xml:space="preserve"> cargo </w:t>
      </w:r>
      <w:r w:rsidR="00F55065" w:rsidRPr="00197A8D">
        <w:t>a las reservas e</w:t>
      </w:r>
      <w:r w:rsidR="00197A8D" w:rsidRPr="00197A8D">
        <w:t>n 2</w:t>
      </w:r>
      <w:r w:rsidR="00F55065" w:rsidRPr="00197A8D">
        <w:t>018/</w:t>
      </w:r>
      <w:r w:rsidRPr="00197A8D">
        <w:t>19 son asignados a las Uniones en la medida en que benefician directa o indirectamente a las Uniones:</w:t>
      </w:r>
    </w:p>
    <w:p w:rsidR="00A06E57" w:rsidRPr="00197A8D" w:rsidRDefault="00A06E57" w:rsidP="002E02E7">
      <w:pPr>
        <w:rPr>
          <w:sz w:val="16"/>
          <w:szCs w:val="16"/>
        </w:rPr>
      </w:pPr>
    </w:p>
    <w:p w:rsidR="00822607" w:rsidRPr="00197A8D" w:rsidRDefault="00A06E57" w:rsidP="00B3448F">
      <w:pPr>
        <w:pStyle w:val="ListParagraph"/>
        <w:keepNext/>
        <w:rPr>
          <w:lang w:val="es-ES"/>
        </w:rPr>
      </w:pPr>
      <w:r w:rsidRPr="00197A8D">
        <w:rPr>
          <w:lang w:val="es-ES"/>
        </w:rPr>
        <w:lastRenderedPageBreak/>
        <w:t>Plataforma Mundial de P.I</w:t>
      </w:r>
      <w:r w:rsidR="00822607" w:rsidRPr="00197A8D">
        <w:rPr>
          <w:lang w:val="es-ES"/>
        </w:rPr>
        <w:t>.</w:t>
      </w:r>
    </w:p>
    <w:p w:rsidR="00A06E57" w:rsidRPr="00197A8D" w:rsidRDefault="00A06E57" w:rsidP="00B3448F">
      <w:pPr>
        <w:pStyle w:val="ListParagraph"/>
        <w:keepNext/>
        <w:numPr>
          <w:ilvl w:val="1"/>
          <w:numId w:val="11"/>
        </w:numPr>
        <w:rPr>
          <w:lang w:val="es-ES"/>
        </w:rPr>
      </w:pPr>
      <w:r w:rsidRPr="00197A8D">
        <w:rPr>
          <w:lang w:val="es-ES"/>
        </w:rPr>
        <w:t xml:space="preserve">beneficia indirectamente a las Uniones financiadas mediante tasas </w:t>
      </w:r>
    </w:p>
    <w:p w:rsidR="00A06E57" w:rsidRPr="00197A8D" w:rsidRDefault="00A06E57" w:rsidP="002E02E7">
      <w:pPr>
        <w:pStyle w:val="ListParagraph"/>
        <w:numPr>
          <w:ilvl w:val="1"/>
          <w:numId w:val="11"/>
        </w:numPr>
        <w:rPr>
          <w:lang w:val="es-ES"/>
        </w:rPr>
      </w:pPr>
      <w:r w:rsidRPr="00197A8D">
        <w:rPr>
          <w:lang w:val="es-ES"/>
        </w:rPr>
        <w:t xml:space="preserve">costo asignado como gasto indirecto de la Unión a las Uniones financiadas mediante el pago de tasas </w:t>
      </w:r>
      <w:r w:rsidRPr="00197A8D">
        <w:rPr>
          <w:i/>
          <w:iCs/>
          <w:lang w:val="es-ES"/>
        </w:rPr>
        <w:t>(principio de capacidad de pago)</w:t>
      </w:r>
    </w:p>
    <w:p w:rsidR="00A06E57" w:rsidRPr="00197A8D" w:rsidRDefault="00A06E57" w:rsidP="002E02E7">
      <w:pPr>
        <w:pStyle w:val="ListParagraph"/>
        <w:rPr>
          <w:sz w:val="16"/>
          <w:szCs w:val="16"/>
          <w:lang w:val="es-ES"/>
        </w:rPr>
      </w:pPr>
    </w:p>
    <w:p w:rsidR="00A06E57" w:rsidRPr="00197A8D" w:rsidRDefault="00A06E57" w:rsidP="002E02E7">
      <w:pPr>
        <w:pStyle w:val="ListParagraph"/>
        <w:rPr>
          <w:lang w:val="es-ES"/>
        </w:rPr>
      </w:pPr>
      <w:r w:rsidRPr="00197A8D">
        <w:rPr>
          <w:lang w:val="es-ES"/>
        </w:rPr>
        <w:t xml:space="preserve">Plataforma </w:t>
      </w:r>
      <w:r w:rsidR="00F41B07" w:rsidRPr="00197A8D">
        <w:rPr>
          <w:lang w:val="es-ES"/>
        </w:rPr>
        <w:t>segura para el PCT con capacidad de reacción y recuperación</w:t>
      </w:r>
    </w:p>
    <w:p w:rsidR="00A06E57" w:rsidRPr="00197A8D" w:rsidRDefault="00A06E57" w:rsidP="002E02E7">
      <w:pPr>
        <w:pStyle w:val="ListParagraph"/>
        <w:numPr>
          <w:ilvl w:val="1"/>
          <w:numId w:val="11"/>
        </w:numPr>
        <w:rPr>
          <w:lang w:val="es-ES"/>
        </w:rPr>
      </w:pPr>
      <w:r w:rsidRPr="00197A8D">
        <w:rPr>
          <w:lang w:val="es-ES"/>
        </w:rPr>
        <w:t>beneficia directamente a la Unión del PCT</w:t>
      </w:r>
    </w:p>
    <w:p w:rsidR="00A06E57" w:rsidRPr="00197A8D" w:rsidRDefault="00A06E57" w:rsidP="002E02E7">
      <w:pPr>
        <w:pStyle w:val="ListParagraph"/>
        <w:numPr>
          <w:ilvl w:val="1"/>
          <w:numId w:val="11"/>
        </w:numPr>
        <w:rPr>
          <w:lang w:val="es-ES"/>
        </w:rPr>
      </w:pPr>
      <w:r w:rsidRPr="00197A8D">
        <w:rPr>
          <w:lang w:val="es-ES"/>
        </w:rPr>
        <w:t>costo asignado como gasto indirecto de la Unión a la Unión del PCT</w:t>
      </w:r>
    </w:p>
    <w:p w:rsidR="00A06E57" w:rsidRPr="00197A8D" w:rsidRDefault="00A06E57" w:rsidP="002E02E7">
      <w:pPr>
        <w:rPr>
          <w:sz w:val="16"/>
          <w:szCs w:val="16"/>
        </w:rPr>
      </w:pPr>
    </w:p>
    <w:p w:rsidR="00A06E57" w:rsidRPr="00197A8D" w:rsidRDefault="00A06E57" w:rsidP="002E02E7">
      <w:pPr>
        <w:pStyle w:val="ListParagraph"/>
        <w:rPr>
          <w:lang w:val="es-ES"/>
        </w:rPr>
      </w:pPr>
      <w:r w:rsidRPr="00197A8D">
        <w:rPr>
          <w:lang w:val="es-ES"/>
        </w:rPr>
        <w:t>Plataforma de TI de Madrid</w:t>
      </w:r>
    </w:p>
    <w:p w:rsidR="00A06E57" w:rsidRPr="00197A8D" w:rsidRDefault="00A06E57" w:rsidP="002E02E7">
      <w:pPr>
        <w:pStyle w:val="ListParagraph"/>
        <w:numPr>
          <w:ilvl w:val="1"/>
          <w:numId w:val="11"/>
        </w:numPr>
        <w:rPr>
          <w:lang w:val="es-ES"/>
        </w:rPr>
      </w:pPr>
      <w:r w:rsidRPr="00197A8D">
        <w:rPr>
          <w:lang w:val="es-ES"/>
        </w:rPr>
        <w:t>beneficia directamente a la Unión de Madrid</w:t>
      </w:r>
    </w:p>
    <w:p w:rsidR="00A06E57" w:rsidRPr="00197A8D" w:rsidRDefault="00A06E57" w:rsidP="002E02E7">
      <w:pPr>
        <w:pStyle w:val="ListParagraph"/>
        <w:numPr>
          <w:ilvl w:val="1"/>
          <w:numId w:val="11"/>
        </w:numPr>
        <w:rPr>
          <w:lang w:val="es-ES"/>
        </w:rPr>
      </w:pPr>
      <w:r w:rsidRPr="00197A8D">
        <w:rPr>
          <w:lang w:val="es-ES"/>
        </w:rPr>
        <w:t xml:space="preserve">costo asignado </w:t>
      </w:r>
      <w:r w:rsidR="006C4E13" w:rsidRPr="00197A8D">
        <w:rPr>
          <w:lang w:val="es-ES"/>
        </w:rPr>
        <w:t xml:space="preserve">a la Unión de Madrid </w:t>
      </w:r>
      <w:r w:rsidRPr="00197A8D">
        <w:rPr>
          <w:lang w:val="es-ES"/>
        </w:rPr>
        <w:t xml:space="preserve">como gasto directo de la Unión </w:t>
      </w:r>
    </w:p>
    <w:p w:rsidR="00A06E57" w:rsidRPr="00197A8D" w:rsidRDefault="00A06E57" w:rsidP="002E02E7">
      <w:pPr>
        <w:pStyle w:val="ListParagraph"/>
        <w:ind w:left="1440"/>
        <w:rPr>
          <w:sz w:val="16"/>
          <w:szCs w:val="16"/>
          <w:lang w:val="es-ES"/>
        </w:rPr>
      </w:pPr>
    </w:p>
    <w:p w:rsidR="00A06E57" w:rsidRPr="00197A8D" w:rsidRDefault="00A06E57" w:rsidP="002E02E7">
      <w:pPr>
        <w:pStyle w:val="ListParagraph"/>
        <w:rPr>
          <w:lang w:val="es-ES"/>
        </w:rPr>
      </w:pPr>
      <w:r w:rsidRPr="00197A8D">
        <w:rPr>
          <w:lang w:val="es-ES"/>
        </w:rPr>
        <w:t xml:space="preserve">Sistema de inscripción </w:t>
      </w:r>
      <w:r w:rsidR="00250A03" w:rsidRPr="00197A8D">
        <w:rPr>
          <w:lang w:val="es-ES"/>
        </w:rPr>
        <w:t>en</w:t>
      </w:r>
      <w:r w:rsidRPr="00197A8D">
        <w:rPr>
          <w:lang w:val="es-ES"/>
        </w:rPr>
        <w:t xml:space="preserve"> conferencias</w:t>
      </w:r>
    </w:p>
    <w:p w:rsidR="00A06E57" w:rsidRPr="00197A8D" w:rsidRDefault="00A06E57" w:rsidP="002E02E7">
      <w:pPr>
        <w:pStyle w:val="ListParagraph"/>
        <w:numPr>
          <w:ilvl w:val="1"/>
          <w:numId w:val="12"/>
        </w:numPr>
        <w:rPr>
          <w:lang w:val="es-ES"/>
        </w:rPr>
      </w:pPr>
      <w:r w:rsidRPr="00197A8D">
        <w:rPr>
          <w:lang w:val="es-ES"/>
        </w:rPr>
        <w:t xml:space="preserve">beneficia indirectamente a todas las Uniones </w:t>
      </w:r>
    </w:p>
    <w:p w:rsidR="00A06E57" w:rsidRPr="00197A8D" w:rsidRDefault="00A06E57" w:rsidP="002E02E7">
      <w:pPr>
        <w:pStyle w:val="ListParagraph"/>
        <w:numPr>
          <w:ilvl w:val="1"/>
          <w:numId w:val="11"/>
        </w:numPr>
        <w:rPr>
          <w:lang w:val="es-ES"/>
        </w:rPr>
      </w:pPr>
      <w:r w:rsidRPr="00197A8D">
        <w:rPr>
          <w:lang w:val="es-ES"/>
        </w:rPr>
        <w:t>costo asignado a todas las Uniones como gasto administrativo indirecto</w:t>
      </w:r>
    </w:p>
    <w:p w:rsidR="00A06E57" w:rsidRPr="00197A8D" w:rsidRDefault="00A06E57" w:rsidP="002E02E7">
      <w:pPr>
        <w:pStyle w:val="ListParagraph"/>
        <w:ind w:left="1440"/>
        <w:rPr>
          <w:lang w:val="es-ES"/>
        </w:rPr>
      </w:pPr>
      <w:r w:rsidRPr="00197A8D">
        <w:rPr>
          <w:i/>
          <w:iCs/>
          <w:lang w:val="es-ES"/>
        </w:rPr>
        <w:t>(</w:t>
      </w:r>
      <w:proofErr w:type="gramStart"/>
      <w:r w:rsidRPr="00197A8D">
        <w:rPr>
          <w:i/>
          <w:iCs/>
          <w:lang w:val="es-ES"/>
        </w:rPr>
        <w:t>principio</w:t>
      </w:r>
      <w:proofErr w:type="gramEnd"/>
      <w:r w:rsidRPr="00197A8D">
        <w:rPr>
          <w:i/>
          <w:iCs/>
          <w:lang w:val="es-ES"/>
        </w:rPr>
        <w:t xml:space="preserve"> de capacidad de pago)</w:t>
      </w:r>
    </w:p>
    <w:p w:rsidR="00A06E57" w:rsidRPr="00197A8D" w:rsidRDefault="00A06E57" w:rsidP="002E02E7">
      <w:pPr>
        <w:rPr>
          <w:sz w:val="16"/>
          <w:szCs w:val="16"/>
        </w:rPr>
      </w:pPr>
    </w:p>
    <w:p w:rsidR="00A06E57" w:rsidRPr="00197A8D" w:rsidRDefault="00A06E57" w:rsidP="002E02E7">
      <w:pPr>
        <w:pStyle w:val="ListParagraph"/>
        <w:rPr>
          <w:lang w:val="es-ES"/>
        </w:rPr>
      </w:pPr>
      <w:r w:rsidRPr="00197A8D">
        <w:rPr>
          <w:lang w:val="es-ES"/>
        </w:rPr>
        <w:t>Proyectos relacionados con los edificios, la seguridad y la vigilancia</w:t>
      </w:r>
    </w:p>
    <w:p w:rsidR="00A06E57" w:rsidRPr="00197A8D" w:rsidRDefault="00A06E57" w:rsidP="002E02E7">
      <w:pPr>
        <w:pStyle w:val="ListParagraph"/>
        <w:numPr>
          <w:ilvl w:val="1"/>
          <w:numId w:val="12"/>
        </w:numPr>
        <w:rPr>
          <w:lang w:val="es-ES"/>
        </w:rPr>
      </w:pPr>
      <w:r w:rsidRPr="00197A8D">
        <w:rPr>
          <w:lang w:val="es-ES"/>
        </w:rPr>
        <w:t xml:space="preserve">benefician indirectamente a todas las Uniones </w:t>
      </w:r>
    </w:p>
    <w:p w:rsidR="00A06E57" w:rsidRPr="00197A8D" w:rsidRDefault="00A06E57" w:rsidP="002E02E7">
      <w:pPr>
        <w:pStyle w:val="ListParagraph"/>
        <w:numPr>
          <w:ilvl w:val="1"/>
          <w:numId w:val="11"/>
        </w:numPr>
        <w:rPr>
          <w:lang w:val="es-ES"/>
        </w:rPr>
      </w:pPr>
      <w:r w:rsidRPr="00197A8D">
        <w:rPr>
          <w:lang w:val="es-ES"/>
        </w:rPr>
        <w:t>costo asignado a todas las Uniones como gasto administrativo indirecto</w:t>
      </w:r>
    </w:p>
    <w:p w:rsidR="00A06E57" w:rsidRPr="00197A8D" w:rsidRDefault="00A06E57" w:rsidP="002E02E7">
      <w:pPr>
        <w:pStyle w:val="ListParagraph"/>
        <w:ind w:left="1440"/>
        <w:rPr>
          <w:lang w:val="es-ES"/>
        </w:rPr>
      </w:pPr>
      <w:r w:rsidRPr="00197A8D">
        <w:rPr>
          <w:i/>
          <w:iCs/>
          <w:lang w:val="es-ES"/>
        </w:rPr>
        <w:t>(</w:t>
      </w:r>
      <w:proofErr w:type="gramStart"/>
      <w:r w:rsidRPr="00197A8D">
        <w:rPr>
          <w:i/>
          <w:iCs/>
          <w:lang w:val="es-ES"/>
        </w:rPr>
        <w:t>principio</w:t>
      </w:r>
      <w:proofErr w:type="gramEnd"/>
      <w:r w:rsidRPr="00197A8D">
        <w:rPr>
          <w:i/>
          <w:iCs/>
          <w:lang w:val="es-ES"/>
        </w:rPr>
        <w:t xml:space="preserve"> de capacidad de pago)</w:t>
      </w:r>
    </w:p>
    <w:p w:rsidR="00A06E57" w:rsidRPr="00197A8D" w:rsidRDefault="00A06E57" w:rsidP="002E02E7"/>
    <w:p w:rsidR="00822607" w:rsidRPr="00197A8D" w:rsidRDefault="00A06E57" w:rsidP="002E02E7">
      <w:pPr>
        <w:numPr>
          <w:ilvl w:val="0"/>
          <w:numId w:val="13"/>
        </w:numPr>
        <w:tabs>
          <w:tab w:val="left" w:pos="567"/>
          <w:tab w:val="left" w:pos="5670"/>
        </w:tabs>
        <w:ind w:left="0" w:firstLine="0"/>
        <w:contextualSpacing/>
      </w:pPr>
      <w:r w:rsidRPr="00197A8D">
        <w:t>El cuadr</w:t>
      </w:r>
      <w:r w:rsidR="00197A8D" w:rsidRPr="00197A8D">
        <w:t>o 5</w:t>
      </w:r>
      <w:r w:rsidRPr="00197A8D">
        <w:t xml:space="preserve"> </w:t>
      </w:r>
      <w:r w:rsidR="00F1593B" w:rsidRPr="00197A8D">
        <w:t>proporciona</w:t>
      </w:r>
      <w:r w:rsidRPr="00197A8D">
        <w:t xml:space="preserve"> un panorama general de la asignación de </w:t>
      </w:r>
      <w:r w:rsidR="00250A03" w:rsidRPr="00197A8D">
        <w:t xml:space="preserve">los </w:t>
      </w:r>
      <w:r w:rsidRPr="00197A8D">
        <w:t xml:space="preserve">costos de los proyectos propuestos por la Unión.  Dado que </w:t>
      </w:r>
      <w:r w:rsidR="0055221B" w:rsidRPr="00197A8D">
        <w:t>a fines d</w:t>
      </w:r>
      <w:r w:rsidR="00197A8D" w:rsidRPr="00197A8D">
        <w:t>e 2</w:t>
      </w:r>
      <w:r w:rsidR="0055221B" w:rsidRPr="00197A8D">
        <w:t xml:space="preserve">016 </w:t>
      </w:r>
      <w:r w:rsidR="00250A03" w:rsidRPr="00197A8D">
        <w:t xml:space="preserve">se registró un déficit en </w:t>
      </w:r>
      <w:r w:rsidRPr="00197A8D">
        <w:t xml:space="preserve">el saldo de las reservas de las Uniones de La Haya y Lisboa, los costos se asignan a las Uniones financiadas por contribuciones, la Unión del PCT y la Unión de Madrid.  El saldo positivo de reservas para estas Uniones, </w:t>
      </w:r>
      <w:r w:rsidR="00250A03" w:rsidRPr="00197A8D">
        <w:t>que supera el objetivo d</w:t>
      </w:r>
      <w:r w:rsidR="00197A8D" w:rsidRPr="00197A8D">
        <w:t>e 2</w:t>
      </w:r>
      <w:r w:rsidR="00250A03" w:rsidRPr="00197A8D">
        <w:t>018/</w:t>
      </w:r>
      <w:r w:rsidRPr="00197A8D">
        <w:t xml:space="preserve">19, demuestra que las Uniones no están siendo afectadas negativamente por los proyectos propuestos </w:t>
      </w:r>
      <w:r w:rsidR="00250A03" w:rsidRPr="00197A8D">
        <w:t xml:space="preserve">en </w:t>
      </w:r>
      <w:r w:rsidR="005E5DFD" w:rsidRPr="00197A8D">
        <w:t>el PM</w:t>
      </w:r>
      <w:r w:rsidR="00197A8D" w:rsidRPr="00197A8D">
        <w:t>M 2</w:t>
      </w:r>
      <w:r w:rsidR="00250A03" w:rsidRPr="00197A8D">
        <w:t>018/</w:t>
      </w:r>
      <w:r w:rsidRPr="00197A8D">
        <w:t>19</w:t>
      </w:r>
      <w:r w:rsidR="00822607" w:rsidRPr="00197A8D">
        <w:t>.</w:t>
      </w:r>
    </w:p>
    <w:p w:rsidR="00A06E57" w:rsidRPr="00197A8D" w:rsidRDefault="00A06E57" w:rsidP="002E02E7">
      <w:pPr>
        <w:rPr>
          <w:szCs w:val="12"/>
        </w:rPr>
      </w:pPr>
    </w:p>
    <w:tbl>
      <w:tblPr>
        <w:tblW w:w="8997" w:type="dxa"/>
        <w:jc w:val="center"/>
        <w:tblLook w:val="04A0" w:firstRow="1" w:lastRow="0" w:firstColumn="1" w:lastColumn="0" w:noHBand="0" w:noVBand="1"/>
      </w:tblPr>
      <w:tblGrid>
        <w:gridCol w:w="8997"/>
      </w:tblGrid>
      <w:tr w:rsidR="00A06E57" w:rsidRPr="00197A8D" w:rsidTr="0055221B">
        <w:trPr>
          <w:trHeight w:val="268"/>
          <w:jc w:val="center"/>
        </w:trPr>
        <w:tc>
          <w:tcPr>
            <w:tcW w:w="8997" w:type="dxa"/>
            <w:shd w:val="clear" w:color="auto" w:fill="C6D9F1" w:themeFill="text2" w:themeFillTint="33"/>
            <w:noWrap/>
            <w:vAlign w:val="center"/>
          </w:tcPr>
          <w:p w:rsidR="00A06E57" w:rsidRPr="00197A8D" w:rsidRDefault="00A06E57" w:rsidP="002E02E7">
            <w:pPr>
              <w:jc w:val="center"/>
            </w:pPr>
            <w:r w:rsidRPr="00197A8D">
              <w:t>Cuadr</w:t>
            </w:r>
            <w:r w:rsidR="00197A8D" w:rsidRPr="00197A8D">
              <w:t>o 5:  S</w:t>
            </w:r>
            <w:r w:rsidRPr="00197A8D">
              <w:t>ituación estimada de las reservas por Unión a fines d</w:t>
            </w:r>
            <w:r w:rsidR="00197A8D" w:rsidRPr="00197A8D">
              <w:t>e 2</w:t>
            </w:r>
            <w:r w:rsidRPr="00197A8D">
              <w:t xml:space="preserve">017 </w:t>
            </w:r>
          </w:p>
          <w:p w:rsidR="00A06E57" w:rsidRPr="00197A8D" w:rsidRDefault="00A06E57" w:rsidP="002E02E7">
            <w:pPr>
              <w:jc w:val="center"/>
              <w:rPr>
                <w:rFonts w:asciiTheme="minorHAnsi" w:eastAsia="Times New Roman" w:hAnsiTheme="minorHAnsi" w:cstheme="minorHAnsi"/>
                <w:i/>
                <w:color w:val="000000"/>
                <w:sz w:val="18"/>
                <w:szCs w:val="18"/>
              </w:rPr>
            </w:pPr>
            <w:r w:rsidRPr="00197A8D">
              <w:rPr>
                <w:rFonts w:asciiTheme="minorHAnsi" w:eastAsia="Times New Roman" w:hAnsiTheme="minorHAnsi" w:cstheme="minorHAnsi"/>
                <w:i/>
                <w:iCs/>
                <w:color w:val="000000"/>
                <w:sz w:val="18"/>
                <w:szCs w:val="18"/>
              </w:rPr>
              <w:t>(en miles de francos suizos)</w:t>
            </w:r>
          </w:p>
        </w:tc>
      </w:tr>
    </w:tbl>
    <w:p w:rsidR="00A06E57" w:rsidRPr="00197A8D" w:rsidRDefault="00A06E57" w:rsidP="002E02E7">
      <w:pPr>
        <w:jc w:val="center"/>
        <w:rPr>
          <w:rFonts w:asciiTheme="minorHAnsi" w:eastAsia="Times New Roman" w:hAnsiTheme="minorHAnsi" w:cstheme="minorHAnsi"/>
          <w:i/>
          <w:color w:val="000000"/>
          <w:sz w:val="8"/>
          <w:szCs w:val="8"/>
        </w:rPr>
      </w:pPr>
    </w:p>
    <w:p w:rsidR="00A06E57" w:rsidRPr="00197A8D" w:rsidRDefault="0084358E" w:rsidP="0084358E">
      <w:pPr>
        <w:jc w:val="center"/>
      </w:pPr>
      <w:r w:rsidRPr="00197A8D">
        <w:rPr>
          <w:noProof/>
          <w:lang w:val="en-US" w:eastAsia="en-US"/>
        </w:rPr>
        <w:drawing>
          <wp:inline distT="0" distB="0" distL="0" distR="0" wp14:anchorId="4C362743" wp14:editId="548D1AA4">
            <wp:extent cx="5771558" cy="2964173"/>
            <wp:effectExtent l="0" t="0" r="635"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70340" cy="2963547"/>
                    </a:xfrm>
                    <a:prstGeom prst="rect">
                      <a:avLst/>
                    </a:prstGeom>
                    <a:noFill/>
                    <a:ln>
                      <a:noFill/>
                    </a:ln>
                  </pic:spPr>
                </pic:pic>
              </a:graphicData>
            </a:graphic>
          </wp:inline>
        </w:drawing>
      </w:r>
    </w:p>
    <w:p w:rsidR="00A06E57" w:rsidRPr="00197A8D" w:rsidRDefault="00A06E57" w:rsidP="002E02E7">
      <w:pPr>
        <w:rPr>
          <w:rFonts w:eastAsia="Times New Roman"/>
          <w:i/>
          <w:color w:val="000000"/>
          <w:sz w:val="8"/>
          <w:szCs w:val="8"/>
        </w:rPr>
      </w:pPr>
    </w:p>
    <w:p w:rsidR="00A06E57" w:rsidRPr="00197A8D" w:rsidRDefault="00A06E57" w:rsidP="002E02E7">
      <w:pPr>
        <w:rPr>
          <w:rFonts w:eastAsia="Times New Roman"/>
          <w:i/>
          <w:color w:val="000000"/>
          <w:sz w:val="14"/>
          <w:szCs w:val="14"/>
        </w:rPr>
      </w:pPr>
      <w:r w:rsidRPr="00197A8D">
        <w:rPr>
          <w:rFonts w:eastAsia="Times New Roman"/>
          <w:i/>
          <w:iCs/>
          <w:color w:val="000000"/>
          <w:sz w:val="14"/>
          <w:szCs w:val="14"/>
        </w:rPr>
        <w:t xml:space="preserve">*Con exclusión de los fondos de reserva y operaciones (FRO) y las reservas correspondientes al superávit </w:t>
      </w:r>
      <w:r w:rsidR="0025516D" w:rsidRPr="00197A8D">
        <w:rPr>
          <w:rFonts w:eastAsia="Times New Roman"/>
          <w:i/>
          <w:iCs/>
          <w:color w:val="000000"/>
          <w:sz w:val="14"/>
          <w:szCs w:val="14"/>
        </w:rPr>
        <w:t>de</w:t>
      </w:r>
      <w:r w:rsidR="008C29DD" w:rsidRPr="00197A8D">
        <w:rPr>
          <w:rFonts w:eastAsia="Times New Roman"/>
          <w:i/>
          <w:iCs/>
          <w:color w:val="000000"/>
          <w:sz w:val="14"/>
          <w:szCs w:val="14"/>
        </w:rPr>
        <w:t xml:space="preserve"> revaluación.</w:t>
      </w:r>
    </w:p>
    <w:p w:rsidR="00A06E57" w:rsidRPr="00197A8D" w:rsidRDefault="00A06E57" w:rsidP="002E02E7">
      <w:pPr>
        <w:rPr>
          <w:rFonts w:eastAsia="Times New Roman"/>
          <w:i/>
          <w:color w:val="000000"/>
          <w:sz w:val="14"/>
          <w:szCs w:val="14"/>
        </w:rPr>
      </w:pPr>
      <w:r w:rsidRPr="00197A8D">
        <w:rPr>
          <w:rFonts w:eastAsia="Times New Roman"/>
          <w:i/>
          <w:iCs/>
          <w:color w:val="000000"/>
          <w:sz w:val="14"/>
          <w:szCs w:val="14"/>
        </w:rPr>
        <w:t xml:space="preserve">**Las reservas previstas se basan en objetivos para las Uniones establecidos en la política </w:t>
      </w:r>
      <w:r w:rsidR="008C29DD" w:rsidRPr="00197A8D">
        <w:rPr>
          <w:rFonts w:eastAsia="Times New Roman"/>
          <w:i/>
          <w:iCs/>
          <w:color w:val="000000"/>
          <w:sz w:val="14"/>
          <w:szCs w:val="14"/>
        </w:rPr>
        <w:t>de reservas revisada</w:t>
      </w:r>
      <w:r w:rsidRPr="00197A8D">
        <w:rPr>
          <w:rFonts w:eastAsia="Times New Roman"/>
          <w:i/>
          <w:iCs/>
          <w:color w:val="000000"/>
          <w:sz w:val="14"/>
          <w:szCs w:val="14"/>
        </w:rPr>
        <w:t>, es decir, u</w:t>
      </w:r>
      <w:r w:rsidR="00197A8D" w:rsidRPr="00197A8D">
        <w:rPr>
          <w:rFonts w:eastAsia="Times New Roman"/>
          <w:i/>
          <w:iCs/>
          <w:color w:val="000000"/>
          <w:sz w:val="14"/>
          <w:szCs w:val="14"/>
        </w:rPr>
        <w:t>n 2</w:t>
      </w:r>
      <w:r w:rsidRPr="00197A8D">
        <w:rPr>
          <w:rFonts w:eastAsia="Times New Roman"/>
          <w:i/>
          <w:iCs/>
          <w:color w:val="000000"/>
          <w:sz w:val="14"/>
          <w:szCs w:val="14"/>
        </w:rPr>
        <w:t xml:space="preserve">2% </w:t>
      </w:r>
      <w:r w:rsidR="008C29DD" w:rsidRPr="00197A8D">
        <w:rPr>
          <w:rFonts w:eastAsia="Times New Roman"/>
          <w:i/>
          <w:iCs/>
          <w:color w:val="000000"/>
          <w:sz w:val="14"/>
          <w:szCs w:val="14"/>
        </w:rPr>
        <w:t>del presupuesto bienal d</w:t>
      </w:r>
      <w:r w:rsidR="00197A8D" w:rsidRPr="00197A8D">
        <w:rPr>
          <w:rFonts w:eastAsia="Times New Roman"/>
          <w:i/>
          <w:iCs/>
          <w:color w:val="000000"/>
          <w:sz w:val="14"/>
          <w:szCs w:val="14"/>
        </w:rPr>
        <w:t>e 2</w:t>
      </w:r>
      <w:r w:rsidR="008C29DD" w:rsidRPr="00197A8D">
        <w:rPr>
          <w:rFonts w:eastAsia="Times New Roman"/>
          <w:i/>
          <w:iCs/>
          <w:color w:val="000000"/>
          <w:sz w:val="14"/>
          <w:szCs w:val="14"/>
        </w:rPr>
        <w:t>018/</w:t>
      </w:r>
      <w:r w:rsidRPr="00197A8D">
        <w:rPr>
          <w:rFonts w:eastAsia="Times New Roman"/>
          <w:i/>
          <w:iCs/>
          <w:color w:val="000000"/>
          <w:sz w:val="14"/>
          <w:szCs w:val="14"/>
        </w:rPr>
        <w:t>19 d</w:t>
      </w:r>
      <w:r w:rsidR="00197A8D" w:rsidRPr="00197A8D">
        <w:rPr>
          <w:rFonts w:eastAsia="Times New Roman"/>
          <w:i/>
          <w:iCs/>
          <w:color w:val="000000"/>
          <w:sz w:val="14"/>
          <w:szCs w:val="14"/>
        </w:rPr>
        <w:t>e 7</w:t>
      </w:r>
      <w:r w:rsidRPr="00197A8D">
        <w:rPr>
          <w:rFonts w:eastAsia="Times New Roman"/>
          <w:i/>
          <w:iCs/>
          <w:color w:val="000000"/>
          <w:sz w:val="14"/>
          <w:szCs w:val="14"/>
        </w:rPr>
        <w:t>25 millones de francos suizos</w:t>
      </w:r>
      <w:r w:rsidR="008C29DD" w:rsidRPr="00197A8D">
        <w:rPr>
          <w:rFonts w:eastAsia="Times New Roman"/>
          <w:i/>
          <w:iCs/>
          <w:color w:val="000000"/>
          <w:sz w:val="14"/>
          <w:szCs w:val="14"/>
        </w:rPr>
        <w:t>.</w:t>
      </w:r>
    </w:p>
    <w:p w:rsidR="00A06E57" w:rsidRPr="00197A8D" w:rsidRDefault="00A06E57" w:rsidP="002E02E7">
      <w:pPr>
        <w:rPr>
          <w:rFonts w:eastAsia="Times New Roman"/>
          <w:i/>
          <w:color w:val="000000"/>
          <w:sz w:val="14"/>
          <w:szCs w:val="14"/>
        </w:rPr>
      </w:pPr>
      <w:r w:rsidRPr="00197A8D">
        <w:rPr>
          <w:rFonts w:eastAsia="Times New Roman"/>
          <w:i/>
          <w:iCs/>
          <w:color w:val="000000"/>
          <w:sz w:val="14"/>
          <w:szCs w:val="14"/>
        </w:rPr>
        <w:t>***No tiene en cuenta el resultado global previsto tras el gasto de reserva par</w:t>
      </w:r>
      <w:r w:rsidR="00197A8D" w:rsidRPr="00197A8D">
        <w:rPr>
          <w:rFonts w:eastAsia="Times New Roman"/>
          <w:i/>
          <w:iCs/>
          <w:color w:val="000000"/>
          <w:sz w:val="14"/>
          <w:szCs w:val="14"/>
        </w:rPr>
        <w:t>a 2</w:t>
      </w:r>
      <w:r w:rsidRPr="00197A8D">
        <w:rPr>
          <w:rFonts w:eastAsia="Times New Roman"/>
          <w:i/>
          <w:iCs/>
          <w:color w:val="000000"/>
          <w:sz w:val="14"/>
          <w:szCs w:val="14"/>
        </w:rPr>
        <w:t xml:space="preserve">017, que </w:t>
      </w:r>
      <w:r w:rsidR="00F1593B" w:rsidRPr="00197A8D">
        <w:rPr>
          <w:rFonts w:eastAsia="Times New Roman"/>
          <w:i/>
          <w:iCs/>
          <w:color w:val="000000"/>
          <w:sz w:val="14"/>
          <w:szCs w:val="14"/>
        </w:rPr>
        <w:t>asciende</w:t>
      </w:r>
      <w:r w:rsidRPr="00197A8D">
        <w:rPr>
          <w:rFonts w:eastAsia="Times New Roman"/>
          <w:i/>
          <w:iCs/>
          <w:color w:val="000000"/>
          <w:sz w:val="14"/>
          <w:szCs w:val="14"/>
        </w:rPr>
        <w:t xml:space="preserve"> </w:t>
      </w:r>
      <w:r w:rsidR="00197A8D" w:rsidRPr="00197A8D">
        <w:rPr>
          <w:rFonts w:eastAsia="Times New Roman"/>
          <w:i/>
          <w:iCs/>
          <w:color w:val="000000"/>
          <w:sz w:val="14"/>
          <w:szCs w:val="14"/>
        </w:rPr>
        <w:t>a 2</w:t>
      </w:r>
      <w:r w:rsidRPr="00197A8D">
        <w:rPr>
          <w:rFonts w:eastAsia="Times New Roman"/>
          <w:i/>
          <w:iCs/>
          <w:color w:val="000000"/>
          <w:sz w:val="14"/>
          <w:szCs w:val="14"/>
        </w:rPr>
        <w:t>4,3 millones de francos suizos</w:t>
      </w:r>
      <w:r w:rsidR="008C29DD" w:rsidRPr="00197A8D">
        <w:rPr>
          <w:rFonts w:eastAsia="Times New Roman"/>
          <w:i/>
          <w:iCs/>
          <w:color w:val="000000"/>
          <w:sz w:val="14"/>
          <w:szCs w:val="14"/>
        </w:rPr>
        <w:t>.</w:t>
      </w:r>
    </w:p>
    <w:p w:rsidR="00822607" w:rsidRPr="00197A8D" w:rsidRDefault="00A06E57" w:rsidP="002E02E7">
      <w:pPr>
        <w:rPr>
          <w:rFonts w:eastAsia="Times New Roman"/>
          <w:i/>
          <w:iCs/>
          <w:color w:val="000000"/>
          <w:sz w:val="14"/>
          <w:szCs w:val="14"/>
        </w:rPr>
      </w:pPr>
      <w:r w:rsidRPr="00197A8D">
        <w:rPr>
          <w:rFonts w:eastAsia="Times New Roman"/>
          <w:i/>
          <w:iCs/>
          <w:color w:val="000000"/>
          <w:sz w:val="14"/>
          <w:szCs w:val="14"/>
        </w:rPr>
        <w:t>Nota</w:t>
      </w:r>
      <w:proofErr w:type="gramStart"/>
      <w:r w:rsidR="00197A8D" w:rsidRPr="00197A8D">
        <w:rPr>
          <w:rFonts w:eastAsia="Times New Roman"/>
          <w:i/>
          <w:iCs/>
          <w:color w:val="000000"/>
          <w:sz w:val="14"/>
          <w:szCs w:val="14"/>
        </w:rPr>
        <w:t>:  L</w:t>
      </w:r>
      <w:r w:rsidRPr="00197A8D">
        <w:rPr>
          <w:rFonts w:eastAsia="Times New Roman"/>
          <w:i/>
          <w:iCs/>
          <w:color w:val="000000"/>
          <w:sz w:val="14"/>
          <w:szCs w:val="14"/>
        </w:rPr>
        <w:t>a</w:t>
      </w:r>
      <w:proofErr w:type="gramEnd"/>
      <w:r w:rsidRPr="00197A8D">
        <w:rPr>
          <w:rFonts w:eastAsia="Times New Roman"/>
          <w:i/>
          <w:iCs/>
          <w:color w:val="000000"/>
          <w:sz w:val="14"/>
          <w:szCs w:val="14"/>
        </w:rPr>
        <w:t xml:space="preserve"> metodología utilizada para asignar los ingresos y los gastos por Unión es similar a la metodología utilizada para </w:t>
      </w:r>
      <w:r w:rsidR="008C29DD" w:rsidRPr="00197A8D">
        <w:rPr>
          <w:rFonts w:eastAsia="Times New Roman"/>
          <w:i/>
          <w:iCs/>
          <w:color w:val="000000"/>
          <w:sz w:val="14"/>
          <w:szCs w:val="14"/>
        </w:rPr>
        <w:t>preparar el Programa y Presupuest</w:t>
      </w:r>
      <w:r w:rsidR="00197A8D" w:rsidRPr="00197A8D">
        <w:rPr>
          <w:rFonts w:eastAsia="Times New Roman"/>
          <w:i/>
          <w:iCs/>
          <w:color w:val="000000"/>
          <w:sz w:val="14"/>
          <w:szCs w:val="14"/>
        </w:rPr>
        <w:t>o 2</w:t>
      </w:r>
      <w:r w:rsidR="008C29DD" w:rsidRPr="00197A8D">
        <w:rPr>
          <w:rFonts w:eastAsia="Times New Roman"/>
          <w:i/>
          <w:iCs/>
          <w:color w:val="000000"/>
          <w:sz w:val="14"/>
          <w:szCs w:val="14"/>
        </w:rPr>
        <w:t>018/</w:t>
      </w:r>
      <w:r w:rsidRPr="00197A8D">
        <w:rPr>
          <w:rFonts w:eastAsia="Times New Roman"/>
          <w:i/>
          <w:iCs/>
          <w:color w:val="000000"/>
          <w:sz w:val="14"/>
          <w:szCs w:val="14"/>
        </w:rPr>
        <w:t>1</w:t>
      </w:r>
      <w:r w:rsidR="008C29DD" w:rsidRPr="00197A8D">
        <w:rPr>
          <w:rFonts w:eastAsia="Times New Roman"/>
          <w:i/>
          <w:iCs/>
          <w:color w:val="000000"/>
          <w:sz w:val="14"/>
          <w:szCs w:val="14"/>
        </w:rPr>
        <w:t>9 (sin variaciones desd</w:t>
      </w:r>
      <w:r w:rsidR="00197A8D" w:rsidRPr="00197A8D">
        <w:rPr>
          <w:rFonts w:eastAsia="Times New Roman"/>
          <w:i/>
          <w:iCs/>
          <w:color w:val="000000"/>
          <w:sz w:val="14"/>
          <w:szCs w:val="14"/>
        </w:rPr>
        <w:t>e 2</w:t>
      </w:r>
      <w:r w:rsidR="008C29DD" w:rsidRPr="00197A8D">
        <w:rPr>
          <w:rFonts w:eastAsia="Times New Roman"/>
          <w:i/>
          <w:iCs/>
          <w:color w:val="000000"/>
          <w:sz w:val="14"/>
          <w:szCs w:val="14"/>
        </w:rPr>
        <w:t>016/</w:t>
      </w:r>
      <w:r w:rsidRPr="00197A8D">
        <w:rPr>
          <w:rFonts w:eastAsia="Times New Roman"/>
          <w:i/>
          <w:iCs/>
          <w:color w:val="000000"/>
          <w:sz w:val="14"/>
          <w:szCs w:val="14"/>
        </w:rPr>
        <w:t>17)</w:t>
      </w:r>
      <w:r w:rsidR="00822607" w:rsidRPr="00197A8D">
        <w:rPr>
          <w:rFonts w:eastAsia="Times New Roman"/>
          <w:i/>
          <w:iCs/>
          <w:color w:val="000000"/>
          <w:sz w:val="14"/>
          <w:szCs w:val="14"/>
        </w:rPr>
        <w:t>.</w:t>
      </w:r>
    </w:p>
    <w:p w:rsidR="002E02E7" w:rsidRPr="00197A8D" w:rsidRDefault="002E02E7" w:rsidP="002E02E7">
      <w:pPr>
        <w:pStyle w:val="ONUME"/>
        <w:numPr>
          <w:ilvl w:val="0"/>
          <w:numId w:val="0"/>
        </w:numPr>
        <w:tabs>
          <w:tab w:val="left" w:pos="1620"/>
        </w:tabs>
        <w:spacing w:after="0"/>
      </w:pPr>
    </w:p>
    <w:p w:rsidR="002E02E7" w:rsidRPr="00197A8D" w:rsidRDefault="002E02E7" w:rsidP="002E02E7">
      <w:pPr>
        <w:pStyle w:val="ONUME"/>
        <w:numPr>
          <w:ilvl w:val="0"/>
          <w:numId w:val="0"/>
        </w:numPr>
        <w:tabs>
          <w:tab w:val="left" w:pos="1620"/>
        </w:tabs>
        <w:spacing w:after="0"/>
      </w:pPr>
    </w:p>
    <w:p w:rsidR="00A06E57" w:rsidRPr="00197A8D" w:rsidRDefault="00A06E57" w:rsidP="002E02E7">
      <w:pPr>
        <w:pStyle w:val="ONUME"/>
        <w:numPr>
          <w:ilvl w:val="0"/>
          <w:numId w:val="0"/>
        </w:numPr>
        <w:tabs>
          <w:tab w:val="left" w:pos="1620"/>
        </w:tabs>
        <w:spacing w:after="0"/>
      </w:pPr>
      <w:r w:rsidRPr="00197A8D">
        <w:rPr>
          <w:b/>
          <w:bCs/>
        </w:rPr>
        <w:lastRenderedPageBreak/>
        <w:t>IMPACTO EN LOS FLUJOS DE EFECTIVO Y LOS NIVELES DE LIQUIDEZ DE LAS RESERVAS</w:t>
      </w:r>
    </w:p>
    <w:p w:rsidR="00A06E57" w:rsidRPr="00197A8D" w:rsidRDefault="00A06E57" w:rsidP="002E02E7"/>
    <w:p w:rsidR="00822607" w:rsidRPr="00197A8D" w:rsidRDefault="00A06E57" w:rsidP="002E02E7">
      <w:pPr>
        <w:numPr>
          <w:ilvl w:val="0"/>
          <w:numId w:val="13"/>
        </w:numPr>
        <w:tabs>
          <w:tab w:val="left" w:pos="567"/>
          <w:tab w:val="left" w:pos="5670"/>
        </w:tabs>
        <w:spacing w:after="220"/>
        <w:ind w:left="0" w:firstLine="0"/>
        <w:contextualSpacing/>
      </w:pPr>
      <w:r w:rsidRPr="00197A8D">
        <w:t xml:space="preserve">El efectivo disponible de la OMPI y la liquidez de sus reservas son más que suficientes para financiar </w:t>
      </w:r>
      <w:r w:rsidR="008C29DD" w:rsidRPr="00197A8D">
        <w:t xml:space="preserve">plenamente </w:t>
      </w:r>
      <w:r w:rsidRPr="00197A8D">
        <w:t xml:space="preserve">el nivel de </w:t>
      </w:r>
      <w:r w:rsidR="008C29DD" w:rsidRPr="00197A8D">
        <w:t>transferencia</w:t>
      </w:r>
      <w:r w:rsidRPr="00197A8D">
        <w:t xml:space="preserve"> de efectivo propuesto en el </w:t>
      </w:r>
      <w:r w:rsidR="005E5DFD" w:rsidRPr="00197A8D">
        <w:t>PM</w:t>
      </w:r>
      <w:r w:rsidR="00197A8D" w:rsidRPr="00197A8D">
        <w:t>M 2</w:t>
      </w:r>
      <w:r w:rsidR="008C29DD" w:rsidRPr="00197A8D">
        <w:t>018-</w:t>
      </w:r>
      <w:r w:rsidRPr="00197A8D">
        <w:t xml:space="preserve">19 y el saldo del </w:t>
      </w:r>
      <w:r w:rsidR="005E5DFD" w:rsidRPr="00197A8D">
        <w:t>PM</w:t>
      </w:r>
      <w:r w:rsidR="00197A8D" w:rsidRPr="00197A8D">
        <w:t>M 2</w:t>
      </w:r>
      <w:r w:rsidR="00831DA3" w:rsidRPr="00197A8D">
        <w:t>014-2019, así como</w:t>
      </w:r>
      <w:r w:rsidRPr="00197A8D">
        <w:t xml:space="preserve"> otros proyectos especiales financiados con cargo a las reservas</w:t>
      </w:r>
      <w:r w:rsidR="00822607" w:rsidRPr="00197A8D">
        <w:t>.</w:t>
      </w:r>
    </w:p>
    <w:p w:rsidR="00A06E57" w:rsidRPr="00197A8D" w:rsidRDefault="00A06E57" w:rsidP="002E02E7">
      <w:pPr>
        <w:rPr>
          <w:color w:val="000000"/>
        </w:rPr>
      </w:pPr>
    </w:p>
    <w:p w:rsidR="00A06E57" w:rsidRPr="00197A8D" w:rsidRDefault="00A06E57" w:rsidP="002E02E7">
      <w:pPr>
        <w:rPr>
          <w:i/>
          <w:color w:val="000000"/>
        </w:rPr>
      </w:pPr>
      <w:r w:rsidRPr="00197A8D">
        <w:rPr>
          <w:i/>
          <w:iCs/>
          <w:color w:val="000000"/>
        </w:rPr>
        <w:t xml:space="preserve">Impacto en los flujos de efectivo  </w:t>
      </w:r>
    </w:p>
    <w:p w:rsidR="00A06E57" w:rsidRPr="00197A8D" w:rsidRDefault="00A06E57" w:rsidP="002E02E7">
      <w:pPr>
        <w:rPr>
          <w:color w:val="000000"/>
        </w:rPr>
      </w:pPr>
    </w:p>
    <w:p w:rsidR="00A06E57" w:rsidRPr="00197A8D" w:rsidRDefault="00A06E57" w:rsidP="002E02E7">
      <w:pPr>
        <w:numPr>
          <w:ilvl w:val="0"/>
          <w:numId w:val="13"/>
        </w:numPr>
        <w:tabs>
          <w:tab w:val="left" w:pos="567"/>
          <w:tab w:val="left" w:pos="5670"/>
        </w:tabs>
        <w:spacing w:after="220"/>
        <w:ind w:left="0" w:firstLine="0"/>
        <w:contextualSpacing/>
      </w:pPr>
      <w:r w:rsidRPr="00197A8D">
        <w:t xml:space="preserve">Después de </w:t>
      </w:r>
      <w:r w:rsidR="00831DA3" w:rsidRPr="00197A8D">
        <w:t>haber guardado</w:t>
      </w:r>
      <w:r w:rsidRPr="00197A8D">
        <w:t xml:space="preserve"> la reserva </w:t>
      </w:r>
      <w:r w:rsidR="005024B3" w:rsidRPr="00197A8D">
        <w:t>operacional</w:t>
      </w:r>
      <w:r w:rsidRPr="00197A8D">
        <w:t xml:space="preserve"> prevista de</w:t>
      </w:r>
      <w:r w:rsidR="00197A8D" w:rsidRPr="00197A8D">
        <w:t>l 2</w:t>
      </w:r>
      <w:r w:rsidRPr="00197A8D">
        <w:t>2% del Pro</w:t>
      </w:r>
      <w:r w:rsidR="00ED08BA" w:rsidRPr="00197A8D">
        <w:t>grama y Presupuesto par</w:t>
      </w:r>
      <w:r w:rsidR="00197A8D" w:rsidRPr="00197A8D">
        <w:t>a 2</w:t>
      </w:r>
      <w:r w:rsidR="00ED08BA" w:rsidRPr="00197A8D">
        <w:t>016/</w:t>
      </w:r>
      <w:r w:rsidRPr="00197A8D">
        <w:t xml:space="preserve">17 (157 millones de francos suizos) y las reservas </w:t>
      </w:r>
      <w:r w:rsidR="00ED08BA" w:rsidRPr="00197A8D">
        <w:t>establecid</w:t>
      </w:r>
      <w:r w:rsidR="00F1593B" w:rsidRPr="00197A8D">
        <w:t>as</w:t>
      </w:r>
      <w:r w:rsidRPr="00197A8D">
        <w:t xml:space="preserve"> </w:t>
      </w:r>
      <w:r w:rsidR="00ED08BA" w:rsidRPr="00197A8D">
        <w:t>para</w:t>
      </w:r>
      <w:r w:rsidRPr="00197A8D">
        <w:t xml:space="preserve"> la financiación </w:t>
      </w:r>
      <w:r w:rsidR="00ED08BA" w:rsidRPr="00197A8D">
        <w:t xml:space="preserve">del pasivo </w:t>
      </w:r>
      <w:r w:rsidRPr="00197A8D">
        <w:t>del seguro médico tras la separación del servicio (ASHI) (</w:t>
      </w:r>
      <w:r w:rsidR="00831DA3" w:rsidRPr="00197A8D">
        <w:t xml:space="preserve">el </w:t>
      </w:r>
      <w:r w:rsidR="00ED08BA" w:rsidRPr="00197A8D">
        <w:t>efectivo e</w:t>
      </w:r>
      <w:r w:rsidRPr="00197A8D">
        <w:t xml:space="preserve">stratégico </w:t>
      </w:r>
      <w:r w:rsidR="00ED08BA" w:rsidRPr="00197A8D">
        <w:t xml:space="preserve">asciende </w:t>
      </w:r>
      <w:r w:rsidR="00197A8D" w:rsidRPr="00197A8D">
        <w:t>a 1</w:t>
      </w:r>
      <w:r w:rsidRPr="00197A8D">
        <w:t xml:space="preserve">08,6 millones de francos suizos), el saldo de efectivo básico, incluida la reserva para proyectos especiales, es </w:t>
      </w:r>
      <w:r w:rsidR="00ED08BA" w:rsidRPr="00197A8D">
        <w:t>el</w:t>
      </w:r>
      <w:r w:rsidRPr="00197A8D">
        <w:t xml:space="preserve"> siguiente:</w:t>
      </w:r>
    </w:p>
    <w:p w:rsidR="00A06E57" w:rsidRPr="00197A8D" w:rsidRDefault="00A06E57" w:rsidP="002E02E7"/>
    <w:p w:rsidR="00A06E57" w:rsidRPr="00197A8D" w:rsidRDefault="00A06E57" w:rsidP="002E02E7"/>
    <w:tbl>
      <w:tblPr>
        <w:tblW w:w="6425" w:type="dxa"/>
        <w:jc w:val="center"/>
        <w:tblLook w:val="04A0" w:firstRow="1" w:lastRow="0" w:firstColumn="1" w:lastColumn="0" w:noHBand="0" w:noVBand="1"/>
      </w:tblPr>
      <w:tblGrid>
        <w:gridCol w:w="4063"/>
        <w:gridCol w:w="1276"/>
        <w:gridCol w:w="1086"/>
      </w:tblGrid>
      <w:tr w:rsidR="00A06E57" w:rsidRPr="00197A8D" w:rsidTr="002E02E7">
        <w:trPr>
          <w:trHeight w:val="255"/>
          <w:jc w:val="center"/>
        </w:trPr>
        <w:tc>
          <w:tcPr>
            <w:tcW w:w="6425" w:type="dxa"/>
            <w:gridSpan w:val="3"/>
            <w:shd w:val="clear" w:color="auto" w:fill="C6D9F1" w:themeFill="text2" w:themeFillTint="33"/>
            <w:noWrap/>
            <w:vAlign w:val="center"/>
          </w:tcPr>
          <w:p w:rsidR="00A06E57" w:rsidRPr="00197A8D" w:rsidRDefault="00A06E57" w:rsidP="002E02E7">
            <w:pPr>
              <w:jc w:val="center"/>
            </w:pPr>
            <w:r w:rsidRPr="00197A8D">
              <w:t>Cuadr</w:t>
            </w:r>
            <w:r w:rsidR="00197A8D" w:rsidRPr="00197A8D">
              <w:t>o 6:  R</w:t>
            </w:r>
            <w:r w:rsidRPr="00197A8D">
              <w:t xml:space="preserve">eservas según la política de inversión  </w:t>
            </w:r>
          </w:p>
          <w:p w:rsidR="00A06E57" w:rsidRPr="00197A8D" w:rsidRDefault="00A06E57" w:rsidP="002E02E7">
            <w:pPr>
              <w:jc w:val="center"/>
              <w:rPr>
                <w:rFonts w:asciiTheme="minorHAnsi" w:eastAsia="Times New Roman" w:hAnsiTheme="minorHAnsi" w:cstheme="minorHAnsi"/>
                <w:i/>
                <w:color w:val="000000"/>
                <w:sz w:val="18"/>
                <w:szCs w:val="18"/>
              </w:rPr>
            </w:pPr>
            <w:r w:rsidRPr="00197A8D">
              <w:rPr>
                <w:rFonts w:asciiTheme="minorHAnsi" w:eastAsia="Times New Roman" w:hAnsiTheme="minorHAnsi" w:cstheme="minorHAnsi"/>
                <w:i/>
                <w:iCs/>
                <w:color w:val="000000"/>
                <w:sz w:val="18"/>
                <w:szCs w:val="18"/>
              </w:rPr>
              <w:t>(en millones de francos suizos)</w:t>
            </w:r>
          </w:p>
        </w:tc>
      </w:tr>
      <w:tr w:rsidR="00A06E57" w:rsidRPr="00197A8D" w:rsidTr="002E02E7">
        <w:trPr>
          <w:trHeight w:val="71"/>
          <w:jc w:val="center"/>
        </w:trPr>
        <w:tc>
          <w:tcPr>
            <w:tcW w:w="4063" w:type="dxa"/>
            <w:shd w:val="clear" w:color="auto" w:fill="FFFFFF" w:themeFill="background1"/>
            <w:noWrap/>
            <w:vAlign w:val="center"/>
          </w:tcPr>
          <w:p w:rsidR="00A06E57" w:rsidRPr="00197A8D" w:rsidRDefault="00A06E57" w:rsidP="002E02E7">
            <w:pPr>
              <w:rPr>
                <w:rFonts w:eastAsia="Times New Roman"/>
                <w:b/>
                <w:color w:val="000000"/>
                <w:sz w:val="8"/>
                <w:szCs w:val="8"/>
              </w:rPr>
            </w:pPr>
          </w:p>
        </w:tc>
        <w:tc>
          <w:tcPr>
            <w:tcW w:w="1276" w:type="dxa"/>
            <w:shd w:val="clear" w:color="auto" w:fill="FFFFFF" w:themeFill="background1"/>
            <w:noWrap/>
            <w:vAlign w:val="bottom"/>
          </w:tcPr>
          <w:p w:rsidR="00A06E57" w:rsidRPr="00197A8D" w:rsidRDefault="00A06E57" w:rsidP="002E02E7">
            <w:pPr>
              <w:jc w:val="center"/>
              <w:rPr>
                <w:rFonts w:eastAsia="Times New Roman"/>
                <w:color w:val="000000"/>
                <w:sz w:val="18"/>
                <w:szCs w:val="18"/>
              </w:rPr>
            </w:pPr>
          </w:p>
        </w:tc>
        <w:tc>
          <w:tcPr>
            <w:tcW w:w="1086" w:type="dxa"/>
            <w:shd w:val="clear" w:color="auto" w:fill="FFFFFF" w:themeFill="background1"/>
            <w:noWrap/>
            <w:vAlign w:val="bottom"/>
          </w:tcPr>
          <w:p w:rsidR="00A06E57" w:rsidRPr="00197A8D" w:rsidRDefault="00A06E57" w:rsidP="002E02E7">
            <w:pPr>
              <w:jc w:val="center"/>
              <w:rPr>
                <w:rFonts w:eastAsia="Times New Roman"/>
                <w:color w:val="000000"/>
                <w:sz w:val="18"/>
                <w:szCs w:val="18"/>
              </w:rPr>
            </w:pPr>
          </w:p>
        </w:tc>
      </w:tr>
      <w:tr w:rsidR="00A06E57" w:rsidRPr="00197A8D" w:rsidTr="002E02E7">
        <w:trPr>
          <w:trHeight w:val="255"/>
          <w:jc w:val="center"/>
        </w:trPr>
        <w:tc>
          <w:tcPr>
            <w:tcW w:w="4063" w:type="dxa"/>
            <w:shd w:val="clear" w:color="auto" w:fill="C6D9F1" w:themeFill="text2" w:themeFillTint="33"/>
            <w:noWrap/>
            <w:vAlign w:val="center"/>
            <w:hideMark/>
          </w:tcPr>
          <w:p w:rsidR="00A06E57" w:rsidRPr="00197A8D" w:rsidRDefault="00A06E57" w:rsidP="002E02E7">
            <w:pPr>
              <w:rPr>
                <w:rFonts w:eastAsia="Times New Roman"/>
                <w:b/>
                <w:color w:val="000000"/>
                <w:sz w:val="18"/>
                <w:szCs w:val="18"/>
              </w:rPr>
            </w:pPr>
          </w:p>
        </w:tc>
        <w:tc>
          <w:tcPr>
            <w:tcW w:w="1276" w:type="dxa"/>
            <w:shd w:val="clear" w:color="auto" w:fill="C6D9F1" w:themeFill="text2" w:themeFillTint="33"/>
            <w:noWrap/>
            <w:vAlign w:val="bottom"/>
            <w:hideMark/>
          </w:tcPr>
          <w:p w:rsidR="00A06E57" w:rsidRPr="00197A8D" w:rsidRDefault="00A06E57" w:rsidP="002E02E7">
            <w:pPr>
              <w:jc w:val="center"/>
              <w:rPr>
                <w:rFonts w:eastAsia="Times New Roman"/>
                <w:color w:val="000000"/>
                <w:sz w:val="18"/>
                <w:szCs w:val="18"/>
              </w:rPr>
            </w:pPr>
            <w:r w:rsidRPr="00197A8D">
              <w:rPr>
                <w:rFonts w:eastAsia="Times New Roman"/>
                <w:color w:val="000000"/>
                <w:sz w:val="18"/>
                <w:szCs w:val="18"/>
              </w:rPr>
              <w:t>30 de abril d</w:t>
            </w:r>
            <w:r w:rsidR="00197A8D" w:rsidRPr="00197A8D">
              <w:rPr>
                <w:rFonts w:eastAsia="Times New Roman"/>
                <w:color w:val="000000"/>
                <w:sz w:val="18"/>
                <w:szCs w:val="18"/>
              </w:rPr>
              <w:t>e 2</w:t>
            </w:r>
            <w:r w:rsidRPr="00197A8D">
              <w:rPr>
                <w:rFonts w:eastAsia="Times New Roman"/>
                <w:color w:val="000000"/>
                <w:sz w:val="18"/>
                <w:szCs w:val="18"/>
              </w:rPr>
              <w:t>017</w:t>
            </w:r>
          </w:p>
        </w:tc>
        <w:tc>
          <w:tcPr>
            <w:tcW w:w="1086" w:type="dxa"/>
            <w:shd w:val="clear" w:color="auto" w:fill="C6D9F1" w:themeFill="text2" w:themeFillTint="33"/>
            <w:noWrap/>
            <w:vAlign w:val="bottom"/>
            <w:hideMark/>
          </w:tcPr>
          <w:p w:rsidR="00A06E57" w:rsidRPr="00197A8D" w:rsidRDefault="00A06E57" w:rsidP="002E02E7">
            <w:pPr>
              <w:jc w:val="center"/>
              <w:rPr>
                <w:rFonts w:eastAsia="Times New Roman"/>
                <w:color w:val="000000"/>
                <w:sz w:val="18"/>
                <w:szCs w:val="18"/>
              </w:rPr>
            </w:pPr>
            <w:r w:rsidRPr="00197A8D">
              <w:rPr>
                <w:rFonts w:eastAsia="Times New Roman"/>
                <w:color w:val="000000"/>
                <w:sz w:val="18"/>
                <w:szCs w:val="18"/>
              </w:rPr>
              <w:t>31 de diciembre d</w:t>
            </w:r>
            <w:r w:rsidR="00197A8D" w:rsidRPr="00197A8D">
              <w:rPr>
                <w:rFonts w:eastAsia="Times New Roman"/>
                <w:color w:val="000000"/>
                <w:sz w:val="18"/>
                <w:szCs w:val="18"/>
              </w:rPr>
              <w:t>e 2</w:t>
            </w:r>
            <w:r w:rsidRPr="00197A8D">
              <w:rPr>
                <w:rFonts w:eastAsia="Times New Roman"/>
                <w:color w:val="000000"/>
                <w:sz w:val="18"/>
                <w:szCs w:val="18"/>
              </w:rPr>
              <w:t>016</w:t>
            </w:r>
          </w:p>
        </w:tc>
      </w:tr>
      <w:tr w:rsidR="00A06E57" w:rsidRPr="00197A8D" w:rsidTr="002E02E7">
        <w:trPr>
          <w:trHeight w:val="255"/>
          <w:jc w:val="center"/>
        </w:trPr>
        <w:tc>
          <w:tcPr>
            <w:tcW w:w="4063" w:type="dxa"/>
            <w:shd w:val="clear" w:color="auto" w:fill="auto"/>
            <w:noWrap/>
            <w:vAlign w:val="bottom"/>
            <w:hideMark/>
          </w:tcPr>
          <w:p w:rsidR="00A06E57" w:rsidRPr="00197A8D" w:rsidRDefault="00A06E57" w:rsidP="002E02E7">
            <w:pPr>
              <w:rPr>
                <w:rFonts w:eastAsia="Times New Roman"/>
                <w:color w:val="000000"/>
                <w:sz w:val="18"/>
                <w:szCs w:val="18"/>
              </w:rPr>
            </w:pPr>
          </w:p>
          <w:p w:rsidR="00A06E57" w:rsidRPr="00197A8D" w:rsidRDefault="00A06E57" w:rsidP="002E02E7">
            <w:pPr>
              <w:rPr>
                <w:rFonts w:eastAsia="Times New Roman"/>
                <w:color w:val="000000"/>
                <w:sz w:val="18"/>
                <w:szCs w:val="18"/>
              </w:rPr>
            </w:pPr>
            <w:r w:rsidRPr="00197A8D">
              <w:rPr>
                <w:rFonts w:eastAsia="Times New Roman"/>
                <w:color w:val="000000"/>
                <w:sz w:val="18"/>
                <w:szCs w:val="18"/>
              </w:rPr>
              <w:t>Total efectivo e inversiones (incluidos los depósitos)</w:t>
            </w:r>
          </w:p>
        </w:tc>
        <w:tc>
          <w:tcPr>
            <w:tcW w:w="1276" w:type="dxa"/>
            <w:shd w:val="clear" w:color="auto" w:fill="auto"/>
            <w:noWrap/>
            <w:vAlign w:val="bottom"/>
            <w:hideMark/>
          </w:tcPr>
          <w:p w:rsidR="00A06E57" w:rsidRPr="00197A8D" w:rsidRDefault="00D35656" w:rsidP="002E02E7">
            <w:pPr>
              <w:jc w:val="center"/>
              <w:rPr>
                <w:rFonts w:eastAsia="Times New Roman"/>
                <w:color w:val="000000"/>
                <w:sz w:val="18"/>
                <w:szCs w:val="18"/>
              </w:rPr>
            </w:pPr>
            <w:r w:rsidRPr="00197A8D">
              <w:rPr>
                <w:rFonts w:eastAsia="Times New Roman"/>
                <w:color w:val="000000"/>
                <w:sz w:val="18"/>
                <w:szCs w:val="18"/>
              </w:rPr>
              <w:t>473,</w:t>
            </w:r>
            <w:r w:rsidR="00A06E57" w:rsidRPr="00197A8D">
              <w:rPr>
                <w:rFonts w:eastAsia="Times New Roman"/>
                <w:color w:val="000000"/>
                <w:sz w:val="18"/>
                <w:szCs w:val="18"/>
              </w:rPr>
              <w:t>2</w:t>
            </w:r>
          </w:p>
        </w:tc>
        <w:tc>
          <w:tcPr>
            <w:tcW w:w="1086" w:type="dxa"/>
            <w:shd w:val="clear" w:color="auto" w:fill="auto"/>
            <w:noWrap/>
            <w:vAlign w:val="bottom"/>
            <w:hideMark/>
          </w:tcPr>
          <w:p w:rsidR="00A06E57" w:rsidRPr="00197A8D" w:rsidRDefault="00A06E57" w:rsidP="002E02E7">
            <w:pPr>
              <w:jc w:val="center"/>
              <w:rPr>
                <w:rFonts w:eastAsia="Times New Roman"/>
                <w:color w:val="000000"/>
                <w:sz w:val="18"/>
                <w:szCs w:val="18"/>
              </w:rPr>
            </w:pPr>
            <w:r w:rsidRPr="00197A8D">
              <w:rPr>
                <w:rFonts w:eastAsia="Times New Roman"/>
                <w:color w:val="000000"/>
                <w:sz w:val="18"/>
                <w:szCs w:val="18"/>
              </w:rPr>
              <w:t>542,3</w:t>
            </w:r>
          </w:p>
        </w:tc>
      </w:tr>
      <w:tr w:rsidR="00A06E57" w:rsidRPr="00197A8D" w:rsidTr="002E02E7">
        <w:trPr>
          <w:trHeight w:val="255"/>
          <w:jc w:val="center"/>
        </w:trPr>
        <w:tc>
          <w:tcPr>
            <w:tcW w:w="4063" w:type="dxa"/>
            <w:shd w:val="clear" w:color="auto" w:fill="auto"/>
            <w:noWrap/>
            <w:vAlign w:val="bottom"/>
            <w:hideMark/>
          </w:tcPr>
          <w:p w:rsidR="00A06E57" w:rsidRPr="00197A8D" w:rsidRDefault="00A06E57" w:rsidP="002E02E7">
            <w:pPr>
              <w:rPr>
                <w:rFonts w:eastAsia="Times New Roman"/>
                <w:color w:val="000000"/>
                <w:sz w:val="18"/>
                <w:szCs w:val="18"/>
              </w:rPr>
            </w:pPr>
          </w:p>
          <w:p w:rsidR="00A06E57" w:rsidRPr="00197A8D" w:rsidRDefault="00A06E57" w:rsidP="002E02E7">
            <w:pPr>
              <w:rPr>
                <w:rFonts w:eastAsia="Times New Roman"/>
                <w:color w:val="000000"/>
                <w:sz w:val="18"/>
                <w:szCs w:val="18"/>
              </w:rPr>
            </w:pPr>
            <w:r w:rsidRPr="00197A8D">
              <w:rPr>
                <w:rFonts w:eastAsia="Times New Roman"/>
                <w:color w:val="000000"/>
                <w:sz w:val="18"/>
                <w:szCs w:val="18"/>
              </w:rPr>
              <w:t xml:space="preserve">Reserva operativa </w:t>
            </w:r>
          </w:p>
          <w:p w:rsidR="00A06E57" w:rsidRPr="00197A8D" w:rsidRDefault="00D35656" w:rsidP="00D35656">
            <w:pPr>
              <w:rPr>
                <w:rFonts w:eastAsia="Times New Roman"/>
                <w:color w:val="000000"/>
                <w:sz w:val="18"/>
                <w:szCs w:val="18"/>
              </w:rPr>
            </w:pPr>
            <w:r w:rsidRPr="00197A8D">
              <w:rPr>
                <w:rFonts w:eastAsia="Times New Roman"/>
                <w:color w:val="000000"/>
                <w:sz w:val="18"/>
                <w:szCs w:val="18"/>
              </w:rPr>
              <w:t>(objetivo del FRO par</w:t>
            </w:r>
            <w:r w:rsidR="00197A8D" w:rsidRPr="00197A8D">
              <w:rPr>
                <w:rFonts w:eastAsia="Times New Roman"/>
                <w:color w:val="000000"/>
                <w:sz w:val="18"/>
                <w:szCs w:val="18"/>
              </w:rPr>
              <w:t>a 2</w:t>
            </w:r>
            <w:r w:rsidRPr="00197A8D">
              <w:rPr>
                <w:rFonts w:eastAsia="Times New Roman"/>
                <w:color w:val="000000"/>
                <w:sz w:val="18"/>
                <w:szCs w:val="18"/>
              </w:rPr>
              <w:t>016/17)</w:t>
            </w:r>
          </w:p>
        </w:tc>
        <w:tc>
          <w:tcPr>
            <w:tcW w:w="1276" w:type="dxa"/>
            <w:shd w:val="clear" w:color="auto" w:fill="auto"/>
            <w:noWrap/>
            <w:vAlign w:val="bottom"/>
            <w:hideMark/>
          </w:tcPr>
          <w:p w:rsidR="00A06E57" w:rsidRPr="00197A8D" w:rsidRDefault="00A06E57" w:rsidP="002E02E7">
            <w:pPr>
              <w:jc w:val="center"/>
              <w:rPr>
                <w:rFonts w:eastAsia="Times New Roman"/>
                <w:color w:val="000000"/>
                <w:sz w:val="18"/>
                <w:szCs w:val="18"/>
              </w:rPr>
            </w:pPr>
            <w:r w:rsidRPr="00197A8D">
              <w:rPr>
                <w:rFonts w:eastAsia="Times New Roman"/>
                <w:color w:val="000000"/>
                <w:sz w:val="18"/>
                <w:szCs w:val="18"/>
              </w:rPr>
              <w:t>157,0</w:t>
            </w:r>
          </w:p>
        </w:tc>
        <w:tc>
          <w:tcPr>
            <w:tcW w:w="1086" w:type="dxa"/>
            <w:shd w:val="clear" w:color="auto" w:fill="auto"/>
            <w:noWrap/>
            <w:vAlign w:val="bottom"/>
            <w:hideMark/>
          </w:tcPr>
          <w:p w:rsidR="00A06E57" w:rsidRPr="00197A8D" w:rsidRDefault="00A06E57" w:rsidP="002E02E7">
            <w:pPr>
              <w:jc w:val="center"/>
              <w:rPr>
                <w:rFonts w:eastAsia="Times New Roman"/>
                <w:color w:val="000000"/>
                <w:sz w:val="18"/>
                <w:szCs w:val="18"/>
              </w:rPr>
            </w:pPr>
            <w:r w:rsidRPr="00197A8D">
              <w:rPr>
                <w:rFonts w:eastAsia="Times New Roman"/>
                <w:color w:val="000000"/>
                <w:sz w:val="18"/>
                <w:szCs w:val="18"/>
              </w:rPr>
              <w:t>157,0</w:t>
            </w:r>
          </w:p>
        </w:tc>
      </w:tr>
      <w:tr w:rsidR="00A06E57" w:rsidRPr="00197A8D" w:rsidTr="002E02E7">
        <w:trPr>
          <w:trHeight w:val="255"/>
          <w:jc w:val="center"/>
        </w:trPr>
        <w:tc>
          <w:tcPr>
            <w:tcW w:w="4063" w:type="dxa"/>
            <w:shd w:val="clear" w:color="auto" w:fill="auto"/>
            <w:noWrap/>
            <w:vAlign w:val="bottom"/>
            <w:hideMark/>
          </w:tcPr>
          <w:p w:rsidR="00A06E57" w:rsidRPr="00197A8D" w:rsidRDefault="00A06E57" w:rsidP="002E02E7">
            <w:pPr>
              <w:rPr>
                <w:rFonts w:eastAsia="Times New Roman"/>
                <w:color w:val="000000"/>
                <w:sz w:val="18"/>
                <w:szCs w:val="18"/>
              </w:rPr>
            </w:pPr>
          </w:p>
          <w:p w:rsidR="00A06E57" w:rsidRPr="00197A8D" w:rsidRDefault="00A06E57" w:rsidP="002E02E7">
            <w:pPr>
              <w:rPr>
                <w:rFonts w:eastAsia="Times New Roman"/>
                <w:color w:val="000000"/>
                <w:sz w:val="18"/>
                <w:szCs w:val="18"/>
              </w:rPr>
            </w:pPr>
            <w:r w:rsidRPr="00197A8D">
              <w:rPr>
                <w:rFonts w:eastAsia="Times New Roman"/>
                <w:color w:val="000000"/>
                <w:sz w:val="18"/>
                <w:szCs w:val="18"/>
              </w:rPr>
              <w:t>Efectivo estratégico</w:t>
            </w:r>
          </w:p>
        </w:tc>
        <w:tc>
          <w:tcPr>
            <w:tcW w:w="1276" w:type="dxa"/>
            <w:shd w:val="clear" w:color="auto" w:fill="auto"/>
            <w:noWrap/>
            <w:vAlign w:val="bottom"/>
            <w:hideMark/>
          </w:tcPr>
          <w:p w:rsidR="00A06E57" w:rsidRPr="00197A8D" w:rsidRDefault="00A06E57" w:rsidP="002E02E7">
            <w:pPr>
              <w:jc w:val="center"/>
              <w:rPr>
                <w:rFonts w:eastAsia="Times New Roman"/>
                <w:color w:val="000000"/>
                <w:sz w:val="18"/>
                <w:szCs w:val="18"/>
                <w:u w:val="single"/>
              </w:rPr>
            </w:pPr>
            <w:r w:rsidRPr="00197A8D">
              <w:rPr>
                <w:rFonts w:eastAsia="Times New Roman"/>
                <w:color w:val="000000"/>
                <w:sz w:val="18"/>
                <w:szCs w:val="18"/>
                <w:u w:val="single"/>
              </w:rPr>
              <w:t>108,6</w:t>
            </w:r>
          </w:p>
        </w:tc>
        <w:tc>
          <w:tcPr>
            <w:tcW w:w="1086" w:type="dxa"/>
            <w:shd w:val="clear" w:color="auto" w:fill="auto"/>
            <w:noWrap/>
            <w:vAlign w:val="bottom"/>
            <w:hideMark/>
          </w:tcPr>
          <w:p w:rsidR="00A06E57" w:rsidRPr="00197A8D" w:rsidRDefault="00A06E57" w:rsidP="002E02E7">
            <w:pPr>
              <w:jc w:val="center"/>
              <w:rPr>
                <w:rFonts w:eastAsia="Times New Roman"/>
                <w:color w:val="000000"/>
                <w:sz w:val="18"/>
                <w:szCs w:val="18"/>
                <w:u w:val="single"/>
              </w:rPr>
            </w:pPr>
            <w:r w:rsidRPr="00197A8D">
              <w:rPr>
                <w:rFonts w:eastAsia="Times New Roman"/>
                <w:color w:val="000000"/>
                <w:sz w:val="18"/>
                <w:szCs w:val="18"/>
                <w:u w:val="single"/>
              </w:rPr>
              <w:t>108,6</w:t>
            </w:r>
          </w:p>
        </w:tc>
      </w:tr>
      <w:tr w:rsidR="00A06E57" w:rsidRPr="00197A8D" w:rsidTr="002E02E7">
        <w:trPr>
          <w:trHeight w:val="424"/>
          <w:jc w:val="center"/>
        </w:trPr>
        <w:tc>
          <w:tcPr>
            <w:tcW w:w="4063" w:type="dxa"/>
            <w:shd w:val="clear" w:color="auto" w:fill="auto"/>
            <w:noWrap/>
            <w:vAlign w:val="bottom"/>
            <w:hideMark/>
          </w:tcPr>
          <w:p w:rsidR="00A06E57" w:rsidRPr="00197A8D" w:rsidRDefault="00A06E57" w:rsidP="002E02E7">
            <w:pPr>
              <w:rPr>
                <w:rFonts w:eastAsia="Times New Roman"/>
                <w:color w:val="000000"/>
                <w:sz w:val="18"/>
                <w:szCs w:val="18"/>
              </w:rPr>
            </w:pPr>
            <w:r w:rsidRPr="00197A8D">
              <w:rPr>
                <w:rFonts w:eastAsia="Times New Roman"/>
                <w:color w:val="000000"/>
                <w:sz w:val="18"/>
                <w:szCs w:val="18"/>
              </w:rPr>
              <w:t>Efectivo básico*</w:t>
            </w:r>
          </w:p>
        </w:tc>
        <w:tc>
          <w:tcPr>
            <w:tcW w:w="1276" w:type="dxa"/>
            <w:shd w:val="clear" w:color="auto" w:fill="auto"/>
            <w:noWrap/>
            <w:vAlign w:val="bottom"/>
            <w:hideMark/>
          </w:tcPr>
          <w:p w:rsidR="00A06E57" w:rsidRPr="00197A8D" w:rsidRDefault="00A06E57" w:rsidP="002E02E7">
            <w:pPr>
              <w:jc w:val="center"/>
              <w:rPr>
                <w:rFonts w:eastAsia="Times New Roman"/>
                <w:color w:val="000000"/>
                <w:sz w:val="18"/>
                <w:szCs w:val="18"/>
              </w:rPr>
            </w:pPr>
            <w:r w:rsidRPr="00197A8D">
              <w:rPr>
                <w:rFonts w:eastAsia="Times New Roman"/>
                <w:color w:val="000000"/>
                <w:sz w:val="18"/>
                <w:szCs w:val="18"/>
              </w:rPr>
              <w:t>207,6</w:t>
            </w:r>
          </w:p>
        </w:tc>
        <w:tc>
          <w:tcPr>
            <w:tcW w:w="1086" w:type="dxa"/>
            <w:shd w:val="clear" w:color="auto" w:fill="auto"/>
            <w:noWrap/>
            <w:vAlign w:val="bottom"/>
            <w:hideMark/>
          </w:tcPr>
          <w:p w:rsidR="00A06E57" w:rsidRPr="00197A8D" w:rsidRDefault="00A06E57" w:rsidP="002E02E7">
            <w:pPr>
              <w:jc w:val="center"/>
              <w:rPr>
                <w:rFonts w:eastAsia="Times New Roman"/>
                <w:color w:val="000000"/>
                <w:sz w:val="18"/>
                <w:szCs w:val="18"/>
              </w:rPr>
            </w:pPr>
            <w:r w:rsidRPr="00197A8D">
              <w:rPr>
                <w:rFonts w:eastAsia="Times New Roman"/>
                <w:color w:val="000000"/>
                <w:sz w:val="18"/>
                <w:szCs w:val="18"/>
              </w:rPr>
              <w:t>276,7</w:t>
            </w:r>
          </w:p>
        </w:tc>
      </w:tr>
      <w:tr w:rsidR="00A06E57" w:rsidRPr="00197A8D" w:rsidTr="002E02E7">
        <w:trPr>
          <w:trHeight w:val="255"/>
          <w:jc w:val="center"/>
        </w:trPr>
        <w:tc>
          <w:tcPr>
            <w:tcW w:w="4063" w:type="dxa"/>
            <w:shd w:val="clear" w:color="auto" w:fill="C6D9F1" w:themeFill="text2" w:themeFillTint="33"/>
            <w:noWrap/>
            <w:vAlign w:val="bottom"/>
          </w:tcPr>
          <w:p w:rsidR="00A06E57" w:rsidRPr="00197A8D" w:rsidRDefault="00A06E57" w:rsidP="002E02E7">
            <w:pPr>
              <w:rPr>
                <w:rFonts w:eastAsia="Times New Roman"/>
                <w:color w:val="000000"/>
                <w:sz w:val="18"/>
                <w:szCs w:val="18"/>
              </w:rPr>
            </w:pPr>
          </w:p>
        </w:tc>
        <w:tc>
          <w:tcPr>
            <w:tcW w:w="1276" w:type="dxa"/>
            <w:shd w:val="clear" w:color="auto" w:fill="C6D9F1" w:themeFill="text2" w:themeFillTint="33"/>
            <w:noWrap/>
            <w:vAlign w:val="bottom"/>
          </w:tcPr>
          <w:p w:rsidR="00A06E57" w:rsidRPr="00197A8D" w:rsidRDefault="00A06E57" w:rsidP="002E02E7">
            <w:pPr>
              <w:jc w:val="right"/>
              <w:rPr>
                <w:rFonts w:eastAsia="Times New Roman"/>
                <w:color w:val="000000"/>
                <w:sz w:val="18"/>
                <w:szCs w:val="18"/>
              </w:rPr>
            </w:pPr>
          </w:p>
        </w:tc>
        <w:tc>
          <w:tcPr>
            <w:tcW w:w="1086" w:type="dxa"/>
            <w:shd w:val="clear" w:color="auto" w:fill="C6D9F1" w:themeFill="text2" w:themeFillTint="33"/>
            <w:noWrap/>
            <w:vAlign w:val="bottom"/>
          </w:tcPr>
          <w:p w:rsidR="00A06E57" w:rsidRPr="00197A8D" w:rsidRDefault="00A06E57" w:rsidP="002E02E7">
            <w:pPr>
              <w:jc w:val="right"/>
              <w:rPr>
                <w:rFonts w:eastAsia="Times New Roman"/>
                <w:color w:val="000000"/>
                <w:sz w:val="18"/>
                <w:szCs w:val="18"/>
              </w:rPr>
            </w:pPr>
          </w:p>
        </w:tc>
      </w:tr>
    </w:tbl>
    <w:p w:rsidR="00A06E57" w:rsidRPr="00197A8D" w:rsidRDefault="00822607" w:rsidP="002E02E7">
      <w:pPr>
        <w:pStyle w:val="ListParagraph"/>
        <w:spacing w:before="60"/>
        <w:ind w:firstLine="414"/>
        <w:rPr>
          <w:i/>
          <w:sz w:val="16"/>
          <w:szCs w:val="16"/>
          <w:lang w:val="es-ES"/>
        </w:rPr>
      </w:pPr>
      <w:r w:rsidRPr="00197A8D">
        <w:rPr>
          <w:i/>
          <w:iCs/>
          <w:sz w:val="16"/>
          <w:szCs w:val="16"/>
          <w:lang w:val="es-ES"/>
        </w:rPr>
        <w:t xml:space="preserve"> </w:t>
      </w:r>
      <w:r w:rsidR="00A06E57" w:rsidRPr="00197A8D">
        <w:rPr>
          <w:i/>
          <w:iCs/>
          <w:sz w:val="16"/>
          <w:szCs w:val="16"/>
          <w:lang w:val="es-ES"/>
        </w:rPr>
        <w:t xml:space="preserve"> *El efectivo </w:t>
      </w:r>
      <w:r w:rsidR="00D35656" w:rsidRPr="00197A8D">
        <w:rPr>
          <w:i/>
          <w:iCs/>
          <w:sz w:val="16"/>
          <w:szCs w:val="16"/>
          <w:lang w:val="es-ES"/>
        </w:rPr>
        <w:t xml:space="preserve">básico incluye </w:t>
      </w:r>
      <w:r w:rsidR="00A06E57" w:rsidRPr="00197A8D">
        <w:rPr>
          <w:i/>
          <w:iCs/>
          <w:sz w:val="16"/>
          <w:szCs w:val="16"/>
          <w:lang w:val="es-ES"/>
        </w:rPr>
        <w:t xml:space="preserve">la reserva para proyectos especiales  </w:t>
      </w:r>
    </w:p>
    <w:p w:rsidR="00A06E57" w:rsidRPr="00197A8D" w:rsidRDefault="00A06E57" w:rsidP="002E02E7"/>
    <w:p w:rsidR="00822607" w:rsidRPr="00197A8D" w:rsidRDefault="006C4E13" w:rsidP="002E02E7">
      <w:pPr>
        <w:numPr>
          <w:ilvl w:val="0"/>
          <w:numId w:val="13"/>
        </w:numPr>
        <w:tabs>
          <w:tab w:val="left" w:pos="567"/>
          <w:tab w:val="left" w:pos="5670"/>
        </w:tabs>
        <w:spacing w:after="220"/>
        <w:ind w:left="0" w:firstLine="0"/>
        <w:contextualSpacing/>
      </w:pPr>
      <w:r w:rsidRPr="00197A8D">
        <w:t>La</w:t>
      </w:r>
      <w:r w:rsidR="00A06E57" w:rsidRPr="00197A8D">
        <w:t xml:space="preserve"> disminución de efectivo de</w:t>
      </w:r>
      <w:r w:rsidR="00197A8D" w:rsidRPr="00197A8D">
        <w:t>l 3</w:t>
      </w:r>
      <w:r w:rsidR="00A06E57" w:rsidRPr="00197A8D">
        <w:t>1 de diciembre d</w:t>
      </w:r>
      <w:r w:rsidR="00197A8D" w:rsidRPr="00197A8D">
        <w:t>e 2</w:t>
      </w:r>
      <w:r w:rsidR="00A06E57" w:rsidRPr="00197A8D">
        <w:t>016 a</w:t>
      </w:r>
      <w:r w:rsidR="00197A8D" w:rsidRPr="00197A8D">
        <w:t>l 3</w:t>
      </w:r>
      <w:r w:rsidR="00A06E57" w:rsidRPr="00197A8D">
        <w:t>0 de abril d</w:t>
      </w:r>
      <w:r w:rsidR="00197A8D" w:rsidRPr="00197A8D">
        <w:t>e 2</w:t>
      </w:r>
      <w:r w:rsidR="00A06E57" w:rsidRPr="00197A8D">
        <w:t xml:space="preserve">017 </w:t>
      </w:r>
      <w:r w:rsidR="003C20A9" w:rsidRPr="00197A8D">
        <w:t xml:space="preserve">es consecuencia de </w:t>
      </w:r>
      <w:r w:rsidR="00A06E57" w:rsidRPr="00197A8D">
        <w:t xml:space="preserve">la aplicación de la estrategia para limitar el impacto de las tasas de interés negativas actuales del franco suizo, </w:t>
      </w:r>
      <w:r w:rsidR="00831DA3" w:rsidRPr="00197A8D">
        <w:t>a través de</w:t>
      </w:r>
      <w:r w:rsidR="00A06E57" w:rsidRPr="00197A8D">
        <w:t xml:space="preserve"> la cual la OMPI pagó por adelantado a los bancos cantonales </w:t>
      </w:r>
      <w:r w:rsidR="00831DA3" w:rsidRPr="00197A8D">
        <w:t>un préstamo para</w:t>
      </w:r>
      <w:r w:rsidR="00A06E57" w:rsidRPr="00197A8D">
        <w:t xml:space="preserve"> la construcción de proyectos </w:t>
      </w:r>
      <w:r w:rsidR="00831DA3" w:rsidRPr="00197A8D">
        <w:t xml:space="preserve">de </w:t>
      </w:r>
      <w:r w:rsidR="00D67A2B" w:rsidRPr="00197A8D">
        <w:t>edificación</w:t>
      </w:r>
      <w:r w:rsidR="00A06E57" w:rsidRPr="00197A8D">
        <w:t xml:space="preserve"> por una suma d</w:t>
      </w:r>
      <w:r w:rsidR="00197A8D" w:rsidRPr="00197A8D">
        <w:t>e 8</w:t>
      </w:r>
      <w:r w:rsidR="00A06E57" w:rsidRPr="00197A8D">
        <w:t>2,1 millones de francos suizos.  El flujo de efectivo neto e</w:t>
      </w:r>
      <w:r w:rsidR="00197A8D" w:rsidRPr="00197A8D">
        <w:t>n 2</w:t>
      </w:r>
      <w:r w:rsidR="00A06E57" w:rsidRPr="00197A8D">
        <w:t>017 ha sido suficiente para permitir que la OMPI absorba el pago</w:t>
      </w:r>
      <w:r w:rsidR="003C20A9" w:rsidRPr="00197A8D">
        <w:t xml:space="preserve"> del préstamo </w:t>
      </w:r>
      <w:r w:rsidR="00831DA3" w:rsidRPr="00197A8D">
        <w:t>para la</w:t>
      </w:r>
      <w:r w:rsidR="003C20A9" w:rsidRPr="00197A8D">
        <w:t xml:space="preserve"> construcción y, </w:t>
      </w:r>
      <w:r w:rsidR="00D67A2B" w:rsidRPr="00197A8D">
        <w:t>aun</w:t>
      </w:r>
      <w:r w:rsidR="003C20A9" w:rsidRPr="00197A8D">
        <w:t xml:space="preserve"> así, </w:t>
      </w:r>
      <w:r w:rsidR="00A06E57" w:rsidRPr="00197A8D">
        <w:t>c</w:t>
      </w:r>
      <w:r w:rsidR="003C20A9" w:rsidRPr="00197A8D">
        <w:t>onserve</w:t>
      </w:r>
      <w:r w:rsidR="00A06E57" w:rsidRPr="00197A8D">
        <w:t xml:space="preserve"> una liquidez considerable para </w:t>
      </w:r>
      <w:r w:rsidR="003C20A9" w:rsidRPr="00197A8D">
        <w:t>las necesidades</w:t>
      </w:r>
      <w:r w:rsidR="00A06E57" w:rsidRPr="00197A8D">
        <w:t xml:space="preserve"> de efectivo</w:t>
      </w:r>
      <w:r w:rsidR="00822607" w:rsidRPr="00197A8D">
        <w:t>.</w:t>
      </w:r>
    </w:p>
    <w:p w:rsidR="00A06E57" w:rsidRPr="00197A8D" w:rsidRDefault="00A06E57" w:rsidP="002E02E7">
      <w:pPr>
        <w:tabs>
          <w:tab w:val="left" w:pos="567"/>
          <w:tab w:val="left" w:pos="5670"/>
        </w:tabs>
        <w:spacing w:after="220"/>
        <w:contextualSpacing/>
      </w:pPr>
    </w:p>
    <w:p w:rsidR="00822607" w:rsidRPr="00197A8D" w:rsidRDefault="00A06E57" w:rsidP="002E02E7">
      <w:pPr>
        <w:numPr>
          <w:ilvl w:val="0"/>
          <w:numId w:val="13"/>
        </w:numPr>
        <w:tabs>
          <w:tab w:val="left" w:pos="567"/>
          <w:tab w:val="left" w:pos="5670"/>
        </w:tabs>
        <w:spacing w:after="220"/>
        <w:ind w:left="0" w:firstLine="0"/>
        <w:contextualSpacing/>
      </w:pPr>
      <w:r w:rsidRPr="00197A8D">
        <w:t>De conformidad con la política de inversión de la OMPI, el saldo de efectivo básico se invertirá e</w:t>
      </w:r>
      <w:r w:rsidR="00197A8D" w:rsidRPr="00197A8D">
        <w:t>n 2</w:t>
      </w:r>
      <w:r w:rsidRPr="00197A8D">
        <w:t xml:space="preserve">017 </w:t>
      </w:r>
      <w:r w:rsidR="003C20A9" w:rsidRPr="00197A8D">
        <w:t xml:space="preserve">y se asegurará de </w:t>
      </w:r>
      <w:r w:rsidRPr="00197A8D">
        <w:t xml:space="preserve">que se pueda </w:t>
      </w:r>
      <w:r w:rsidR="00F93BCF" w:rsidRPr="00197A8D">
        <w:t>disponer de</w:t>
      </w:r>
      <w:r w:rsidRPr="00197A8D">
        <w:t xml:space="preserve"> suficiente efectivo para cubrir </w:t>
      </w:r>
      <w:r w:rsidR="00831DA3" w:rsidRPr="00197A8D">
        <w:t>imprevistos,</w:t>
      </w:r>
      <w:r w:rsidR="00CF1365" w:rsidRPr="00197A8D">
        <w:t xml:space="preserve"> si fuera necesario. </w:t>
      </w:r>
      <w:r w:rsidRPr="00197A8D">
        <w:t xml:space="preserve"> Además, los saldos de efectivo de la OMPI se reponen anualmente a través de los superávits de operación</w:t>
      </w:r>
      <w:r w:rsidR="00822607" w:rsidRPr="00197A8D">
        <w:t>.</w:t>
      </w:r>
    </w:p>
    <w:p w:rsidR="00A06E57" w:rsidRPr="00197A8D" w:rsidRDefault="00A06E57" w:rsidP="002E02E7"/>
    <w:p w:rsidR="00A06E57" w:rsidRPr="00197A8D" w:rsidRDefault="00A06E57" w:rsidP="002E02E7"/>
    <w:p w:rsidR="00A06E57" w:rsidRPr="00197A8D" w:rsidRDefault="00A06E57" w:rsidP="00DD1A64">
      <w:pPr>
        <w:rPr>
          <w:i/>
        </w:rPr>
      </w:pPr>
      <w:r w:rsidRPr="00197A8D">
        <w:rPr>
          <w:i/>
          <w:iCs/>
        </w:rPr>
        <w:t>Niveles de liquidez de las reservas</w:t>
      </w:r>
    </w:p>
    <w:p w:rsidR="00A06E57" w:rsidRPr="00197A8D" w:rsidRDefault="00A06E57" w:rsidP="00DD1A64"/>
    <w:p w:rsidR="00822607" w:rsidRPr="00197A8D" w:rsidRDefault="0030666D" w:rsidP="00DD1A64">
      <w:pPr>
        <w:numPr>
          <w:ilvl w:val="0"/>
          <w:numId w:val="13"/>
        </w:numPr>
        <w:tabs>
          <w:tab w:val="left" w:pos="567"/>
          <w:tab w:val="left" w:pos="5670"/>
        </w:tabs>
        <w:spacing w:after="220"/>
        <w:ind w:left="0" w:firstLine="0"/>
        <w:contextualSpacing/>
      </w:pPr>
      <w:r w:rsidRPr="00197A8D">
        <w:t>El porcentaje líquido</w:t>
      </w:r>
      <w:r w:rsidR="00A06E57" w:rsidRPr="00197A8D">
        <w:t xml:space="preserve"> de los activos netos de la OMPI se ha de</w:t>
      </w:r>
      <w:r w:rsidR="00F93BCF" w:rsidRPr="00197A8D">
        <w:t xml:space="preserve">finido como el exceso del activo </w:t>
      </w:r>
      <w:r w:rsidRPr="00197A8D">
        <w:t>corriente</w:t>
      </w:r>
      <w:r w:rsidR="00F93BCF" w:rsidRPr="00197A8D">
        <w:t xml:space="preserve"> con respecto al </w:t>
      </w:r>
      <w:r w:rsidR="00A06E57" w:rsidRPr="00197A8D">
        <w:t xml:space="preserve">pasivo </w:t>
      </w:r>
      <w:r w:rsidRPr="00197A8D">
        <w:t>corriente</w:t>
      </w:r>
      <w:r w:rsidR="00A06E57" w:rsidRPr="00197A8D">
        <w:t xml:space="preserve"> después de</w:t>
      </w:r>
      <w:r w:rsidR="00831DA3" w:rsidRPr="00197A8D">
        <w:t xml:space="preserve"> realizar determinados ajustes para</w:t>
      </w:r>
      <w:r w:rsidR="00A06E57" w:rsidRPr="00197A8D">
        <w:t xml:space="preserve"> elementos que forman part</w:t>
      </w:r>
      <w:r w:rsidR="00F93BCF" w:rsidRPr="00197A8D">
        <w:t xml:space="preserve">e del activo y el pasivo </w:t>
      </w:r>
      <w:r w:rsidRPr="00197A8D">
        <w:t>corrientes</w:t>
      </w:r>
      <w:r w:rsidR="00F93BCF" w:rsidRPr="00197A8D">
        <w:t>,</w:t>
      </w:r>
      <w:r w:rsidR="00A06E57" w:rsidRPr="00197A8D">
        <w:t xml:space="preserve"> </w:t>
      </w:r>
      <w:r w:rsidR="00831DA3" w:rsidRPr="00197A8D">
        <w:t>de conformidad con</w:t>
      </w:r>
      <w:r w:rsidR="00A06E57" w:rsidRPr="00197A8D">
        <w:t xml:space="preserve"> los requisitos de las IPSAS.  La </w:t>
      </w:r>
      <w:r w:rsidR="00831DA3" w:rsidRPr="00197A8D">
        <w:t>situación</w:t>
      </w:r>
      <w:r w:rsidR="00A06E57" w:rsidRPr="00197A8D">
        <w:t xml:space="preserve"> </w:t>
      </w:r>
      <w:r w:rsidRPr="00197A8D">
        <w:t>del porcentaje</w:t>
      </w:r>
      <w:r w:rsidR="00A06E57" w:rsidRPr="00197A8D">
        <w:t xml:space="preserve"> líquid</w:t>
      </w:r>
      <w:r w:rsidRPr="00197A8D">
        <w:t>o</w:t>
      </w:r>
      <w:r w:rsidR="00A06E57" w:rsidRPr="00197A8D">
        <w:t xml:space="preserve"> </w:t>
      </w:r>
      <w:r w:rsidR="00F93BCF" w:rsidRPr="00197A8D">
        <w:t>del activo neto según los Estados Financieros Anuales (no auditado</w:t>
      </w:r>
      <w:r w:rsidR="00A06E57" w:rsidRPr="00197A8D">
        <w:t>s e</w:t>
      </w:r>
      <w:r w:rsidR="00197A8D" w:rsidRPr="00197A8D">
        <w:t>n 2</w:t>
      </w:r>
      <w:r w:rsidR="00A06E57" w:rsidRPr="00197A8D">
        <w:t>016) pasó d</w:t>
      </w:r>
      <w:r w:rsidR="00197A8D" w:rsidRPr="00197A8D">
        <w:t>e 8</w:t>
      </w:r>
      <w:r w:rsidR="00A06E57" w:rsidRPr="00197A8D">
        <w:t>8,4 millones de francos suizos a fines d</w:t>
      </w:r>
      <w:r w:rsidR="00197A8D" w:rsidRPr="00197A8D">
        <w:t>e 2</w:t>
      </w:r>
      <w:r w:rsidR="00A06E57" w:rsidRPr="00197A8D">
        <w:t xml:space="preserve">015 </w:t>
      </w:r>
      <w:r w:rsidR="00197A8D" w:rsidRPr="00197A8D">
        <w:t>a 1</w:t>
      </w:r>
      <w:r w:rsidR="00A06E57" w:rsidRPr="00197A8D">
        <w:t>35,6 millones de francos suizos a fines d</w:t>
      </w:r>
      <w:r w:rsidR="00197A8D" w:rsidRPr="00197A8D">
        <w:t>e 2</w:t>
      </w:r>
      <w:r w:rsidR="00A06E57" w:rsidRPr="00197A8D">
        <w:t>016</w:t>
      </w:r>
      <w:r w:rsidR="00822607" w:rsidRPr="00197A8D">
        <w:t>.</w:t>
      </w:r>
    </w:p>
    <w:p w:rsidR="00A06E57" w:rsidRPr="00197A8D" w:rsidRDefault="00A06E57" w:rsidP="002E02E7">
      <w:pPr>
        <w:tabs>
          <w:tab w:val="left" w:pos="567"/>
          <w:tab w:val="left" w:pos="5670"/>
        </w:tabs>
        <w:spacing w:after="220"/>
        <w:contextualSpacing/>
      </w:pPr>
    </w:p>
    <w:p w:rsidR="00A06E57" w:rsidRPr="00197A8D" w:rsidRDefault="00A06E57" w:rsidP="002E02E7">
      <w:pPr>
        <w:numPr>
          <w:ilvl w:val="0"/>
          <w:numId w:val="13"/>
        </w:numPr>
        <w:tabs>
          <w:tab w:val="left" w:pos="567"/>
          <w:tab w:val="left" w:pos="5670"/>
        </w:tabs>
        <w:spacing w:after="220"/>
        <w:ind w:left="0" w:firstLine="0"/>
        <w:contextualSpacing/>
      </w:pPr>
      <w:r w:rsidRPr="00197A8D">
        <w:t>Algunos ajustes realizados a elementos incluidos en los activos y pasivos corrientes basados</w:t>
      </w:r>
      <w:r w:rsidR="00831DA3" w:rsidRPr="00197A8D">
        <w:t xml:space="preserve"> en los requisitos de las IPSAS</w:t>
      </w:r>
      <w:r w:rsidRPr="00197A8D">
        <w:t xml:space="preserve"> dieron como resul</w:t>
      </w:r>
      <w:r w:rsidR="0030666D" w:rsidRPr="00197A8D">
        <w:t>tado el siguiente cálculo del porcentaje líquido</w:t>
      </w:r>
      <w:r w:rsidRPr="00197A8D">
        <w:t xml:space="preserve"> de los activos netos:</w:t>
      </w:r>
    </w:p>
    <w:p w:rsidR="00822607" w:rsidRPr="00197A8D" w:rsidRDefault="00A06E57" w:rsidP="002E02E7">
      <w:pPr>
        <w:pStyle w:val="ListParagraph"/>
        <w:numPr>
          <w:ilvl w:val="0"/>
          <w:numId w:val="14"/>
        </w:numPr>
        <w:tabs>
          <w:tab w:val="left" w:pos="993"/>
          <w:tab w:val="left" w:pos="5670"/>
        </w:tabs>
        <w:spacing w:after="220"/>
        <w:ind w:left="567" w:firstLine="0"/>
        <w:rPr>
          <w:lang w:val="es-ES"/>
        </w:rPr>
      </w:pPr>
      <w:r w:rsidRPr="00197A8D">
        <w:rPr>
          <w:lang w:val="es-ES"/>
        </w:rPr>
        <w:t xml:space="preserve">Los inventarios de los activos corrientes representan el valor de las publicaciones impresas que no han sido distribuidas ni vendidas.  Dado que la mayor parte de este </w:t>
      </w:r>
      <w:r w:rsidR="0030666D" w:rsidRPr="00197A8D">
        <w:rPr>
          <w:lang w:val="es-ES"/>
        </w:rPr>
        <w:t>elemento</w:t>
      </w:r>
      <w:r w:rsidRPr="00197A8D">
        <w:rPr>
          <w:lang w:val="es-ES"/>
        </w:rPr>
        <w:t xml:space="preserve"> no tendrá como resultado el cobro de efectivo, no se incluye en los activos corrientes </w:t>
      </w:r>
      <w:r w:rsidR="00831DA3" w:rsidRPr="00197A8D">
        <w:rPr>
          <w:lang w:val="es-ES"/>
        </w:rPr>
        <w:t>a fin de</w:t>
      </w:r>
      <w:r w:rsidRPr="00197A8D">
        <w:rPr>
          <w:lang w:val="es-ES"/>
        </w:rPr>
        <w:t xml:space="preserve"> </w:t>
      </w:r>
      <w:r w:rsidR="0030666D" w:rsidRPr="00197A8D">
        <w:rPr>
          <w:lang w:val="es-ES"/>
        </w:rPr>
        <w:t>calcular el</w:t>
      </w:r>
      <w:r w:rsidRPr="00197A8D">
        <w:rPr>
          <w:lang w:val="es-ES"/>
        </w:rPr>
        <w:t xml:space="preserve"> saldo líquido neto</w:t>
      </w:r>
      <w:r w:rsidR="00822607" w:rsidRPr="00197A8D">
        <w:rPr>
          <w:lang w:val="es-ES"/>
        </w:rPr>
        <w:t>.</w:t>
      </w:r>
    </w:p>
    <w:p w:rsidR="00831DA3" w:rsidRPr="00197A8D" w:rsidRDefault="00831DA3" w:rsidP="00831DA3">
      <w:pPr>
        <w:pStyle w:val="ListParagraph"/>
        <w:tabs>
          <w:tab w:val="left" w:pos="993"/>
          <w:tab w:val="left" w:pos="5670"/>
        </w:tabs>
        <w:spacing w:after="220"/>
        <w:ind w:left="567"/>
        <w:rPr>
          <w:lang w:val="es-ES"/>
        </w:rPr>
      </w:pPr>
    </w:p>
    <w:p w:rsidR="00A06E57" w:rsidRPr="00197A8D" w:rsidRDefault="00A06E57" w:rsidP="002E02E7">
      <w:pPr>
        <w:pStyle w:val="ListParagraph"/>
        <w:numPr>
          <w:ilvl w:val="0"/>
          <w:numId w:val="14"/>
        </w:numPr>
        <w:tabs>
          <w:tab w:val="left" w:pos="993"/>
          <w:tab w:val="left" w:pos="5670"/>
        </w:tabs>
        <w:spacing w:after="220"/>
        <w:ind w:left="567" w:firstLine="0"/>
        <w:rPr>
          <w:lang w:val="es-ES"/>
        </w:rPr>
      </w:pPr>
      <w:r w:rsidRPr="00197A8D">
        <w:rPr>
          <w:lang w:val="es-ES"/>
        </w:rPr>
        <w:t>Los cobros anticipados, el monto neto de los activos corrientes de las cuentas por cobrar del PCT, representa</w:t>
      </w:r>
      <w:r w:rsidR="000E0E6E" w:rsidRPr="00197A8D">
        <w:rPr>
          <w:lang w:val="es-ES"/>
        </w:rPr>
        <w:t>n el porcentaje</w:t>
      </w:r>
      <w:r w:rsidR="00831DA3" w:rsidRPr="00197A8D">
        <w:rPr>
          <w:lang w:val="es-ES"/>
        </w:rPr>
        <w:t xml:space="preserve"> de las tasas de las Uniones del PCT, </w:t>
      </w:r>
      <w:r w:rsidRPr="00197A8D">
        <w:rPr>
          <w:lang w:val="es-ES"/>
        </w:rPr>
        <w:t>de Madrid</w:t>
      </w:r>
      <w:r w:rsidR="00831DA3" w:rsidRPr="00197A8D">
        <w:rPr>
          <w:lang w:val="es-ES"/>
        </w:rPr>
        <w:t xml:space="preserve"> y </w:t>
      </w:r>
      <w:r w:rsidRPr="00197A8D">
        <w:rPr>
          <w:lang w:val="es-ES"/>
        </w:rPr>
        <w:t>La Haya recibidos por la OMPI en efectivo, pero cuya publicación no se ha finalizado.  De conformidad con las IPSAS, estos fondos son considerado</w:t>
      </w:r>
      <w:r w:rsidR="00AF75C5" w:rsidRPr="00197A8D">
        <w:rPr>
          <w:lang w:val="es-ES"/>
        </w:rPr>
        <w:t>s cobros anticipados “no devengados”</w:t>
      </w:r>
      <w:r w:rsidRPr="00197A8D">
        <w:rPr>
          <w:lang w:val="es-ES"/>
        </w:rPr>
        <w:t xml:space="preserve"> y no figuran </w:t>
      </w:r>
      <w:r w:rsidR="00831DA3" w:rsidRPr="00197A8D">
        <w:rPr>
          <w:lang w:val="es-ES"/>
        </w:rPr>
        <w:t>como</w:t>
      </w:r>
      <w:r w:rsidRPr="00197A8D">
        <w:rPr>
          <w:lang w:val="es-ES"/>
        </w:rPr>
        <w:t xml:space="preserve"> ingresos hasta la fecha de la publicación.  No obstante, a diferencia de otros pasivos, los cobros anticipados representan ingresos diferidos ya </w:t>
      </w:r>
      <w:r w:rsidR="00AF75C5" w:rsidRPr="00197A8D">
        <w:rPr>
          <w:lang w:val="es-ES"/>
        </w:rPr>
        <w:t>cobrados</w:t>
      </w:r>
      <w:r w:rsidRPr="00197A8D">
        <w:rPr>
          <w:lang w:val="es-ES"/>
        </w:rPr>
        <w:t xml:space="preserve"> en efectivo, que formarán parte de los ing</w:t>
      </w:r>
      <w:r w:rsidR="00831DA3" w:rsidRPr="00197A8D">
        <w:rPr>
          <w:lang w:val="es-ES"/>
        </w:rPr>
        <w:t>resos y el superávit de la OMPI en un período</w:t>
      </w:r>
      <w:r w:rsidRPr="00197A8D">
        <w:rPr>
          <w:lang w:val="es-ES"/>
        </w:rPr>
        <w:t xml:space="preserve"> d</w:t>
      </w:r>
      <w:r w:rsidR="00197A8D" w:rsidRPr="00197A8D">
        <w:rPr>
          <w:lang w:val="es-ES"/>
        </w:rPr>
        <w:t>e 1</w:t>
      </w:r>
      <w:r w:rsidRPr="00197A8D">
        <w:rPr>
          <w:lang w:val="es-ES"/>
        </w:rPr>
        <w:t xml:space="preserve">2 meses o menos.  Por consiguiente, </w:t>
      </w:r>
      <w:r w:rsidR="00AF75C5" w:rsidRPr="00197A8D">
        <w:rPr>
          <w:lang w:val="es-ES"/>
        </w:rPr>
        <w:t>el porcentaje</w:t>
      </w:r>
      <w:r w:rsidRPr="00197A8D">
        <w:rPr>
          <w:lang w:val="es-ES"/>
        </w:rPr>
        <w:t xml:space="preserve"> de efectivo de los cobros anticipados </w:t>
      </w:r>
      <w:r w:rsidR="00AF75C5" w:rsidRPr="00197A8D">
        <w:rPr>
          <w:lang w:val="es-ES"/>
        </w:rPr>
        <w:t>no es considerado una compensación de los</w:t>
      </w:r>
      <w:r w:rsidRPr="00197A8D">
        <w:rPr>
          <w:lang w:val="es-ES"/>
        </w:rPr>
        <w:t xml:space="preserve"> activos l</w:t>
      </w:r>
      <w:r w:rsidR="00AD0909" w:rsidRPr="00197A8D">
        <w:rPr>
          <w:lang w:val="es-ES"/>
        </w:rPr>
        <w:t xml:space="preserve">íquidos de la OMPI, dado que no da lugar a la </w:t>
      </w:r>
      <w:r w:rsidRPr="00197A8D">
        <w:rPr>
          <w:lang w:val="es-ES"/>
        </w:rPr>
        <w:t xml:space="preserve">transferencia de recursos de efectivo.  </w:t>
      </w:r>
    </w:p>
    <w:tbl>
      <w:tblPr>
        <w:tblW w:w="8601" w:type="dxa"/>
        <w:jc w:val="center"/>
        <w:tblLook w:val="04A0" w:firstRow="1" w:lastRow="0" w:firstColumn="1" w:lastColumn="0" w:noHBand="0" w:noVBand="1"/>
      </w:tblPr>
      <w:tblGrid>
        <w:gridCol w:w="8601"/>
      </w:tblGrid>
      <w:tr w:rsidR="00A06E57" w:rsidRPr="00197A8D" w:rsidTr="002E02E7">
        <w:trPr>
          <w:trHeight w:val="255"/>
          <w:jc w:val="center"/>
        </w:trPr>
        <w:tc>
          <w:tcPr>
            <w:tcW w:w="8601" w:type="dxa"/>
            <w:shd w:val="clear" w:color="auto" w:fill="C6D9F1" w:themeFill="text2" w:themeFillTint="33"/>
            <w:noWrap/>
            <w:vAlign w:val="center"/>
          </w:tcPr>
          <w:p w:rsidR="00A06E57" w:rsidRPr="00197A8D" w:rsidRDefault="00A06E57" w:rsidP="002E02E7">
            <w:pPr>
              <w:jc w:val="center"/>
            </w:pPr>
            <w:r w:rsidRPr="00197A8D">
              <w:t>Cuadr</w:t>
            </w:r>
            <w:r w:rsidR="00197A8D" w:rsidRPr="00197A8D">
              <w:t>o 7:  E</w:t>
            </w:r>
            <w:r w:rsidRPr="00197A8D">
              <w:t xml:space="preserve">volución de reservas líquidas netas  </w:t>
            </w:r>
          </w:p>
          <w:p w:rsidR="00A06E57" w:rsidRPr="00197A8D" w:rsidRDefault="00A06E57" w:rsidP="002E02E7">
            <w:pPr>
              <w:jc w:val="center"/>
              <w:rPr>
                <w:rFonts w:asciiTheme="minorHAnsi" w:eastAsia="Times New Roman" w:hAnsiTheme="minorHAnsi" w:cstheme="minorHAnsi"/>
                <w:i/>
                <w:color w:val="000000"/>
                <w:sz w:val="18"/>
                <w:szCs w:val="18"/>
              </w:rPr>
            </w:pPr>
            <w:r w:rsidRPr="00197A8D">
              <w:rPr>
                <w:rFonts w:asciiTheme="minorHAnsi" w:eastAsia="Times New Roman" w:hAnsiTheme="minorHAnsi" w:cstheme="minorHAnsi"/>
                <w:i/>
                <w:iCs/>
                <w:color w:val="000000"/>
                <w:sz w:val="18"/>
                <w:szCs w:val="18"/>
              </w:rPr>
              <w:t>(en millones de francos suizos)</w:t>
            </w:r>
          </w:p>
        </w:tc>
      </w:tr>
    </w:tbl>
    <w:p w:rsidR="00A06E57" w:rsidRPr="00197A8D" w:rsidRDefault="00A06E57" w:rsidP="002E02E7">
      <w:pPr>
        <w:rPr>
          <w:sz w:val="8"/>
          <w:szCs w:val="8"/>
        </w:rPr>
      </w:pPr>
    </w:p>
    <w:tbl>
      <w:tblPr>
        <w:tblW w:w="8568" w:type="dxa"/>
        <w:jc w:val="center"/>
        <w:tblLook w:val="04A0" w:firstRow="1" w:lastRow="0" w:firstColumn="1" w:lastColumn="0" w:noHBand="0" w:noVBand="1"/>
      </w:tblPr>
      <w:tblGrid>
        <w:gridCol w:w="3576"/>
        <w:gridCol w:w="1134"/>
        <w:gridCol w:w="1417"/>
        <w:gridCol w:w="1070"/>
        <w:gridCol w:w="1371"/>
      </w:tblGrid>
      <w:tr w:rsidR="00A06E57" w:rsidRPr="00197A8D" w:rsidTr="002E02E7">
        <w:trPr>
          <w:trHeight w:val="255"/>
          <w:jc w:val="center"/>
        </w:trPr>
        <w:tc>
          <w:tcPr>
            <w:tcW w:w="3576" w:type="dxa"/>
            <w:shd w:val="clear" w:color="auto" w:fill="C6D9F1" w:themeFill="text2" w:themeFillTint="33"/>
            <w:noWrap/>
            <w:tcMar>
              <w:top w:w="57" w:type="dxa"/>
              <w:bottom w:w="57" w:type="dxa"/>
            </w:tcMar>
            <w:vAlign w:val="bottom"/>
            <w:hideMark/>
          </w:tcPr>
          <w:p w:rsidR="00A06E57" w:rsidRPr="00197A8D" w:rsidRDefault="00A06E57" w:rsidP="002E02E7">
            <w:pPr>
              <w:rPr>
                <w:rFonts w:eastAsia="Times New Roman"/>
                <w:color w:val="000000"/>
                <w:sz w:val="18"/>
                <w:szCs w:val="18"/>
              </w:rPr>
            </w:pPr>
          </w:p>
        </w:tc>
        <w:tc>
          <w:tcPr>
            <w:tcW w:w="1134" w:type="dxa"/>
            <w:shd w:val="clear" w:color="auto" w:fill="C6D9F1" w:themeFill="text2" w:themeFillTint="33"/>
            <w:noWrap/>
            <w:tcMar>
              <w:top w:w="57" w:type="dxa"/>
              <w:bottom w:w="57" w:type="dxa"/>
            </w:tcMar>
            <w:vAlign w:val="center"/>
            <w:hideMark/>
          </w:tcPr>
          <w:p w:rsidR="00A06E57" w:rsidRPr="00197A8D" w:rsidRDefault="00A06E57" w:rsidP="002E02E7">
            <w:pPr>
              <w:jc w:val="center"/>
              <w:rPr>
                <w:rFonts w:eastAsia="Times New Roman"/>
                <w:color w:val="000000"/>
                <w:sz w:val="18"/>
                <w:szCs w:val="18"/>
              </w:rPr>
            </w:pPr>
            <w:r w:rsidRPr="00197A8D">
              <w:rPr>
                <w:rFonts w:eastAsia="Times New Roman"/>
                <w:color w:val="000000"/>
                <w:sz w:val="18"/>
                <w:szCs w:val="18"/>
              </w:rPr>
              <w:t>31 de diciembre d</w:t>
            </w:r>
            <w:r w:rsidR="00197A8D" w:rsidRPr="00197A8D">
              <w:rPr>
                <w:rFonts w:eastAsia="Times New Roman"/>
                <w:color w:val="000000"/>
                <w:sz w:val="18"/>
                <w:szCs w:val="18"/>
              </w:rPr>
              <w:t>e 2</w:t>
            </w:r>
            <w:r w:rsidRPr="00197A8D">
              <w:rPr>
                <w:rFonts w:eastAsia="Times New Roman"/>
                <w:color w:val="000000"/>
                <w:sz w:val="18"/>
                <w:szCs w:val="18"/>
              </w:rPr>
              <w:t>016</w:t>
            </w:r>
          </w:p>
        </w:tc>
        <w:tc>
          <w:tcPr>
            <w:tcW w:w="1417" w:type="dxa"/>
            <w:shd w:val="clear" w:color="auto" w:fill="C6D9F1" w:themeFill="text2" w:themeFillTint="33"/>
            <w:vAlign w:val="center"/>
          </w:tcPr>
          <w:p w:rsidR="00A06E57" w:rsidRPr="00197A8D" w:rsidRDefault="00AD0909" w:rsidP="002E02E7">
            <w:pPr>
              <w:jc w:val="center"/>
              <w:rPr>
                <w:rFonts w:eastAsia="Times New Roman"/>
                <w:color w:val="000000"/>
                <w:sz w:val="18"/>
                <w:szCs w:val="18"/>
              </w:rPr>
            </w:pPr>
            <w:r w:rsidRPr="00197A8D">
              <w:rPr>
                <w:rFonts w:eastAsia="Times New Roman"/>
                <w:color w:val="000000"/>
                <w:sz w:val="18"/>
                <w:szCs w:val="18"/>
              </w:rPr>
              <w:t>Situación</w:t>
            </w:r>
            <w:r w:rsidR="00A06E57" w:rsidRPr="00197A8D">
              <w:rPr>
                <w:rFonts w:eastAsia="Times New Roman"/>
                <w:color w:val="000000"/>
                <w:sz w:val="18"/>
                <w:szCs w:val="18"/>
              </w:rPr>
              <w:t xml:space="preserve"> después de los ajustes </w:t>
            </w:r>
          </w:p>
          <w:p w:rsidR="00A06E57" w:rsidRPr="00197A8D" w:rsidRDefault="00AD0909" w:rsidP="002E02E7">
            <w:pPr>
              <w:jc w:val="center"/>
              <w:rPr>
                <w:rFonts w:eastAsia="Times New Roman"/>
                <w:color w:val="000000"/>
                <w:sz w:val="18"/>
                <w:szCs w:val="18"/>
              </w:rPr>
            </w:pPr>
            <w:r w:rsidRPr="00197A8D">
              <w:rPr>
                <w:rFonts w:eastAsia="Times New Roman"/>
                <w:color w:val="000000"/>
                <w:sz w:val="18"/>
                <w:szCs w:val="18"/>
              </w:rPr>
              <w:t>a</w:t>
            </w:r>
            <w:r w:rsidR="00197A8D" w:rsidRPr="00197A8D">
              <w:rPr>
                <w:rFonts w:eastAsia="Times New Roman"/>
                <w:color w:val="000000"/>
                <w:sz w:val="18"/>
                <w:szCs w:val="18"/>
              </w:rPr>
              <w:t>l 3</w:t>
            </w:r>
            <w:r w:rsidR="00A06E57" w:rsidRPr="00197A8D">
              <w:rPr>
                <w:rFonts w:eastAsia="Times New Roman"/>
                <w:color w:val="000000"/>
                <w:sz w:val="18"/>
                <w:szCs w:val="18"/>
              </w:rPr>
              <w:t>1 de diciembre d</w:t>
            </w:r>
            <w:r w:rsidR="00197A8D" w:rsidRPr="00197A8D">
              <w:rPr>
                <w:rFonts w:eastAsia="Times New Roman"/>
                <w:color w:val="000000"/>
                <w:sz w:val="18"/>
                <w:szCs w:val="18"/>
              </w:rPr>
              <w:t>e 2</w:t>
            </w:r>
            <w:r w:rsidR="00A06E57" w:rsidRPr="00197A8D">
              <w:rPr>
                <w:rFonts w:eastAsia="Times New Roman"/>
                <w:color w:val="000000"/>
                <w:sz w:val="18"/>
                <w:szCs w:val="18"/>
              </w:rPr>
              <w:t>016</w:t>
            </w:r>
          </w:p>
        </w:tc>
        <w:tc>
          <w:tcPr>
            <w:tcW w:w="1070" w:type="dxa"/>
            <w:shd w:val="clear" w:color="auto" w:fill="C6D9F1" w:themeFill="text2" w:themeFillTint="33"/>
            <w:vAlign w:val="center"/>
          </w:tcPr>
          <w:p w:rsidR="00A06E57" w:rsidRPr="00197A8D" w:rsidRDefault="00A06E57" w:rsidP="002E02E7">
            <w:pPr>
              <w:jc w:val="center"/>
              <w:rPr>
                <w:rFonts w:eastAsia="Times New Roman"/>
                <w:color w:val="000000"/>
                <w:sz w:val="18"/>
                <w:szCs w:val="18"/>
              </w:rPr>
            </w:pPr>
            <w:r w:rsidRPr="00197A8D">
              <w:rPr>
                <w:rFonts w:eastAsia="Times New Roman"/>
                <w:color w:val="000000"/>
                <w:sz w:val="18"/>
                <w:szCs w:val="18"/>
              </w:rPr>
              <w:t>31 de diciembre d</w:t>
            </w:r>
            <w:r w:rsidR="00197A8D" w:rsidRPr="00197A8D">
              <w:rPr>
                <w:rFonts w:eastAsia="Times New Roman"/>
                <w:color w:val="000000"/>
                <w:sz w:val="18"/>
                <w:szCs w:val="18"/>
              </w:rPr>
              <w:t>e 2</w:t>
            </w:r>
            <w:r w:rsidRPr="00197A8D">
              <w:rPr>
                <w:rFonts w:eastAsia="Times New Roman"/>
                <w:color w:val="000000"/>
                <w:sz w:val="18"/>
                <w:szCs w:val="18"/>
              </w:rPr>
              <w:t>015</w:t>
            </w:r>
          </w:p>
        </w:tc>
        <w:tc>
          <w:tcPr>
            <w:tcW w:w="1371" w:type="dxa"/>
            <w:shd w:val="clear" w:color="auto" w:fill="C6D9F1" w:themeFill="text2" w:themeFillTint="33"/>
            <w:vAlign w:val="center"/>
          </w:tcPr>
          <w:p w:rsidR="00A06E57" w:rsidRPr="00197A8D" w:rsidRDefault="00AD0909" w:rsidP="002E02E7">
            <w:pPr>
              <w:jc w:val="center"/>
              <w:rPr>
                <w:rFonts w:eastAsia="Times New Roman"/>
                <w:color w:val="000000"/>
                <w:sz w:val="18"/>
                <w:szCs w:val="18"/>
              </w:rPr>
            </w:pPr>
            <w:r w:rsidRPr="00197A8D">
              <w:rPr>
                <w:rFonts w:eastAsia="Times New Roman"/>
                <w:color w:val="000000"/>
                <w:sz w:val="18"/>
                <w:szCs w:val="18"/>
              </w:rPr>
              <w:t>Situación</w:t>
            </w:r>
            <w:r w:rsidR="00A06E57" w:rsidRPr="00197A8D">
              <w:rPr>
                <w:rFonts w:eastAsia="Times New Roman"/>
                <w:color w:val="000000"/>
                <w:sz w:val="18"/>
                <w:szCs w:val="18"/>
              </w:rPr>
              <w:t xml:space="preserve"> después de los ajustes </w:t>
            </w:r>
          </w:p>
          <w:p w:rsidR="00A06E57" w:rsidRPr="00197A8D" w:rsidRDefault="00AD0909" w:rsidP="002E02E7">
            <w:pPr>
              <w:jc w:val="center"/>
              <w:rPr>
                <w:rFonts w:eastAsia="Times New Roman"/>
                <w:color w:val="000000"/>
                <w:sz w:val="18"/>
                <w:szCs w:val="18"/>
              </w:rPr>
            </w:pPr>
            <w:r w:rsidRPr="00197A8D">
              <w:rPr>
                <w:rFonts w:eastAsia="Times New Roman"/>
                <w:color w:val="000000"/>
                <w:sz w:val="18"/>
                <w:szCs w:val="18"/>
              </w:rPr>
              <w:t>a</w:t>
            </w:r>
            <w:r w:rsidR="00197A8D" w:rsidRPr="00197A8D">
              <w:rPr>
                <w:rFonts w:eastAsia="Times New Roman"/>
                <w:color w:val="000000"/>
                <w:sz w:val="18"/>
                <w:szCs w:val="18"/>
              </w:rPr>
              <w:t>l 3</w:t>
            </w:r>
            <w:r w:rsidR="00A06E57" w:rsidRPr="00197A8D">
              <w:rPr>
                <w:rFonts w:eastAsia="Times New Roman"/>
                <w:color w:val="000000"/>
                <w:sz w:val="18"/>
                <w:szCs w:val="18"/>
              </w:rPr>
              <w:t>1 de diciembre d</w:t>
            </w:r>
            <w:r w:rsidR="00197A8D" w:rsidRPr="00197A8D">
              <w:rPr>
                <w:rFonts w:eastAsia="Times New Roman"/>
                <w:color w:val="000000"/>
                <w:sz w:val="18"/>
                <w:szCs w:val="18"/>
              </w:rPr>
              <w:t>e 2</w:t>
            </w:r>
            <w:r w:rsidR="00A06E57" w:rsidRPr="00197A8D">
              <w:rPr>
                <w:rFonts w:eastAsia="Times New Roman"/>
                <w:color w:val="000000"/>
                <w:sz w:val="18"/>
                <w:szCs w:val="18"/>
              </w:rPr>
              <w:t>015</w:t>
            </w:r>
          </w:p>
        </w:tc>
      </w:tr>
      <w:tr w:rsidR="00A06E57" w:rsidRPr="00197A8D" w:rsidTr="002E02E7">
        <w:trPr>
          <w:trHeight w:val="255"/>
          <w:jc w:val="center"/>
        </w:trPr>
        <w:tc>
          <w:tcPr>
            <w:tcW w:w="3576" w:type="dxa"/>
            <w:shd w:val="clear" w:color="auto" w:fill="auto"/>
            <w:noWrap/>
            <w:tcMar>
              <w:top w:w="57" w:type="dxa"/>
              <w:bottom w:w="57" w:type="dxa"/>
            </w:tcMar>
            <w:vAlign w:val="center"/>
            <w:hideMark/>
          </w:tcPr>
          <w:p w:rsidR="00A06E57" w:rsidRPr="00197A8D" w:rsidRDefault="00A06E57" w:rsidP="002E02E7">
            <w:pPr>
              <w:rPr>
                <w:rFonts w:eastAsia="Times New Roman"/>
                <w:color w:val="000000"/>
                <w:sz w:val="18"/>
                <w:szCs w:val="18"/>
              </w:rPr>
            </w:pPr>
            <w:r w:rsidRPr="00197A8D">
              <w:rPr>
                <w:rFonts w:eastAsia="Times New Roman"/>
                <w:color w:val="000000"/>
                <w:sz w:val="18"/>
                <w:szCs w:val="18"/>
              </w:rPr>
              <w:t>Activos corrientes</w:t>
            </w:r>
          </w:p>
        </w:tc>
        <w:tc>
          <w:tcPr>
            <w:tcW w:w="1134" w:type="dxa"/>
            <w:shd w:val="clear" w:color="auto" w:fill="auto"/>
            <w:noWrap/>
            <w:tcMar>
              <w:top w:w="57" w:type="dxa"/>
              <w:bottom w:w="57" w:type="dxa"/>
            </w:tcMar>
            <w:vAlign w:val="center"/>
            <w:hideMark/>
          </w:tcPr>
          <w:p w:rsidR="00A06E57" w:rsidRPr="00197A8D" w:rsidRDefault="00A06E57" w:rsidP="002E02E7">
            <w:pPr>
              <w:jc w:val="right"/>
              <w:rPr>
                <w:rFonts w:eastAsia="Times New Roman"/>
                <w:color w:val="000000"/>
                <w:sz w:val="18"/>
                <w:szCs w:val="18"/>
              </w:rPr>
            </w:pPr>
            <w:r w:rsidRPr="00197A8D">
              <w:rPr>
                <w:rFonts w:eastAsia="Times New Roman"/>
                <w:color w:val="000000"/>
                <w:sz w:val="18"/>
                <w:szCs w:val="18"/>
              </w:rPr>
              <w:t>604,4</w:t>
            </w:r>
          </w:p>
        </w:tc>
        <w:tc>
          <w:tcPr>
            <w:tcW w:w="1417" w:type="dxa"/>
            <w:vAlign w:val="center"/>
          </w:tcPr>
          <w:p w:rsidR="00A06E57" w:rsidRPr="00197A8D" w:rsidRDefault="00A06E57" w:rsidP="002E02E7">
            <w:pPr>
              <w:jc w:val="right"/>
              <w:rPr>
                <w:rFonts w:eastAsia="Times New Roman"/>
                <w:color w:val="000000"/>
                <w:sz w:val="18"/>
                <w:szCs w:val="18"/>
              </w:rPr>
            </w:pPr>
          </w:p>
        </w:tc>
        <w:tc>
          <w:tcPr>
            <w:tcW w:w="1070" w:type="dxa"/>
            <w:vAlign w:val="center"/>
          </w:tcPr>
          <w:p w:rsidR="00A06E57" w:rsidRPr="00197A8D" w:rsidRDefault="00A06E57" w:rsidP="002E02E7">
            <w:pPr>
              <w:jc w:val="right"/>
              <w:rPr>
                <w:rFonts w:eastAsia="Times New Roman"/>
                <w:color w:val="000000"/>
                <w:sz w:val="18"/>
                <w:szCs w:val="18"/>
              </w:rPr>
            </w:pPr>
            <w:r w:rsidRPr="00197A8D">
              <w:rPr>
                <w:rFonts w:eastAsia="Times New Roman"/>
                <w:color w:val="000000"/>
                <w:sz w:val="18"/>
                <w:szCs w:val="18"/>
              </w:rPr>
              <w:t>544,9</w:t>
            </w:r>
          </w:p>
        </w:tc>
        <w:tc>
          <w:tcPr>
            <w:tcW w:w="1371" w:type="dxa"/>
            <w:vAlign w:val="center"/>
          </w:tcPr>
          <w:p w:rsidR="00A06E57" w:rsidRPr="00197A8D" w:rsidRDefault="00A06E57" w:rsidP="002E02E7">
            <w:pPr>
              <w:jc w:val="right"/>
              <w:rPr>
                <w:rFonts w:eastAsia="Times New Roman"/>
                <w:color w:val="000000"/>
                <w:sz w:val="18"/>
                <w:szCs w:val="18"/>
              </w:rPr>
            </w:pPr>
          </w:p>
        </w:tc>
      </w:tr>
      <w:tr w:rsidR="00A06E57" w:rsidRPr="00197A8D" w:rsidTr="002E02E7">
        <w:trPr>
          <w:trHeight w:val="255"/>
          <w:jc w:val="center"/>
        </w:trPr>
        <w:tc>
          <w:tcPr>
            <w:tcW w:w="3576" w:type="dxa"/>
            <w:shd w:val="clear" w:color="auto" w:fill="auto"/>
            <w:noWrap/>
            <w:tcMar>
              <w:top w:w="57" w:type="dxa"/>
              <w:bottom w:w="57" w:type="dxa"/>
            </w:tcMar>
            <w:vAlign w:val="center"/>
          </w:tcPr>
          <w:p w:rsidR="00A06E57" w:rsidRPr="00197A8D" w:rsidRDefault="00A06E57" w:rsidP="002E02E7">
            <w:pPr>
              <w:rPr>
                <w:rFonts w:eastAsia="Times New Roman"/>
                <w:color w:val="000000"/>
                <w:sz w:val="18"/>
                <w:szCs w:val="18"/>
              </w:rPr>
            </w:pPr>
            <w:r w:rsidRPr="00197A8D">
              <w:rPr>
                <w:rFonts w:eastAsia="Times New Roman"/>
                <w:color w:val="000000"/>
                <w:sz w:val="18"/>
                <w:szCs w:val="18"/>
              </w:rPr>
              <w:tab/>
              <w:t>Cuentas por cobrar del PCT</w:t>
            </w:r>
          </w:p>
        </w:tc>
        <w:tc>
          <w:tcPr>
            <w:tcW w:w="1134" w:type="dxa"/>
            <w:shd w:val="clear" w:color="auto" w:fill="auto"/>
            <w:noWrap/>
            <w:tcMar>
              <w:top w:w="57" w:type="dxa"/>
              <w:bottom w:w="57" w:type="dxa"/>
            </w:tcMar>
            <w:vAlign w:val="center"/>
          </w:tcPr>
          <w:p w:rsidR="00A06E57" w:rsidRPr="00197A8D" w:rsidRDefault="00A06E57" w:rsidP="002E02E7">
            <w:pPr>
              <w:jc w:val="right"/>
              <w:rPr>
                <w:rFonts w:eastAsia="Times New Roman"/>
                <w:color w:val="000000"/>
                <w:sz w:val="18"/>
                <w:szCs w:val="18"/>
              </w:rPr>
            </w:pPr>
          </w:p>
        </w:tc>
        <w:tc>
          <w:tcPr>
            <w:tcW w:w="1417" w:type="dxa"/>
            <w:vAlign w:val="center"/>
          </w:tcPr>
          <w:p w:rsidR="00A06E57" w:rsidRPr="00197A8D" w:rsidRDefault="00A06E57" w:rsidP="002E02E7">
            <w:pPr>
              <w:jc w:val="right"/>
              <w:rPr>
                <w:rFonts w:eastAsia="Times New Roman"/>
                <w:color w:val="000000"/>
                <w:sz w:val="18"/>
                <w:szCs w:val="18"/>
              </w:rPr>
            </w:pPr>
            <w:r w:rsidRPr="00197A8D">
              <w:rPr>
                <w:rFonts w:eastAsia="Times New Roman"/>
                <w:color w:val="000000"/>
                <w:sz w:val="18"/>
                <w:szCs w:val="18"/>
              </w:rPr>
              <w:t>(46,0)</w:t>
            </w:r>
          </w:p>
        </w:tc>
        <w:tc>
          <w:tcPr>
            <w:tcW w:w="1070" w:type="dxa"/>
            <w:vAlign w:val="center"/>
          </w:tcPr>
          <w:p w:rsidR="00A06E57" w:rsidRPr="00197A8D" w:rsidRDefault="00A06E57" w:rsidP="002E02E7">
            <w:pPr>
              <w:jc w:val="right"/>
              <w:rPr>
                <w:rFonts w:eastAsia="Times New Roman"/>
                <w:color w:val="000000"/>
                <w:sz w:val="18"/>
                <w:szCs w:val="18"/>
              </w:rPr>
            </w:pPr>
          </w:p>
        </w:tc>
        <w:tc>
          <w:tcPr>
            <w:tcW w:w="1371" w:type="dxa"/>
            <w:vAlign w:val="center"/>
          </w:tcPr>
          <w:p w:rsidR="00A06E57" w:rsidRPr="00197A8D" w:rsidRDefault="00A06E57" w:rsidP="002E02E7">
            <w:pPr>
              <w:jc w:val="right"/>
              <w:rPr>
                <w:rFonts w:eastAsia="Times New Roman"/>
                <w:color w:val="000000"/>
                <w:sz w:val="18"/>
                <w:szCs w:val="18"/>
              </w:rPr>
            </w:pPr>
            <w:r w:rsidRPr="00197A8D">
              <w:rPr>
                <w:rFonts w:eastAsia="Times New Roman"/>
                <w:color w:val="000000"/>
                <w:sz w:val="18"/>
                <w:szCs w:val="18"/>
              </w:rPr>
              <w:t>(36,5)</w:t>
            </w:r>
          </w:p>
        </w:tc>
      </w:tr>
      <w:tr w:rsidR="00A06E57" w:rsidRPr="00197A8D" w:rsidTr="002E02E7">
        <w:trPr>
          <w:trHeight w:val="255"/>
          <w:jc w:val="center"/>
        </w:trPr>
        <w:tc>
          <w:tcPr>
            <w:tcW w:w="3576" w:type="dxa"/>
            <w:shd w:val="clear" w:color="auto" w:fill="auto"/>
            <w:noWrap/>
            <w:tcMar>
              <w:top w:w="57" w:type="dxa"/>
              <w:bottom w:w="57" w:type="dxa"/>
            </w:tcMar>
            <w:vAlign w:val="center"/>
          </w:tcPr>
          <w:p w:rsidR="00A06E57" w:rsidRPr="00197A8D" w:rsidRDefault="00A06E57" w:rsidP="00AD0909">
            <w:pPr>
              <w:rPr>
                <w:rFonts w:eastAsia="Times New Roman"/>
                <w:color w:val="000000"/>
                <w:sz w:val="18"/>
                <w:szCs w:val="18"/>
              </w:rPr>
            </w:pPr>
            <w:r w:rsidRPr="00197A8D">
              <w:rPr>
                <w:rFonts w:eastAsia="Times New Roman"/>
                <w:color w:val="000000"/>
                <w:sz w:val="18"/>
                <w:szCs w:val="18"/>
              </w:rPr>
              <w:tab/>
              <w:t xml:space="preserve">Ajuste </w:t>
            </w:r>
            <w:r w:rsidR="00AD0909" w:rsidRPr="00197A8D">
              <w:rPr>
                <w:rFonts w:eastAsia="Times New Roman"/>
                <w:color w:val="000000"/>
                <w:sz w:val="18"/>
                <w:szCs w:val="18"/>
              </w:rPr>
              <w:t>respecto de</w:t>
            </w:r>
            <w:r w:rsidRPr="00197A8D">
              <w:rPr>
                <w:rFonts w:eastAsia="Times New Roman"/>
                <w:color w:val="000000"/>
                <w:sz w:val="18"/>
                <w:szCs w:val="18"/>
              </w:rPr>
              <w:t xml:space="preserve"> inventarios</w:t>
            </w:r>
          </w:p>
        </w:tc>
        <w:tc>
          <w:tcPr>
            <w:tcW w:w="1134" w:type="dxa"/>
            <w:shd w:val="clear" w:color="auto" w:fill="auto"/>
            <w:noWrap/>
            <w:tcMar>
              <w:top w:w="57" w:type="dxa"/>
              <w:bottom w:w="57" w:type="dxa"/>
            </w:tcMar>
            <w:vAlign w:val="center"/>
          </w:tcPr>
          <w:p w:rsidR="00A06E57" w:rsidRPr="00197A8D" w:rsidRDefault="00A06E57" w:rsidP="002E02E7">
            <w:pPr>
              <w:jc w:val="right"/>
              <w:rPr>
                <w:rFonts w:eastAsia="Times New Roman"/>
                <w:color w:val="000000"/>
                <w:sz w:val="18"/>
                <w:szCs w:val="18"/>
              </w:rPr>
            </w:pPr>
          </w:p>
        </w:tc>
        <w:tc>
          <w:tcPr>
            <w:tcW w:w="1417" w:type="dxa"/>
            <w:vAlign w:val="center"/>
          </w:tcPr>
          <w:p w:rsidR="00A06E57" w:rsidRPr="00197A8D" w:rsidRDefault="00A06E57" w:rsidP="002E02E7">
            <w:pPr>
              <w:jc w:val="right"/>
              <w:rPr>
                <w:rFonts w:eastAsia="Times New Roman"/>
                <w:color w:val="000000"/>
                <w:sz w:val="18"/>
                <w:szCs w:val="18"/>
                <w:u w:val="single"/>
              </w:rPr>
            </w:pPr>
            <w:r w:rsidRPr="00197A8D">
              <w:rPr>
                <w:rFonts w:eastAsia="Times New Roman"/>
                <w:color w:val="000000"/>
                <w:sz w:val="18"/>
                <w:szCs w:val="18"/>
                <w:u w:val="single"/>
              </w:rPr>
              <w:t>(1,5)</w:t>
            </w:r>
          </w:p>
        </w:tc>
        <w:tc>
          <w:tcPr>
            <w:tcW w:w="1070" w:type="dxa"/>
            <w:vAlign w:val="center"/>
          </w:tcPr>
          <w:p w:rsidR="00A06E57" w:rsidRPr="00197A8D" w:rsidRDefault="00A06E57" w:rsidP="002E02E7">
            <w:pPr>
              <w:jc w:val="right"/>
              <w:rPr>
                <w:rFonts w:eastAsia="Times New Roman"/>
                <w:color w:val="000000"/>
                <w:sz w:val="18"/>
                <w:szCs w:val="18"/>
              </w:rPr>
            </w:pPr>
          </w:p>
        </w:tc>
        <w:tc>
          <w:tcPr>
            <w:tcW w:w="1371" w:type="dxa"/>
            <w:vAlign w:val="center"/>
          </w:tcPr>
          <w:p w:rsidR="00A06E57" w:rsidRPr="00197A8D" w:rsidRDefault="00A06E57" w:rsidP="002E02E7">
            <w:pPr>
              <w:jc w:val="right"/>
              <w:rPr>
                <w:rFonts w:eastAsia="Times New Roman"/>
                <w:color w:val="000000"/>
                <w:sz w:val="18"/>
                <w:szCs w:val="18"/>
                <w:u w:val="single"/>
              </w:rPr>
            </w:pPr>
            <w:r w:rsidRPr="00197A8D">
              <w:rPr>
                <w:rFonts w:eastAsia="Times New Roman"/>
                <w:color w:val="000000"/>
                <w:sz w:val="18"/>
                <w:szCs w:val="18"/>
                <w:u w:val="single"/>
              </w:rPr>
              <w:t>(1,6)</w:t>
            </w:r>
          </w:p>
        </w:tc>
      </w:tr>
      <w:tr w:rsidR="00A06E57" w:rsidRPr="00197A8D" w:rsidTr="002E02E7">
        <w:trPr>
          <w:trHeight w:val="255"/>
          <w:jc w:val="center"/>
        </w:trPr>
        <w:tc>
          <w:tcPr>
            <w:tcW w:w="3576" w:type="dxa"/>
            <w:shd w:val="clear" w:color="auto" w:fill="auto"/>
            <w:noWrap/>
            <w:tcMar>
              <w:top w:w="57" w:type="dxa"/>
              <w:bottom w:w="57" w:type="dxa"/>
            </w:tcMar>
            <w:vAlign w:val="center"/>
          </w:tcPr>
          <w:p w:rsidR="00A06E57" w:rsidRPr="00197A8D" w:rsidRDefault="00AD0909" w:rsidP="002E02E7">
            <w:pPr>
              <w:rPr>
                <w:rFonts w:eastAsia="Times New Roman"/>
                <w:color w:val="000000"/>
                <w:sz w:val="18"/>
                <w:szCs w:val="18"/>
              </w:rPr>
            </w:pPr>
            <w:r w:rsidRPr="00197A8D">
              <w:rPr>
                <w:rFonts w:eastAsia="Times New Roman"/>
                <w:color w:val="000000"/>
                <w:sz w:val="18"/>
                <w:szCs w:val="18"/>
              </w:rPr>
              <w:t>Activos líquidos netos disponibles</w:t>
            </w:r>
          </w:p>
        </w:tc>
        <w:tc>
          <w:tcPr>
            <w:tcW w:w="1134" w:type="dxa"/>
            <w:shd w:val="clear" w:color="auto" w:fill="auto"/>
            <w:noWrap/>
            <w:tcMar>
              <w:top w:w="57" w:type="dxa"/>
              <w:bottom w:w="57" w:type="dxa"/>
            </w:tcMar>
            <w:vAlign w:val="center"/>
          </w:tcPr>
          <w:p w:rsidR="00A06E57" w:rsidRPr="00197A8D" w:rsidRDefault="00A06E57" w:rsidP="002E02E7">
            <w:pPr>
              <w:jc w:val="right"/>
              <w:rPr>
                <w:rFonts w:eastAsia="Times New Roman"/>
                <w:color w:val="000000"/>
                <w:sz w:val="18"/>
                <w:szCs w:val="18"/>
              </w:rPr>
            </w:pPr>
          </w:p>
        </w:tc>
        <w:tc>
          <w:tcPr>
            <w:tcW w:w="1417" w:type="dxa"/>
            <w:vAlign w:val="center"/>
          </w:tcPr>
          <w:p w:rsidR="00A06E57" w:rsidRPr="00197A8D" w:rsidRDefault="00A06E57" w:rsidP="002E02E7">
            <w:pPr>
              <w:jc w:val="right"/>
              <w:rPr>
                <w:rFonts w:eastAsia="Times New Roman"/>
                <w:color w:val="000000"/>
                <w:sz w:val="18"/>
                <w:szCs w:val="18"/>
              </w:rPr>
            </w:pPr>
            <w:r w:rsidRPr="00197A8D">
              <w:rPr>
                <w:rFonts w:eastAsia="Times New Roman"/>
                <w:color w:val="000000"/>
                <w:sz w:val="18"/>
                <w:szCs w:val="18"/>
              </w:rPr>
              <w:t>556,9</w:t>
            </w:r>
          </w:p>
        </w:tc>
        <w:tc>
          <w:tcPr>
            <w:tcW w:w="1070" w:type="dxa"/>
            <w:vAlign w:val="center"/>
          </w:tcPr>
          <w:p w:rsidR="00A06E57" w:rsidRPr="00197A8D" w:rsidRDefault="00A06E57" w:rsidP="002E02E7">
            <w:pPr>
              <w:jc w:val="right"/>
              <w:rPr>
                <w:rFonts w:eastAsia="Times New Roman"/>
                <w:color w:val="000000"/>
                <w:sz w:val="18"/>
                <w:szCs w:val="18"/>
                <w:u w:val="single"/>
              </w:rPr>
            </w:pPr>
          </w:p>
        </w:tc>
        <w:tc>
          <w:tcPr>
            <w:tcW w:w="1371" w:type="dxa"/>
            <w:vAlign w:val="center"/>
          </w:tcPr>
          <w:p w:rsidR="00A06E57" w:rsidRPr="00197A8D" w:rsidRDefault="00A06E57" w:rsidP="002E02E7">
            <w:pPr>
              <w:jc w:val="right"/>
              <w:rPr>
                <w:rFonts w:eastAsia="Times New Roman"/>
                <w:color w:val="000000"/>
                <w:sz w:val="18"/>
                <w:szCs w:val="18"/>
              </w:rPr>
            </w:pPr>
            <w:r w:rsidRPr="00197A8D">
              <w:rPr>
                <w:rFonts w:eastAsia="Times New Roman"/>
                <w:color w:val="000000"/>
                <w:sz w:val="18"/>
                <w:szCs w:val="18"/>
              </w:rPr>
              <w:t>506,8</w:t>
            </w:r>
          </w:p>
        </w:tc>
      </w:tr>
      <w:tr w:rsidR="00A06E57" w:rsidRPr="00197A8D" w:rsidTr="002E02E7">
        <w:trPr>
          <w:trHeight w:val="255"/>
          <w:jc w:val="center"/>
        </w:trPr>
        <w:tc>
          <w:tcPr>
            <w:tcW w:w="3576" w:type="dxa"/>
            <w:shd w:val="clear" w:color="auto" w:fill="auto"/>
            <w:noWrap/>
            <w:tcMar>
              <w:top w:w="57" w:type="dxa"/>
              <w:bottom w:w="57" w:type="dxa"/>
            </w:tcMar>
            <w:vAlign w:val="center"/>
          </w:tcPr>
          <w:p w:rsidR="00A06E57" w:rsidRPr="00197A8D" w:rsidRDefault="00A06E57" w:rsidP="002E02E7">
            <w:pPr>
              <w:rPr>
                <w:rFonts w:eastAsia="Times New Roman"/>
                <w:color w:val="000000"/>
                <w:sz w:val="18"/>
                <w:szCs w:val="18"/>
              </w:rPr>
            </w:pPr>
            <w:r w:rsidRPr="00197A8D">
              <w:rPr>
                <w:rFonts w:eastAsia="Times New Roman"/>
                <w:color w:val="000000"/>
                <w:sz w:val="18"/>
                <w:szCs w:val="18"/>
              </w:rPr>
              <w:t>Pasivos corrientes</w:t>
            </w:r>
          </w:p>
        </w:tc>
        <w:tc>
          <w:tcPr>
            <w:tcW w:w="1134" w:type="dxa"/>
            <w:shd w:val="clear" w:color="auto" w:fill="auto"/>
            <w:noWrap/>
            <w:tcMar>
              <w:top w:w="57" w:type="dxa"/>
              <w:bottom w:w="57" w:type="dxa"/>
            </w:tcMar>
            <w:vAlign w:val="center"/>
          </w:tcPr>
          <w:p w:rsidR="00A06E57" w:rsidRPr="00197A8D" w:rsidRDefault="00A06E57" w:rsidP="002E02E7">
            <w:pPr>
              <w:jc w:val="right"/>
              <w:rPr>
                <w:rFonts w:eastAsia="Times New Roman"/>
                <w:color w:val="000000"/>
                <w:sz w:val="18"/>
                <w:szCs w:val="18"/>
              </w:rPr>
            </w:pPr>
            <w:r w:rsidRPr="00197A8D">
              <w:rPr>
                <w:rFonts w:eastAsia="Times New Roman"/>
                <w:color w:val="000000"/>
                <w:sz w:val="18"/>
                <w:szCs w:val="18"/>
              </w:rPr>
              <w:t>468,8</w:t>
            </w:r>
          </w:p>
        </w:tc>
        <w:tc>
          <w:tcPr>
            <w:tcW w:w="1417" w:type="dxa"/>
            <w:vAlign w:val="center"/>
          </w:tcPr>
          <w:p w:rsidR="00A06E57" w:rsidRPr="00197A8D" w:rsidRDefault="00A06E57" w:rsidP="002E02E7">
            <w:pPr>
              <w:jc w:val="right"/>
              <w:rPr>
                <w:rFonts w:eastAsia="Times New Roman"/>
                <w:color w:val="000000"/>
                <w:sz w:val="18"/>
                <w:szCs w:val="18"/>
                <w:u w:val="single"/>
              </w:rPr>
            </w:pPr>
          </w:p>
        </w:tc>
        <w:tc>
          <w:tcPr>
            <w:tcW w:w="1070" w:type="dxa"/>
            <w:vAlign w:val="center"/>
          </w:tcPr>
          <w:p w:rsidR="00A06E57" w:rsidRPr="00197A8D" w:rsidRDefault="00A06E57" w:rsidP="002E02E7">
            <w:pPr>
              <w:jc w:val="right"/>
              <w:rPr>
                <w:rFonts w:eastAsia="Times New Roman"/>
                <w:color w:val="000000"/>
                <w:sz w:val="18"/>
                <w:szCs w:val="18"/>
              </w:rPr>
            </w:pPr>
            <w:r w:rsidRPr="00197A8D">
              <w:rPr>
                <w:rFonts w:eastAsia="Times New Roman"/>
                <w:color w:val="000000"/>
                <w:sz w:val="18"/>
                <w:szCs w:val="18"/>
              </w:rPr>
              <w:t>456,5</w:t>
            </w:r>
          </w:p>
        </w:tc>
        <w:tc>
          <w:tcPr>
            <w:tcW w:w="1371" w:type="dxa"/>
            <w:vAlign w:val="center"/>
          </w:tcPr>
          <w:p w:rsidR="00A06E57" w:rsidRPr="00197A8D" w:rsidRDefault="00A06E57" w:rsidP="002E02E7">
            <w:pPr>
              <w:jc w:val="right"/>
              <w:rPr>
                <w:rFonts w:eastAsia="Times New Roman"/>
                <w:color w:val="000000"/>
                <w:sz w:val="18"/>
                <w:szCs w:val="18"/>
                <w:u w:val="single"/>
              </w:rPr>
            </w:pPr>
          </w:p>
        </w:tc>
      </w:tr>
      <w:tr w:rsidR="00A06E57" w:rsidRPr="00197A8D" w:rsidTr="002E02E7">
        <w:trPr>
          <w:trHeight w:val="255"/>
          <w:jc w:val="center"/>
        </w:trPr>
        <w:tc>
          <w:tcPr>
            <w:tcW w:w="3576" w:type="dxa"/>
            <w:shd w:val="clear" w:color="auto" w:fill="auto"/>
            <w:noWrap/>
            <w:tcMar>
              <w:top w:w="57" w:type="dxa"/>
              <w:bottom w:w="57" w:type="dxa"/>
            </w:tcMar>
            <w:vAlign w:val="center"/>
          </w:tcPr>
          <w:p w:rsidR="00A06E57" w:rsidRPr="00197A8D" w:rsidRDefault="00A06E57" w:rsidP="00AD0909">
            <w:pPr>
              <w:rPr>
                <w:rFonts w:eastAsia="Times New Roman"/>
                <w:color w:val="000000"/>
                <w:sz w:val="18"/>
                <w:szCs w:val="18"/>
              </w:rPr>
            </w:pPr>
            <w:r w:rsidRPr="00197A8D">
              <w:rPr>
                <w:rFonts w:eastAsia="Times New Roman"/>
                <w:color w:val="000000"/>
                <w:sz w:val="18"/>
                <w:szCs w:val="18"/>
              </w:rPr>
              <w:tab/>
              <w:t xml:space="preserve">Ajuste </w:t>
            </w:r>
            <w:r w:rsidR="00AD0909" w:rsidRPr="00197A8D">
              <w:rPr>
                <w:rFonts w:eastAsia="Times New Roman"/>
                <w:color w:val="000000"/>
                <w:sz w:val="18"/>
                <w:szCs w:val="18"/>
              </w:rPr>
              <w:t>respecto de</w:t>
            </w:r>
            <w:r w:rsidRPr="00197A8D">
              <w:rPr>
                <w:rFonts w:eastAsia="Times New Roman"/>
                <w:color w:val="000000"/>
                <w:sz w:val="18"/>
                <w:szCs w:val="18"/>
              </w:rPr>
              <w:t xml:space="preserve"> cobros anticipados</w:t>
            </w:r>
          </w:p>
        </w:tc>
        <w:tc>
          <w:tcPr>
            <w:tcW w:w="1134" w:type="dxa"/>
            <w:shd w:val="clear" w:color="auto" w:fill="auto"/>
            <w:noWrap/>
            <w:tcMar>
              <w:top w:w="57" w:type="dxa"/>
              <w:bottom w:w="57" w:type="dxa"/>
            </w:tcMar>
            <w:vAlign w:val="center"/>
          </w:tcPr>
          <w:p w:rsidR="00A06E57" w:rsidRPr="00197A8D" w:rsidRDefault="00A06E57" w:rsidP="002E02E7">
            <w:pPr>
              <w:jc w:val="right"/>
              <w:rPr>
                <w:rFonts w:eastAsia="Times New Roman"/>
                <w:color w:val="000000"/>
                <w:sz w:val="18"/>
                <w:szCs w:val="18"/>
              </w:rPr>
            </w:pPr>
          </w:p>
        </w:tc>
        <w:tc>
          <w:tcPr>
            <w:tcW w:w="1417" w:type="dxa"/>
            <w:vAlign w:val="center"/>
          </w:tcPr>
          <w:p w:rsidR="00A06E57" w:rsidRPr="00197A8D" w:rsidRDefault="00A06E57" w:rsidP="002E02E7">
            <w:pPr>
              <w:jc w:val="right"/>
              <w:rPr>
                <w:rFonts w:eastAsia="Times New Roman"/>
                <w:color w:val="000000"/>
                <w:sz w:val="18"/>
                <w:szCs w:val="18"/>
                <w:u w:val="single"/>
              </w:rPr>
            </w:pPr>
            <w:r w:rsidRPr="00197A8D">
              <w:rPr>
                <w:rFonts w:eastAsia="Times New Roman"/>
                <w:color w:val="000000"/>
                <w:sz w:val="18"/>
                <w:szCs w:val="18"/>
                <w:u w:val="single"/>
              </w:rPr>
              <w:t>(269,6)</w:t>
            </w:r>
          </w:p>
        </w:tc>
        <w:tc>
          <w:tcPr>
            <w:tcW w:w="1070" w:type="dxa"/>
            <w:vAlign w:val="center"/>
          </w:tcPr>
          <w:p w:rsidR="00A06E57" w:rsidRPr="00197A8D" w:rsidRDefault="00A06E57" w:rsidP="002E02E7">
            <w:pPr>
              <w:jc w:val="right"/>
              <w:rPr>
                <w:rFonts w:eastAsia="Times New Roman"/>
                <w:color w:val="000000"/>
                <w:sz w:val="18"/>
                <w:szCs w:val="18"/>
                <w:u w:val="single"/>
              </w:rPr>
            </w:pPr>
          </w:p>
        </w:tc>
        <w:tc>
          <w:tcPr>
            <w:tcW w:w="1371" w:type="dxa"/>
            <w:vAlign w:val="center"/>
          </w:tcPr>
          <w:p w:rsidR="00A06E57" w:rsidRPr="00197A8D" w:rsidRDefault="00A06E57" w:rsidP="002E02E7">
            <w:pPr>
              <w:jc w:val="right"/>
              <w:rPr>
                <w:rFonts w:eastAsia="Times New Roman"/>
                <w:color w:val="000000"/>
                <w:sz w:val="18"/>
                <w:szCs w:val="18"/>
                <w:u w:val="single"/>
              </w:rPr>
            </w:pPr>
            <w:r w:rsidRPr="00197A8D">
              <w:rPr>
                <w:rFonts w:eastAsia="Times New Roman"/>
                <w:color w:val="000000"/>
                <w:sz w:val="18"/>
                <w:szCs w:val="18"/>
                <w:u w:val="single"/>
              </w:rPr>
              <w:t>(249,4)</w:t>
            </w:r>
          </w:p>
        </w:tc>
      </w:tr>
      <w:tr w:rsidR="00A06E57" w:rsidRPr="00197A8D" w:rsidTr="002E02E7">
        <w:trPr>
          <w:trHeight w:val="255"/>
          <w:jc w:val="center"/>
        </w:trPr>
        <w:tc>
          <w:tcPr>
            <w:tcW w:w="3576" w:type="dxa"/>
            <w:shd w:val="clear" w:color="auto" w:fill="auto"/>
            <w:noWrap/>
            <w:tcMar>
              <w:top w:w="57" w:type="dxa"/>
              <w:bottom w:w="57" w:type="dxa"/>
            </w:tcMar>
            <w:vAlign w:val="center"/>
          </w:tcPr>
          <w:p w:rsidR="00A06E57" w:rsidRPr="00197A8D" w:rsidRDefault="00AD0909" w:rsidP="00AD0909">
            <w:pPr>
              <w:rPr>
                <w:rFonts w:eastAsia="Times New Roman"/>
                <w:color w:val="000000"/>
                <w:sz w:val="18"/>
                <w:szCs w:val="18"/>
              </w:rPr>
            </w:pPr>
            <w:r w:rsidRPr="00197A8D">
              <w:rPr>
                <w:rFonts w:eastAsia="Times New Roman"/>
                <w:color w:val="000000"/>
                <w:sz w:val="18"/>
                <w:szCs w:val="18"/>
              </w:rPr>
              <w:t>Pasivos líquidos netos disponibles</w:t>
            </w:r>
          </w:p>
        </w:tc>
        <w:tc>
          <w:tcPr>
            <w:tcW w:w="1134" w:type="dxa"/>
            <w:shd w:val="clear" w:color="auto" w:fill="auto"/>
            <w:noWrap/>
            <w:tcMar>
              <w:top w:w="57" w:type="dxa"/>
              <w:bottom w:w="57" w:type="dxa"/>
            </w:tcMar>
            <w:vAlign w:val="center"/>
          </w:tcPr>
          <w:p w:rsidR="00A06E57" w:rsidRPr="00197A8D" w:rsidRDefault="00A06E57" w:rsidP="002E02E7">
            <w:pPr>
              <w:jc w:val="right"/>
              <w:rPr>
                <w:rFonts w:eastAsia="Times New Roman"/>
                <w:color w:val="000000"/>
                <w:sz w:val="18"/>
                <w:szCs w:val="18"/>
                <w:u w:val="single"/>
              </w:rPr>
            </w:pPr>
          </w:p>
        </w:tc>
        <w:tc>
          <w:tcPr>
            <w:tcW w:w="1417" w:type="dxa"/>
            <w:vAlign w:val="center"/>
          </w:tcPr>
          <w:p w:rsidR="00A06E57" w:rsidRPr="00197A8D" w:rsidRDefault="00A06E57" w:rsidP="002E02E7">
            <w:pPr>
              <w:jc w:val="right"/>
              <w:rPr>
                <w:rFonts w:eastAsia="Times New Roman"/>
                <w:color w:val="000000"/>
                <w:sz w:val="18"/>
                <w:szCs w:val="18"/>
              </w:rPr>
            </w:pPr>
            <w:r w:rsidRPr="00197A8D">
              <w:rPr>
                <w:rFonts w:eastAsia="Times New Roman"/>
                <w:color w:val="000000"/>
                <w:sz w:val="18"/>
                <w:szCs w:val="18"/>
              </w:rPr>
              <w:t>199,2</w:t>
            </w:r>
          </w:p>
        </w:tc>
        <w:tc>
          <w:tcPr>
            <w:tcW w:w="1070" w:type="dxa"/>
            <w:vAlign w:val="center"/>
          </w:tcPr>
          <w:p w:rsidR="00A06E57" w:rsidRPr="00197A8D" w:rsidRDefault="00A06E57" w:rsidP="002E02E7">
            <w:pPr>
              <w:jc w:val="right"/>
              <w:rPr>
                <w:rFonts w:eastAsia="Times New Roman"/>
                <w:color w:val="000000"/>
                <w:sz w:val="18"/>
                <w:szCs w:val="18"/>
                <w:u w:val="single"/>
              </w:rPr>
            </w:pPr>
          </w:p>
        </w:tc>
        <w:tc>
          <w:tcPr>
            <w:tcW w:w="1371" w:type="dxa"/>
            <w:vAlign w:val="center"/>
          </w:tcPr>
          <w:p w:rsidR="00A06E57" w:rsidRPr="00197A8D" w:rsidRDefault="00A06E57" w:rsidP="002E02E7">
            <w:pPr>
              <w:jc w:val="right"/>
              <w:rPr>
                <w:rFonts w:eastAsia="Times New Roman"/>
                <w:color w:val="000000"/>
                <w:sz w:val="18"/>
                <w:szCs w:val="18"/>
              </w:rPr>
            </w:pPr>
            <w:r w:rsidRPr="00197A8D">
              <w:rPr>
                <w:rFonts w:eastAsia="Times New Roman"/>
                <w:color w:val="000000"/>
                <w:sz w:val="18"/>
                <w:szCs w:val="18"/>
              </w:rPr>
              <w:t>207,1</w:t>
            </w:r>
          </w:p>
        </w:tc>
      </w:tr>
      <w:tr w:rsidR="00A06E57" w:rsidRPr="00197A8D" w:rsidTr="002E02E7">
        <w:trPr>
          <w:trHeight w:val="255"/>
          <w:jc w:val="center"/>
        </w:trPr>
        <w:tc>
          <w:tcPr>
            <w:tcW w:w="3576" w:type="dxa"/>
            <w:shd w:val="clear" w:color="auto" w:fill="auto"/>
            <w:noWrap/>
            <w:tcMar>
              <w:top w:w="57" w:type="dxa"/>
              <w:bottom w:w="57" w:type="dxa"/>
            </w:tcMar>
            <w:vAlign w:val="center"/>
          </w:tcPr>
          <w:p w:rsidR="00A06E57" w:rsidRPr="00197A8D" w:rsidRDefault="00A06E57" w:rsidP="002E02E7">
            <w:pPr>
              <w:rPr>
                <w:rFonts w:eastAsia="Times New Roman"/>
                <w:color w:val="000000"/>
                <w:sz w:val="18"/>
                <w:szCs w:val="18"/>
              </w:rPr>
            </w:pPr>
            <w:r w:rsidRPr="00197A8D">
              <w:rPr>
                <w:rFonts w:eastAsia="Times New Roman"/>
                <w:color w:val="000000"/>
                <w:sz w:val="18"/>
                <w:szCs w:val="18"/>
              </w:rPr>
              <w:t>Activos corrientes netos*</w:t>
            </w:r>
          </w:p>
        </w:tc>
        <w:tc>
          <w:tcPr>
            <w:tcW w:w="1134" w:type="dxa"/>
            <w:shd w:val="clear" w:color="auto" w:fill="auto"/>
            <w:noWrap/>
            <w:tcMar>
              <w:top w:w="57" w:type="dxa"/>
              <w:bottom w:w="57" w:type="dxa"/>
            </w:tcMar>
            <w:vAlign w:val="center"/>
          </w:tcPr>
          <w:p w:rsidR="00A06E57" w:rsidRPr="00197A8D" w:rsidRDefault="00A06E57" w:rsidP="002E02E7">
            <w:pPr>
              <w:jc w:val="right"/>
              <w:rPr>
                <w:rFonts w:eastAsia="Times New Roman"/>
                <w:color w:val="000000"/>
                <w:sz w:val="18"/>
                <w:szCs w:val="18"/>
              </w:rPr>
            </w:pPr>
            <w:r w:rsidRPr="00197A8D">
              <w:rPr>
                <w:rFonts w:eastAsia="Times New Roman"/>
                <w:color w:val="000000"/>
                <w:sz w:val="18"/>
                <w:szCs w:val="18"/>
              </w:rPr>
              <w:t>135,6</w:t>
            </w:r>
          </w:p>
        </w:tc>
        <w:tc>
          <w:tcPr>
            <w:tcW w:w="1417" w:type="dxa"/>
            <w:vAlign w:val="center"/>
          </w:tcPr>
          <w:p w:rsidR="00A06E57" w:rsidRPr="00197A8D" w:rsidRDefault="00A06E57" w:rsidP="002E02E7">
            <w:pPr>
              <w:jc w:val="right"/>
              <w:rPr>
                <w:rFonts w:eastAsia="Times New Roman"/>
                <w:color w:val="000000"/>
                <w:sz w:val="18"/>
                <w:szCs w:val="18"/>
              </w:rPr>
            </w:pPr>
          </w:p>
        </w:tc>
        <w:tc>
          <w:tcPr>
            <w:tcW w:w="1070" w:type="dxa"/>
            <w:vAlign w:val="center"/>
          </w:tcPr>
          <w:p w:rsidR="00A06E57" w:rsidRPr="00197A8D" w:rsidRDefault="00A06E57" w:rsidP="002E02E7">
            <w:pPr>
              <w:jc w:val="right"/>
              <w:rPr>
                <w:rFonts w:eastAsia="Times New Roman"/>
                <w:color w:val="000000"/>
                <w:sz w:val="18"/>
                <w:szCs w:val="18"/>
              </w:rPr>
            </w:pPr>
            <w:r w:rsidRPr="00197A8D">
              <w:rPr>
                <w:rFonts w:eastAsia="Times New Roman"/>
                <w:color w:val="000000"/>
                <w:sz w:val="18"/>
                <w:szCs w:val="18"/>
              </w:rPr>
              <w:t>88,4</w:t>
            </w:r>
          </w:p>
        </w:tc>
        <w:tc>
          <w:tcPr>
            <w:tcW w:w="1371" w:type="dxa"/>
            <w:vAlign w:val="center"/>
          </w:tcPr>
          <w:p w:rsidR="00A06E57" w:rsidRPr="00197A8D" w:rsidRDefault="00A06E57" w:rsidP="002E02E7">
            <w:pPr>
              <w:jc w:val="right"/>
              <w:rPr>
                <w:rFonts w:eastAsia="Times New Roman"/>
                <w:color w:val="000000"/>
                <w:sz w:val="18"/>
                <w:szCs w:val="18"/>
              </w:rPr>
            </w:pPr>
          </w:p>
        </w:tc>
      </w:tr>
      <w:tr w:rsidR="00A06E57" w:rsidRPr="00197A8D" w:rsidTr="002E02E7">
        <w:trPr>
          <w:trHeight w:val="255"/>
          <w:jc w:val="center"/>
        </w:trPr>
        <w:tc>
          <w:tcPr>
            <w:tcW w:w="3576" w:type="dxa"/>
            <w:shd w:val="clear" w:color="auto" w:fill="auto"/>
            <w:noWrap/>
            <w:tcMar>
              <w:top w:w="57" w:type="dxa"/>
              <w:bottom w:w="57" w:type="dxa"/>
            </w:tcMar>
            <w:vAlign w:val="center"/>
          </w:tcPr>
          <w:p w:rsidR="00A06E57" w:rsidRPr="00197A8D" w:rsidRDefault="00AD0909" w:rsidP="002E02E7">
            <w:pPr>
              <w:rPr>
                <w:rFonts w:eastAsia="Times New Roman"/>
                <w:color w:val="000000"/>
                <w:sz w:val="18"/>
                <w:szCs w:val="18"/>
              </w:rPr>
            </w:pPr>
            <w:r w:rsidRPr="00197A8D">
              <w:rPr>
                <w:rFonts w:eastAsia="Times New Roman"/>
                <w:color w:val="000000"/>
                <w:sz w:val="18"/>
                <w:szCs w:val="18"/>
              </w:rPr>
              <w:t>Porcentaje líquido</w:t>
            </w:r>
            <w:r w:rsidR="00A06E57" w:rsidRPr="00197A8D">
              <w:rPr>
                <w:rFonts w:eastAsia="Times New Roman"/>
                <w:color w:val="000000"/>
                <w:sz w:val="18"/>
                <w:szCs w:val="18"/>
              </w:rPr>
              <w:t xml:space="preserve"> de los activos netos </w:t>
            </w:r>
          </w:p>
        </w:tc>
        <w:tc>
          <w:tcPr>
            <w:tcW w:w="1134" w:type="dxa"/>
            <w:shd w:val="clear" w:color="auto" w:fill="auto"/>
            <w:noWrap/>
            <w:tcMar>
              <w:top w:w="57" w:type="dxa"/>
              <w:bottom w:w="57" w:type="dxa"/>
            </w:tcMar>
            <w:vAlign w:val="center"/>
          </w:tcPr>
          <w:p w:rsidR="00A06E57" w:rsidRPr="00197A8D" w:rsidRDefault="00A06E57" w:rsidP="002E02E7">
            <w:pPr>
              <w:jc w:val="right"/>
              <w:rPr>
                <w:rFonts w:eastAsia="Times New Roman"/>
                <w:color w:val="000000"/>
                <w:sz w:val="18"/>
                <w:szCs w:val="18"/>
              </w:rPr>
            </w:pPr>
          </w:p>
        </w:tc>
        <w:tc>
          <w:tcPr>
            <w:tcW w:w="1417" w:type="dxa"/>
            <w:vAlign w:val="center"/>
          </w:tcPr>
          <w:p w:rsidR="00A06E57" w:rsidRPr="00197A8D" w:rsidRDefault="00A06E57" w:rsidP="002E02E7">
            <w:pPr>
              <w:jc w:val="right"/>
              <w:rPr>
                <w:rFonts w:eastAsia="Times New Roman"/>
                <w:color w:val="000000"/>
                <w:sz w:val="18"/>
                <w:szCs w:val="18"/>
              </w:rPr>
            </w:pPr>
            <w:r w:rsidRPr="00197A8D">
              <w:rPr>
                <w:rFonts w:eastAsia="Times New Roman"/>
                <w:color w:val="000000"/>
                <w:sz w:val="18"/>
                <w:szCs w:val="18"/>
              </w:rPr>
              <w:t>357,7</w:t>
            </w:r>
          </w:p>
        </w:tc>
        <w:tc>
          <w:tcPr>
            <w:tcW w:w="1070" w:type="dxa"/>
            <w:vAlign w:val="center"/>
          </w:tcPr>
          <w:p w:rsidR="00A06E57" w:rsidRPr="00197A8D" w:rsidRDefault="00A06E57" w:rsidP="002E02E7">
            <w:pPr>
              <w:jc w:val="right"/>
              <w:rPr>
                <w:rFonts w:eastAsia="Times New Roman"/>
                <w:color w:val="000000"/>
                <w:sz w:val="18"/>
                <w:szCs w:val="18"/>
              </w:rPr>
            </w:pPr>
          </w:p>
        </w:tc>
        <w:tc>
          <w:tcPr>
            <w:tcW w:w="1371" w:type="dxa"/>
            <w:vAlign w:val="center"/>
          </w:tcPr>
          <w:p w:rsidR="00A06E57" w:rsidRPr="00197A8D" w:rsidRDefault="00A06E57" w:rsidP="002E02E7">
            <w:pPr>
              <w:jc w:val="right"/>
              <w:rPr>
                <w:rFonts w:eastAsia="Times New Roman"/>
                <w:color w:val="000000"/>
                <w:sz w:val="18"/>
                <w:szCs w:val="18"/>
              </w:rPr>
            </w:pPr>
            <w:r w:rsidRPr="00197A8D">
              <w:rPr>
                <w:rFonts w:eastAsia="Times New Roman"/>
                <w:color w:val="000000"/>
                <w:sz w:val="18"/>
                <w:szCs w:val="18"/>
              </w:rPr>
              <w:t>299,7</w:t>
            </w:r>
          </w:p>
        </w:tc>
      </w:tr>
      <w:tr w:rsidR="00A06E57" w:rsidRPr="00197A8D" w:rsidTr="002E02E7">
        <w:trPr>
          <w:trHeight w:val="139"/>
          <w:jc w:val="center"/>
        </w:trPr>
        <w:tc>
          <w:tcPr>
            <w:tcW w:w="3576" w:type="dxa"/>
            <w:shd w:val="clear" w:color="auto" w:fill="C6D9F1" w:themeFill="text2" w:themeFillTint="33"/>
            <w:noWrap/>
            <w:tcMar>
              <w:top w:w="57" w:type="dxa"/>
              <w:bottom w:w="57" w:type="dxa"/>
            </w:tcMar>
            <w:vAlign w:val="bottom"/>
          </w:tcPr>
          <w:p w:rsidR="00A06E57" w:rsidRPr="00197A8D" w:rsidRDefault="00A06E57" w:rsidP="002E02E7">
            <w:pPr>
              <w:rPr>
                <w:rFonts w:eastAsia="Times New Roman"/>
                <w:color w:val="000000"/>
                <w:sz w:val="20"/>
              </w:rPr>
            </w:pPr>
          </w:p>
        </w:tc>
        <w:tc>
          <w:tcPr>
            <w:tcW w:w="1134" w:type="dxa"/>
            <w:shd w:val="clear" w:color="auto" w:fill="C6D9F1" w:themeFill="text2" w:themeFillTint="33"/>
            <w:noWrap/>
            <w:tcMar>
              <w:top w:w="57" w:type="dxa"/>
              <w:bottom w:w="57" w:type="dxa"/>
            </w:tcMar>
            <w:vAlign w:val="bottom"/>
          </w:tcPr>
          <w:p w:rsidR="00A06E57" w:rsidRPr="00197A8D" w:rsidRDefault="00A06E57" w:rsidP="002E02E7">
            <w:pPr>
              <w:jc w:val="right"/>
              <w:rPr>
                <w:rFonts w:eastAsia="Times New Roman"/>
                <w:color w:val="000000"/>
                <w:sz w:val="20"/>
              </w:rPr>
            </w:pPr>
          </w:p>
        </w:tc>
        <w:tc>
          <w:tcPr>
            <w:tcW w:w="1417" w:type="dxa"/>
            <w:shd w:val="clear" w:color="auto" w:fill="C6D9F1" w:themeFill="text2" w:themeFillTint="33"/>
          </w:tcPr>
          <w:p w:rsidR="00A06E57" w:rsidRPr="00197A8D" w:rsidRDefault="00A06E57" w:rsidP="002E02E7">
            <w:pPr>
              <w:jc w:val="right"/>
              <w:rPr>
                <w:rFonts w:eastAsia="Times New Roman"/>
                <w:color w:val="000000"/>
                <w:sz w:val="16"/>
                <w:szCs w:val="16"/>
              </w:rPr>
            </w:pPr>
          </w:p>
        </w:tc>
        <w:tc>
          <w:tcPr>
            <w:tcW w:w="1070" w:type="dxa"/>
            <w:shd w:val="clear" w:color="auto" w:fill="C6D9F1" w:themeFill="text2" w:themeFillTint="33"/>
            <w:vAlign w:val="bottom"/>
          </w:tcPr>
          <w:p w:rsidR="00A06E57" w:rsidRPr="00197A8D" w:rsidRDefault="00A06E57" w:rsidP="002E02E7">
            <w:pPr>
              <w:jc w:val="right"/>
              <w:rPr>
                <w:rFonts w:eastAsia="Times New Roman"/>
                <w:color w:val="000000"/>
                <w:sz w:val="20"/>
              </w:rPr>
            </w:pPr>
          </w:p>
        </w:tc>
        <w:tc>
          <w:tcPr>
            <w:tcW w:w="1371" w:type="dxa"/>
            <w:shd w:val="clear" w:color="auto" w:fill="C6D9F1" w:themeFill="text2" w:themeFillTint="33"/>
          </w:tcPr>
          <w:p w:rsidR="00A06E57" w:rsidRPr="00197A8D" w:rsidRDefault="00A06E57" w:rsidP="002E02E7">
            <w:pPr>
              <w:jc w:val="right"/>
              <w:rPr>
                <w:rFonts w:eastAsia="Times New Roman"/>
                <w:color w:val="000000"/>
                <w:sz w:val="20"/>
              </w:rPr>
            </w:pPr>
          </w:p>
        </w:tc>
      </w:tr>
    </w:tbl>
    <w:p w:rsidR="00A06E57" w:rsidRPr="00197A8D" w:rsidRDefault="00A06E57" w:rsidP="002E02E7">
      <w:pPr>
        <w:ind w:left="567"/>
        <w:rPr>
          <w:i/>
          <w:sz w:val="16"/>
          <w:szCs w:val="16"/>
        </w:rPr>
      </w:pPr>
      <w:r w:rsidRPr="00197A8D">
        <w:rPr>
          <w:i/>
          <w:iCs/>
          <w:sz w:val="16"/>
          <w:szCs w:val="16"/>
        </w:rPr>
        <w:t>*Según los estados financieros</w:t>
      </w:r>
    </w:p>
    <w:p w:rsidR="00A06E57" w:rsidRPr="00197A8D" w:rsidRDefault="00A06E57" w:rsidP="002E02E7">
      <w:pPr>
        <w:tabs>
          <w:tab w:val="left" w:pos="567"/>
          <w:tab w:val="left" w:pos="5670"/>
        </w:tabs>
        <w:spacing w:after="220"/>
        <w:contextualSpacing/>
      </w:pPr>
    </w:p>
    <w:p w:rsidR="00822607" w:rsidRPr="00197A8D" w:rsidRDefault="002E5BA1" w:rsidP="002E02E7">
      <w:pPr>
        <w:numPr>
          <w:ilvl w:val="0"/>
          <w:numId w:val="13"/>
        </w:numPr>
        <w:tabs>
          <w:tab w:val="left" w:pos="567"/>
          <w:tab w:val="left" w:pos="5670"/>
        </w:tabs>
        <w:spacing w:after="220"/>
        <w:ind w:left="0" w:firstLine="0"/>
        <w:contextualSpacing/>
      </w:pPr>
      <w:r w:rsidRPr="00197A8D">
        <w:t>No se prevé que n</w:t>
      </w:r>
      <w:r w:rsidR="00312AE5" w:rsidRPr="00197A8D">
        <w:t xml:space="preserve">ingún elemento </w:t>
      </w:r>
      <w:r w:rsidRPr="00197A8D">
        <w:t>tenga</w:t>
      </w:r>
      <w:r w:rsidR="00312AE5" w:rsidRPr="00197A8D">
        <w:t xml:space="preserve"> </w:t>
      </w:r>
      <w:r w:rsidR="00A06E57" w:rsidRPr="00197A8D">
        <w:t>un impacto negativo considerable en el saldo futuro de los activos líquidos.  Sin embargo, a partir d</w:t>
      </w:r>
      <w:r w:rsidR="00197A8D" w:rsidRPr="00197A8D">
        <w:t>e 2</w:t>
      </w:r>
      <w:r w:rsidR="00A06E57" w:rsidRPr="00197A8D">
        <w:t xml:space="preserve">017, la OMPI reclasificará el porcentaje de efectivo </w:t>
      </w:r>
      <w:r w:rsidR="00BB03B3" w:rsidRPr="00197A8D">
        <w:t>que invierte</w:t>
      </w:r>
      <w:r w:rsidR="00A06E57" w:rsidRPr="00197A8D">
        <w:t xml:space="preserve"> </w:t>
      </w:r>
      <w:r w:rsidRPr="00197A8D">
        <w:t>en</w:t>
      </w:r>
      <w:r w:rsidR="00A06E57" w:rsidRPr="00197A8D">
        <w:t xml:space="preserve"> las r</w:t>
      </w:r>
      <w:r w:rsidR="00BB03B3" w:rsidRPr="00197A8D">
        <w:t>eservas básicas y estratégicas y lo invertirá en</w:t>
      </w:r>
      <w:r w:rsidR="00A06E57" w:rsidRPr="00197A8D">
        <w:t xml:space="preserve"> activos no corrientes, dado que la Organización </w:t>
      </w:r>
      <w:r w:rsidR="00BB03B3" w:rsidRPr="00197A8D">
        <w:t>tiene previsto</w:t>
      </w:r>
      <w:r w:rsidR="00A06E57" w:rsidRPr="00197A8D">
        <w:t xml:space="preserve"> colocar estas reservas en inversiones que excedan el plazo de un año a fin de maximizar la rentabilidad y preservar el capital.  El efectivo estratégico </w:t>
      </w:r>
      <w:r w:rsidR="00BB03B3" w:rsidRPr="00197A8D">
        <w:t>se invertirá a largo plazo y esto redundará en una disminución de</w:t>
      </w:r>
      <w:r w:rsidR="00A06E57" w:rsidRPr="00197A8D">
        <w:t xml:space="preserve"> las reservas líquidas.  Sin embargo, se invertirá </w:t>
      </w:r>
      <w:r w:rsidR="00831DA3" w:rsidRPr="00197A8D">
        <w:t xml:space="preserve">el efectivo básico </w:t>
      </w:r>
      <w:r w:rsidR="008A4076" w:rsidRPr="00197A8D">
        <w:t>de tal modo que</w:t>
      </w:r>
      <w:r w:rsidR="00A06E57" w:rsidRPr="00197A8D">
        <w:t xml:space="preserve"> asegur</w:t>
      </w:r>
      <w:r w:rsidR="008A4076" w:rsidRPr="00197A8D">
        <w:t>e</w:t>
      </w:r>
      <w:r w:rsidR="00A06E57" w:rsidRPr="00197A8D">
        <w:t xml:space="preserve"> que los fondos siguen </w:t>
      </w:r>
      <w:r w:rsidR="00BB03B3" w:rsidRPr="00197A8D">
        <w:t xml:space="preserve">estando </w:t>
      </w:r>
      <w:r w:rsidR="00A06E57" w:rsidRPr="00197A8D">
        <w:t xml:space="preserve">disponibles en caso de </w:t>
      </w:r>
      <w:r w:rsidR="00831DA3" w:rsidRPr="00197A8D">
        <w:t>ser</w:t>
      </w:r>
      <w:r w:rsidR="00A06E57" w:rsidRPr="00197A8D">
        <w:t xml:space="preserve"> necesarios </w:t>
      </w:r>
      <w:r w:rsidR="00BB03B3" w:rsidRPr="00197A8D">
        <w:t>para hacer frente a imprevistos</w:t>
      </w:r>
      <w:r w:rsidR="00A06E57" w:rsidRPr="00197A8D">
        <w:t xml:space="preserve">.  Por consiguiente, para </w:t>
      </w:r>
      <w:r w:rsidR="00CC68C8" w:rsidRPr="00197A8D">
        <w:t>calcular</w:t>
      </w:r>
      <w:r w:rsidR="00A06E57" w:rsidRPr="00197A8D">
        <w:t xml:space="preserve"> la liquidez de las reservas</w:t>
      </w:r>
      <w:r w:rsidR="00CC68C8" w:rsidRPr="00197A8D">
        <w:t xml:space="preserve"> en el futuro</w:t>
      </w:r>
      <w:r w:rsidR="00A06E57" w:rsidRPr="00197A8D">
        <w:t xml:space="preserve">, las inversiones de efectivo </w:t>
      </w:r>
      <w:r w:rsidR="00A06E57" w:rsidRPr="00197A8D">
        <w:lastRenderedPageBreak/>
        <w:t xml:space="preserve">básico </w:t>
      </w:r>
      <w:r w:rsidR="00CC68C8" w:rsidRPr="00197A8D">
        <w:t>colocadas en</w:t>
      </w:r>
      <w:r w:rsidR="00A06E57" w:rsidRPr="00197A8D">
        <w:t xml:space="preserve"> fondos a los que se puede acceder de inmediato, de ser necesario, seguirán considerándose líquidas</w:t>
      </w:r>
      <w:r w:rsidR="00822607" w:rsidRPr="00197A8D">
        <w:t>.</w:t>
      </w:r>
    </w:p>
    <w:p w:rsidR="00A06E57" w:rsidRPr="00197A8D" w:rsidRDefault="00A06E57" w:rsidP="002E02E7">
      <w:pPr>
        <w:tabs>
          <w:tab w:val="left" w:pos="567"/>
          <w:tab w:val="left" w:pos="5670"/>
        </w:tabs>
        <w:spacing w:after="220"/>
        <w:contextualSpacing/>
      </w:pPr>
    </w:p>
    <w:p w:rsidR="00A06E57" w:rsidRPr="00197A8D" w:rsidRDefault="00A06E57" w:rsidP="002E02E7">
      <w:pPr>
        <w:numPr>
          <w:ilvl w:val="0"/>
          <w:numId w:val="13"/>
        </w:numPr>
        <w:tabs>
          <w:tab w:val="left" w:pos="567"/>
          <w:tab w:val="left" w:pos="5670"/>
        </w:tabs>
        <w:spacing w:after="220"/>
        <w:ind w:left="0" w:firstLine="0"/>
        <w:contextualSpacing/>
      </w:pPr>
      <w:r w:rsidRPr="00197A8D">
        <w:t>Como se mencionó, las reservas de la OMPI se reponen anualmente mediante</w:t>
      </w:r>
      <w:r w:rsidR="00CC68C8" w:rsidRPr="00197A8D">
        <w:t xml:space="preserve"> los</w:t>
      </w:r>
      <w:r w:rsidRPr="00197A8D">
        <w:t xml:space="preserve"> superávits de operación, que se prevé alcanzarán lo</w:t>
      </w:r>
      <w:r w:rsidR="00197A8D" w:rsidRPr="00197A8D">
        <w:t>s 2</w:t>
      </w:r>
      <w:r w:rsidRPr="00197A8D">
        <w:t>4,3 millones de francos suizos e</w:t>
      </w:r>
      <w:r w:rsidR="00197A8D" w:rsidRPr="00197A8D">
        <w:t>n 2</w:t>
      </w:r>
      <w:r w:rsidRPr="00197A8D">
        <w:t xml:space="preserve">017 (Resultado Global después de Gastos de Reservas) </w:t>
      </w:r>
      <w:r w:rsidR="00197A8D" w:rsidRPr="00197A8D">
        <w:t>y 6</w:t>
      </w:r>
      <w:r w:rsidRPr="00197A8D">
        <w:t xml:space="preserve">1,5 millones de francos suizos (resultado de operación presupuestado antes </w:t>
      </w:r>
      <w:r w:rsidR="00CC68C8" w:rsidRPr="00197A8D">
        <w:t>de</w:t>
      </w:r>
      <w:r w:rsidRPr="00197A8D">
        <w:t xml:space="preserve"> los gastos de </w:t>
      </w:r>
      <w:r w:rsidR="00CC68C8" w:rsidRPr="00197A8D">
        <w:t>reservas) para el bieni</w:t>
      </w:r>
      <w:r w:rsidR="00197A8D" w:rsidRPr="00197A8D">
        <w:t>o 2</w:t>
      </w:r>
      <w:r w:rsidR="00CC68C8" w:rsidRPr="00197A8D">
        <w:t>018/</w:t>
      </w:r>
      <w:r w:rsidRPr="00197A8D">
        <w:t>19.</w:t>
      </w:r>
    </w:p>
    <w:p w:rsidR="002E02E7" w:rsidRPr="00197A8D" w:rsidRDefault="002E02E7" w:rsidP="002E02E7"/>
    <w:p w:rsidR="002E02E7" w:rsidRPr="00197A8D" w:rsidRDefault="002E02E7" w:rsidP="002E02E7">
      <w:pPr>
        <w:tabs>
          <w:tab w:val="left" w:pos="567"/>
          <w:tab w:val="left" w:pos="5670"/>
        </w:tabs>
        <w:spacing w:after="220"/>
        <w:contextualSpacing/>
      </w:pPr>
    </w:p>
    <w:p w:rsidR="00A06E57" w:rsidRPr="00197A8D" w:rsidRDefault="00A06E57" w:rsidP="002E02E7">
      <w:pPr>
        <w:rPr>
          <w:b/>
        </w:rPr>
      </w:pPr>
      <w:r w:rsidRPr="00197A8D">
        <w:rPr>
          <w:b/>
          <w:bCs/>
        </w:rPr>
        <w:t xml:space="preserve">PROYECTOS DEL </w:t>
      </w:r>
      <w:r w:rsidR="00F01CDA" w:rsidRPr="00197A8D">
        <w:rPr>
          <w:b/>
          <w:bCs/>
        </w:rPr>
        <w:t>PM</w:t>
      </w:r>
      <w:r w:rsidR="00197A8D" w:rsidRPr="00197A8D">
        <w:rPr>
          <w:b/>
          <w:bCs/>
        </w:rPr>
        <w:t>M 2</w:t>
      </w:r>
      <w:r w:rsidRPr="00197A8D">
        <w:rPr>
          <w:b/>
          <w:bCs/>
        </w:rPr>
        <w:t xml:space="preserve">018/2019 Y PRINCIPIOS DE LA POLÍTICA </w:t>
      </w:r>
      <w:r w:rsidR="005E5DFD" w:rsidRPr="00197A8D">
        <w:rPr>
          <w:b/>
          <w:bCs/>
        </w:rPr>
        <w:t>DE</w:t>
      </w:r>
      <w:r w:rsidRPr="00197A8D">
        <w:rPr>
          <w:b/>
          <w:bCs/>
        </w:rPr>
        <w:t xml:space="preserve"> RESERVA</w:t>
      </w:r>
      <w:r w:rsidR="00A84141" w:rsidRPr="00197A8D">
        <w:rPr>
          <w:b/>
          <w:bCs/>
        </w:rPr>
        <w:t>S</w:t>
      </w:r>
    </w:p>
    <w:p w:rsidR="00A06E57" w:rsidRPr="00197A8D" w:rsidRDefault="00A06E57" w:rsidP="002E02E7"/>
    <w:p w:rsidR="00822607" w:rsidRPr="00197A8D" w:rsidRDefault="005E5DFD" w:rsidP="002E02E7">
      <w:pPr>
        <w:pStyle w:val="ListParagraph"/>
        <w:numPr>
          <w:ilvl w:val="0"/>
          <w:numId w:val="13"/>
        </w:numPr>
        <w:ind w:left="0" w:firstLine="0"/>
        <w:rPr>
          <w:lang w:val="es-ES"/>
        </w:rPr>
      </w:pPr>
      <w:r w:rsidRPr="00197A8D">
        <w:rPr>
          <w:lang w:val="es-ES"/>
        </w:rPr>
        <w:t xml:space="preserve">En </w:t>
      </w:r>
      <w:proofErr w:type="gramStart"/>
      <w:r w:rsidRPr="00197A8D">
        <w:rPr>
          <w:lang w:val="es-ES"/>
        </w:rPr>
        <w:t>la</w:t>
      </w:r>
      <w:r w:rsidR="00A06E57" w:rsidRPr="00197A8D">
        <w:rPr>
          <w:lang w:val="es-ES"/>
        </w:rPr>
        <w:t xml:space="preserve"> secciones anteriores</w:t>
      </w:r>
      <w:proofErr w:type="gramEnd"/>
      <w:r w:rsidR="00A06E57" w:rsidRPr="00197A8D">
        <w:rPr>
          <w:lang w:val="es-ES"/>
        </w:rPr>
        <w:t xml:space="preserve"> </w:t>
      </w:r>
      <w:r w:rsidRPr="00197A8D">
        <w:rPr>
          <w:lang w:val="es-ES"/>
        </w:rPr>
        <w:t>se ofrece</w:t>
      </w:r>
      <w:r w:rsidR="00A06E57" w:rsidRPr="00197A8D">
        <w:rPr>
          <w:lang w:val="es-ES"/>
        </w:rPr>
        <w:t xml:space="preserve"> un análisis para la utilización de las reservas de conformidad con los principios que figuran en la política </w:t>
      </w:r>
      <w:r w:rsidR="00831DA3" w:rsidRPr="00197A8D">
        <w:rPr>
          <w:lang w:val="es-ES"/>
        </w:rPr>
        <w:t>de reservas revisada.</w:t>
      </w:r>
      <w:r w:rsidR="00A06E57" w:rsidRPr="00197A8D">
        <w:rPr>
          <w:lang w:val="es-ES"/>
        </w:rPr>
        <w:t xml:space="preserve">  Para facilitar su consulta, los principios figuran en el Anexo I.  A continuación se brinda un análisis </w:t>
      </w:r>
      <w:r w:rsidR="00831DA3" w:rsidRPr="00197A8D">
        <w:rPr>
          <w:lang w:val="es-ES"/>
        </w:rPr>
        <w:t xml:space="preserve">resumido </w:t>
      </w:r>
      <w:r w:rsidR="00A06E57" w:rsidRPr="00197A8D">
        <w:rPr>
          <w:lang w:val="es-ES"/>
        </w:rPr>
        <w:t>de cada uno de los principios</w:t>
      </w:r>
      <w:r w:rsidR="00822607" w:rsidRPr="00197A8D">
        <w:rPr>
          <w:lang w:val="es-ES"/>
        </w:rPr>
        <w:t>.</w:t>
      </w:r>
    </w:p>
    <w:p w:rsidR="00A06E57" w:rsidRPr="00197A8D" w:rsidRDefault="00A06E57" w:rsidP="002E02E7">
      <w:pPr>
        <w:pStyle w:val="ListParagraph"/>
        <w:ind w:left="0"/>
        <w:rPr>
          <w:lang w:val="es-ES"/>
        </w:rPr>
      </w:pPr>
    </w:p>
    <w:p w:rsidR="00A06E57" w:rsidRPr="00197A8D" w:rsidRDefault="00A06E57" w:rsidP="002E02E7">
      <w:pPr>
        <w:pStyle w:val="ListParagraph"/>
        <w:ind w:left="0"/>
        <w:rPr>
          <w:i/>
          <w:lang w:val="es-ES"/>
        </w:rPr>
      </w:pPr>
      <w:r w:rsidRPr="00197A8D">
        <w:rPr>
          <w:i/>
          <w:iCs/>
          <w:lang w:val="es-ES"/>
        </w:rPr>
        <w:t>Principi</w:t>
      </w:r>
      <w:r w:rsidR="00197A8D" w:rsidRPr="00197A8D">
        <w:rPr>
          <w:i/>
          <w:iCs/>
          <w:lang w:val="es-ES"/>
        </w:rPr>
        <w:t>o 1</w:t>
      </w:r>
      <w:r w:rsidRPr="00197A8D">
        <w:rPr>
          <w:i/>
          <w:iCs/>
          <w:lang w:val="es-ES"/>
        </w:rPr>
        <w:t xml:space="preserve"> </w:t>
      </w:r>
    </w:p>
    <w:p w:rsidR="00A06E57" w:rsidRPr="00197A8D" w:rsidRDefault="00A06E57" w:rsidP="002E02E7">
      <w:pPr>
        <w:pStyle w:val="ListParagraph"/>
        <w:ind w:left="0"/>
        <w:rPr>
          <w:lang w:val="es-ES"/>
        </w:rPr>
      </w:pPr>
    </w:p>
    <w:p w:rsidR="00A06E57" w:rsidRPr="00197A8D" w:rsidRDefault="00A06E57" w:rsidP="002E02E7">
      <w:pPr>
        <w:pStyle w:val="ListParagraph"/>
        <w:numPr>
          <w:ilvl w:val="0"/>
          <w:numId w:val="13"/>
        </w:numPr>
        <w:ind w:left="0" w:firstLine="0"/>
        <w:rPr>
          <w:lang w:val="es-ES"/>
        </w:rPr>
      </w:pPr>
      <w:r w:rsidRPr="00197A8D">
        <w:rPr>
          <w:lang w:val="es-ES"/>
        </w:rPr>
        <w:t xml:space="preserve">El saldo de las reservas (con exclusión de los fondos de operaciones y el superávit de revaluación) ascendió </w:t>
      </w:r>
      <w:r w:rsidR="00197A8D" w:rsidRPr="00197A8D">
        <w:rPr>
          <w:lang w:val="es-ES"/>
        </w:rPr>
        <w:t>a 2</w:t>
      </w:r>
      <w:r w:rsidRPr="00197A8D">
        <w:rPr>
          <w:lang w:val="es-ES"/>
        </w:rPr>
        <w:t>87,7 millones de francos suizos</w:t>
      </w:r>
      <w:r w:rsidR="00CF0FC9" w:rsidRPr="00197A8D">
        <w:rPr>
          <w:lang w:val="es-ES"/>
        </w:rPr>
        <w:t xml:space="preserve"> a fines d</w:t>
      </w:r>
      <w:r w:rsidR="00197A8D" w:rsidRPr="00197A8D">
        <w:rPr>
          <w:lang w:val="es-ES"/>
        </w:rPr>
        <w:t>e 2</w:t>
      </w:r>
      <w:r w:rsidR="00CF0FC9" w:rsidRPr="00197A8D">
        <w:rPr>
          <w:lang w:val="es-ES"/>
        </w:rPr>
        <w:t>016</w:t>
      </w:r>
      <w:r w:rsidRPr="00197A8D">
        <w:rPr>
          <w:lang w:val="es-ES"/>
        </w:rPr>
        <w:t xml:space="preserve">.  La financiación propuesta para los proyectos del </w:t>
      </w:r>
      <w:r w:rsidR="005E5DFD" w:rsidRPr="00197A8D">
        <w:rPr>
          <w:lang w:val="es-ES"/>
        </w:rPr>
        <w:t>PMM</w:t>
      </w:r>
      <w:r w:rsidRPr="00197A8D">
        <w:rPr>
          <w:lang w:val="es-ES"/>
        </w:rPr>
        <w:t xml:space="preserve"> en el bieni</w:t>
      </w:r>
      <w:r w:rsidR="00197A8D" w:rsidRPr="00197A8D">
        <w:rPr>
          <w:lang w:val="es-ES"/>
        </w:rPr>
        <w:t>o 2</w:t>
      </w:r>
      <w:r w:rsidRPr="00197A8D">
        <w:rPr>
          <w:lang w:val="es-ES"/>
        </w:rPr>
        <w:t xml:space="preserve">018/19 asciende </w:t>
      </w:r>
      <w:r w:rsidR="00197A8D" w:rsidRPr="00197A8D">
        <w:rPr>
          <w:lang w:val="es-ES"/>
        </w:rPr>
        <w:t>a 2</w:t>
      </w:r>
      <w:r w:rsidRPr="00197A8D">
        <w:rPr>
          <w:lang w:val="es-ES"/>
        </w:rPr>
        <w:t>5,5 millones de francos suizos, por consiguiente, está muy por encima del objetivo en materia de FRO par</w:t>
      </w:r>
      <w:r w:rsidR="00197A8D" w:rsidRPr="00197A8D">
        <w:rPr>
          <w:lang w:val="es-ES"/>
        </w:rPr>
        <w:t>a 2</w:t>
      </w:r>
      <w:r w:rsidRPr="00197A8D">
        <w:rPr>
          <w:lang w:val="es-ES"/>
        </w:rPr>
        <w:t xml:space="preserve">018/19, que asciende </w:t>
      </w:r>
      <w:r w:rsidR="00197A8D" w:rsidRPr="00197A8D">
        <w:rPr>
          <w:lang w:val="es-ES"/>
        </w:rPr>
        <w:t>a 1</w:t>
      </w:r>
      <w:r w:rsidRPr="00197A8D">
        <w:rPr>
          <w:lang w:val="es-ES"/>
        </w:rPr>
        <w:t>59,8</w:t>
      </w:r>
      <w:r w:rsidR="00D1321E" w:rsidRPr="00197A8D">
        <w:rPr>
          <w:lang w:val="es-ES"/>
        </w:rPr>
        <w:t xml:space="preserve"> millones de francos suizos.</w:t>
      </w:r>
    </w:p>
    <w:p w:rsidR="00A06E57" w:rsidRPr="00197A8D" w:rsidRDefault="00A06E57" w:rsidP="002E02E7">
      <w:pPr>
        <w:pStyle w:val="ListParagraph"/>
        <w:ind w:left="0"/>
        <w:rPr>
          <w:lang w:val="es-ES"/>
        </w:rPr>
      </w:pPr>
    </w:p>
    <w:p w:rsidR="00A06E57" w:rsidRPr="00197A8D" w:rsidRDefault="00A06E57" w:rsidP="002E02E7">
      <w:pPr>
        <w:pStyle w:val="ListParagraph"/>
        <w:keepNext/>
        <w:keepLines/>
        <w:ind w:left="0"/>
        <w:rPr>
          <w:i/>
          <w:lang w:val="es-ES"/>
        </w:rPr>
      </w:pPr>
      <w:r w:rsidRPr="00197A8D">
        <w:rPr>
          <w:i/>
          <w:iCs/>
          <w:lang w:val="es-ES"/>
        </w:rPr>
        <w:t>Principi</w:t>
      </w:r>
      <w:r w:rsidR="00197A8D" w:rsidRPr="00197A8D">
        <w:rPr>
          <w:i/>
          <w:iCs/>
          <w:lang w:val="es-ES"/>
        </w:rPr>
        <w:t>o 2</w:t>
      </w:r>
    </w:p>
    <w:p w:rsidR="00A06E57" w:rsidRPr="00197A8D" w:rsidRDefault="00A06E57" w:rsidP="002E02E7">
      <w:pPr>
        <w:pStyle w:val="ListParagraph"/>
        <w:ind w:left="0"/>
        <w:rPr>
          <w:lang w:val="es-ES"/>
        </w:rPr>
      </w:pPr>
    </w:p>
    <w:p w:rsidR="00822607" w:rsidRPr="00197A8D" w:rsidRDefault="00A06E57" w:rsidP="002E02E7">
      <w:pPr>
        <w:pStyle w:val="ListParagraph"/>
        <w:numPr>
          <w:ilvl w:val="0"/>
          <w:numId w:val="13"/>
        </w:numPr>
        <w:ind w:left="0" w:firstLine="0"/>
        <w:rPr>
          <w:lang w:val="es-ES"/>
        </w:rPr>
      </w:pPr>
      <w:r w:rsidRPr="00197A8D">
        <w:rPr>
          <w:lang w:val="es-ES"/>
        </w:rPr>
        <w:t>El cálculo de las reservas disponibles excluye el fondo de operaciones y el superávit de revaluació</w:t>
      </w:r>
      <w:r w:rsidR="00D1321E" w:rsidRPr="00197A8D">
        <w:rPr>
          <w:lang w:val="es-ES"/>
        </w:rPr>
        <w:t>n (véanse los cuadro</w:t>
      </w:r>
      <w:r w:rsidR="00197A8D" w:rsidRPr="00197A8D">
        <w:rPr>
          <w:lang w:val="es-ES"/>
        </w:rPr>
        <w:t>s 4</w:t>
      </w:r>
      <w:r w:rsidR="00D1321E" w:rsidRPr="00197A8D">
        <w:rPr>
          <w:lang w:val="es-ES"/>
        </w:rPr>
        <w:t xml:space="preserve"> </w:t>
      </w:r>
      <w:r w:rsidR="00197A8D" w:rsidRPr="00197A8D">
        <w:rPr>
          <w:lang w:val="es-ES"/>
        </w:rPr>
        <w:t>y 5</w:t>
      </w:r>
      <w:r w:rsidR="00D1321E" w:rsidRPr="00197A8D">
        <w:rPr>
          <w:lang w:val="es-ES"/>
        </w:rPr>
        <w:t>)</w:t>
      </w:r>
      <w:r w:rsidR="00822607" w:rsidRPr="00197A8D">
        <w:rPr>
          <w:lang w:val="es-ES"/>
        </w:rPr>
        <w:t>.</w:t>
      </w:r>
    </w:p>
    <w:p w:rsidR="00A06E57" w:rsidRPr="00197A8D" w:rsidRDefault="00A06E57" w:rsidP="002E02E7">
      <w:pPr>
        <w:pStyle w:val="ListParagraph"/>
        <w:ind w:left="0"/>
        <w:rPr>
          <w:lang w:val="es-ES"/>
        </w:rPr>
      </w:pPr>
    </w:p>
    <w:p w:rsidR="00A06E57" w:rsidRPr="00197A8D" w:rsidRDefault="00A06E57" w:rsidP="002E02E7">
      <w:pPr>
        <w:pStyle w:val="ListParagraph"/>
        <w:ind w:left="0"/>
        <w:rPr>
          <w:i/>
          <w:lang w:val="es-ES"/>
        </w:rPr>
      </w:pPr>
      <w:r w:rsidRPr="00197A8D">
        <w:rPr>
          <w:i/>
          <w:iCs/>
          <w:lang w:val="es-ES"/>
        </w:rPr>
        <w:t>Principi</w:t>
      </w:r>
      <w:r w:rsidR="00197A8D" w:rsidRPr="00197A8D">
        <w:rPr>
          <w:i/>
          <w:iCs/>
          <w:lang w:val="es-ES"/>
        </w:rPr>
        <w:t>o 3</w:t>
      </w:r>
    </w:p>
    <w:p w:rsidR="00A06E57" w:rsidRPr="00197A8D" w:rsidRDefault="00A06E57" w:rsidP="002E02E7">
      <w:pPr>
        <w:pStyle w:val="ListParagraph"/>
        <w:ind w:left="0"/>
        <w:rPr>
          <w:lang w:val="es-ES"/>
        </w:rPr>
      </w:pPr>
    </w:p>
    <w:p w:rsidR="00A06E57" w:rsidRPr="00197A8D" w:rsidRDefault="00A06E57" w:rsidP="002E02E7">
      <w:pPr>
        <w:pStyle w:val="ListParagraph"/>
        <w:numPr>
          <w:ilvl w:val="0"/>
          <w:numId w:val="13"/>
        </w:numPr>
        <w:ind w:left="0" w:firstLine="0"/>
        <w:rPr>
          <w:lang w:val="es-ES"/>
        </w:rPr>
      </w:pPr>
      <w:r w:rsidRPr="00197A8D">
        <w:rPr>
          <w:lang w:val="es-ES"/>
        </w:rPr>
        <w:t>Los proyectos propuestos son inversiones de capital</w:t>
      </w:r>
      <w:r w:rsidR="00D167F4" w:rsidRPr="00197A8D">
        <w:rPr>
          <w:lang w:val="es-ES"/>
        </w:rPr>
        <w:t xml:space="preserve"> extraordinarias y </w:t>
      </w:r>
      <w:r w:rsidR="00CF0FC9" w:rsidRPr="00197A8D">
        <w:rPr>
          <w:lang w:val="es-ES"/>
        </w:rPr>
        <w:t xml:space="preserve">no recurrentes </w:t>
      </w:r>
      <w:r w:rsidR="00D167F4" w:rsidRPr="00197A8D">
        <w:rPr>
          <w:lang w:val="es-ES"/>
        </w:rPr>
        <w:t xml:space="preserve">fundamentales </w:t>
      </w:r>
      <w:r w:rsidRPr="00197A8D">
        <w:rPr>
          <w:lang w:val="es-ES"/>
        </w:rPr>
        <w:t>relacionadas con las TI o los locales/</w:t>
      </w:r>
      <w:r w:rsidR="00CF0FC9" w:rsidRPr="00197A8D">
        <w:rPr>
          <w:lang w:val="es-ES"/>
        </w:rPr>
        <w:t xml:space="preserve">la </w:t>
      </w:r>
      <w:r w:rsidRPr="00197A8D">
        <w:rPr>
          <w:lang w:val="es-ES"/>
        </w:rPr>
        <w:t xml:space="preserve">vigilancia y </w:t>
      </w:r>
      <w:r w:rsidR="00CF0FC9" w:rsidRPr="00197A8D">
        <w:rPr>
          <w:lang w:val="es-ES"/>
        </w:rPr>
        <w:t xml:space="preserve">la </w:t>
      </w:r>
      <w:r w:rsidRPr="00197A8D">
        <w:rPr>
          <w:lang w:val="es-ES"/>
        </w:rPr>
        <w:t xml:space="preserve">seguridad.  Véanse las descripciones de los proyectos y sus </w:t>
      </w:r>
      <w:r w:rsidR="00CF0FC9" w:rsidRPr="00197A8D">
        <w:rPr>
          <w:lang w:val="es-ES"/>
        </w:rPr>
        <w:t>factores determinantes</w:t>
      </w:r>
      <w:r w:rsidRPr="00197A8D">
        <w:rPr>
          <w:lang w:val="es-ES"/>
        </w:rPr>
        <w:t xml:space="preserve"> en los Anexos II y VII.</w:t>
      </w:r>
    </w:p>
    <w:p w:rsidR="00A06E57" w:rsidRPr="00197A8D" w:rsidRDefault="00A06E57" w:rsidP="002E02E7">
      <w:pPr>
        <w:pStyle w:val="ListParagraph"/>
        <w:ind w:left="0"/>
        <w:rPr>
          <w:lang w:val="es-ES"/>
        </w:rPr>
      </w:pPr>
    </w:p>
    <w:p w:rsidR="00A06E57" w:rsidRPr="00197A8D" w:rsidRDefault="00A06E57" w:rsidP="002E02E7">
      <w:pPr>
        <w:pStyle w:val="ListParagraph"/>
        <w:ind w:left="0"/>
        <w:rPr>
          <w:i/>
          <w:lang w:val="es-ES"/>
        </w:rPr>
      </w:pPr>
      <w:r w:rsidRPr="00197A8D">
        <w:rPr>
          <w:i/>
          <w:iCs/>
          <w:lang w:val="es-ES"/>
        </w:rPr>
        <w:t>Principi</w:t>
      </w:r>
      <w:r w:rsidR="00197A8D" w:rsidRPr="00197A8D">
        <w:rPr>
          <w:i/>
          <w:iCs/>
          <w:lang w:val="es-ES"/>
        </w:rPr>
        <w:t>o 4</w:t>
      </w:r>
    </w:p>
    <w:p w:rsidR="00A06E57" w:rsidRPr="00197A8D" w:rsidRDefault="00A06E57" w:rsidP="002E02E7">
      <w:pPr>
        <w:pStyle w:val="ListParagraph"/>
        <w:ind w:left="0"/>
        <w:rPr>
          <w:lang w:val="es-ES"/>
        </w:rPr>
      </w:pPr>
    </w:p>
    <w:p w:rsidR="00822607" w:rsidRPr="00197A8D" w:rsidRDefault="00A06E57" w:rsidP="002E02E7">
      <w:pPr>
        <w:pStyle w:val="ListParagraph"/>
        <w:numPr>
          <w:ilvl w:val="0"/>
          <w:numId w:val="13"/>
        </w:numPr>
        <w:ind w:left="0" w:firstLine="0"/>
        <w:rPr>
          <w:lang w:val="es-ES"/>
        </w:rPr>
      </w:pPr>
      <w:r w:rsidRPr="00197A8D">
        <w:rPr>
          <w:lang w:val="es-ES"/>
        </w:rPr>
        <w:t>En el cuadr</w:t>
      </w:r>
      <w:r w:rsidR="00197A8D" w:rsidRPr="00197A8D">
        <w:rPr>
          <w:lang w:val="es-ES"/>
        </w:rPr>
        <w:t>o 2</w:t>
      </w:r>
      <w:r w:rsidRPr="00197A8D">
        <w:rPr>
          <w:lang w:val="es-ES"/>
        </w:rPr>
        <w:t xml:space="preserve"> y en el Anexo VIII se ofrece un panorama general de las principales inversiones de capital previstas en los próximos diez años (2018-27) para locales, seguridad y vigilancia, y TIC, incluido el costo total no recurrente de cada proyecto</w:t>
      </w:r>
      <w:r w:rsidR="00D167F4" w:rsidRPr="00197A8D">
        <w:rPr>
          <w:lang w:val="es-ES"/>
        </w:rPr>
        <w:t xml:space="preserve"> y/o fase de proyecto</w:t>
      </w:r>
      <w:r w:rsidRPr="00197A8D">
        <w:rPr>
          <w:lang w:val="es-ES"/>
        </w:rPr>
        <w:t xml:space="preserve">.  El costo anual recurrente de cada proyecto figura en los Anexos II a VII, </w:t>
      </w:r>
      <w:r w:rsidR="005D0C86" w:rsidRPr="00197A8D">
        <w:rPr>
          <w:lang w:val="es-ES"/>
        </w:rPr>
        <w:t>según proceda</w:t>
      </w:r>
      <w:r w:rsidR="00822607" w:rsidRPr="00197A8D">
        <w:rPr>
          <w:lang w:val="es-ES"/>
        </w:rPr>
        <w:t>.</w:t>
      </w:r>
    </w:p>
    <w:p w:rsidR="00A06E57" w:rsidRPr="00197A8D" w:rsidRDefault="00A06E57" w:rsidP="002E02E7">
      <w:pPr>
        <w:pStyle w:val="ListParagraph"/>
        <w:ind w:left="0"/>
        <w:rPr>
          <w:lang w:val="es-ES"/>
        </w:rPr>
      </w:pPr>
    </w:p>
    <w:p w:rsidR="00A06E57" w:rsidRPr="00197A8D" w:rsidRDefault="00A06E57" w:rsidP="002E02E7">
      <w:pPr>
        <w:pStyle w:val="ListParagraph"/>
        <w:numPr>
          <w:ilvl w:val="0"/>
          <w:numId w:val="13"/>
        </w:numPr>
        <w:ind w:left="0" w:firstLine="0"/>
        <w:rPr>
          <w:lang w:val="es-ES"/>
        </w:rPr>
      </w:pPr>
      <w:r w:rsidRPr="00197A8D">
        <w:rPr>
          <w:lang w:val="es-ES"/>
        </w:rPr>
        <w:t xml:space="preserve">Además, no se prevé que el </w:t>
      </w:r>
      <w:r w:rsidR="005E5DFD" w:rsidRPr="00197A8D">
        <w:rPr>
          <w:lang w:val="es-ES"/>
        </w:rPr>
        <w:t>PM</w:t>
      </w:r>
      <w:r w:rsidR="00197A8D" w:rsidRPr="00197A8D">
        <w:rPr>
          <w:lang w:val="es-ES"/>
        </w:rPr>
        <w:t>M 2</w:t>
      </w:r>
      <w:r w:rsidRPr="00197A8D">
        <w:rPr>
          <w:lang w:val="es-ES"/>
        </w:rPr>
        <w:t>018-27 tenga un impacto negativo en los flujos de efectivo y los niveles de liquidez de las reservas (véanse los párrafo</w:t>
      </w:r>
      <w:r w:rsidR="00197A8D" w:rsidRPr="00197A8D">
        <w:rPr>
          <w:lang w:val="es-ES"/>
        </w:rPr>
        <w:t>s 2</w:t>
      </w:r>
      <w:r w:rsidRPr="00197A8D">
        <w:rPr>
          <w:lang w:val="es-ES"/>
        </w:rPr>
        <w:t xml:space="preserve">2 </w:t>
      </w:r>
      <w:r w:rsidR="00197A8D" w:rsidRPr="00197A8D">
        <w:rPr>
          <w:lang w:val="es-ES"/>
        </w:rPr>
        <w:t>a 3</w:t>
      </w:r>
      <w:r w:rsidRPr="00197A8D">
        <w:rPr>
          <w:lang w:val="es-ES"/>
        </w:rPr>
        <w:t>0).</w:t>
      </w:r>
    </w:p>
    <w:p w:rsidR="00A06E57" w:rsidRPr="00197A8D" w:rsidRDefault="00A06E57" w:rsidP="002E02E7">
      <w:pPr>
        <w:pStyle w:val="ListParagraph"/>
        <w:ind w:left="0"/>
        <w:rPr>
          <w:lang w:val="es-ES"/>
        </w:rPr>
      </w:pPr>
    </w:p>
    <w:p w:rsidR="00A06E57" w:rsidRPr="00197A8D" w:rsidRDefault="00A06E57" w:rsidP="00CF1365">
      <w:pPr>
        <w:pStyle w:val="ListParagraph"/>
        <w:keepNext/>
        <w:ind w:left="0"/>
        <w:rPr>
          <w:i/>
          <w:lang w:val="es-ES"/>
        </w:rPr>
      </w:pPr>
      <w:r w:rsidRPr="00197A8D">
        <w:rPr>
          <w:i/>
          <w:iCs/>
          <w:lang w:val="es-ES"/>
        </w:rPr>
        <w:t>Principi</w:t>
      </w:r>
      <w:r w:rsidR="00197A8D" w:rsidRPr="00197A8D">
        <w:rPr>
          <w:i/>
          <w:iCs/>
          <w:lang w:val="es-ES"/>
        </w:rPr>
        <w:t>o 5</w:t>
      </w:r>
    </w:p>
    <w:p w:rsidR="00A06E57" w:rsidRPr="00197A8D" w:rsidRDefault="00A06E57" w:rsidP="00CF1365">
      <w:pPr>
        <w:pStyle w:val="ListParagraph"/>
        <w:keepNext/>
        <w:ind w:left="0"/>
        <w:rPr>
          <w:lang w:val="es-ES"/>
        </w:rPr>
      </w:pPr>
    </w:p>
    <w:p w:rsidR="00A06E57" w:rsidRPr="00197A8D" w:rsidRDefault="00A06E57" w:rsidP="00CF1365">
      <w:pPr>
        <w:pStyle w:val="ListParagraph"/>
        <w:keepNext/>
        <w:numPr>
          <w:ilvl w:val="0"/>
          <w:numId w:val="13"/>
        </w:numPr>
        <w:ind w:left="0" w:firstLine="0"/>
        <w:rPr>
          <w:lang w:val="es-ES"/>
        </w:rPr>
      </w:pPr>
      <w:r w:rsidRPr="00197A8D">
        <w:rPr>
          <w:lang w:val="es-ES"/>
        </w:rPr>
        <w:t xml:space="preserve">Está </w:t>
      </w:r>
      <w:r w:rsidR="00CF0FC9" w:rsidRPr="00197A8D">
        <w:rPr>
          <w:lang w:val="es-ES"/>
        </w:rPr>
        <w:t>previsto</w:t>
      </w:r>
      <w:r w:rsidRPr="00197A8D">
        <w:rPr>
          <w:lang w:val="es-ES"/>
        </w:rPr>
        <w:t xml:space="preserve"> que los proyectos/ fases de proyectos del </w:t>
      </w:r>
      <w:r w:rsidR="005E5DFD" w:rsidRPr="00197A8D">
        <w:rPr>
          <w:lang w:val="es-ES"/>
        </w:rPr>
        <w:t>PM</w:t>
      </w:r>
      <w:r w:rsidR="00197A8D" w:rsidRPr="00197A8D">
        <w:rPr>
          <w:lang w:val="es-ES"/>
        </w:rPr>
        <w:t>M 2</w:t>
      </w:r>
      <w:r w:rsidRPr="00197A8D">
        <w:rPr>
          <w:lang w:val="es-ES"/>
        </w:rPr>
        <w:t>018/27 se ej</w:t>
      </w:r>
      <w:r w:rsidR="006B2801" w:rsidRPr="00197A8D">
        <w:rPr>
          <w:lang w:val="es-ES"/>
        </w:rPr>
        <w:t>ecuten en el bieni</w:t>
      </w:r>
      <w:r w:rsidR="00197A8D" w:rsidRPr="00197A8D">
        <w:rPr>
          <w:lang w:val="es-ES"/>
        </w:rPr>
        <w:t>o 2</w:t>
      </w:r>
      <w:r w:rsidR="006B2801" w:rsidRPr="00197A8D">
        <w:rPr>
          <w:lang w:val="es-ES"/>
        </w:rPr>
        <w:t>018/19.</w:t>
      </w:r>
    </w:p>
    <w:p w:rsidR="00A06E57" w:rsidRPr="00197A8D" w:rsidRDefault="00A06E57" w:rsidP="002E02E7">
      <w:pPr>
        <w:pStyle w:val="ListParagraph"/>
        <w:ind w:left="0"/>
        <w:rPr>
          <w:lang w:val="es-ES"/>
        </w:rPr>
      </w:pPr>
    </w:p>
    <w:p w:rsidR="00A06E57" w:rsidRPr="00197A8D" w:rsidRDefault="00A06E57" w:rsidP="002E02E7">
      <w:pPr>
        <w:pStyle w:val="ListParagraph"/>
        <w:numPr>
          <w:ilvl w:val="0"/>
          <w:numId w:val="13"/>
        </w:numPr>
        <w:ind w:left="0" w:firstLine="0"/>
        <w:rPr>
          <w:lang w:val="es-ES"/>
        </w:rPr>
      </w:pPr>
      <w:r w:rsidRPr="00197A8D">
        <w:rPr>
          <w:lang w:val="es-ES"/>
        </w:rPr>
        <w:t>Se propone el párrafo de decisión siguiente.</w:t>
      </w:r>
    </w:p>
    <w:p w:rsidR="00A06E57" w:rsidRPr="00197A8D" w:rsidRDefault="00A06E57" w:rsidP="00197A8D">
      <w:pPr>
        <w:pStyle w:val="ListParagraph"/>
        <w:keepLines/>
        <w:ind w:left="0"/>
        <w:rPr>
          <w:lang w:val="es-ES"/>
        </w:rPr>
      </w:pPr>
    </w:p>
    <w:p w:rsidR="00A06E57" w:rsidRPr="00197A8D" w:rsidRDefault="00A06E57" w:rsidP="00197A8D">
      <w:pPr>
        <w:pStyle w:val="ListParagraph"/>
        <w:keepLines/>
        <w:numPr>
          <w:ilvl w:val="0"/>
          <w:numId w:val="13"/>
        </w:numPr>
        <w:ind w:left="5529" w:firstLine="0"/>
        <w:rPr>
          <w:i/>
          <w:lang w:val="es-ES"/>
        </w:rPr>
      </w:pPr>
      <w:r w:rsidRPr="00197A8D">
        <w:rPr>
          <w:i/>
          <w:iCs/>
          <w:lang w:val="es-ES"/>
        </w:rPr>
        <w:lastRenderedPageBreak/>
        <w:t xml:space="preserve">El Comité del Programa </w:t>
      </w:r>
      <w:r w:rsidR="00822607" w:rsidRPr="00197A8D">
        <w:rPr>
          <w:i/>
          <w:iCs/>
          <w:lang w:val="es-ES"/>
        </w:rPr>
        <w:t>y P</w:t>
      </w:r>
      <w:r w:rsidRPr="00197A8D">
        <w:rPr>
          <w:i/>
          <w:iCs/>
          <w:lang w:val="es-ES"/>
        </w:rPr>
        <w:t>resupuesto recomendó a la</w:t>
      </w:r>
      <w:r w:rsidR="00822607" w:rsidRPr="00197A8D">
        <w:rPr>
          <w:i/>
          <w:iCs/>
          <w:lang w:val="es-ES"/>
        </w:rPr>
        <w:t>s A</w:t>
      </w:r>
      <w:r w:rsidR="0083544E" w:rsidRPr="00197A8D">
        <w:rPr>
          <w:i/>
          <w:iCs/>
          <w:lang w:val="es-ES"/>
        </w:rPr>
        <w:t xml:space="preserve">sambleas de los Estados </w:t>
      </w:r>
      <w:r w:rsidRPr="00197A8D">
        <w:rPr>
          <w:i/>
          <w:iCs/>
          <w:lang w:val="es-ES"/>
        </w:rPr>
        <w:t>miembros de la OMPI que, en lo que a cada uno concierna, aprueben</w:t>
      </w:r>
      <w:r w:rsidR="0083544E" w:rsidRPr="00197A8D">
        <w:rPr>
          <w:i/>
          <w:iCs/>
          <w:lang w:val="es-ES"/>
        </w:rPr>
        <w:t>, con cargo a las reservas de la OMPI,</w:t>
      </w:r>
      <w:r w:rsidRPr="00197A8D">
        <w:rPr>
          <w:i/>
          <w:iCs/>
          <w:lang w:val="es-ES"/>
        </w:rPr>
        <w:t xml:space="preserve"> la financiación de los proyectos presentados en el </w:t>
      </w:r>
      <w:r w:rsidR="005E5DFD" w:rsidRPr="00197A8D">
        <w:rPr>
          <w:i/>
          <w:iCs/>
          <w:lang w:val="es-ES"/>
        </w:rPr>
        <w:t>PM</w:t>
      </w:r>
      <w:r w:rsidR="00197A8D" w:rsidRPr="00197A8D">
        <w:rPr>
          <w:i/>
          <w:iCs/>
          <w:lang w:val="es-ES"/>
        </w:rPr>
        <w:t>M 2</w:t>
      </w:r>
      <w:r w:rsidR="00D167F4" w:rsidRPr="00197A8D">
        <w:rPr>
          <w:i/>
          <w:iCs/>
          <w:lang w:val="es-ES"/>
        </w:rPr>
        <w:t xml:space="preserve">018-27 </w:t>
      </w:r>
      <w:r w:rsidRPr="00197A8D">
        <w:rPr>
          <w:i/>
          <w:iCs/>
          <w:lang w:val="es-ES"/>
        </w:rPr>
        <w:t>para el bieni</w:t>
      </w:r>
      <w:r w:rsidR="00197A8D" w:rsidRPr="00197A8D">
        <w:rPr>
          <w:i/>
          <w:iCs/>
          <w:lang w:val="es-ES"/>
        </w:rPr>
        <w:t>o 2</w:t>
      </w:r>
      <w:r w:rsidRPr="00197A8D">
        <w:rPr>
          <w:i/>
          <w:iCs/>
          <w:lang w:val="es-ES"/>
        </w:rPr>
        <w:t>018/19, por un importe total d</w:t>
      </w:r>
      <w:r w:rsidR="00197A8D" w:rsidRPr="00197A8D">
        <w:rPr>
          <w:i/>
          <w:iCs/>
          <w:lang w:val="es-ES"/>
        </w:rPr>
        <w:t>e 2</w:t>
      </w:r>
      <w:r w:rsidRPr="00197A8D">
        <w:rPr>
          <w:i/>
          <w:iCs/>
          <w:lang w:val="es-ES"/>
        </w:rPr>
        <w:t>5,5 millones de francos suizos.</w:t>
      </w:r>
    </w:p>
    <w:p w:rsidR="00A06E57" w:rsidRPr="00197A8D" w:rsidRDefault="00A06E57" w:rsidP="002E02E7">
      <w:pPr>
        <w:ind w:left="5529"/>
      </w:pPr>
    </w:p>
    <w:p w:rsidR="00A06E57" w:rsidRPr="00197A8D" w:rsidRDefault="00A06E57" w:rsidP="002E02E7">
      <w:pPr>
        <w:ind w:left="5529"/>
      </w:pPr>
    </w:p>
    <w:p w:rsidR="00A06E57" w:rsidRPr="00197A8D" w:rsidRDefault="00A06E57" w:rsidP="002E02E7"/>
    <w:p w:rsidR="00A06E57" w:rsidRPr="00197A8D" w:rsidRDefault="00A06E57" w:rsidP="002E02E7"/>
    <w:p w:rsidR="00A06E57" w:rsidRPr="00197A8D" w:rsidRDefault="00A06E57" w:rsidP="006B2801">
      <w:pPr>
        <w:pStyle w:val="Endofdocument-Annex"/>
      </w:pPr>
      <w:r w:rsidRPr="00197A8D">
        <w:t xml:space="preserve">[Siguen los </w:t>
      </w:r>
      <w:r w:rsidR="00941FAA" w:rsidRPr="00197A8D">
        <w:t>Anexos</w:t>
      </w:r>
      <w:r w:rsidRPr="00197A8D">
        <w:t>]</w:t>
      </w:r>
    </w:p>
    <w:p w:rsidR="00152CEA" w:rsidRPr="00197A8D" w:rsidRDefault="00152CEA" w:rsidP="002E02E7"/>
    <w:p w:rsidR="00A06E57" w:rsidRPr="00197A8D" w:rsidRDefault="00A06E57" w:rsidP="002E02E7">
      <w:pPr>
        <w:sectPr w:rsidR="00A06E57" w:rsidRPr="00197A8D" w:rsidSect="00A06E57">
          <w:headerReference w:type="default" r:id="rId14"/>
          <w:pgSz w:w="11907" w:h="16840" w:code="9"/>
          <w:pgMar w:top="567" w:right="1134" w:bottom="1418" w:left="1418" w:header="510" w:footer="1021" w:gutter="0"/>
          <w:cols w:space="720"/>
          <w:titlePg/>
          <w:docGrid w:linePitch="299"/>
        </w:sectPr>
      </w:pPr>
    </w:p>
    <w:p w:rsidR="00A06E57" w:rsidRPr="00197A8D" w:rsidRDefault="0063744E" w:rsidP="002E02E7">
      <w:pPr>
        <w:pStyle w:val="Heading1"/>
        <w:keepNext w:val="0"/>
        <w:spacing w:before="0"/>
      </w:pPr>
      <w:r w:rsidRPr="00197A8D">
        <w:lastRenderedPageBreak/>
        <w:t>ANEXO</w:t>
      </w:r>
      <w:r w:rsidR="00A06E57" w:rsidRPr="00197A8D">
        <w:t xml:space="preserve"> I</w:t>
      </w:r>
      <w:proofErr w:type="gramStart"/>
      <w:r w:rsidR="00A06E57" w:rsidRPr="00197A8D">
        <w:t>:  POLÍTICA</w:t>
      </w:r>
      <w:proofErr w:type="gramEnd"/>
      <w:r w:rsidR="00A06E57" w:rsidRPr="00197A8D">
        <w:t xml:space="preserve"> </w:t>
      </w:r>
      <w:r w:rsidR="007A699E" w:rsidRPr="00197A8D">
        <w:t>de</w:t>
      </w:r>
      <w:r w:rsidR="00A06E57" w:rsidRPr="00197A8D">
        <w:t xml:space="preserve"> RESERVAS</w:t>
      </w:r>
      <w:r w:rsidR="007A699E" w:rsidRPr="00197A8D">
        <w:t xml:space="preserve"> revisada</w:t>
      </w:r>
    </w:p>
    <w:p w:rsidR="00A06E57" w:rsidRPr="00197A8D" w:rsidRDefault="00A06E57" w:rsidP="002E02E7"/>
    <w:p w:rsidR="00A06E57" w:rsidRPr="00197A8D" w:rsidRDefault="0063744E" w:rsidP="002E02E7">
      <w:r w:rsidRPr="00197A8D">
        <w:t>Los P</w:t>
      </w:r>
      <w:r w:rsidR="0083544E" w:rsidRPr="00197A8D">
        <w:t>rincipios sobre el uso de las r</w:t>
      </w:r>
      <w:r w:rsidR="0025516D" w:rsidRPr="00197A8D">
        <w:t>eservas, l</w:t>
      </w:r>
      <w:r w:rsidRPr="00197A8D">
        <w:t>os fondos de reserva y los fondos de operaciones</w:t>
      </w:r>
      <w:r w:rsidR="00A06E57" w:rsidRPr="00197A8D">
        <w:t xml:space="preserve"> </w:t>
      </w:r>
      <w:r w:rsidRPr="00197A8D">
        <w:t>(FRO</w:t>
      </w:r>
      <w:r w:rsidR="00A06E57" w:rsidRPr="00197A8D">
        <w:t>)</w:t>
      </w:r>
      <w:r w:rsidR="0025516D" w:rsidRPr="00197A8D">
        <w:t>,</w:t>
      </w:r>
      <w:r w:rsidR="00A06E57" w:rsidRPr="00197A8D">
        <w:t xml:space="preserve"> </w:t>
      </w:r>
      <w:r w:rsidRPr="00197A8D">
        <w:t xml:space="preserve">según la </w:t>
      </w:r>
      <w:r w:rsidR="007A699E" w:rsidRPr="00197A8D">
        <w:t>política de reservas revisada</w:t>
      </w:r>
      <w:r w:rsidR="00A06E57" w:rsidRPr="00197A8D">
        <w:rPr>
          <w:rStyle w:val="FootnoteReference"/>
        </w:rPr>
        <w:footnoteReference w:id="5"/>
      </w:r>
      <w:r w:rsidR="0025516D" w:rsidRPr="00197A8D">
        <w:t>,</w:t>
      </w:r>
      <w:r w:rsidR="00A06E57" w:rsidRPr="00197A8D">
        <w:t xml:space="preserve"> </w:t>
      </w:r>
      <w:r w:rsidRPr="00197A8D">
        <w:t>son los siguientes</w:t>
      </w:r>
      <w:r w:rsidR="00A06E57" w:rsidRPr="00197A8D">
        <w:t xml:space="preserve">:  </w:t>
      </w:r>
    </w:p>
    <w:p w:rsidR="00A06E57" w:rsidRPr="00197A8D" w:rsidRDefault="00A06E57" w:rsidP="002E02E7"/>
    <w:p w:rsidR="00A06E57" w:rsidRPr="00197A8D" w:rsidRDefault="00A06E57" w:rsidP="002E02E7"/>
    <w:p w:rsidR="00540689" w:rsidRPr="00197A8D" w:rsidRDefault="002F02C1" w:rsidP="00540689">
      <w:pPr>
        <w:tabs>
          <w:tab w:val="left" w:pos="2970"/>
        </w:tabs>
        <w:ind w:left="567"/>
      </w:pPr>
      <w:r w:rsidRPr="00197A8D">
        <w:rPr>
          <w:b/>
          <w:bCs/>
        </w:rPr>
        <w:t>PRINCIPI</w:t>
      </w:r>
      <w:r w:rsidR="00197A8D" w:rsidRPr="00197A8D">
        <w:rPr>
          <w:b/>
          <w:bCs/>
        </w:rPr>
        <w:t>O 1</w:t>
      </w:r>
      <w:proofErr w:type="gramStart"/>
      <w:r w:rsidRPr="00197A8D">
        <w:rPr>
          <w:b/>
          <w:bCs/>
        </w:rPr>
        <w:t xml:space="preserve">:  </w:t>
      </w:r>
      <w:r w:rsidR="00540689" w:rsidRPr="00197A8D">
        <w:t>Las</w:t>
      </w:r>
      <w:proofErr w:type="gramEnd"/>
      <w:r w:rsidR="00540689" w:rsidRPr="00197A8D">
        <w:t xml:space="preserve"> propuestas para el uso de los FRO se aplicarán solamente a las</w:t>
      </w:r>
    </w:p>
    <w:p w:rsidR="00540689" w:rsidRPr="00197A8D" w:rsidRDefault="00540689" w:rsidP="00540689">
      <w:pPr>
        <w:tabs>
          <w:tab w:val="left" w:pos="2970"/>
        </w:tabs>
        <w:ind w:left="567"/>
      </w:pPr>
      <w:proofErr w:type="gramStart"/>
      <w:r w:rsidRPr="00197A8D">
        <w:t>sumas</w:t>
      </w:r>
      <w:proofErr w:type="gramEnd"/>
      <w:r w:rsidRPr="00197A8D">
        <w:t xml:space="preserve"> disponibles en los FRO que excedan el objetivo de la Política sobre los</w:t>
      </w:r>
    </w:p>
    <w:p w:rsidR="00540689" w:rsidRPr="00197A8D" w:rsidRDefault="00540689" w:rsidP="00540689">
      <w:pPr>
        <w:tabs>
          <w:tab w:val="left" w:pos="2970"/>
        </w:tabs>
        <w:ind w:left="567"/>
      </w:pPr>
      <w:proofErr w:type="gramStart"/>
      <w:r w:rsidRPr="00197A8D">
        <w:t>fondos</w:t>
      </w:r>
      <w:proofErr w:type="gramEnd"/>
      <w:r w:rsidRPr="00197A8D">
        <w:t xml:space="preserve"> de reserva de la OMPI</w:t>
      </w:r>
      <w:r w:rsidR="00197A8D" w:rsidRPr="00197A8D">
        <w:t>.  E</w:t>
      </w:r>
      <w:r w:rsidRPr="00197A8D">
        <w:t>sto es válido tanto para cada Unión por separado</w:t>
      </w:r>
    </w:p>
    <w:p w:rsidR="00A06E57" w:rsidRPr="00197A8D" w:rsidRDefault="00540689" w:rsidP="00540689">
      <w:pPr>
        <w:tabs>
          <w:tab w:val="left" w:pos="2970"/>
        </w:tabs>
        <w:ind w:left="567"/>
      </w:pPr>
      <w:proofErr w:type="gramStart"/>
      <w:r w:rsidRPr="00197A8D">
        <w:t>como</w:t>
      </w:r>
      <w:proofErr w:type="gramEnd"/>
      <w:r w:rsidRPr="00197A8D">
        <w:t xml:space="preserve"> para la totalidad de la Organización</w:t>
      </w:r>
      <w:r w:rsidR="002F02C1" w:rsidRPr="00197A8D">
        <w:t>.</w:t>
      </w:r>
    </w:p>
    <w:p w:rsidR="00A06E57" w:rsidRPr="00197A8D" w:rsidRDefault="00A06E57" w:rsidP="002E02E7">
      <w:pPr>
        <w:ind w:left="567"/>
      </w:pPr>
    </w:p>
    <w:p w:rsidR="00A06E57" w:rsidRPr="00197A8D" w:rsidRDefault="002F02C1" w:rsidP="002E02E7">
      <w:pPr>
        <w:pStyle w:val="ONUME"/>
        <w:numPr>
          <w:ilvl w:val="0"/>
          <w:numId w:val="0"/>
        </w:numPr>
        <w:tabs>
          <w:tab w:val="left" w:pos="1620"/>
        </w:tabs>
        <w:spacing w:after="0"/>
        <w:ind w:left="567"/>
      </w:pPr>
      <w:r w:rsidRPr="00197A8D">
        <w:rPr>
          <w:b/>
          <w:bCs/>
        </w:rPr>
        <w:t>PRINCIPI</w:t>
      </w:r>
      <w:r w:rsidR="00197A8D" w:rsidRPr="00197A8D">
        <w:rPr>
          <w:b/>
          <w:bCs/>
        </w:rPr>
        <w:t>O 2</w:t>
      </w:r>
      <w:proofErr w:type="gramStart"/>
      <w:r w:rsidRPr="00197A8D">
        <w:rPr>
          <w:b/>
          <w:bCs/>
        </w:rPr>
        <w:t xml:space="preserve">:  </w:t>
      </w:r>
      <w:r w:rsidR="00540689" w:rsidRPr="00197A8D">
        <w:t>El</w:t>
      </w:r>
      <w:proofErr w:type="gramEnd"/>
      <w:r w:rsidR="00540689" w:rsidRPr="00197A8D">
        <w:t xml:space="preserve"> cálculo de las reservas disponibles se basará en la información sobre los niveles de FRO contenida en los estados financieros más recientes y debe tener debidamente en cuenta los gastos reales, comprometidos y previstos con cargo a las reservas para el ejercicio o ejercicios económicos durante los que se implementará el proyecto propuesto</w:t>
      </w:r>
      <w:r w:rsidR="00197A8D" w:rsidRPr="00197A8D">
        <w:t>.  P</w:t>
      </w:r>
      <w:r w:rsidR="00540689" w:rsidRPr="00197A8D">
        <w:t>ara el cálculo de los excedentes disponibles por encima del nivel objetivo de los FRO se excluirán las reservas correspondientes al superávit de revaluación (que resulta de la revaluación del terreno sobre el que se ha construido el nuevo edificio) así como los fondos de operaciones (que se han establecido a través de contribuciones de los Estados miembros</w:t>
      </w:r>
      <w:r w:rsidRPr="00197A8D">
        <w:t>).</w:t>
      </w:r>
    </w:p>
    <w:p w:rsidR="00A06E57" w:rsidRPr="00197A8D" w:rsidRDefault="00A06E57" w:rsidP="002F02C1">
      <w:pPr>
        <w:ind w:left="567"/>
        <w:rPr>
          <w:color w:val="808080"/>
        </w:rPr>
      </w:pPr>
    </w:p>
    <w:p w:rsidR="00A06E57" w:rsidRPr="00197A8D" w:rsidRDefault="002F02C1" w:rsidP="002E02E7">
      <w:pPr>
        <w:tabs>
          <w:tab w:val="left" w:pos="3150"/>
          <w:tab w:val="left" w:pos="3420"/>
        </w:tabs>
        <w:spacing w:after="120"/>
        <w:ind w:left="567"/>
      </w:pPr>
      <w:r w:rsidRPr="00197A8D">
        <w:rPr>
          <w:b/>
          <w:bCs/>
        </w:rPr>
        <w:t>PRINCIPI</w:t>
      </w:r>
      <w:r w:rsidR="00197A8D" w:rsidRPr="00197A8D">
        <w:rPr>
          <w:b/>
          <w:bCs/>
        </w:rPr>
        <w:t>O 3</w:t>
      </w:r>
      <w:proofErr w:type="gramStart"/>
      <w:r w:rsidRPr="00197A8D">
        <w:rPr>
          <w:b/>
          <w:bCs/>
        </w:rPr>
        <w:t xml:space="preserve">:  </w:t>
      </w:r>
      <w:r w:rsidR="00540689" w:rsidRPr="00197A8D">
        <w:t>Las</w:t>
      </w:r>
      <w:proofErr w:type="gramEnd"/>
      <w:r w:rsidR="00540689" w:rsidRPr="00197A8D">
        <w:t xml:space="preserve"> propuestas para el uso de las reservas deberán destinarse al pago de gastos extraordinarios no recurrentes y, en circunstancias especiales, a iniciativas estratégicas que hayan sido decididas por las Asambleas de las Uniones de la OMPI</w:t>
      </w:r>
      <w:r w:rsidR="00197A8D" w:rsidRPr="00197A8D">
        <w:t>.  P</w:t>
      </w:r>
      <w:r w:rsidR="00540689" w:rsidRPr="00197A8D">
        <w:t xml:space="preserve">or regla general, los proyectos de inversión figurarán en un plan maestro a largo plazo y serán proyectos relacionados con la construcción/rehabilitación o con las tecnologías de la información y la comunicación </w:t>
      </w:r>
      <w:proofErr w:type="gramStart"/>
      <w:r w:rsidR="00540689" w:rsidRPr="00197A8D">
        <w:t>necesarios</w:t>
      </w:r>
      <w:proofErr w:type="gramEnd"/>
      <w:r w:rsidR="00540689" w:rsidRPr="00197A8D">
        <w:t xml:space="preserve"> para mantener las instalaciones y los sistemas de una organización adaptados a su cometido mediante expansiones o adiciones significativas</w:t>
      </w:r>
      <w:r w:rsidRPr="00197A8D">
        <w:t>.</w:t>
      </w:r>
    </w:p>
    <w:p w:rsidR="00A06E57" w:rsidRPr="00197A8D" w:rsidRDefault="00A06E57" w:rsidP="002E02E7">
      <w:pPr>
        <w:pStyle w:val="ONUME"/>
        <w:numPr>
          <w:ilvl w:val="0"/>
          <w:numId w:val="0"/>
        </w:numPr>
        <w:tabs>
          <w:tab w:val="left" w:pos="1620"/>
        </w:tabs>
        <w:spacing w:after="0"/>
        <w:ind w:left="567"/>
        <w:rPr>
          <w:b/>
          <w:color w:val="808080"/>
        </w:rPr>
      </w:pPr>
    </w:p>
    <w:p w:rsidR="00A06E57" w:rsidRPr="00197A8D" w:rsidRDefault="002F02C1" w:rsidP="002E02E7">
      <w:pPr>
        <w:pStyle w:val="ONUME"/>
        <w:numPr>
          <w:ilvl w:val="0"/>
          <w:numId w:val="0"/>
        </w:numPr>
        <w:tabs>
          <w:tab w:val="left" w:pos="1620"/>
        </w:tabs>
        <w:spacing w:after="0"/>
        <w:ind w:left="567"/>
      </w:pPr>
      <w:r w:rsidRPr="00197A8D">
        <w:rPr>
          <w:b/>
          <w:bCs/>
        </w:rPr>
        <w:t>PRINCIPI</w:t>
      </w:r>
      <w:r w:rsidR="00197A8D" w:rsidRPr="00197A8D">
        <w:rPr>
          <w:b/>
          <w:bCs/>
        </w:rPr>
        <w:t>O 4</w:t>
      </w:r>
      <w:proofErr w:type="gramStart"/>
      <w:r w:rsidRPr="00197A8D">
        <w:t>:  Las</w:t>
      </w:r>
      <w:proofErr w:type="gramEnd"/>
      <w:r w:rsidRPr="00197A8D">
        <w:t xml:space="preserve"> propuestas para el uso de las reservas se deben preparar de manera integral y contener información sobre los costos totales del ciclo de vida de los proyectos, los beneficios estimados (que pueden ser tanto financieros como de naturaleza cualitativa), las partidas para gastos </w:t>
      </w:r>
      <w:r w:rsidR="007A699E" w:rsidRPr="00197A8D">
        <w:t>recurrentes que la Organización</w:t>
      </w:r>
      <w:r w:rsidRPr="00197A8D">
        <w:t xml:space="preserve"> se verá obligada a consignar en el presupuesto ordinario de bienios posteriores, y el impacto en los flujos de efectivo y los niveles de liquidez de las reservas.</w:t>
      </w:r>
    </w:p>
    <w:p w:rsidR="00A06E57" w:rsidRPr="00197A8D" w:rsidRDefault="00A06E57" w:rsidP="002E02E7">
      <w:pPr>
        <w:tabs>
          <w:tab w:val="left" w:pos="3150"/>
        </w:tabs>
        <w:rPr>
          <w:color w:val="808080"/>
        </w:rPr>
      </w:pPr>
    </w:p>
    <w:p w:rsidR="00A06E57" w:rsidRPr="00197A8D" w:rsidRDefault="002F02C1" w:rsidP="002E02E7">
      <w:pPr>
        <w:tabs>
          <w:tab w:val="left" w:pos="3330"/>
          <w:tab w:val="left" w:pos="3420"/>
        </w:tabs>
        <w:ind w:left="567"/>
      </w:pPr>
      <w:r w:rsidRPr="00197A8D">
        <w:rPr>
          <w:b/>
          <w:bCs/>
        </w:rPr>
        <w:t>PRINCIPI</w:t>
      </w:r>
      <w:r w:rsidR="00197A8D" w:rsidRPr="00197A8D">
        <w:rPr>
          <w:b/>
          <w:bCs/>
        </w:rPr>
        <w:t>O 5</w:t>
      </w:r>
      <w:r w:rsidRPr="00197A8D">
        <w:rPr>
          <w:b/>
          <w:bCs/>
        </w:rPr>
        <w:t xml:space="preserve">:  </w:t>
      </w:r>
      <w:r w:rsidRPr="00197A8D">
        <w:t>Las propuestas para el uso de las reservas pueden referirse a proyectos e iniciativas que sobrepasan el ejercicio económico bienal de la Organización y que pueden transcurrir en más de un bienio o durar más de dos años.</w:t>
      </w:r>
    </w:p>
    <w:p w:rsidR="00A06E57" w:rsidRPr="00197A8D" w:rsidRDefault="00A06E57" w:rsidP="002E02E7">
      <w:pPr>
        <w:rPr>
          <w:bCs/>
          <w:iCs/>
          <w:caps/>
          <w:color w:val="808080"/>
          <w:szCs w:val="28"/>
        </w:rPr>
      </w:pPr>
    </w:p>
    <w:p w:rsidR="00A06E57" w:rsidRPr="00197A8D" w:rsidRDefault="00A06E57" w:rsidP="002E02E7">
      <w:pPr>
        <w:rPr>
          <w:bCs/>
          <w:iCs/>
          <w:caps/>
          <w:color w:val="808080"/>
          <w:szCs w:val="28"/>
        </w:rPr>
      </w:pPr>
    </w:p>
    <w:p w:rsidR="00A06E57" w:rsidRPr="00197A8D" w:rsidRDefault="00A06E57" w:rsidP="002E02E7">
      <w:pPr>
        <w:ind w:left="5529"/>
      </w:pPr>
      <w:r w:rsidRPr="00197A8D">
        <w:t>[Sigue el Anexo II]</w:t>
      </w:r>
    </w:p>
    <w:p w:rsidR="00A06E57" w:rsidRPr="00197A8D" w:rsidRDefault="00A06E57" w:rsidP="002E02E7">
      <w:pPr>
        <w:rPr>
          <w:color w:val="808080"/>
        </w:rPr>
      </w:pPr>
    </w:p>
    <w:p w:rsidR="00A06E57" w:rsidRPr="00197A8D" w:rsidRDefault="00A06E57" w:rsidP="002E02E7">
      <w:pPr>
        <w:sectPr w:rsidR="00A06E57" w:rsidRPr="00197A8D" w:rsidSect="00A06E57">
          <w:headerReference w:type="first" r:id="rId15"/>
          <w:pgSz w:w="11907" w:h="16840" w:code="9"/>
          <w:pgMar w:top="567" w:right="1134" w:bottom="1418" w:left="1418" w:header="510" w:footer="1021" w:gutter="0"/>
          <w:cols w:space="720"/>
          <w:titlePg/>
          <w:docGrid w:linePitch="299"/>
        </w:sectPr>
      </w:pPr>
    </w:p>
    <w:p w:rsidR="009F3276" w:rsidRPr="00197A8D" w:rsidRDefault="009F3276" w:rsidP="009F3276">
      <w:pPr>
        <w:pStyle w:val="Heading1"/>
        <w:spacing w:before="0"/>
      </w:pPr>
      <w:r w:rsidRPr="00197A8D">
        <w:rPr>
          <w:lang w:val="es"/>
        </w:rPr>
        <w:lastRenderedPageBreak/>
        <w:t>Anexo I</w:t>
      </w:r>
      <w:r w:rsidR="006B2801" w:rsidRPr="00197A8D">
        <w:rPr>
          <w:lang w:val="es"/>
        </w:rPr>
        <w:t>I</w:t>
      </w:r>
      <w:proofErr w:type="gramStart"/>
      <w:r w:rsidR="006B2801" w:rsidRPr="00197A8D">
        <w:rPr>
          <w:lang w:val="es"/>
        </w:rPr>
        <w:t>:  Plataforma</w:t>
      </w:r>
      <w:proofErr w:type="gramEnd"/>
      <w:r w:rsidR="006B2801" w:rsidRPr="00197A8D">
        <w:rPr>
          <w:lang w:val="es"/>
        </w:rPr>
        <w:t xml:space="preserve"> mundial de P.I. –</w:t>
      </w:r>
      <w:r w:rsidRPr="00197A8D">
        <w:rPr>
          <w:lang w:val="es"/>
        </w:rPr>
        <w:t xml:space="preserve"> Fase I</w:t>
      </w:r>
    </w:p>
    <w:p w:rsidR="009F3276" w:rsidRPr="00197A8D" w:rsidRDefault="009F3276" w:rsidP="009F3276"/>
    <w:p w:rsidR="009F3276" w:rsidRPr="00197A8D" w:rsidRDefault="009F3276" w:rsidP="009F3276">
      <w:pPr>
        <w:rPr>
          <w:i/>
        </w:rPr>
      </w:pPr>
      <w:r w:rsidRPr="00197A8D">
        <w:rPr>
          <w:i/>
          <w:iCs/>
          <w:lang w:val="es"/>
        </w:rPr>
        <w:t>Objetivos del proyecto y beneficios previstos</w:t>
      </w:r>
    </w:p>
    <w:p w:rsidR="009F3276" w:rsidRPr="00197A8D" w:rsidRDefault="009F3276" w:rsidP="009F3276"/>
    <w:p w:rsidR="00822607" w:rsidRPr="00197A8D" w:rsidRDefault="009F3276" w:rsidP="009F3276">
      <w:pPr>
        <w:rPr>
          <w:lang w:val="es"/>
        </w:rPr>
      </w:pPr>
      <w:r w:rsidRPr="00197A8D">
        <w:rPr>
          <w:lang w:val="es"/>
        </w:rPr>
        <w:t>El proyecto tiene como objetivo implantar una única plataforma informática común (denominada en adelante "la Plataforma Mundial de P.I."), que conectará varias plataformas de servicios de pago de la OMPI, como el PCT, el Sistema de Madrid y el de La Haya (sistemas de la OMPI para la protección mundial de la P.I.).  Se prevé integrar la plataforma con un nuevo sistema mundial de pago y, en el marco del proyecto, se estudiará también la posibilidad de conectarla con los sistemas de T.I. que prestan apoyo a los servicios del Centro de Arbitraje y Mediación de la OMPI.  La Plataforma Mundial de P.I. constituiría un portal de acceso único para los usuarios de los sistemas de protección mundial de la OMPI y del Centro de Arbitraje y Mediación, en la que, con una única cuenta y una política de navegación adaptada, los usuarios accederían a una interfaz común y a un portal de pago centralizado</w:t>
      </w:r>
      <w:r w:rsidR="00822607" w:rsidRPr="00197A8D">
        <w:rPr>
          <w:lang w:val="es"/>
        </w:rPr>
        <w:t>.</w:t>
      </w:r>
    </w:p>
    <w:p w:rsidR="009F3276" w:rsidRPr="00197A8D" w:rsidRDefault="009F3276" w:rsidP="009F3276"/>
    <w:p w:rsidR="00822607" w:rsidRPr="00197A8D" w:rsidRDefault="009F3276" w:rsidP="009F3276">
      <w:pPr>
        <w:rPr>
          <w:lang w:val="es"/>
        </w:rPr>
      </w:pPr>
      <w:r w:rsidRPr="00197A8D">
        <w:rPr>
          <w:lang w:val="es"/>
        </w:rPr>
        <w:t xml:space="preserve">La Oficina Internacional de la OMPI necesita con urgencia integrar múltiples plataformas para hacer frente al considerable aumento en la cantidad y la diversidad de los datos relativos a la P.I.  </w:t>
      </w:r>
      <w:proofErr w:type="gramStart"/>
      <w:r w:rsidRPr="00197A8D">
        <w:rPr>
          <w:lang w:val="es"/>
        </w:rPr>
        <w:t>con</w:t>
      </w:r>
      <w:proofErr w:type="gramEnd"/>
      <w:r w:rsidRPr="00197A8D">
        <w:rPr>
          <w:lang w:val="es"/>
        </w:rPr>
        <w:t xml:space="preserve"> los que se trabaja en los distintos sectores de actividad.  A medida que avanza el uso de los sistemas mundiales de P.I., se requiere una mayor integración de métodos para el procesamiento de datos al objeto de minimizar los gastos que se generarían si cada servicio ofreciese distintas soluciones fragmentadas e independientes para la misma finalidad en sus sistemas de T.I</w:t>
      </w:r>
      <w:r w:rsidR="00822607" w:rsidRPr="00197A8D">
        <w:rPr>
          <w:lang w:val="es"/>
        </w:rPr>
        <w:t>.</w:t>
      </w:r>
    </w:p>
    <w:p w:rsidR="009F3276" w:rsidRPr="00197A8D" w:rsidRDefault="009F3276" w:rsidP="009F3276"/>
    <w:p w:rsidR="00822607" w:rsidRPr="00197A8D" w:rsidRDefault="009F3276" w:rsidP="009F3276">
      <w:pPr>
        <w:rPr>
          <w:lang w:val="es"/>
        </w:rPr>
      </w:pPr>
      <w:r w:rsidRPr="00197A8D">
        <w:rPr>
          <w:lang w:val="es"/>
        </w:rPr>
        <w:t xml:space="preserve">La Plataforma Mundial de P.I.  </w:t>
      </w:r>
      <w:proofErr w:type="gramStart"/>
      <w:r w:rsidRPr="00197A8D">
        <w:rPr>
          <w:lang w:val="es"/>
        </w:rPr>
        <w:t>se</w:t>
      </w:r>
      <w:proofErr w:type="gramEnd"/>
      <w:r w:rsidRPr="00197A8D">
        <w:rPr>
          <w:lang w:val="es"/>
        </w:rPr>
        <w:t xml:space="preserve"> nutrirá de las inversiones en T.I.C. que ya ha efectuado la OMPI y permitirá incorporar en mayor medida estrategias intersectoriales en las decisiones sobre las T.I.C.  Al seguir un proceso estratégico y plantear la uniformización de la arquitectura, la Plataforma Mundial de P.I.  </w:t>
      </w:r>
      <w:proofErr w:type="gramStart"/>
      <w:r w:rsidRPr="00197A8D">
        <w:rPr>
          <w:lang w:val="es"/>
        </w:rPr>
        <w:t>facilitará</w:t>
      </w:r>
      <w:proofErr w:type="gramEnd"/>
      <w:r w:rsidRPr="00197A8D">
        <w:rPr>
          <w:lang w:val="es"/>
        </w:rPr>
        <w:t xml:space="preserve"> la contención de los gastos en las inversiones en las T.I.C. en distintas líneas de actividad, al tiempo que mejorará la capacidad de ampliación de las soluciones sin arriesgar la viabilidad de las operaciones ni la calidad de los datos.  También se prevé aumentar la agilidad al responder a los cambios de las necesidades y mejorar la capacidad de reacción y recuperación del sistema</w:t>
      </w:r>
      <w:r w:rsidR="00822607" w:rsidRPr="00197A8D">
        <w:rPr>
          <w:lang w:val="es"/>
        </w:rPr>
        <w:t>.</w:t>
      </w:r>
    </w:p>
    <w:p w:rsidR="009F3276" w:rsidRPr="00197A8D" w:rsidRDefault="009F3276" w:rsidP="009F3276"/>
    <w:p w:rsidR="00822607" w:rsidRPr="00197A8D" w:rsidRDefault="009F3276" w:rsidP="009F3276">
      <w:pPr>
        <w:rPr>
          <w:lang w:val="es"/>
        </w:rPr>
      </w:pPr>
      <w:r w:rsidRPr="00197A8D">
        <w:rPr>
          <w:lang w:val="es"/>
        </w:rPr>
        <w:t>El portal de acceso único, que incluirá un sistema de pago modernizado, permitirá que los usuarios sin experiencia, como pueden ser las universidades, las pymes y algunas empresas, especialmente en los países en desarrollo, mejoren su acceso a los servicios de la OMPI con pocos conocimientos previos en materia de P.I. y gestionen con facilidad el pago de las tasas</w:t>
      </w:r>
      <w:r w:rsidR="00822607" w:rsidRPr="00197A8D">
        <w:rPr>
          <w:lang w:val="es"/>
        </w:rPr>
        <w:t>.</w:t>
      </w:r>
    </w:p>
    <w:p w:rsidR="009F3276" w:rsidRPr="00197A8D" w:rsidRDefault="009F3276" w:rsidP="009F3276"/>
    <w:p w:rsidR="009F3276" w:rsidRPr="00197A8D" w:rsidRDefault="009F3276" w:rsidP="009F3276">
      <w:r w:rsidRPr="00197A8D">
        <w:rPr>
          <w:lang w:val="es"/>
        </w:rPr>
        <w:t>Los beneficios previstos del proyecto de Plataforma Mundial de P.I. son los siguientes:</w:t>
      </w:r>
    </w:p>
    <w:p w:rsidR="009F3276" w:rsidRPr="00197A8D" w:rsidRDefault="009F3276" w:rsidP="009F3276">
      <w:pPr>
        <w:rPr>
          <w:szCs w:val="22"/>
        </w:rPr>
      </w:pPr>
    </w:p>
    <w:p w:rsidR="009F3276" w:rsidRPr="00197A8D" w:rsidRDefault="009F3276" w:rsidP="009A460D">
      <w:pPr>
        <w:pStyle w:val="ListParagraph"/>
        <w:numPr>
          <w:ilvl w:val="0"/>
          <w:numId w:val="15"/>
        </w:numPr>
        <w:spacing w:after="120"/>
        <w:ind w:left="1134" w:hanging="567"/>
        <w:contextualSpacing w:val="0"/>
      </w:pPr>
      <w:r w:rsidRPr="00197A8D">
        <w:rPr>
          <w:lang w:val="es"/>
        </w:rPr>
        <w:t>Permitirá a la Organización tomar decisiones sobre las T.I.C. que incorporen en mayor medida una estrategia intersectorial y encontrar sinergias en las soluciones adoptadas para distintas líneas de actividad y plataformas de T.I., lo que facilitará la contención del gasto en las inversiones en T.I.C. en distintas líneas de actividad y mejorará la capacidad de ampliación, reacción y recuperación de las soluciones adoptadas.</w:t>
      </w:r>
    </w:p>
    <w:p w:rsidR="009F3276" w:rsidRPr="00197A8D" w:rsidRDefault="009F3276" w:rsidP="009A460D">
      <w:pPr>
        <w:pStyle w:val="ListParagraph"/>
        <w:numPr>
          <w:ilvl w:val="0"/>
          <w:numId w:val="15"/>
        </w:numPr>
        <w:spacing w:after="120"/>
        <w:ind w:left="1134" w:hanging="567"/>
        <w:contextualSpacing w:val="0"/>
      </w:pPr>
      <w:r w:rsidRPr="00197A8D">
        <w:rPr>
          <w:lang w:val="es"/>
        </w:rPr>
        <w:t>La Plataforma Mundial de P.I. permitirá que distintos sistemas de T.I. en varios sectores de actividad de la OMPI compartan datos (como información de perfiles de usuario y datos de pago) y gestionen su calidad.</w:t>
      </w:r>
    </w:p>
    <w:p w:rsidR="00822607" w:rsidRPr="00197A8D" w:rsidRDefault="009F3276" w:rsidP="009A460D">
      <w:pPr>
        <w:pStyle w:val="ListParagraph"/>
        <w:numPr>
          <w:ilvl w:val="0"/>
          <w:numId w:val="15"/>
        </w:numPr>
        <w:spacing w:after="120"/>
        <w:ind w:left="1134" w:hanging="567"/>
        <w:contextualSpacing w:val="0"/>
        <w:rPr>
          <w:lang w:val="es"/>
        </w:rPr>
      </w:pPr>
      <w:r w:rsidRPr="00197A8D">
        <w:rPr>
          <w:lang w:val="es"/>
        </w:rPr>
        <w:t>Se podrán incrementar las actividades de cooperación con las Oficinas de P.I. y los solicitantes, con lo que los beneficios ya mencionados en el apartado anterior podrán ponerse a disposición de estas Oficinas y de otros clientes que interactúan con los sistemas de la OMPI para la protección mundial de la P.I</w:t>
      </w:r>
      <w:r w:rsidR="00822607" w:rsidRPr="00197A8D">
        <w:rPr>
          <w:lang w:val="es"/>
        </w:rPr>
        <w:t>.</w:t>
      </w:r>
    </w:p>
    <w:p w:rsidR="00822607" w:rsidRPr="00197A8D" w:rsidRDefault="009F3276" w:rsidP="009A460D">
      <w:pPr>
        <w:pStyle w:val="ListParagraph"/>
        <w:keepNext/>
        <w:numPr>
          <w:ilvl w:val="0"/>
          <w:numId w:val="15"/>
        </w:numPr>
        <w:spacing w:after="120"/>
        <w:ind w:left="1134" w:hanging="567"/>
        <w:contextualSpacing w:val="0"/>
        <w:rPr>
          <w:lang w:val="es"/>
        </w:rPr>
      </w:pPr>
      <w:r w:rsidRPr="00197A8D">
        <w:rPr>
          <w:lang w:val="es"/>
        </w:rPr>
        <w:lastRenderedPageBreak/>
        <w:t>Los clientes y la OMPI podrán procesar los pagos a través de un único y sencillo portal empleando medios modernos para el abono de las tasas</w:t>
      </w:r>
      <w:r w:rsidR="00822607" w:rsidRPr="00197A8D">
        <w:rPr>
          <w:lang w:val="es"/>
        </w:rPr>
        <w:t>.</w:t>
      </w:r>
    </w:p>
    <w:p w:rsidR="00822607" w:rsidRPr="00197A8D" w:rsidRDefault="009F3276" w:rsidP="009A460D">
      <w:pPr>
        <w:pStyle w:val="ListParagraph"/>
        <w:keepNext/>
        <w:numPr>
          <w:ilvl w:val="0"/>
          <w:numId w:val="15"/>
        </w:numPr>
        <w:spacing w:after="120"/>
        <w:ind w:left="1134" w:hanging="567"/>
        <w:contextualSpacing w:val="0"/>
        <w:rPr>
          <w:lang w:val="es"/>
        </w:rPr>
      </w:pPr>
      <w:r w:rsidRPr="00197A8D">
        <w:rPr>
          <w:lang w:val="es"/>
        </w:rPr>
        <w:t>El portal único de la Plataforma Mundial de P.I., sencillo y práctico, permitirá que la OMPI mantenga informados a sus clientes sobre el funcionamiento y uso de toda la gama de servicios orientados al exterior de la forma más adaptada al usuario</w:t>
      </w:r>
      <w:r w:rsidR="00822607" w:rsidRPr="00197A8D">
        <w:rPr>
          <w:lang w:val="es"/>
        </w:rPr>
        <w:t>.</w:t>
      </w:r>
    </w:p>
    <w:p w:rsidR="00822607" w:rsidRPr="00197A8D" w:rsidRDefault="009F3276" w:rsidP="009A460D">
      <w:pPr>
        <w:pStyle w:val="ListParagraph"/>
        <w:numPr>
          <w:ilvl w:val="0"/>
          <w:numId w:val="15"/>
        </w:numPr>
        <w:spacing w:after="120"/>
        <w:ind w:left="1134" w:hanging="567"/>
        <w:contextualSpacing w:val="0"/>
        <w:rPr>
          <w:lang w:val="es"/>
        </w:rPr>
      </w:pPr>
      <w:r w:rsidRPr="00197A8D">
        <w:rPr>
          <w:lang w:val="es"/>
        </w:rPr>
        <w:t>Se trata de un poderoso instrumento de promoción para los servicios de la OMPI porque ofrece una experiencia nueva, unificada y más uniforme</w:t>
      </w:r>
      <w:r w:rsidR="00822607" w:rsidRPr="00197A8D">
        <w:rPr>
          <w:lang w:val="es"/>
        </w:rPr>
        <w:t>.</w:t>
      </w:r>
    </w:p>
    <w:p w:rsidR="009F3276" w:rsidRPr="00197A8D" w:rsidRDefault="009F3276" w:rsidP="009A460D">
      <w:pPr>
        <w:pStyle w:val="ListParagraph"/>
        <w:numPr>
          <w:ilvl w:val="0"/>
          <w:numId w:val="15"/>
        </w:numPr>
        <w:spacing w:after="120"/>
        <w:ind w:left="1134" w:hanging="567"/>
        <w:contextualSpacing w:val="0"/>
      </w:pPr>
      <w:r w:rsidRPr="00197A8D">
        <w:rPr>
          <w:lang w:val="es"/>
        </w:rPr>
        <w:t>El acceso a todos los servicios a través de una cuenta de usuario única y sin fisuras reforzará el nivel de seguridad y los controles de acceso a los sistemas de T.I. y a los datos de la OMPI.</w:t>
      </w:r>
    </w:p>
    <w:p w:rsidR="009F3276" w:rsidRPr="00197A8D" w:rsidRDefault="009F3276" w:rsidP="009A460D">
      <w:pPr>
        <w:pStyle w:val="ListParagraph"/>
        <w:numPr>
          <w:ilvl w:val="0"/>
          <w:numId w:val="15"/>
        </w:numPr>
        <w:spacing w:after="120"/>
        <w:ind w:left="1134" w:hanging="567"/>
        <w:contextualSpacing w:val="0"/>
      </w:pPr>
      <w:r w:rsidRPr="00197A8D">
        <w:rPr>
          <w:lang w:val="es"/>
        </w:rPr>
        <w:t>La Plataforma Mundial de P.I. reforzará la contribución de la OMPI a la innovación y la creatividad de la que todos podrán beneficiarse, al mejorar el acceso de las pymes y las empresas a sus servicios, en especial en los países en desarrollo.</w:t>
      </w:r>
    </w:p>
    <w:p w:rsidR="009F3276" w:rsidRPr="00197A8D" w:rsidRDefault="009F3276" w:rsidP="009A460D">
      <w:pPr>
        <w:pStyle w:val="ListParagraph"/>
        <w:numPr>
          <w:ilvl w:val="0"/>
          <w:numId w:val="15"/>
        </w:numPr>
        <w:spacing w:after="120"/>
        <w:ind w:left="1134" w:hanging="567"/>
        <w:contextualSpacing w:val="0"/>
      </w:pPr>
      <w:r w:rsidRPr="00197A8D">
        <w:rPr>
          <w:lang w:val="es"/>
        </w:rPr>
        <w:t>A través de la Plataforma, la Oficina Internacional podrá acceder a la información relativa a los clientes y gestionarla, con el fin de simplificar su relación con ellos y facilitar la promoción de sus servicios.</w:t>
      </w:r>
    </w:p>
    <w:p w:rsidR="009F3276" w:rsidRPr="00197A8D" w:rsidRDefault="009F3276" w:rsidP="009F3276">
      <w:pPr>
        <w:rPr>
          <w:i/>
        </w:rPr>
      </w:pPr>
    </w:p>
    <w:p w:rsidR="009A460D" w:rsidRPr="00197A8D" w:rsidRDefault="009A460D" w:rsidP="009F3276">
      <w:pPr>
        <w:rPr>
          <w:i/>
        </w:rPr>
      </w:pPr>
    </w:p>
    <w:p w:rsidR="009F3276" w:rsidRPr="00197A8D" w:rsidRDefault="009F3276" w:rsidP="009F3276">
      <w:pPr>
        <w:rPr>
          <w:i/>
        </w:rPr>
      </w:pPr>
      <w:r w:rsidRPr="00197A8D">
        <w:rPr>
          <w:i/>
          <w:iCs/>
          <w:lang w:val="es"/>
        </w:rPr>
        <w:t>Ejecución del proyecto</w:t>
      </w:r>
    </w:p>
    <w:p w:rsidR="009F3276" w:rsidRPr="00197A8D" w:rsidRDefault="009F3276" w:rsidP="009F3276"/>
    <w:p w:rsidR="00822607" w:rsidRPr="00197A8D" w:rsidRDefault="009F3276" w:rsidP="009F3276">
      <w:pPr>
        <w:rPr>
          <w:lang w:val="es"/>
        </w:rPr>
      </w:pPr>
      <w:r w:rsidRPr="00197A8D">
        <w:rPr>
          <w:lang w:val="es"/>
        </w:rPr>
        <w:t>El proyecto se pondría en marcha con una estrategia de ejecución por fases.  La fase I tiene como objetivo crear y validar un diseño;  poner en marcha una primera plataforma de muestra;  definir un plan y una estructura para la migración de los sistemas de T.I. a la plataforma en fases posteriores;  y definir los procesos y las políticas que procuren una mayor convergencia en distintas líneas de actividad en el procesamiento de los datos y las soluciones de T.I</w:t>
      </w:r>
      <w:r w:rsidR="00822607" w:rsidRPr="00197A8D">
        <w:rPr>
          <w:lang w:val="es"/>
        </w:rPr>
        <w:t>.</w:t>
      </w:r>
    </w:p>
    <w:p w:rsidR="009F3276" w:rsidRPr="00197A8D" w:rsidRDefault="009F3276" w:rsidP="009F3276">
      <w:pPr>
        <w:rPr>
          <w:i/>
        </w:rPr>
      </w:pPr>
    </w:p>
    <w:p w:rsidR="009A460D" w:rsidRPr="00197A8D" w:rsidRDefault="009A460D" w:rsidP="009F3276">
      <w:pPr>
        <w:rPr>
          <w:i/>
        </w:rPr>
      </w:pPr>
    </w:p>
    <w:p w:rsidR="009F3276" w:rsidRPr="00197A8D" w:rsidRDefault="009F3276" w:rsidP="009F3276">
      <w:pPr>
        <w:rPr>
          <w:i/>
        </w:rPr>
      </w:pPr>
      <w:r w:rsidRPr="00197A8D">
        <w:rPr>
          <w:i/>
          <w:iCs/>
          <w:lang w:val="es"/>
        </w:rPr>
        <w:t>Factores determinantes</w:t>
      </w:r>
    </w:p>
    <w:p w:rsidR="009F3276" w:rsidRPr="00197A8D" w:rsidRDefault="009F3276" w:rsidP="009F3276"/>
    <w:p w:rsidR="00822607" w:rsidRPr="00197A8D" w:rsidRDefault="009F3276" w:rsidP="009F3276">
      <w:pPr>
        <w:rPr>
          <w:lang w:val="es"/>
        </w:rPr>
      </w:pPr>
      <w:r w:rsidRPr="00197A8D">
        <w:rPr>
          <w:i/>
          <w:iCs/>
          <w:lang w:val="es"/>
        </w:rPr>
        <w:t>Necesidades específicas</w:t>
      </w:r>
      <w:proofErr w:type="gramStart"/>
      <w:r w:rsidRPr="00197A8D">
        <w:rPr>
          <w:lang w:val="es"/>
        </w:rPr>
        <w:t>:  el</w:t>
      </w:r>
      <w:proofErr w:type="gramEnd"/>
      <w:r w:rsidRPr="00197A8D">
        <w:rPr>
          <w:lang w:val="es"/>
        </w:rPr>
        <w:t xml:space="preserve"> crecimiento en el número de usuarios de los servicios de la OMPI y la mayor dependencia de las TIC por parte de la Organización en la prestación de sus servicios intensifican la importancia de ofrecer al cliente una experiencia nueva, unitaria y más coherente.  El proyecto abordará esta necesidad mediante la creación de un portal único, sencillo y práctico, para que los clientes de la OMPI tengan información sobre toda la gama de servicios que se les brinda y los utilicen</w:t>
      </w:r>
      <w:r w:rsidR="00822607" w:rsidRPr="00197A8D">
        <w:rPr>
          <w:lang w:val="es"/>
        </w:rPr>
        <w:t>.</w:t>
      </w:r>
    </w:p>
    <w:p w:rsidR="009F3276" w:rsidRPr="00197A8D" w:rsidRDefault="009F3276" w:rsidP="009F3276"/>
    <w:p w:rsidR="00822607" w:rsidRPr="00197A8D" w:rsidRDefault="009F3276" w:rsidP="009F3276">
      <w:pPr>
        <w:rPr>
          <w:lang w:val="es"/>
        </w:rPr>
      </w:pPr>
      <w:r w:rsidRPr="00197A8D">
        <w:rPr>
          <w:i/>
          <w:iCs/>
          <w:lang w:val="es"/>
        </w:rPr>
        <w:t xml:space="preserve">Eficacia en función de los costos:  </w:t>
      </w:r>
      <w:r w:rsidRPr="00197A8D">
        <w:rPr>
          <w:lang w:val="es"/>
        </w:rPr>
        <w:t>El ahorro de costos puede lograrse por los siguientes medios:  i) la introducción de la plataforma integrada contendrá el costo de desarrollar distintos sistemas de T.I.;  ii) la conexiones entre los distintos sistemas de T.I. mejorará el acceso a la información sobre los clientes, la gestión de esta y su uso compartido;  iii) un único portal de usuario para los clientes y las Oficinas de P.I. ofrecerá un procesamiento de pagos más eficiente y potenciará la cooperación entre ellos</w:t>
      </w:r>
      <w:r w:rsidR="00822607" w:rsidRPr="00197A8D">
        <w:rPr>
          <w:lang w:val="es"/>
        </w:rPr>
        <w:t>.</w:t>
      </w:r>
    </w:p>
    <w:p w:rsidR="009F3276" w:rsidRPr="00197A8D" w:rsidRDefault="009F3276" w:rsidP="009F3276"/>
    <w:p w:rsidR="00822607" w:rsidRPr="00197A8D" w:rsidRDefault="009F3276" w:rsidP="009F3276">
      <w:pPr>
        <w:rPr>
          <w:lang w:val="es"/>
        </w:rPr>
      </w:pPr>
      <w:r w:rsidRPr="00197A8D">
        <w:rPr>
          <w:lang w:val="es"/>
        </w:rPr>
        <w:t>Por sus dimensiones y alcance, el proyecto cumple los requisitos del principi</w:t>
      </w:r>
      <w:r w:rsidR="00197A8D" w:rsidRPr="00197A8D">
        <w:rPr>
          <w:lang w:val="es"/>
        </w:rPr>
        <w:t>o 3</w:t>
      </w:r>
      <w:r w:rsidRPr="00197A8D">
        <w:rPr>
          <w:lang w:val="es"/>
        </w:rPr>
        <w:t xml:space="preserve"> de la política de reservas revisada, como proyecto extraordinario de inversión no recurrente, puesto que abarca en su totalidad los principales ámbitos de ingresos de la Organización</w:t>
      </w:r>
      <w:r w:rsidR="00822607" w:rsidRPr="00197A8D">
        <w:rPr>
          <w:lang w:val="es"/>
        </w:rPr>
        <w:t>.</w:t>
      </w:r>
    </w:p>
    <w:p w:rsidR="009F3276" w:rsidRPr="00197A8D" w:rsidRDefault="009F3276" w:rsidP="009F3276"/>
    <w:p w:rsidR="009A460D" w:rsidRPr="00197A8D" w:rsidRDefault="009A460D" w:rsidP="009F3276"/>
    <w:p w:rsidR="009F3276" w:rsidRPr="00197A8D" w:rsidRDefault="009F3276" w:rsidP="009A460D">
      <w:pPr>
        <w:keepNext/>
        <w:keepLines/>
        <w:rPr>
          <w:i/>
          <w:szCs w:val="22"/>
        </w:rPr>
      </w:pPr>
      <w:r w:rsidRPr="00197A8D">
        <w:rPr>
          <w:i/>
          <w:iCs/>
          <w:szCs w:val="22"/>
          <w:lang w:val="es"/>
        </w:rPr>
        <w:lastRenderedPageBreak/>
        <w:t>Estimación de costos periódicos de funcionamiento</w:t>
      </w:r>
    </w:p>
    <w:p w:rsidR="009F3276" w:rsidRPr="00197A8D" w:rsidRDefault="009F3276" w:rsidP="009A460D">
      <w:pPr>
        <w:keepNext/>
        <w:keepLines/>
        <w:rPr>
          <w:szCs w:val="22"/>
        </w:rPr>
      </w:pPr>
    </w:p>
    <w:p w:rsidR="009F3276" w:rsidRPr="00197A8D" w:rsidRDefault="009F3276" w:rsidP="009A460D">
      <w:pPr>
        <w:keepNext/>
        <w:keepLines/>
        <w:rPr>
          <w:szCs w:val="22"/>
        </w:rPr>
      </w:pPr>
      <w:r w:rsidRPr="00197A8D">
        <w:rPr>
          <w:szCs w:val="22"/>
          <w:lang w:val="es"/>
        </w:rPr>
        <w:t>Los costos periódicos de mantenimiento y funcionamiento de la Plataforma Mundial de P.I. se incluirán en las propuestas de presupuesto por programas como parte del presupuesto ordinario.  Se estima que los gastos periódicos tras la finalización de la fase I serán d</w:t>
      </w:r>
      <w:r w:rsidR="00197A8D" w:rsidRPr="00197A8D">
        <w:rPr>
          <w:szCs w:val="22"/>
          <w:lang w:val="es"/>
        </w:rPr>
        <w:t>e 4</w:t>
      </w:r>
      <w:r w:rsidRPr="00197A8D">
        <w:rPr>
          <w:szCs w:val="22"/>
          <w:lang w:val="es"/>
        </w:rPr>
        <w:t>10.000 francos suizos anuales.</w:t>
      </w:r>
    </w:p>
    <w:p w:rsidR="009F3276" w:rsidRPr="00197A8D" w:rsidRDefault="009F3276" w:rsidP="009F3276"/>
    <w:p w:rsidR="009F3276" w:rsidRPr="00197A8D" w:rsidRDefault="009F3276" w:rsidP="009F3276"/>
    <w:p w:rsidR="00A06E57" w:rsidRPr="00197A8D" w:rsidRDefault="009F3276" w:rsidP="009F3276">
      <w:pPr>
        <w:pStyle w:val="Endofdocument-Annex"/>
      </w:pPr>
      <w:r w:rsidRPr="00197A8D">
        <w:t>[Sigue el Anexo III]</w:t>
      </w:r>
    </w:p>
    <w:p w:rsidR="00A06E57" w:rsidRPr="00197A8D" w:rsidRDefault="00A06E57" w:rsidP="002E02E7">
      <w:pPr>
        <w:pStyle w:val="Endofdocument-Annex"/>
        <w:ind w:left="0"/>
        <w:rPr>
          <w:strike/>
          <w:lang w:val="es-ES"/>
        </w:rPr>
      </w:pPr>
    </w:p>
    <w:p w:rsidR="00A06E57" w:rsidRPr="00197A8D" w:rsidRDefault="00A06E57" w:rsidP="002E02E7">
      <w:pPr>
        <w:rPr>
          <w:strike/>
        </w:rPr>
        <w:sectPr w:rsidR="00A06E57" w:rsidRPr="00197A8D" w:rsidSect="002E02E7">
          <w:headerReference w:type="default" r:id="rId16"/>
          <w:headerReference w:type="first" r:id="rId17"/>
          <w:pgSz w:w="11907" w:h="16840" w:code="9"/>
          <w:pgMar w:top="567" w:right="1134" w:bottom="1418" w:left="1418" w:header="510" w:footer="1021" w:gutter="0"/>
          <w:pgNumType w:start="1"/>
          <w:cols w:space="720"/>
          <w:titlePg/>
          <w:docGrid w:linePitch="299"/>
        </w:sectPr>
      </w:pPr>
    </w:p>
    <w:p w:rsidR="009A460D" w:rsidRPr="00197A8D" w:rsidRDefault="009A460D" w:rsidP="009A460D">
      <w:pPr>
        <w:pStyle w:val="Heading1"/>
        <w:spacing w:before="0"/>
      </w:pPr>
      <w:r w:rsidRPr="00197A8D">
        <w:rPr>
          <w:lang w:val="es"/>
        </w:rPr>
        <w:lastRenderedPageBreak/>
        <w:t>ANEXO III</w:t>
      </w:r>
      <w:proofErr w:type="gramStart"/>
      <w:r w:rsidRPr="00197A8D">
        <w:rPr>
          <w:lang w:val="es"/>
        </w:rPr>
        <w:t>:  UNA</w:t>
      </w:r>
      <w:proofErr w:type="gramEnd"/>
      <w:r w:rsidRPr="00197A8D">
        <w:rPr>
          <w:lang w:val="es"/>
        </w:rPr>
        <w:t xml:space="preserve"> PLATAFORMA SEGURA PARA EL PCT CON CAPACIDAD DE REACCIÓN Y RECUPERACIÓN - FASE I</w:t>
      </w:r>
    </w:p>
    <w:p w:rsidR="009A460D" w:rsidRPr="00197A8D" w:rsidRDefault="009A460D" w:rsidP="009A460D"/>
    <w:p w:rsidR="009A460D" w:rsidRPr="00197A8D" w:rsidRDefault="009A460D" w:rsidP="009A460D">
      <w:pPr>
        <w:rPr>
          <w:i/>
        </w:rPr>
      </w:pPr>
      <w:r w:rsidRPr="00197A8D">
        <w:rPr>
          <w:i/>
          <w:iCs/>
          <w:lang w:val="es"/>
        </w:rPr>
        <w:t>Objetivos del proyecto y beneficios previstos</w:t>
      </w:r>
    </w:p>
    <w:p w:rsidR="009A460D" w:rsidRPr="00197A8D" w:rsidRDefault="009A460D" w:rsidP="009A460D"/>
    <w:p w:rsidR="009A460D" w:rsidRPr="00197A8D" w:rsidRDefault="009A460D" w:rsidP="009A460D">
      <w:pPr>
        <w:rPr>
          <w:szCs w:val="22"/>
        </w:rPr>
      </w:pPr>
      <w:r w:rsidRPr="00197A8D">
        <w:rPr>
          <w:szCs w:val="22"/>
          <w:lang w:val="es"/>
        </w:rPr>
        <w:t>El Tratado de Cooperación en materia de Patentes (PCT) es uno de los pilares de los activos de la OMPI, al ser su principal fuente de ingresos.</w:t>
      </w:r>
    </w:p>
    <w:p w:rsidR="009A460D" w:rsidRPr="00197A8D" w:rsidRDefault="009A460D" w:rsidP="009A460D">
      <w:pPr>
        <w:rPr>
          <w:szCs w:val="22"/>
        </w:rPr>
      </w:pPr>
    </w:p>
    <w:p w:rsidR="009A460D" w:rsidRPr="00197A8D" w:rsidRDefault="009A460D" w:rsidP="009A460D">
      <w:pPr>
        <w:tabs>
          <w:tab w:val="left" w:pos="2160"/>
        </w:tabs>
        <w:rPr>
          <w:szCs w:val="22"/>
        </w:rPr>
      </w:pPr>
      <w:r w:rsidRPr="00197A8D">
        <w:rPr>
          <w:szCs w:val="22"/>
          <w:lang w:val="es"/>
        </w:rPr>
        <w:t>Por ello, la capacidad de reacción y recuperación de los servicios del PCT es decisiva en las operaciones de los solicitantes</w:t>
      </w:r>
      <w:r w:rsidR="008E6610" w:rsidRPr="00197A8D">
        <w:rPr>
          <w:szCs w:val="22"/>
          <w:lang w:val="es"/>
        </w:rPr>
        <w:t xml:space="preserve"> PCT </w:t>
      </w:r>
      <w:r w:rsidRPr="00197A8D">
        <w:rPr>
          <w:szCs w:val="22"/>
          <w:lang w:val="es"/>
        </w:rPr>
        <w:t>y las Oficinas.  Las interrupciones en los servicios pueden comportar retrasos para la OMPI y para sus clientes, que también pueden perder derechos.  Si son de media o gran escala, esas interrupciones pueden perjudicar la reputación de la OMPI y los ingresos percibidos.  Las organizaciones avanzan en su digitalización y con ello se hace indispensable asegurar la continuidad de los servicios para mantener la confianza de los usuarios del PCT y atraer a nuevos clientes.</w:t>
      </w:r>
    </w:p>
    <w:p w:rsidR="009A460D" w:rsidRPr="00197A8D" w:rsidRDefault="009A460D" w:rsidP="009A460D">
      <w:pPr>
        <w:tabs>
          <w:tab w:val="left" w:pos="2160"/>
        </w:tabs>
        <w:rPr>
          <w:szCs w:val="22"/>
        </w:rPr>
      </w:pPr>
      <w:r w:rsidRPr="00197A8D">
        <w:rPr>
          <w:szCs w:val="22"/>
          <w:lang w:val="es"/>
        </w:rPr>
        <w:t xml:space="preserve">  </w:t>
      </w:r>
    </w:p>
    <w:p w:rsidR="009A460D" w:rsidRPr="00197A8D" w:rsidRDefault="009A460D" w:rsidP="009A460D">
      <w:pPr>
        <w:rPr>
          <w:szCs w:val="22"/>
        </w:rPr>
      </w:pPr>
      <w:r w:rsidRPr="00197A8D">
        <w:rPr>
          <w:szCs w:val="22"/>
          <w:lang w:val="es"/>
        </w:rPr>
        <w:t>En la actualidad, los servicios centrales de la infraestructura del PCT son compartidos con otros servicios de la OMPI.  Toda amenaza potencial que afecte a la OMPI (ataques cibernéticos, desastres naturales, fallos técnicos de envergadura) puede, por</w:t>
      </w:r>
      <w:r w:rsidR="008E6610" w:rsidRPr="00197A8D">
        <w:rPr>
          <w:szCs w:val="22"/>
          <w:lang w:val="es"/>
        </w:rPr>
        <w:t xml:space="preserve"> lo</w:t>
      </w:r>
      <w:r w:rsidRPr="00197A8D">
        <w:rPr>
          <w:szCs w:val="22"/>
          <w:lang w:val="es"/>
        </w:rPr>
        <w:t xml:space="preserve"> tanto, tener consecuencias en el PCT.</w:t>
      </w:r>
    </w:p>
    <w:p w:rsidR="009A460D" w:rsidRPr="00197A8D" w:rsidRDefault="009A460D" w:rsidP="009A460D">
      <w:pPr>
        <w:rPr>
          <w:szCs w:val="22"/>
        </w:rPr>
      </w:pPr>
    </w:p>
    <w:p w:rsidR="009A460D" w:rsidRPr="00197A8D" w:rsidRDefault="009A460D" w:rsidP="009A460D">
      <w:pPr>
        <w:rPr>
          <w:szCs w:val="22"/>
        </w:rPr>
      </w:pPr>
      <w:r w:rsidRPr="00197A8D">
        <w:rPr>
          <w:szCs w:val="22"/>
          <w:lang w:val="es"/>
        </w:rPr>
        <w:t>Para poder reaccionar con agilidad y mantener la eficacia a la vez que se asegura el más alto nivel de seguridad, la OMPI necesita cerciorarse de su capacidad de respuesta en sus comunicaciones con los Estados miembros, los clientes y las partes interesadas.  Ello supone:</w:t>
      </w:r>
    </w:p>
    <w:p w:rsidR="009A460D" w:rsidRPr="00197A8D" w:rsidRDefault="009A460D" w:rsidP="009A460D">
      <w:pPr>
        <w:rPr>
          <w:szCs w:val="22"/>
        </w:rPr>
      </w:pPr>
    </w:p>
    <w:p w:rsidR="009A460D" w:rsidRPr="00197A8D" w:rsidRDefault="009A460D" w:rsidP="009A460D">
      <w:pPr>
        <w:pStyle w:val="ListParagraph"/>
        <w:numPr>
          <w:ilvl w:val="1"/>
          <w:numId w:val="16"/>
        </w:numPr>
        <w:ind w:left="1701" w:hanging="567"/>
        <w:rPr>
          <w:szCs w:val="22"/>
        </w:rPr>
      </w:pPr>
      <w:r w:rsidRPr="00197A8D">
        <w:rPr>
          <w:szCs w:val="22"/>
          <w:lang w:val="es"/>
        </w:rPr>
        <w:t>afianzar la seguridad de los sistemas que almacenan y procesan datos confidenciales críticos sobre el PCT en la OMPI;</w:t>
      </w:r>
    </w:p>
    <w:p w:rsidR="009A460D" w:rsidRPr="00197A8D" w:rsidRDefault="009A460D" w:rsidP="009A460D">
      <w:pPr>
        <w:pStyle w:val="ListParagraph"/>
        <w:numPr>
          <w:ilvl w:val="1"/>
          <w:numId w:val="16"/>
        </w:numPr>
        <w:ind w:left="1701" w:hanging="567"/>
        <w:rPr>
          <w:szCs w:val="22"/>
          <w:lang w:val="es"/>
        </w:rPr>
      </w:pPr>
      <w:r w:rsidRPr="00197A8D">
        <w:rPr>
          <w:szCs w:val="22"/>
          <w:lang w:val="es"/>
        </w:rPr>
        <w:t>aumentar la disponibilidad y capacidad de reacción y recuperación de los procesos de trabajo del PCT y de los sistemas correspondientes;</w:t>
      </w:r>
    </w:p>
    <w:p w:rsidR="009A460D" w:rsidRPr="00197A8D" w:rsidRDefault="009A460D" w:rsidP="009A460D">
      <w:pPr>
        <w:pStyle w:val="ListParagraph"/>
        <w:numPr>
          <w:ilvl w:val="1"/>
          <w:numId w:val="16"/>
        </w:numPr>
        <w:ind w:left="1701" w:hanging="567"/>
        <w:rPr>
          <w:szCs w:val="22"/>
          <w:lang w:val="es"/>
        </w:rPr>
      </w:pPr>
      <w:r w:rsidRPr="00197A8D">
        <w:rPr>
          <w:szCs w:val="22"/>
          <w:lang w:val="es"/>
        </w:rPr>
        <w:t>mejorar la identificación, clasificación y protección de los datos;  y</w:t>
      </w:r>
    </w:p>
    <w:p w:rsidR="009A460D" w:rsidRPr="00197A8D" w:rsidRDefault="009A460D" w:rsidP="009A460D">
      <w:pPr>
        <w:pStyle w:val="ListParagraph"/>
        <w:numPr>
          <w:ilvl w:val="1"/>
          <w:numId w:val="16"/>
        </w:numPr>
        <w:ind w:left="1701" w:hanging="567"/>
        <w:rPr>
          <w:szCs w:val="22"/>
          <w:lang w:val="es"/>
        </w:rPr>
      </w:pPr>
      <w:r w:rsidRPr="00197A8D">
        <w:rPr>
          <w:szCs w:val="22"/>
          <w:lang w:val="es"/>
        </w:rPr>
        <w:t>mejorar la agilidad y uniformidad de los sistemas internos del PCT.</w:t>
      </w:r>
    </w:p>
    <w:p w:rsidR="009A460D" w:rsidRPr="00197A8D" w:rsidRDefault="009A460D" w:rsidP="009A460D">
      <w:pPr>
        <w:rPr>
          <w:szCs w:val="22"/>
        </w:rPr>
      </w:pPr>
    </w:p>
    <w:p w:rsidR="009A460D" w:rsidRPr="00197A8D" w:rsidRDefault="009A460D" w:rsidP="009A460D">
      <w:pPr>
        <w:rPr>
          <w:szCs w:val="22"/>
        </w:rPr>
      </w:pPr>
      <w:r w:rsidRPr="00197A8D">
        <w:rPr>
          <w:szCs w:val="22"/>
          <w:lang w:val="es"/>
        </w:rPr>
        <w:t>Los beneficios previstos de la plataforma segura con capacidad de reacción y recuperación permitirán que el PCT:</w:t>
      </w:r>
    </w:p>
    <w:p w:rsidR="009A460D" w:rsidRPr="00197A8D" w:rsidRDefault="009A460D" w:rsidP="009A460D">
      <w:pPr>
        <w:rPr>
          <w:szCs w:val="22"/>
        </w:rPr>
      </w:pPr>
      <w:r w:rsidRPr="00197A8D">
        <w:rPr>
          <w:szCs w:val="22"/>
          <w:lang w:val="es"/>
        </w:rPr>
        <w:t xml:space="preserve"> </w:t>
      </w:r>
    </w:p>
    <w:p w:rsidR="009A460D" w:rsidRPr="00197A8D" w:rsidRDefault="009A460D" w:rsidP="009F11FD">
      <w:pPr>
        <w:pStyle w:val="ListParagraph"/>
        <w:numPr>
          <w:ilvl w:val="0"/>
          <w:numId w:val="17"/>
        </w:numPr>
        <w:ind w:left="1134" w:hanging="567"/>
        <w:rPr>
          <w:szCs w:val="22"/>
        </w:rPr>
      </w:pPr>
      <w:r w:rsidRPr="00197A8D">
        <w:rPr>
          <w:szCs w:val="22"/>
          <w:lang w:val="es"/>
        </w:rPr>
        <w:t>asegure la identificación y protección adecuadas de sus datos centrales ante las amenazas contra su seguridad, en especial los ciberataques, y</w:t>
      </w:r>
    </w:p>
    <w:p w:rsidR="009A460D" w:rsidRPr="00197A8D" w:rsidRDefault="009A460D" w:rsidP="009F11FD">
      <w:pPr>
        <w:pStyle w:val="ListParagraph"/>
        <w:numPr>
          <w:ilvl w:val="0"/>
          <w:numId w:val="17"/>
        </w:numPr>
        <w:ind w:left="1134" w:hanging="567"/>
        <w:rPr>
          <w:szCs w:val="22"/>
        </w:rPr>
      </w:pPr>
      <w:r w:rsidRPr="00197A8D">
        <w:rPr>
          <w:szCs w:val="22"/>
          <w:lang w:val="es"/>
        </w:rPr>
        <w:t>aumente la disponibilidad de los servicios y su continuidad, así como la capacidad de reacción y recuperación en caso de problemas técnicos o desastres de gran magnitud.</w:t>
      </w:r>
    </w:p>
    <w:p w:rsidR="009A460D" w:rsidRPr="00197A8D" w:rsidRDefault="009A460D" w:rsidP="009A460D">
      <w:pPr>
        <w:pStyle w:val="ListParagraph"/>
        <w:rPr>
          <w:szCs w:val="22"/>
        </w:rPr>
      </w:pPr>
    </w:p>
    <w:p w:rsidR="009A460D" w:rsidRPr="00197A8D" w:rsidRDefault="009A460D" w:rsidP="009A460D">
      <w:pPr>
        <w:rPr>
          <w:szCs w:val="22"/>
        </w:rPr>
      </w:pPr>
      <w:r w:rsidRPr="00197A8D">
        <w:rPr>
          <w:szCs w:val="22"/>
          <w:lang w:val="es"/>
        </w:rPr>
        <w:t>La plataforma segura con capacidad de reacción y recuperación propone tratar los datos de producción del PCT con criterios de "nivel superior", separando la información y los sistemas de información del PCT (teniendo en cuenta, en lo posible, las limitaciones de las aplicaciones para clientes externos, como el ePCT) del resto de la red de la OMPI.  La red de confidencialidad superior estará protegida con una separación de alta seguridad y las conexiones a otros entornos del PCT (pruebas, desarrollo) estarán estrictamente controladas.</w:t>
      </w:r>
    </w:p>
    <w:p w:rsidR="009A460D" w:rsidRPr="00197A8D" w:rsidRDefault="009A460D" w:rsidP="009A460D">
      <w:pPr>
        <w:rPr>
          <w:i/>
        </w:rPr>
      </w:pPr>
    </w:p>
    <w:p w:rsidR="009A460D" w:rsidRPr="00197A8D" w:rsidRDefault="009A460D" w:rsidP="009A460D">
      <w:pPr>
        <w:rPr>
          <w:i/>
        </w:rPr>
      </w:pPr>
    </w:p>
    <w:p w:rsidR="009A460D" w:rsidRPr="00197A8D" w:rsidRDefault="009A460D" w:rsidP="009A460D">
      <w:pPr>
        <w:keepNext/>
        <w:rPr>
          <w:i/>
          <w:szCs w:val="22"/>
        </w:rPr>
      </w:pPr>
      <w:r w:rsidRPr="00197A8D">
        <w:rPr>
          <w:i/>
          <w:iCs/>
          <w:szCs w:val="22"/>
          <w:lang w:val="es"/>
        </w:rPr>
        <w:t xml:space="preserve">Ejecución del proyecto </w:t>
      </w:r>
    </w:p>
    <w:p w:rsidR="009A460D" w:rsidRPr="00197A8D" w:rsidRDefault="009A460D" w:rsidP="009A460D">
      <w:pPr>
        <w:rPr>
          <w:szCs w:val="22"/>
        </w:rPr>
      </w:pPr>
    </w:p>
    <w:p w:rsidR="00822607" w:rsidRPr="00197A8D" w:rsidRDefault="009A460D" w:rsidP="009A460D">
      <w:pPr>
        <w:rPr>
          <w:szCs w:val="22"/>
          <w:lang w:val="es"/>
        </w:rPr>
      </w:pPr>
      <w:r w:rsidRPr="00197A8D">
        <w:rPr>
          <w:szCs w:val="22"/>
          <w:lang w:val="es"/>
        </w:rPr>
        <w:t>La fase I del proyecto tiene por objeto crear un primer centro de datos que reemplace al actual centro de datos primarios en el bieni</w:t>
      </w:r>
      <w:r w:rsidR="00197A8D" w:rsidRPr="00197A8D">
        <w:rPr>
          <w:szCs w:val="22"/>
          <w:lang w:val="es"/>
        </w:rPr>
        <w:t>o 2</w:t>
      </w:r>
      <w:r w:rsidRPr="00197A8D">
        <w:rPr>
          <w:szCs w:val="22"/>
          <w:lang w:val="es"/>
        </w:rPr>
        <w:t>018-2019.  Comprenderá un proyecto de diseño para la arquitectura de la aplicación, un proyecto de acceso de usuario y un proyecto de revisión de la arquitectura de datos</w:t>
      </w:r>
      <w:r w:rsidR="00822607" w:rsidRPr="00197A8D">
        <w:rPr>
          <w:szCs w:val="22"/>
          <w:lang w:val="es"/>
        </w:rPr>
        <w:t>.</w:t>
      </w:r>
    </w:p>
    <w:p w:rsidR="009A460D" w:rsidRPr="00197A8D" w:rsidRDefault="009A460D" w:rsidP="009A460D">
      <w:pPr>
        <w:pStyle w:val="ListParagraph"/>
        <w:rPr>
          <w:szCs w:val="22"/>
        </w:rPr>
      </w:pPr>
    </w:p>
    <w:p w:rsidR="00822607" w:rsidRPr="00197A8D" w:rsidRDefault="009A460D" w:rsidP="009A460D">
      <w:pPr>
        <w:rPr>
          <w:lang w:val="es"/>
        </w:rPr>
      </w:pPr>
      <w:r w:rsidRPr="00197A8D">
        <w:rPr>
          <w:lang w:val="es"/>
        </w:rPr>
        <w:t>Además de la separación prevista, se estudiarán las repercusiones de la Plataforma Mundial de P.I. en el sistema ePCT para determinar cuál sería la solución óptima para la integración técnica de ambas plataformas</w:t>
      </w:r>
      <w:r w:rsidR="00822607" w:rsidRPr="00197A8D">
        <w:rPr>
          <w:lang w:val="es"/>
        </w:rPr>
        <w:t>.</w:t>
      </w:r>
    </w:p>
    <w:p w:rsidR="009A460D" w:rsidRPr="00197A8D" w:rsidRDefault="009A460D" w:rsidP="009A460D"/>
    <w:p w:rsidR="009A460D" w:rsidRPr="00197A8D" w:rsidRDefault="009A460D" w:rsidP="009A460D">
      <w:pPr>
        <w:rPr>
          <w:i/>
        </w:rPr>
      </w:pPr>
      <w:r w:rsidRPr="00197A8D">
        <w:rPr>
          <w:i/>
          <w:iCs/>
          <w:lang w:val="es"/>
        </w:rPr>
        <w:t>Factores determinantes</w:t>
      </w:r>
    </w:p>
    <w:p w:rsidR="009A460D" w:rsidRPr="00197A8D" w:rsidRDefault="009A460D" w:rsidP="009A460D"/>
    <w:p w:rsidR="00822607" w:rsidRPr="00197A8D" w:rsidRDefault="009A460D" w:rsidP="009A460D">
      <w:pPr>
        <w:rPr>
          <w:lang w:val="es"/>
        </w:rPr>
      </w:pPr>
      <w:r w:rsidRPr="00197A8D">
        <w:rPr>
          <w:i/>
          <w:iCs/>
          <w:lang w:val="es"/>
        </w:rPr>
        <w:t>Aseguramiento de la información, seguridad y vigilancia</w:t>
      </w:r>
      <w:proofErr w:type="gramStart"/>
      <w:r w:rsidRPr="00197A8D">
        <w:rPr>
          <w:lang w:val="es"/>
        </w:rPr>
        <w:t>:  El</w:t>
      </w:r>
      <w:proofErr w:type="gramEnd"/>
      <w:r w:rsidRPr="00197A8D">
        <w:rPr>
          <w:lang w:val="es"/>
        </w:rPr>
        <w:t xml:space="preserve"> riesgo de ciberataques aumenta constantemente, lo que debe combatirse para que la Organización continúe funcionando y manteniendo la confianza de los usuarios de los servicios del PCT</w:t>
      </w:r>
      <w:r w:rsidR="00822607" w:rsidRPr="00197A8D">
        <w:rPr>
          <w:lang w:val="es"/>
        </w:rPr>
        <w:t>.</w:t>
      </w:r>
    </w:p>
    <w:p w:rsidR="009A460D" w:rsidRPr="00197A8D" w:rsidRDefault="009A460D" w:rsidP="009A460D"/>
    <w:p w:rsidR="009A460D" w:rsidRPr="00197A8D" w:rsidRDefault="009A460D" w:rsidP="009A460D">
      <w:r w:rsidRPr="00197A8D">
        <w:rPr>
          <w:i/>
          <w:iCs/>
          <w:lang w:val="es"/>
        </w:rPr>
        <w:t>Necesidades específicas</w:t>
      </w:r>
      <w:proofErr w:type="gramStart"/>
      <w:r w:rsidRPr="00197A8D">
        <w:rPr>
          <w:lang w:val="es"/>
        </w:rPr>
        <w:t>:  La</w:t>
      </w:r>
      <w:proofErr w:type="gramEnd"/>
      <w:r w:rsidRPr="00197A8D">
        <w:rPr>
          <w:lang w:val="es"/>
        </w:rPr>
        <w:t xml:space="preserve"> OMPI depende de la seguridad y la vigilancia para mantener la confidencialidad de los datos que gestiona en el marco del PCT.  Las consecuencias de que pudieran manipularse los datos desde fuera de la Organización podrían ser catastróficas, perjudicar la reputación de la OMPI y comportar una reducción de ingresos.</w:t>
      </w:r>
    </w:p>
    <w:p w:rsidR="009A460D" w:rsidRPr="00197A8D" w:rsidRDefault="009A460D" w:rsidP="009A460D"/>
    <w:p w:rsidR="009A460D" w:rsidRPr="00197A8D" w:rsidRDefault="009A460D" w:rsidP="009A460D">
      <w:r w:rsidRPr="00197A8D">
        <w:rPr>
          <w:lang w:val="es"/>
        </w:rPr>
        <w:t>El proyecto cumple los requisitos del principi</w:t>
      </w:r>
      <w:r w:rsidR="00197A8D" w:rsidRPr="00197A8D">
        <w:rPr>
          <w:lang w:val="es"/>
        </w:rPr>
        <w:t>o 3</w:t>
      </w:r>
      <w:r w:rsidRPr="00197A8D">
        <w:rPr>
          <w:lang w:val="es"/>
        </w:rPr>
        <w:t xml:space="preserve"> de la política de reservas revisada como proyecto extraordinario de inversión no recurrente por su tamaño y alcance.</w:t>
      </w:r>
    </w:p>
    <w:p w:rsidR="009A460D" w:rsidRPr="00197A8D" w:rsidRDefault="009A460D" w:rsidP="009A460D"/>
    <w:p w:rsidR="009A460D" w:rsidRPr="00197A8D" w:rsidRDefault="009A460D" w:rsidP="009A460D"/>
    <w:p w:rsidR="009A460D" w:rsidRPr="00197A8D" w:rsidRDefault="009A460D" w:rsidP="009A460D">
      <w:pPr>
        <w:rPr>
          <w:i/>
          <w:szCs w:val="22"/>
        </w:rPr>
      </w:pPr>
      <w:r w:rsidRPr="00197A8D">
        <w:rPr>
          <w:i/>
          <w:iCs/>
          <w:szCs w:val="22"/>
          <w:lang w:val="es"/>
        </w:rPr>
        <w:t>Estimación de costos periódicos de funcionamiento</w:t>
      </w:r>
    </w:p>
    <w:p w:rsidR="009A460D" w:rsidRPr="00197A8D" w:rsidRDefault="009A460D" w:rsidP="009A460D"/>
    <w:p w:rsidR="009A460D" w:rsidRPr="00197A8D" w:rsidRDefault="009A460D" w:rsidP="009A460D">
      <w:pPr>
        <w:rPr>
          <w:szCs w:val="22"/>
        </w:rPr>
      </w:pPr>
      <w:r w:rsidRPr="00197A8D">
        <w:rPr>
          <w:szCs w:val="22"/>
          <w:lang w:val="es"/>
        </w:rPr>
        <w:t>Los costos periódicos derivados del mantenimiento y el funcionamiento del centro de datos se incluirán en las propuestas de presupuesto por programas como parte del presupuesto ordinario.  Se estima que los costos periódicos tras la finalización de la fase I serán d</w:t>
      </w:r>
      <w:r w:rsidR="00197A8D" w:rsidRPr="00197A8D">
        <w:rPr>
          <w:szCs w:val="22"/>
          <w:lang w:val="es"/>
        </w:rPr>
        <w:t>e 4</w:t>
      </w:r>
      <w:r w:rsidRPr="00197A8D">
        <w:rPr>
          <w:szCs w:val="22"/>
          <w:lang w:val="es"/>
        </w:rPr>
        <w:t>,06 millones de francos suizos anuales.</w:t>
      </w:r>
    </w:p>
    <w:p w:rsidR="009A460D" w:rsidRPr="00197A8D" w:rsidRDefault="009A460D" w:rsidP="009A460D">
      <w:pPr>
        <w:rPr>
          <w:szCs w:val="22"/>
        </w:rPr>
      </w:pPr>
    </w:p>
    <w:p w:rsidR="009A460D" w:rsidRPr="00197A8D" w:rsidRDefault="009A460D" w:rsidP="009A460D"/>
    <w:p w:rsidR="009A460D" w:rsidRPr="00197A8D" w:rsidRDefault="009A460D" w:rsidP="009A460D"/>
    <w:p w:rsidR="00A06E57" w:rsidRPr="00197A8D" w:rsidRDefault="009A460D" w:rsidP="009A460D">
      <w:pPr>
        <w:pStyle w:val="Endofdocument-Annex"/>
        <w:rPr>
          <w:strike/>
        </w:rPr>
      </w:pPr>
      <w:r w:rsidRPr="00197A8D">
        <w:t>[Sigue el Anexo IV]</w:t>
      </w:r>
    </w:p>
    <w:p w:rsidR="00A06E57" w:rsidRPr="00197A8D" w:rsidRDefault="00A06E57" w:rsidP="002E02E7">
      <w:pPr>
        <w:rPr>
          <w:strike/>
          <w:lang w:val="en-US"/>
        </w:rPr>
      </w:pPr>
    </w:p>
    <w:p w:rsidR="00A06E57" w:rsidRPr="00197A8D" w:rsidRDefault="00A06E57" w:rsidP="002E02E7">
      <w:pPr>
        <w:rPr>
          <w:strike/>
          <w:lang w:val="en-US"/>
        </w:rPr>
        <w:sectPr w:rsidR="00A06E57" w:rsidRPr="00197A8D" w:rsidSect="002E02E7">
          <w:headerReference w:type="default" r:id="rId18"/>
          <w:headerReference w:type="first" r:id="rId19"/>
          <w:pgSz w:w="11907" w:h="16840" w:code="9"/>
          <w:pgMar w:top="567" w:right="1134" w:bottom="1418" w:left="1418" w:header="510" w:footer="1021" w:gutter="0"/>
          <w:pgNumType w:start="1"/>
          <w:cols w:space="720"/>
          <w:titlePg/>
          <w:docGrid w:linePitch="299"/>
        </w:sectPr>
      </w:pPr>
    </w:p>
    <w:p w:rsidR="000C2168" w:rsidRPr="00197A8D" w:rsidRDefault="000C2168" w:rsidP="000C2168">
      <w:pPr>
        <w:pStyle w:val="Heading1"/>
        <w:spacing w:before="0"/>
      </w:pPr>
      <w:r w:rsidRPr="00197A8D">
        <w:rPr>
          <w:lang w:val="es"/>
        </w:rPr>
        <w:lastRenderedPageBreak/>
        <w:t>ANEXO IV</w:t>
      </w:r>
      <w:proofErr w:type="gramStart"/>
      <w:r w:rsidRPr="00197A8D">
        <w:rPr>
          <w:lang w:val="es"/>
        </w:rPr>
        <w:t>:  PLATAFORMA</w:t>
      </w:r>
      <w:proofErr w:type="gramEnd"/>
      <w:r w:rsidRPr="00197A8D">
        <w:rPr>
          <w:lang w:val="es"/>
        </w:rPr>
        <w:t xml:space="preserve"> DE T.I.  DEL SISTEMA DE MADRID</w:t>
      </w:r>
    </w:p>
    <w:p w:rsidR="000C2168" w:rsidRPr="00197A8D" w:rsidRDefault="000C2168" w:rsidP="000C2168"/>
    <w:p w:rsidR="000C2168" w:rsidRPr="00197A8D" w:rsidRDefault="000C2168" w:rsidP="000C2168">
      <w:pPr>
        <w:rPr>
          <w:i/>
        </w:rPr>
      </w:pPr>
      <w:r w:rsidRPr="00197A8D">
        <w:rPr>
          <w:i/>
          <w:iCs/>
          <w:lang w:val="es"/>
        </w:rPr>
        <w:t>Objetivos del proyecto y beneficios previstos</w:t>
      </w:r>
    </w:p>
    <w:p w:rsidR="000C2168" w:rsidRPr="00197A8D" w:rsidRDefault="000C2168" w:rsidP="000C2168"/>
    <w:p w:rsidR="00822607" w:rsidRPr="00197A8D" w:rsidRDefault="000C2168" w:rsidP="000C2168">
      <w:pPr>
        <w:rPr>
          <w:lang w:val="es"/>
        </w:rPr>
      </w:pPr>
      <w:r w:rsidRPr="00197A8D">
        <w:rPr>
          <w:lang w:val="es"/>
        </w:rPr>
        <w:t>El programa de modernización de la T.I. del Sistema de Madrid finalizó e</w:t>
      </w:r>
      <w:r w:rsidR="00197A8D" w:rsidRPr="00197A8D">
        <w:rPr>
          <w:lang w:val="es"/>
        </w:rPr>
        <w:t>n 2</w:t>
      </w:r>
      <w:r w:rsidRPr="00197A8D">
        <w:rPr>
          <w:lang w:val="es"/>
        </w:rPr>
        <w:t>016, tras lograr migrar los sistemas de T.I., que funcionaban con criterios desfasados de los años noventa, a una tecnología más moderna que incorporaba funciones con las que se hicieron posibles algunas transacciones electrónicas.  No obstante, ese sistema de T.I. sigue basado en procesos y prácticas administrativas que han evolucionado a lo largo de la dilatada trayectoria del Registro de Madrid, puesto que no se diseñó específicamente para aprovechar las posibilidades de las soluciones tecnológicas más avanzadas.  Por ello resulta apremiante realizar un salto tecnológico que permita optimizar los procesos y aportar eficacia, capacidad de reacción y recuperación, flexibilidad y una orientación hacia los clientes</w:t>
      </w:r>
      <w:r w:rsidR="00822607" w:rsidRPr="00197A8D">
        <w:rPr>
          <w:lang w:val="es"/>
        </w:rPr>
        <w:t>.</w:t>
      </w:r>
    </w:p>
    <w:p w:rsidR="000C2168" w:rsidRPr="00197A8D" w:rsidRDefault="000C2168" w:rsidP="000C2168"/>
    <w:p w:rsidR="000C2168" w:rsidRPr="00197A8D" w:rsidRDefault="000C2168" w:rsidP="000C2168">
      <w:r w:rsidRPr="00197A8D">
        <w:rPr>
          <w:lang w:val="es"/>
        </w:rPr>
        <w:t>El objetivo del proyecto de la plataforma de T.I. del Sistema de Madrid es diseñar, planificar y ejecutar los componentes centrales de una solución integral, de última generación y ágil para todos los servicios del Sistema de Madrid.  Además, se prevé preparar la futura integración del Sistema de Madrid en la Plataforma Mundial de P.I. mediante la adopción de una arquitectura, una apariencia y una percepción comunes, siempre que sea posible, y aumentar la eficacia a través de la prestación de herramientas compartidas en ámbitos como la gestión de la identidad, la seguridad y la administración financiera.  Se espera asimismo que, a su conclusión, el proyecto contribuya a la alineación entre los sistemas T.I.C. de las Oficinas nacionales y la Oficina Internacional, mejorando así la calidad en el intercambio de los datos y reduciendo al mínimo la intervención manual.</w:t>
      </w:r>
    </w:p>
    <w:p w:rsidR="000C2168" w:rsidRPr="00197A8D" w:rsidRDefault="000C2168" w:rsidP="000C2168"/>
    <w:p w:rsidR="000C2168" w:rsidRPr="00197A8D" w:rsidRDefault="000C2168" w:rsidP="000C2168">
      <w:r w:rsidRPr="00197A8D">
        <w:rPr>
          <w:lang w:val="es"/>
        </w:rPr>
        <w:t>Se prevé que la plataforma de T.I. del Sistema de Madrid constituya un nexo con capacidad de reacción y recuperación que centralice el registro internacional de marcas y la interacción entre la Oficina Internacional y las Oficinas nacionales de los miembros del Sistema de Madrid.  Con ello, la plataforma de T.I. del Sistema de Madrid proporcionaría a largo plazo los beneficios siguientes:</w:t>
      </w:r>
    </w:p>
    <w:p w:rsidR="000C2168" w:rsidRPr="00197A8D" w:rsidRDefault="000C2168" w:rsidP="000C2168"/>
    <w:p w:rsidR="000C2168" w:rsidRPr="00197A8D" w:rsidRDefault="000C2168" w:rsidP="00EC6346">
      <w:pPr>
        <w:pStyle w:val="ListParagraph"/>
        <w:numPr>
          <w:ilvl w:val="0"/>
          <w:numId w:val="20"/>
        </w:numPr>
        <w:ind w:left="1134" w:hanging="567"/>
      </w:pPr>
      <w:r w:rsidRPr="00197A8D">
        <w:rPr>
          <w:lang w:val="es"/>
        </w:rPr>
        <w:t>los solicitantes y titulares de registros internacionales, las Partes Contratantes de las Oficinas y la Oficina Internacional dispondrían de un acceso simultáneo a tiempo real a toda la información y datos relativos a las solicitudes y a los registros internacionales;</w:t>
      </w:r>
    </w:p>
    <w:p w:rsidR="000C2168" w:rsidRPr="00197A8D" w:rsidRDefault="000C2168" w:rsidP="00EC6346">
      <w:pPr>
        <w:pStyle w:val="ListParagraph"/>
        <w:ind w:left="1134" w:hanging="567"/>
      </w:pPr>
    </w:p>
    <w:p w:rsidR="000C2168" w:rsidRPr="00197A8D" w:rsidRDefault="000C2168" w:rsidP="00EC6346">
      <w:pPr>
        <w:pStyle w:val="ListParagraph"/>
        <w:numPr>
          <w:ilvl w:val="0"/>
          <w:numId w:val="20"/>
        </w:numPr>
        <w:ind w:left="1134" w:hanging="567"/>
      </w:pPr>
      <w:r w:rsidRPr="00197A8D">
        <w:rPr>
          <w:lang w:val="es"/>
        </w:rPr>
        <w:t>al mejorar la precisión, la calidad y la verificabilidad de los productos de información y al reducir la necesidad de intervención de los examinadores del Sistema de Madrid, se eliminarían las incertidumbres vinculadas a la transmisión o el procesamiento manuales de los datos que intercambian los solicitantes y titulares, las oficinas de las Partes Contratantes y la Oficina Internacional;</w:t>
      </w:r>
    </w:p>
    <w:p w:rsidR="00EC6346" w:rsidRPr="00197A8D" w:rsidRDefault="00EC6346" w:rsidP="00EC6346">
      <w:pPr>
        <w:pStyle w:val="ListParagraph"/>
        <w:ind w:left="1134" w:hanging="567"/>
      </w:pPr>
    </w:p>
    <w:p w:rsidR="000C2168" w:rsidRPr="00197A8D" w:rsidRDefault="000C2168" w:rsidP="00EC6346">
      <w:pPr>
        <w:pStyle w:val="NormalWeb"/>
        <w:numPr>
          <w:ilvl w:val="0"/>
          <w:numId w:val="20"/>
        </w:numPr>
        <w:ind w:left="1134" w:hanging="567"/>
        <w:rPr>
          <w:rFonts w:ascii="Arial" w:hAnsi="Arial" w:cs="Arial"/>
        </w:rPr>
      </w:pPr>
      <w:r w:rsidRPr="00197A8D">
        <w:rPr>
          <w:rFonts w:ascii="Arial" w:hAnsi="Arial"/>
          <w:sz w:val="22"/>
          <w:szCs w:val="20"/>
          <w:lang w:val="es"/>
        </w:rPr>
        <w:t>un sistema de notificación práctico, coherente y moderno mantendría a los usuarios informados sobre los avances en materia de marcas y reduciría el volumen de las comunicaciones impresas;</w:t>
      </w:r>
    </w:p>
    <w:p w:rsidR="00EC6346" w:rsidRPr="00197A8D" w:rsidRDefault="00EC6346" w:rsidP="00EC6346">
      <w:pPr>
        <w:pStyle w:val="NormalWeb"/>
        <w:ind w:left="1134" w:hanging="567"/>
        <w:rPr>
          <w:rFonts w:ascii="Arial" w:hAnsi="Arial" w:cs="Arial"/>
        </w:rPr>
      </w:pPr>
    </w:p>
    <w:p w:rsidR="000C2168" w:rsidRPr="00197A8D" w:rsidRDefault="000C2168" w:rsidP="00EC6346">
      <w:pPr>
        <w:pStyle w:val="ListParagraph"/>
        <w:numPr>
          <w:ilvl w:val="0"/>
          <w:numId w:val="20"/>
        </w:numPr>
        <w:ind w:left="1134" w:hanging="567"/>
      </w:pPr>
      <w:r w:rsidRPr="00197A8D">
        <w:rPr>
          <w:lang w:val="es"/>
        </w:rPr>
        <w:t>se ofrecería una plataforma de acceso al portal eMadrid de herramientas electrónicas con la que los clientes obtendrían apoyo a lo largo de todo el ciclo de vida de su marca;  y</w:t>
      </w:r>
    </w:p>
    <w:p w:rsidR="00EC6346" w:rsidRPr="00197A8D" w:rsidRDefault="00EC6346" w:rsidP="00EC6346">
      <w:pPr>
        <w:pStyle w:val="ListParagraph"/>
        <w:ind w:left="1134" w:hanging="567"/>
      </w:pPr>
    </w:p>
    <w:p w:rsidR="000C2168" w:rsidRPr="00197A8D" w:rsidRDefault="000C2168" w:rsidP="00EC6346">
      <w:pPr>
        <w:pStyle w:val="ListParagraph"/>
        <w:numPr>
          <w:ilvl w:val="0"/>
          <w:numId w:val="20"/>
        </w:numPr>
        <w:ind w:left="1134" w:hanging="567"/>
      </w:pPr>
      <w:r w:rsidRPr="00197A8D">
        <w:rPr>
          <w:lang w:val="es"/>
        </w:rPr>
        <w:t>se crearía un Sistema de Madrid racional y con capacidad de reacción y recuperación en el que la orientación al cliente sería el principal factor determinante, con la adaptación, en caso necesario, del marco jurídico y de las prácticas.</w:t>
      </w:r>
    </w:p>
    <w:p w:rsidR="000C2168" w:rsidRPr="00197A8D" w:rsidRDefault="000C2168" w:rsidP="00EC6346">
      <w:pPr>
        <w:ind w:left="1134" w:hanging="567"/>
      </w:pPr>
    </w:p>
    <w:p w:rsidR="000C2168" w:rsidRPr="00197A8D" w:rsidRDefault="000C2168" w:rsidP="000C2168"/>
    <w:p w:rsidR="000C2168" w:rsidRPr="00197A8D" w:rsidRDefault="000C2168" w:rsidP="000C2168">
      <w:pPr>
        <w:keepNext/>
        <w:rPr>
          <w:i/>
        </w:rPr>
      </w:pPr>
      <w:r w:rsidRPr="00197A8D">
        <w:rPr>
          <w:i/>
          <w:iCs/>
          <w:lang w:val="es"/>
        </w:rPr>
        <w:lastRenderedPageBreak/>
        <w:t>Ejecución del proyecto</w:t>
      </w:r>
    </w:p>
    <w:p w:rsidR="000C2168" w:rsidRPr="00197A8D" w:rsidRDefault="000C2168" w:rsidP="000C2168">
      <w:pPr>
        <w:keepNext/>
      </w:pPr>
    </w:p>
    <w:p w:rsidR="00822607" w:rsidRPr="00197A8D" w:rsidRDefault="000C2168" w:rsidP="000C2168">
      <w:pPr>
        <w:keepNext/>
        <w:rPr>
          <w:lang w:val="es"/>
        </w:rPr>
      </w:pPr>
      <w:r w:rsidRPr="00197A8D">
        <w:rPr>
          <w:lang w:val="es"/>
        </w:rPr>
        <w:t>Los componentes centrales de la plataforma de T.I. del sistema en Madrid se ejecutarán por fases en el bieni</w:t>
      </w:r>
      <w:r w:rsidR="00197A8D" w:rsidRPr="00197A8D">
        <w:rPr>
          <w:lang w:val="es"/>
        </w:rPr>
        <w:t>o 2</w:t>
      </w:r>
      <w:r w:rsidRPr="00197A8D">
        <w:rPr>
          <w:lang w:val="es"/>
        </w:rPr>
        <w:t>018-2019, con el análisis de las necesidades, la simplificación de los procesos y el aprovechamiento de las conclusiones extraídas de la nueva plataforma de T</w:t>
      </w:r>
      <w:r w:rsidR="008E6610" w:rsidRPr="00197A8D">
        <w:rPr>
          <w:lang w:val="es"/>
        </w:rPr>
        <w:t>.I. de L</w:t>
      </w:r>
      <w:r w:rsidRPr="00197A8D">
        <w:rPr>
          <w:lang w:val="es"/>
        </w:rPr>
        <w:t>a Haya que se creó en el bieni</w:t>
      </w:r>
      <w:r w:rsidR="00197A8D" w:rsidRPr="00197A8D">
        <w:rPr>
          <w:lang w:val="es"/>
        </w:rPr>
        <w:t>o 2</w:t>
      </w:r>
      <w:r w:rsidRPr="00197A8D">
        <w:rPr>
          <w:lang w:val="es"/>
        </w:rPr>
        <w:t>016-2017</w:t>
      </w:r>
      <w:r w:rsidR="00822607" w:rsidRPr="00197A8D">
        <w:rPr>
          <w:lang w:val="es"/>
        </w:rPr>
        <w:t>.</w:t>
      </w:r>
    </w:p>
    <w:p w:rsidR="000C2168" w:rsidRPr="00197A8D" w:rsidRDefault="000C2168" w:rsidP="000C2168"/>
    <w:p w:rsidR="00EC6346" w:rsidRPr="00197A8D" w:rsidRDefault="00EC6346" w:rsidP="000C2168"/>
    <w:p w:rsidR="000C2168" w:rsidRPr="00197A8D" w:rsidRDefault="000C2168" w:rsidP="000C2168">
      <w:pPr>
        <w:rPr>
          <w:i/>
        </w:rPr>
      </w:pPr>
      <w:r w:rsidRPr="00197A8D">
        <w:rPr>
          <w:i/>
          <w:iCs/>
          <w:lang w:val="es"/>
        </w:rPr>
        <w:t>Factores determinantes</w:t>
      </w:r>
    </w:p>
    <w:p w:rsidR="000C2168" w:rsidRPr="00197A8D" w:rsidRDefault="000C2168" w:rsidP="000C2168">
      <w:pPr>
        <w:rPr>
          <w:i/>
        </w:rPr>
      </w:pPr>
    </w:p>
    <w:p w:rsidR="00822607" w:rsidRPr="00197A8D" w:rsidRDefault="000C2168" w:rsidP="000C2168">
      <w:pPr>
        <w:rPr>
          <w:lang w:val="es"/>
        </w:rPr>
      </w:pPr>
      <w:r w:rsidRPr="00197A8D">
        <w:rPr>
          <w:i/>
          <w:iCs/>
          <w:lang w:val="es"/>
        </w:rPr>
        <w:t>Eficacia en función de los costos</w:t>
      </w:r>
      <w:proofErr w:type="gramStart"/>
      <w:r w:rsidRPr="00197A8D">
        <w:rPr>
          <w:i/>
          <w:iCs/>
          <w:lang w:val="es"/>
        </w:rPr>
        <w:t xml:space="preserve">:  </w:t>
      </w:r>
      <w:r w:rsidRPr="00197A8D">
        <w:rPr>
          <w:lang w:val="es"/>
        </w:rPr>
        <w:t>el</w:t>
      </w:r>
      <w:proofErr w:type="gramEnd"/>
      <w:r w:rsidRPr="00197A8D">
        <w:rPr>
          <w:lang w:val="es"/>
        </w:rPr>
        <w:t xml:space="preserve"> actual sistema se basa esencialmente en un procesamiento manual que implica una dotación de personal considerable en la Oficina Internacional y en las Oficinas nacionales de los miembros del Sistema de Madrid.  El sistema propuesto aprovechará los avances tecnológicos y las oportunidades de automatización</w:t>
      </w:r>
      <w:r w:rsidR="00822607" w:rsidRPr="00197A8D">
        <w:rPr>
          <w:lang w:val="es"/>
        </w:rPr>
        <w:t>.</w:t>
      </w:r>
    </w:p>
    <w:p w:rsidR="000C2168" w:rsidRPr="00197A8D" w:rsidRDefault="000C2168" w:rsidP="000C2168"/>
    <w:p w:rsidR="00822607" w:rsidRPr="00197A8D" w:rsidRDefault="000C2168" w:rsidP="000C2168">
      <w:pPr>
        <w:rPr>
          <w:lang w:val="es"/>
        </w:rPr>
      </w:pPr>
      <w:r w:rsidRPr="00197A8D">
        <w:rPr>
          <w:i/>
          <w:iCs/>
          <w:lang w:val="es"/>
        </w:rPr>
        <w:t>Necesidades específicas</w:t>
      </w:r>
      <w:proofErr w:type="gramStart"/>
      <w:r w:rsidRPr="00197A8D">
        <w:rPr>
          <w:lang w:val="es"/>
        </w:rPr>
        <w:t>:  el</w:t>
      </w:r>
      <w:proofErr w:type="gramEnd"/>
      <w:r w:rsidRPr="00197A8D">
        <w:rPr>
          <w:lang w:val="es"/>
        </w:rPr>
        <w:t xml:space="preserve"> actual sistema de T.I. de Madrid es estable y productivo, pero se basa en procesos y prácticas administrativas que han evolucionado a lo largo de varios años, pero que no se diseñaron específicamente para aprovechar las soluciones tecnológicas más avanzadas.  La modernización resulta esencial para asegurar que la Oficina Internacional puede seguir haciendo frente al crecimiento previsto en el volumen de las solicitudes y la actividad de los registros internacionales</w:t>
      </w:r>
      <w:r w:rsidR="00822607" w:rsidRPr="00197A8D">
        <w:rPr>
          <w:lang w:val="es"/>
        </w:rPr>
        <w:t>.</w:t>
      </w:r>
    </w:p>
    <w:p w:rsidR="000C2168" w:rsidRPr="00197A8D" w:rsidRDefault="000C2168" w:rsidP="000C2168"/>
    <w:p w:rsidR="000C2168" w:rsidRPr="00197A8D" w:rsidRDefault="000C2168" w:rsidP="000C2168">
      <w:r w:rsidRPr="00197A8D">
        <w:rPr>
          <w:lang w:val="es"/>
        </w:rPr>
        <w:t>El proyecto cumple los requisitos del principi</w:t>
      </w:r>
      <w:r w:rsidR="00197A8D" w:rsidRPr="00197A8D">
        <w:rPr>
          <w:lang w:val="es"/>
        </w:rPr>
        <w:t>o 3</w:t>
      </w:r>
      <w:r w:rsidRPr="00197A8D">
        <w:rPr>
          <w:lang w:val="es"/>
        </w:rPr>
        <w:t xml:space="preserve"> de la política de reservas revisada como proyecto extraordinario de inversión no recurrente por su tamaño y alcance.</w:t>
      </w:r>
    </w:p>
    <w:p w:rsidR="000C2168" w:rsidRPr="00197A8D" w:rsidRDefault="000C2168" w:rsidP="000C2168"/>
    <w:p w:rsidR="000C2168" w:rsidRPr="00197A8D" w:rsidRDefault="000C2168" w:rsidP="000C2168"/>
    <w:p w:rsidR="000C2168" w:rsidRPr="00197A8D" w:rsidRDefault="000C2168" w:rsidP="000C2168">
      <w:pPr>
        <w:rPr>
          <w:i/>
          <w:szCs w:val="22"/>
        </w:rPr>
      </w:pPr>
      <w:r w:rsidRPr="00197A8D">
        <w:rPr>
          <w:i/>
          <w:iCs/>
          <w:szCs w:val="22"/>
          <w:lang w:val="es"/>
        </w:rPr>
        <w:t>Estimación de costos periódicos de funcionamiento</w:t>
      </w:r>
    </w:p>
    <w:p w:rsidR="000C2168" w:rsidRPr="00197A8D" w:rsidRDefault="000C2168" w:rsidP="000C2168">
      <w:pPr>
        <w:rPr>
          <w:szCs w:val="22"/>
        </w:rPr>
      </w:pPr>
    </w:p>
    <w:p w:rsidR="00822607" w:rsidRPr="00197A8D" w:rsidRDefault="000C2168" w:rsidP="000C2168">
      <w:pPr>
        <w:rPr>
          <w:szCs w:val="22"/>
          <w:lang w:val="es"/>
        </w:rPr>
      </w:pPr>
      <w:r w:rsidRPr="00197A8D">
        <w:rPr>
          <w:szCs w:val="22"/>
          <w:lang w:val="es"/>
        </w:rPr>
        <w:t>Los costos periódicos de mantenimiento y funcionamiento de la plataforma de T.I. del Sistema de Madrid reemplazarán a medio y largo plazo los del actual Sistema de Madrid.  Los costos se incluirán en las propuestas de presupuesto por programas como parte del presupuesto ordinario</w:t>
      </w:r>
      <w:r w:rsidR="00822607" w:rsidRPr="00197A8D">
        <w:rPr>
          <w:szCs w:val="22"/>
          <w:lang w:val="es"/>
        </w:rPr>
        <w:t>.</w:t>
      </w:r>
    </w:p>
    <w:p w:rsidR="000C2168" w:rsidRPr="00197A8D" w:rsidRDefault="000C2168" w:rsidP="000C2168">
      <w:pPr>
        <w:rPr>
          <w:szCs w:val="22"/>
        </w:rPr>
      </w:pPr>
    </w:p>
    <w:p w:rsidR="000C2168" w:rsidRPr="00197A8D" w:rsidRDefault="000C2168" w:rsidP="000C2168"/>
    <w:p w:rsidR="00A06E57" w:rsidRPr="00197A8D" w:rsidRDefault="000C2168" w:rsidP="000C2168">
      <w:pPr>
        <w:pStyle w:val="Endofdocument-Annex"/>
      </w:pPr>
      <w:r w:rsidRPr="00197A8D">
        <w:t>[Sigue el Anexo V]</w:t>
      </w:r>
    </w:p>
    <w:p w:rsidR="00A06E57" w:rsidRPr="00197A8D" w:rsidRDefault="00A06E57" w:rsidP="002E02E7">
      <w:pPr>
        <w:pStyle w:val="Endofdocument-Annex"/>
        <w:ind w:left="0"/>
        <w:rPr>
          <w:strike/>
          <w:lang w:val="es-ES"/>
        </w:rPr>
      </w:pPr>
    </w:p>
    <w:p w:rsidR="00A06E57" w:rsidRPr="00197A8D" w:rsidRDefault="00A06E57" w:rsidP="002E02E7">
      <w:pPr>
        <w:rPr>
          <w:strike/>
        </w:rPr>
        <w:sectPr w:rsidR="00A06E57" w:rsidRPr="00197A8D" w:rsidSect="002E02E7">
          <w:headerReference w:type="default" r:id="rId20"/>
          <w:headerReference w:type="first" r:id="rId21"/>
          <w:pgSz w:w="11907" w:h="16840" w:code="9"/>
          <w:pgMar w:top="567" w:right="1134" w:bottom="1418" w:left="1418" w:header="510" w:footer="1021" w:gutter="0"/>
          <w:pgNumType w:start="1"/>
          <w:cols w:space="720"/>
          <w:titlePg/>
          <w:docGrid w:linePitch="299"/>
        </w:sectPr>
      </w:pPr>
    </w:p>
    <w:p w:rsidR="00300793" w:rsidRPr="00197A8D" w:rsidRDefault="00300793" w:rsidP="00300793">
      <w:pPr>
        <w:pStyle w:val="Heading1"/>
        <w:spacing w:before="0"/>
      </w:pPr>
      <w:r w:rsidRPr="00197A8D">
        <w:rPr>
          <w:lang w:val="es"/>
        </w:rPr>
        <w:lastRenderedPageBreak/>
        <w:t>ANEXO V</w:t>
      </w:r>
      <w:proofErr w:type="gramStart"/>
      <w:r w:rsidRPr="00197A8D">
        <w:rPr>
          <w:lang w:val="es"/>
        </w:rPr>
        <w:t>:  PLATAFORMA</w:t>
      </w:r>
      <w:proofErr w:type="gramEnd"/>
      <w:r w:rsidRPr="00197A8D">
        <w:rPr>
          <w:lang w:val="es"/>
        </w:rPr>
        <w:t xml:space="preserve"> INTEGRADA DE SERVICIOS DE CONFERENCIAS</w:t>
      </w:r>
    </w:p>
    <w:p w:rsidR="00300793" w:rsidRPr="00197A8D" w:rsidRDefault="00300793" w:rsidP="00300793"/>
    <w:p w:rsidR="00300793" w:rsidRPr="00197A8D" w:rsidRDefault="00300793" w:rsidP="00300793">
      <w:pPr>
        <w:rPr>
          <w:i/>
        </w:rPr>
      </w:pPr>
      <w:r w:rsidRPr="00197A8D">
        <w:rPr>
          <w:i/>
          <w:iCs/>
          <w:lang w:val="es"/>
        </w:rPr>
        <w:t>Objetivos del proyecto y beneficios previstos</w:t>
      </w:r>
    </w:p>
    <w:p w:rsidR="00300793" w:rsidRPr="00197A8D" w:rsidRDefault="00300793" w:rsidP="00300793"/>
    <w:p w:rsidR="00822607" w:rsidRPr="00197A8D" w:rsidRDefault="00300793" w:rsidP="00300793">
      <w:pPr>
        <w:rPr>
          <w:lang w:val="es"/>
        </w:rPr>
      </w:pPr>
      <w:r w:rsidRPr="00197A8D">
        <w:rPr>
          <w:lang w:val="es"/>
        </w:rPr>
        <w:t>E</w:t>
      </w:r>
      <w:r w:rsidR="00197A8D" w:rsidRPr="00197A8D">
        <w:rPr>
          <w:lang w:val="es"/>
        </w:rPr>
        <w:t>n 2</w:t>
      </w:r>
      <w:r w:rsidRPr="00197A8D">
        <w:rPr>
          <w:lang w:val="es"/>
        </w:rPr>
        <w:t>013, un informe de auditoría interna destacó los problemas de trabajar con varias herramientas de T.I. independientes en los servicios de conferencias, que comprenden la</w:t>
      </w:r>
      <w:r w:rsidR="008E6610" w:rsidRPr="00197A8D">
        <w:rPr>
          <w:lang w:val="es"/>
        </w:rPr>
        <w:t>s</w:t>
      </w:r>
      <w:r w:rsidRPr="00197A8D">
        <w:rPr>
          <w:lang w:val="es"/>
        </w:rPr>
        <w:t xml:space="preserve"> Asamblea</w:t>
      </w:r>
      <w:r w:rsidR="008E6610" w:rsidRPr="00197A8D">
        <w:rPr>
          <w:lang w:val="es"/>
        </w:rPr>
        <w:t>s</w:t>
      </w:r>
      <w:r w:rsidRPr="00197A8D">
        <w:rPr>
          <w:lang w:val="es"/>
        </w:rPr>
        <w:t xml:space="preserve"> y otras reuniones.  Se recomendó que la OMPI desarrollara o localizara una solución integrada de alto rendimiento para la administración de las conferencias</w:t>
      </w:r>
      <w:r w:rsidR="00822607" w:rsidRPr="00197A8D">
        <w:rPr>
          <w:lang w:val="es"/>
        </w:rPr>
        <w:t>.</w:t>
      </w:r>
    </w:p>
    <w:p w:rsidR="00300793" w:rsidRPr="00197A8D" w:rsidRDefault="00300793" w:rsidP="00300793"/>
    <w:p w:rsidR="00822607" w:rsidRPr="00197A8D" w:rsidRDefault="00300793" w:rsidP="00300793">
      <w:pPr>
        <w:rPr>
          <w:lang w:val="es"/>
        </w:rPr>
      </w:pPr>
      <w:r w:rsidRPr="00197A8D">
        <w:rPr>
          <w:lang w:val="es"/>
        </w:rPr>
        <w:t>Los sistemas y bases de datos actuales de los servicios de conferencias, que incluyen la Asamblea</w:t>
      </w:r>
      <w:r w:rsidR="008E6610" w:rsidRPr="00197A8D">
        <w:rPr>
          <w:lang w:val="es"/>
        </w:rPr>
        <w:t>s</w:t>
      </w:r>
      <w:r w:rsidRPr="00197A8D">
        <w:rPr>
          <w:lang w:val="es"/>
        </w:rPr>
        <w:t xml:space="preserve"> y demás reuniones, se han desarrollado y mantenido a lo largo de varios años, pero están llegando al fin de su vida útil al carecer de herramientas clave y posibilidades de integración, y porque se basan en medios que no forman parte de las soluciones de la OMPI.  El mantenimiento constante de esos </w:t>
      </w:r>
      <w:r w:rsidR="008A4076" w:rsidRPr="00197A8D">
        <w:rPr>
          <w:lang w:val="es"/>
        </w:rPr>
        <w:t xml:space="preserve">dispares </w:t>
      </w:r>
      <w:r w:rsidRPr="00197A8D">
        <w:rPr>
          <w:lang w:val="es"/>
        </w:rPr>
        <w:t>sistemas y bases de datos resulta, por consiguiente, cada vez más costoso y difícil.  Los actuales sistemas incluyen el sistema de contactos y documentos de reuniones (</w:t>
      </w:r>
      <w:bookmarkStart w:id="6" w:name="OLE_LINK1"/>
      <w:bookmarkStart w:id="7" w:name="OLE_LINK2"/>
      <w:r w:rsidRPr="00197A8D">
        <w:rPr>
          <w:lang w:val="es"/>
        </w:rPr>
        <w:t>MDCS</w:t>
      </w:r>
      <w:bookmarkEnd w:id="6"/>
      <w:bookmarkEnd w:id="7"/>
      <w:r w:rsidRPr="00197A8D">
        <w:rPr>
          <w:lang w:val="es"/>
        </w:rPr>
        <w:t>), el sistema de inscripción en línea (WebReg), el sistema de documentación electrónica (EDOCS), el sistema de reservas de salas de conferencias (CRB) y la base de datos de intérpretes y sus cualificaciones (IRCS)</w:t>
      </w:r>
      <w:r w:rsidR="00822607" w:rsidRPr="00197A8D">
        <w:rPr>
          <w:lang w:val="es"/>
        </w:rPr>
        <w:t>.</w:t>
      </w:r>
    </w:p>
    <w:p w:rsidR="00300793" w:rsidRPr="00197A8D" w:rsidRDefault="00300793" w:rsidP="00300793"/>
    <w:p w:rsidR="00300793" w:rsidRPr="00197A8D" w:rsidRDefault="00300793" w:rsidP="00300793">
      <w:pPr>
        <w:rPr>
          <w:szCs w:val="22"/>
        </w:rPr>
      </w:pPr>
      <w:r w:rsidRPr="00197A8D">
        <w:rPr>
          <w:szCs w:val="22"/>
          <w:lang w:val="es"/>
        </w:rPr>
        <w:t xml:space="preserve">Además, y de acuerdo con el aumento de los riesgos en materia de seguridad, la OMPI debe estudiar, como organización, cómo gestiona y celebra los actos, talleres y conferencias.  Una cuestión de seguridad añadida en el marco de la Organización de las Naciones Unidas es "¿cómo saber quién está invitado o ha accedido a las instalaciones de las Naciones Unidas?".  Los procesos de inscripción y acreditación que gestiona y administra el servicio de conferencias requerirán, muy probablemente, protocolos de registro que todavía no se han definido.  Se requiere una solución comercial validada para reemplazar los sistemas actuales.  El diseño también debe satisfacer los requisitos del </w:t>
      </w:r>
      <w:r w:rsidR="008A4076" w:rsidRPr="00197A8D">
        <w:rPr>
          <w:szCs w:val="22"/>
          <w:lang w:val="es"/>
        </w:rPr>
        <w:t>Servicio de Coordinación en materia de Seguridad y Vigilanci</w:t>
      </w:r>
      <w:r w:rsidR="00822607" w:rsidRPr="00197A8D">
        <w:rPr>
          <w:szCs w:val="22"/>
          <w:lang w:val="es"/>
        </w:rPr>
        <w:t>a y</w:t>
      </w:r>
      <w:r w:rsidR="008A4076" w:rsidRPr="00197A8D">
        <w:rPr>
          <w:szCs w:val="22"/>
          <w:lang w:val="es"/>
        </w:rPr>
        <w:t xml:space="preserve"> de</w:t>
      </w:r>
      <w:r w:rsidR="00822607" w:rsidRPr="00197A8D">
        <w:rPr>
          <w:szCs w:val="22"/>
          <w:lang w:val="es"/>
        </w:rPr>
        <w:t>l D</w:t>
      </w:r>
      <w:r w:rsidRPr="00197A8D">
        <w:rPr>
          <w:szCs w:val="22"/>
          <w:lang w:val="es"/>
        </w:rPr>
        <w:t>epartamento de Seguridad y Vigilancia de Naciones Unidas.</w:t>
      </w:r>
    </w:p>
    <w:p w:rsidR="00300793" w:rsidRPr="00197A8D" w:rsidRDefault="00300793" w:rsidP="00300793">
      <w:pPr>
        <w:rPr>
          <w:szCs w:val="22"/>
        </w:rPr>
      </w:pPr>
    </w:p>
    <w:p w:rsidR="00300793" w:rsidRPr="00197A8D" w:rsidRDefault="00300793" w:rsidP="00300793">
      <w:r w:rsidRPr="00197A8D">
        <w:rPr>
          <w:lang w:val="es"/>
        </w:rPr>
        <w:t>Se prevé que el proyecto culmine en el períod</w:t>
      </w:r>
      <w:r w:rsidR="00197A8D" w:rsidRPr="00197A8D">
        <w:rPr>
          <w:lang w:val="es"/>
        </w:rPr>
        <w:t>o 2</w:t>
      </w:r>
      <w:r w:rsidRPr="00197A8D">
        <w:rPr>
          <w:lang w:val="es"/>
        </w:rPr>
        <w:t>018-2019, tanto el diseño como las fases de ejecución.</w:t>
      </w:r>
    </w:p>
    <w:p w:rsidR="00300793" w:rsidRPr="00197A8D" w:rsidRDefault="00300793" w:rsidP="00300793"/>
    <w:p w:rsidR="00300793" w:rsidRPr="00197A8D" w:rsidRDefault="00300793" w:rsidP="00300793">
      <w:pPr>
        <w:rPr>
          <w:i/>
        </w:rPr>
      </w:pPr>
    </w:p>
    <w:p w:rsidR="00300793" w:rsidRPr="00197A8D" w:rsidRDefault="00300793" w:rsidP="00300793">
      <w:pPr>
        <w:rPr>
          <w:i/>
        </w:rPr>
      </w:pPr>
      <w:r w:rsidRPr="00197A8D">
        <w:rPr>
          <w:i/>
          <w:iCs/>
          <w:lang w:val="es"/>
        </w:rPr>
        <w:t>Factores determinantes</w:t>
      </w:r>
    </w:p>
    <w:p w:rsidR="00300793" w:rsidRPr="00197A8D" w:rsidRDefault="00300793" w:rsidP="00300793"/>
    <w:p w:rsidR="00300793" w:rsidRPr="00197A8D" w:rsidRDefault="00300793" w:rsidP="00300793">
      <w:r w:rsidRPr="00197A8D">
        <w:rPr>
          <w:i/>
          <w:iCs/>
          <w:lang w:val="es"/>
        </w:rPr>
        <w:t>Eficacia en función de los costos</w:t>
      </w:r>
      <w:proofErr w:type="gramStart"/>
      <w:r w:rsidRPr="00197A8D">
        <w:rPr>
          <w:i/>
          <w:iCs/>
          <w:lang w:val="es"/>
        </w:rPr>
        <w:t xml:space="preserve">:  </w:t>
      </w:r>
      <w:r w:rsidRPr="00197A8D">
        <w:rPr>
          <w:lang w:val="es"/>
        </w:rPr>
        <w:t>los</w:t>
      </w:r>
      <w:proofErr w:type="gramEnd"/>
      <w:r w:rsidRPr="00197A8D">
        <w:rPr>
          <w:lang w:val="es"/>
        </w:rPr>
        <w:t xml:space="preserve"> actuales sistemas emplean sistemas informáticos anticuados que no permiten la integración entre sus componentes ni con el sistema de </w:t>
      </w:r>
      <w:r w:rsidR="00321550" w:rsidRPr="00197A8D">
        <w:rPr>
          <w:lang w:val="es"/>
        </w:rPr>
        <w:t>planificación de los recursos institucionales</w:t>
      </w:r>
      <w:r w:rsidRPr="00197A8D">
        <w:rPr>
          <w:lang w:val="es"/>
        </w:rPr>
        <w:t xml:space="preserve"> de la OMPI.  Un modelo integrado eliminará los duplicados y los solapamientos, y mejorará la eficacia de los usuarios</w:t>
      </w:r>
      <w:r w:rsidR="00D91E6C" w:rsidRPr="00197A8D">
        <w:rPr>
          <w:lang w:val="es"/>
        </w:rPr>
        <w:t>.</w:t>
      </w:r>
    </w:p>
    <w:p w:rsidR="00300793" w:rsidRPr="00197A8D" w:rsidRDefault="00300793" w:rsidP="00300793"/>
    <w:p w:rsidR="00822607" w:rsidRPr="00197A8D" w:rsidRDefault="00300793" w:rsidP="00300793">
      <w:pPr>
        <w:rPr>
          <w:lang w:val="es"/>
        </w:rPr>
      </w:pPr>
      <w:r w:rsidRPr="00197A8D">
        <w:rPr>
          <w:i/>
          <w:iCs/>
          <w:lang w:val="es"/>
        </w:rPr>
        <w:t>Necesidades específicas</w:t>
      </w:r>
      <w:proofErr w:type="gramStart"/>
      <w:r w:rsidRPr="00197A8D">
        <w:rPr>
          <w:lang w:val="es"/>
        </w:rPr>
        <w:t>:  las</w:t>
      </w:r>
      <w:proofErr w:type="gramEnd"/>
      <w:r w:rsidRPr="00197A8D">
        <w:rPr>
          <w:lang w:val="es"/>
        </w:rPr>
        <w:t xml:space="preserve"> bases de datos empleadas en las conferencias se basan en sistemas informáticos anticuados, que están llegando al final de su vida útil.  Estas bases de datos y los programas que las gestionan son decisivos para que la Organización pueda seguir celebrando actos, talleres y conferencias.  Su substitución por un sistema moderno e integrado asegurará que los recursos se gestionen de modo eficaz</w:t>
      </w:r>
      <w:r w:rsidR="00822607" w:rsidRPr="00197A8D">
        <w:rPr>
          <w:lang w:val="es"/>
        </w:rPr>
        <w:t>.</w:t>
      </w:r>
    </w:p>
    <w:p w:rsidR="00300793" w:rsidRPr="00197A8D" w:rsidRDefault="00300793" w:rsidP="00300793"/>
    <w:p w:rsidR="00300793" w:rsidRPr="00197A8D" w:rsidRDefault="00300793" w:rsidP="00300793">
      <w:r w:rsidRPr="00197A8D">
        <w:rPr>
          <w:i/>
          <w:iCs/>
          <w:lang w:val="es"/>
        </w:rPr>
        <w:t>Aseguramiento de la información, seguridad y vigilancia</w:t>
      </w:r>
      <w:proofErr w:type="gramStart"/>
      <w:r w:rsidRPr="00197A8D">
        <w:rPr>
          <w:lang w:val="es"/>
        </w:rPr>
        <w:t>:  el</w:t>
      </w:r>
      <w:proofErr w:type="gramEnd"/>
      <w:r w:rsidRPr="00197A8D">
        <w:rPr>
          <w:lang w:val="es"/>
        </w:rPr>
        <w:t xml:space="preserve"> nuevo sistema integrado ayudará a la Organización a cumplir los requisitos de los servicios de seguridad de la OMPI y de las Naciones Unidas y a velar por la seguridad de los delegados y participantes en los talleres y demás actos.</w:t>
      </w:r>
    </w:p>
    <w:p w:rsidR="00300793" w:rsidRPr="00197A8D" w:rsidRDefault="00300793" w:rsidP="00300793"/>
    <w:p w:rsidR="00300793" w:rsidRPr="00197A8D" w:rsidRDefault="00300793" w:rsidP="00300793">
      <w:r w:rsidRPr="00197A8D">
        <w:rPr>
          <w:lang w:val="es"/>
        </w:rPr>
        <w:t>El proyecto cumple con los requisitos de la política de reservas como proyecto extraordinario no recurrente.</w:t>
      </w:r>
    </w:p>
    <w:p w:rsidR="00300793" w:rsidRPr="00197A8D" w:rsidRDefault="00300793" w:rsidP="00300793">
      <w:pPr>
        <w:rPr>
          <w:i/>
          <w:szCs w:val="22"/>
        </w:rPr>
      </w:pPr>
    </w:p>
    <w:p w:rsidR="00300793" w:rsidRPr="00197A8D" w:rsidRDefault="00300793" w:rsidP="00300793">
      <w:pPr>
        <w:rPr>
          <w:i/>
          <w:szCs w:val="22"/>
        </w:rPr>
      </w:pPr>
    </w:p>
    <w:p w:rsidR="00300793" w:rsidRPr="00197A8D" w:rsidRDefault="00300793" w:rsidP="00300793">
      <w:pPr>
        <w:keepNext/>
        <w:keepLines/>
        <w:rPr>
          <w:i/>
          <w:szCs w:val="22"/>
        </w:rPr>
      </w:pPr>
      <w:r w:rsidRPr="00197A8D">
        <w:rPr>
          <w:i/>
          <w:iCs/>
          <w:szCs w:val="22"/>
          <w:lang w:val="es"/>
        </w:rPr>
        <w:lastRenderedPageBreak/>
        <w:t>Estimación de costos periódicos de funcionamiento</w:t>
      </w:r>
    </w:p>
    <w:p w:rsidR="00300793" w:rsidRPr="00197A8D" w:rsidRDefault="00300793" w:rsidP="00300793">
      <w:pPr>
        <w:keepNext/>
        <w:keepLines/>
        <w:rPr>
          <w:i/>
          <w:szCs w:val="22"/>
        </w:rPr>
      </w:pPr>
    </w:p>
    <w:p w:rsidR="00822607" w:rsidRPr="00197A8D" w:rsidRDefault="00300793" w:rsidP="00300793">
      <w:pPr>
        <w:keepNext/>
        <w:keepLines/>
        <w:rPr>
          <w:szCs w:val="22"/>
          <w:lang w:val="es"/>
        </w:rPr>
      </w:pPr>
      <w:r w:rsidRPr="00197A8D">
        <w:rPr>
          <w:szCs w:val="22"/>
          <w:lang w:val="es"/>
        </w:rPr>
        <w:t>Se estima que los gastos periódicos por el mantenimiento y funcionamiento de la plataforma integrada de servicios de conferencia serán d</w:t>
      </w:r>
      <w:r w:rsidR="00197A8D" w:rsidRPr="00197A8D">
        <w:rPr>
          <w:szCs w:val="22"/>
          <w:lang w:val="es"/>
        </w:rPr>
        <w:t>e 8</w:t>
      </w:r>
      <w:r w:rsidRPr="00197A8D">
        <w:rPr>
          <w:szCs w:val="22"/>
          <w:lang w:val="es"/>
        </w:rPr>
        <w:t>6.000 francos suizos anuales.  Los costos se incluirán en las propuestas de presupuesto por programas como parte del presupuesto ordinario</w:t>
      </w:r>
      <w:r w:rsidR="00822607" w:rsidRPr="00197A8D">
        <w:rPr>
          <w:szCs w:val="22"/>
          <w:lang w:val="es"/>
        </w:rPr>
        <w:t>.</w:t>
      </w:r>
    </w:p>
    <w:p w:rsidR="00300793" w:rsidRPr="00197A8D" w:rsidRDefault="00300793" w:rsidP="00300793">
      <w:pPr>
        <w:rPr>
          <w:i/>
          <w:szCs w:val="22"/>
        </w:rPr>
      </w:pPr>
    </w:p>
    <w:p w:rsidR="00300793" w:rsidRPr="00197A8D" w:rsidRDefault="00300793" w:rsidP="00300793">
      <w:pPr>
        <w:tabs>
          <w:tab w:val="left" w:pos="5670"/>
        </w:tabs>
      </w:pPr>
    </w:p>
    <w:p w:rsidR="00300793" w:rsidRPr="00197A8D" w:rsidRDefault="00300793" w:rsidP="00300793">
      <w:pPr>
        <w:pStyle w:val="Endofdocument-Annex"/>
      </w:pPr>
      <w:r w:rsidRPr="00197A8D">
        <w:t>[Sigue el Anexo VI]</w:t>
      </w:r>
    </w:p>
    <w:p w:rsidR="00300793" w:rsidRPr="00197A8D" w:rsidRDefault="00300793" w:rsidP="00300793">
      <w:pPr>
        <w:tabs>
          <w:tab w:val="left" w:pos="5670"/>
        </w:tabs>
        <w:rPr>
          <w:lang w:val="es"/>
        </w:rPr>
      </w:pPr>
    </w:p>
    <w:p w:rsidR="00A06E57" w:rsidRPr="00197A8D" w:rsidRDefault="00A06E57" w:rsidP="002E02E7">
      <w:pPr>
        <w:tabs>
          <w:tab w:val="left" w:pos="5670"/>
        </w:tabs>
        <w:rPr>
          <w:strike/>
        </w:rPr>
      </w:pPr>
    </w:p>
    <w:p w:rsidR="00A06E57" w:rsidRPr="00197A8D" w:rsidRDefault="00A06E57" w:rsidP="002E02E7">
      <w:pPr>
        <w:tabs>
          <w:tab w:val="left" w:pos="5670"/>
        </w:tabs>
        <w:rPr>
          <w:strike/>
        </w:rPr>
        <w:sectPr w:rsidR="00A06E57" w:rsidRPr="00197A8D" w:rsidSect="002E02E7">
          <w:headerReference w:type="default" r:id="rId22"/>
          <w:headerReference w:type="first" r:id="rId23"/>
          <w:pgSz w:w="11907" w:h="16840" w:code="9"/>
          <w:pgMar w:top="567" w:right="1134" w:bottom="1418" w:left="1418" w:header="510" w:footer="1021" w:gutter="0"/>
          <w:pgNumType w:start="1"/>
          <w:cols w:space="720"/>
          <w:titlePg/>
          <w:docGrid w:linePitch="299"/>
        </w:sectPr>
      </w:pPr>
    </w:p>
    <w:p w:rsidR="009E7201" w:rsidRPr="00197A8D" w:rsidRDefault="009E7201" w:rsidP="009E7201">
      <w:pPr>
        <w:pStyle w:val="Heading1"/>
        <w:spacing w:before="0"/>
      </w:pPr>
      <w:r w:rsidRPr="00197A8D">
        <w:rPr>
          <w:lang w:val="es"/>
        </w:rPr>
        <w:lastRenderedPageBreak/>
        <w:t>ANEXO VI</w:t>
      </w:r>
      <w:proofErr w:type="gramStart"/>
      <w:r w:rsidRPr="00197A8D">
        <w:rPr>
          <w:lang w:val="es"/>
        </w:rPr>
        <w:t>:  REHABILITACIÓN</w:t>
      </w:r>
      <w:proofErr w:type="gramEnd"/>
      <w:r w:rsidRPr="00197A8D">
        <w:rPr>
          <w:lang w:val="es"/>
        </w:rPr>
        <w:t xml:space="preserve"> Y RENOVACIÓN DEL CICLO DE VIDA DE LOS EDIFICIOS E</w:t>
      </w:r>
      <w:r w:rsidR="00197A8D" w:rsidRPr="00197A8D">
        <w:rPr>
          <w:lang w:val="es"/>
        </w:rPr>
        <w:t>N 2</w:t>
      </w:r>
      <w:r w:rsidRPr="00197A8D">
        <w:rPr>
          <w:lang w:val="es"/>
        </w:rPr>
        <w:t>018-2019</w:t>
      </w:r>
    </w:p>
    <w:p w:rsidR="009E7201" w:rsidRPr="00197A8D" w:rsidRDefault="009E7201" w:rsidP="009E7201"/>
    <w:p w:rsidR="009E7201" w:rsidRPr="00197A8D" w:rsidRDefault="009E7201" w:rsidP="009E7201">
      <w:r w:rsidRPr="00197A8D">
        <w:rPr>
          <w:lang w:val="es"/>
        </w:rPr>
        <w:t>E</w:t>
      </w:r>
      <w:r w:rsidR="00197A8D" w:rsidRPr="00197A8D">
        <w:rPr>
          <w:lang w:val="es"/>
        </w:rPr>
        <w:t>n 2</w:t>
      </w:r>
      <w:r w:rsidRPr="00197A8D">
        <w:rPr>
          <w:lang w:val="es"/>
        </w:rPr>
        <w:t>018-2019, se necesitan proyectos prioritarios esenciales del plan maestro de mejoras de infraestructura para procurar un funcionamiento adecuado de algunos de los principales edificios y/o equipos de la Organización.</w:t>
      </w:r>
    </w:p>
    <w:p w:rsidR="009E7201" w:rsidRPr="00197A8D" w:rsidRDefault="009E7201" w:rsidP="009E7201">
      <w:pPr>
        <w:rPr>
          <w:i/>
        </w:rPr>
      </w:pPr>
    </w:p>
    <w:p w:rsidR="009E7201" w:rsidRPr="00197A8D" w:rsidRDefault="009E7201" w:rsidP="009E7201">
      <w:pPr>
        <w:rPr>
          <w:i/>
        </w:rPr>
      </w:pPr>
    </w:p>
    <w:p w:rsidR="009E7201" w:rsidRPr="00197A8D" w:rsidRDefault="009E7201" w:rsidP="009E7201">
      <w:pPr>
        <w:rPr>
          <w:i/>
        </w:rPr>
      </w:pPr>
      <w:r w:rsidRPr="00197A8D">
        <w:rPr>
          <w:i/>
          <w:iCs/>
          <w:lang w:val="es"/>
        </w:rPr>
        <w:t>Objetivos del proyecto y beneficios previstos</w:t>
      </w:r>
    </w:p>
    <w:p w:rsidR="009E7201" w:rsidRPr="00197A8D" w:rsidRDefault="009E7201" w:rsidP="009E7201">
      <w:pPr>
        <w:pStyle w:val="Heading3"/>
        <w:spacing w:before="0" w:after="120"/>
      </w:pPr>
    </w:p>
    <w:p w:rsidR="009E7201" w:rsidRPr="00197A8D" w:rsidRDefault="009E7201" w:rsidP="009E7201">
      <w:pPr>
        <w:pStyle w:val="Heading3"/>
        <w:spacing w:before="0" w:after="0"/>
      </w:pPr>
      <w:r w:rsidRPr="00197A8D">
        <w:rPr>
          <w:bCs w:val="0"/>
          <w:lang w:val="es"/>
        </w:rPr>
        <w:t xml:space="preserve">Estudio multimedia </w:t>
      </w:r>
    </w:p>
    <w:p w:rsidR="009E7201" w:rsidRPr="00197A8D" w:rsidRDefault="009E7201" w:rsidP="009E7201"/>
    <w:p w:rsidR="00822607" w:rsidRPr="00197A8D" w:rsidRDefault="009E7201" w:rsidP="009E7201">
      <w:pPr>
        <w:spacing w:after="120"/>
        <w:rPr>
          <w:lang w:val="es"/>
        </w:rPr>
      </w:pPr>
      <w:r w:rsidRPr="00197A8D">
        <w:rPr>
          <w:lang w:val="es"/>
        </w:rPr>
        <w:t>La creación de un estudio multimedia permitirá a la Organización la producción propia de materiales sobre avances relativos a la propiedad intelectual, que podrá usar en las comunicaciones con los Estados miembros, en su información pública y en actividades de formación</w:t>
      </w:r>
      <w:r w:rsidR="00822607" w:rsidRPr="00197A8D">
        <w:rPr>
          <w:lang w:val="es"/>
        </w:rPr>
        <w:t>.</w:t>
      </w:r>
    </w:p>
    <w:p w:rsidR="009E7201" w:rsidRPr="00197A8D" w:rsidRDefault="009E7201" w:rsidP="009E7201">
      <w:pPr>
        <w:pStyle w:val="Heading3"/>
        <w:spacing w:before="0" w:after="0"/>
      </w:pPr>
    </w:p>
    <w:p w:rsidR="009E7201" w:rsidRPr="00197A8D" w:rsidRDefault="009E7201" w:rsidP="009E7201">
      <w:pPr>
        <w:pStyle w:val="Heading3"/>
        <w:spacing w:before="0" w:after="0"/>
      </w:pPr>
      <w:r w:rsidRPr="00197A8D">
        <w:rPr>
          <w:bCs w:val="0"/>
          <w:lang w:val="es"/>
        </w:rPr>
        <w:t>Renovaciones del edificio del PCT</w:t>
      </w:r>
    </w:p>
    <w:p w:rsidR="009E7201" w:rsidRPr="00197A8D" w:rsidRDefault="009E7201" w:rsidP="009E7201"/>
    <w:p w:rsidR="009E7201" w:rsidRPr="00197A8D" w:rsidRDefault="009E7201" w:rsidP="009E7201">
      <w:r w:rsidRPr="00197A8D">
        <w:rPr>
          <w:lang w:val="es"/>
        </w:rPr>
        <w:t>El plan maestro de mejoras de infraestructur</w:t>
      </w:r>
      <w:r w:rsidR="00197A8D" w:rsidRPr="00197A8D">
        <w:rPr>
          <w:lang w:val="es"/>
        </w:rPr>
        <w:t>a 2</w:t>
      </w:r>
      <w:r w:rsidRPr="00197A8D">
        <w:rPr>
          <w:lang w:val="es"/>
        </w:rPr>
        <w:t>014-2019 contiene un proyecto de envergadura que cubre la renovación de la fachada y de los sistemas de refrigeración y calefacción con la instalación de falsos techos radiantes en el edificio del PCT.  Según lo programado, el grueso de estas renovaciones se realizará en el bieni</w:t>
      </w:r>
      <w:r w:rsidR="00197A8D" w:rsidRPr="00197A8D">
        <w:rPr>
          <w:lang w:val="es"/>
        </w:rPr>
        <w:t>o 2</w:t>
      </w:r>
      <w:r w:rsidRPr="00197A8D">
        <w:rPr>
          <w:lang w:val="es"/>
        </w:rPr>
        <w:t>018-2019.  Al revisar la ejecución del alcance del proyecto, se decidió realizar simultáneamente otras renovaciones al edificio del PCT en esta fase para reducir al mínimo los trastornos causados al personal del PCT en su trabajo, disminuyendo la necesidad de traslados temporales de personal durante el período de construcción, aprovechando las circunstancias favorables, la eficacia en función de los costos, las oportunidades para reducir los gastos, integrar de modo más eficiente nuevas tecnologías para distintos dispositivos y sistemas técnicos, eléctricos y de seguridad y eludir la necesidad de volver a realizar obras de envergadura en todo el edificio solo dos años después de haber encargado la renovación inicial.  Entre esas renovaciones adicionales, se incluyen las siguientes:</w:t>
      </w:r>
    </w:p>
    <w:p w:rsidR="009E7201" w:rsidRPr="00197A8D" w:rsidRDefault="009E7201" w:rsidP="009E7201"/>
    <w:p w:rsidR="009E7201" w:rsidRPr="00197A8D" w:rsidRDefault="009E7201" w:rsidP="009E7201">
      <w:pPr>
        <w:pStyle w:val="ListParagraph"/>
        <w:numPr>
          <w:ilvl w:val="0"/>
          <w:numId w:val="21"/>
        </w:numPr>
        <w:spacing w:after="120"/>
        <w:ind w:left="1134" w:hanging="567"/>
      </w:pPr>
      <w:r w:rsidRPr="00197A8D">
        <w:rPr>
          <w:lang w:val="es"/>
        </w:rPr>
        <w:t>la sustitución de los falsos techos no radiantes, que se vinculará a las obras de mejora de los sistemas eléctricos, de seguridad y vigilancia;</w:t>
      </w:r>
    </w:p>
    <w:p w:rsidR="009E7201" w:rsidRPr="00197A8D" w:rsidRDefault="009E7201" w:rsidP="009E7201">
      <w:pPr>
        <w:pStyle w:val="ListParagraph"/>
        <w:spacing w:after="120"/>
        <w:ind w:left="1134" w:hanging="567"/>
        <w:rPr>
          <w:sz w:val="12"/>
          <w:szCs w:val="12"/>
        </w:rPr>
      </w:pPr>
    </w:p>
    <w:p w:rsidR="009E7201" w:rsidRPr="00197A8D" w:rsidRDefault="009E7201" w:rsidP="009E7201">
      <w:pPr>
        <w:pStyle w:val="ListParagraph"/>
        <w:numPr>
          <w:ilvl w:val="0"/>
          <w:numId w:val="21"/>
        </w:numPr>
        <w:spacing w:after="120"/>
        <w:ind w:left="1134" w:hanging="567"/>
      </w:pPr>
      <w:r w:rsidRPr="00197A8D">
        <w:rPr>
          <w:lang w:val="es"/>
        </w:rPr>
        <w:t>la actualización de los sistemas de extracción de humos;</w:t>
      </w:r>
    </w:p>
    <w:p w:rsidR="009E7201" w:rsidRPr="00197A8D" w:rsidRDefault="009E7201" w:rsidP="009E7201">
      <w:pPr>
        <w:pStyle w:val="ListParagraph"/>
        <w:spacing w:after="120"/>
        <w:ind w:left="1134" w:hanging="567"/>
        <w:rPr>
          <w:sz w:val="12"/>
          <w:szCs w:val="12"/>
        </w:rPr>
      </w:pPr>
    </w:p>
    <w:p w:rsidR="009E7201" w:rsidRPr="00197A8D" w:rsidRDefault="009E7201" w:rsidP="009E7201">
      <w:pPr>
        <w:pStyle w:val="ListParagraph"/>
        <w:numPr>
          <w:ilvl w:val="0"/>
          <w:numId w:val="21"/>
        </w:numPr>
        <w:spacing w:after="120"/>
        <w:ind w:left="1134" w:hanging="567"/>
      </w:pPr>
      <w:r w:rsidRPr="00197A8D">
        <w:rPr>
          <w:lang w:val="es"/>
        </w:rPr>
        <w:t xml:space="preserve">modificaciones a las puertas e instalación de salidas de emergencia nuevas para cumplir con la normativa suiza de evacuación de edificios;  </w:t>
      </w:r>
    </w:p>
    <w:p w:rsidR="009E7201" w:rsidRPr="00197A8D" w:rsidRDefault="009E7201" w:rsidP="009E7201">
      <w:pPr>
        <w:pStyle w:val="ListParagraph"/>
        <w:spacing w:after="120"/>
        <w:ind w:left="1134" w:hanging="567"/>
        <w:rPr>
          <w:sz w:val="12"/>
          <w:szCs w:val="12"/>
        </w:rPr>
      </w:pPr>
    </w:p>
    <w:p w:rsidR="009E7201" w:rsidRPr="00197A8D" w:rsidRDefault="009E7201" w:rsidP="009E7201">
      <w:pPr>
        <w:pStyle w:val="ListParagraph"/>
        <w:numPr>
          <w:ilvl w:val="0"/>
          <w:numId w:val="21"/>
        </w:numPr>
        <w:spacing w:after="120"/>
        <w:ind w:left="1134" w:hanging="567"/>
      </w:pPr>
      <w:r w:rsidRPr="00197A8D">
        <w:rPr>
          <w:lang w:val="es"/>
        </w:rPr>
        <w:t>un mecanismo de ventilación adicional en algunas de las plantas superiores;</w:t>
      </w:r>
    </w:p>
    <w:p w:rsidR="009E7201" w:rsidRPr="00197A8D" w:rsidRDefault="009E7201" w:rsidP="009E7201">
      <w:pPr>
        <w:pStyle w:val="ListParagraph"/>
        <w:spacing w:after="120"/>
        <w:ind w:left="1134" w:hanging="567"/>
        <w:rPr>
          <w:sz w:val="12"/>
          <w:szCs w:val="12"/>
        </w:rPr>
      </w:pPr>
    </w:p>
    <w:p w:rsidR="009E7201" w:rsidRPr="00197A8D" w:rsidRDefault="009E7201" w:rsidP="009E7201">
      <w:pPr>
        <w:pStyle w:val="ListParagraph"/>
        <w:numPr>
          <w:ilvl w:val="0"/>
          <w:numId w:val="21"/>
        </w:numPr>
        <w:spacing w:after="120"/>
        <w:ind w:left="1134" w:hanging="567"/>
      </w:pPr>
      <w:r w:rsidRPr="00197A8D">
        <w:rPr>
          <w:lang w:val="es"/>
        </w:rPr>
        <w:t xml:space="preserve">la instalación de un sistema de parlantes de última generación;  </w:t>
      </w:r>
      <w:r w:rsidR="00043A55" w:rsidRPr="00197A8D">
        <w:rPr>
          <w:lang w:val="es"/>
        </w:rPr>
        <w:t>y</w:t>
      </w:r>
    </w:p>
    <w:p w:rsidR="009E7201" w:rsidRPr="00197A8D" w:rsidRDefault="009E7201" w:rsidP="009E7201">
      <w:pPr>
        <w:pStyle w:val="ListParagraph"/>
        <w:spacing w:after="120"/>
        <w:ind w:left="1134" w:hanging="567"/>
        <w:rPr>
          <w:sz w:val="12"/>
          <w:szCs w:val="12"/>
        </w:rPr>
      </w:pPr>
    </w:p>
    <w:p w:rsidR="009E7201" w:rsidRPr="00197A8D" w:rsidRDefault="009E7201" w:rsidP="009E7201">
      <w:pPr>
        <w:pStyle w:val="ListParagraph"/>
        <w:numPr>
          <w:ilvl w:val="0"/>
          <w:numId w:val="21"/>
        </w:numPr>
        <w:spacing w:after="120"/>
        <w:ind w:left="1134" w:hanging="567"/>
      </w:pPr>
      <w:r w:rsidRPr="00197A8D">
        <w:rPr>
          <w:lang w:val="es"/>
        </w:rPr>
        <w:t>una modernización importante del alumbrado de emergencia.</w:t>
      </w:r>
    </w:p>
    <w:p w:rsidR="009E7201" w:rsidRPr="00197A8D" w:rsidRDefault="009E7201" w:rsidP="009E7201"/>
    <w:p w:rsidR="009E7201" w:rsidRPr="00197A8D" w:rsidRDefault="009E7201" w:rsidP="009E7201">
      <w:pPr>
        <w:pStyle w:val="Heading3"/>
        <w:spacing w:before="0" w:after="0"/>
      </w:pPr>
      <w:r w:rsidRPr="00197A8D">
        <w:rPr>
          <w:bCs w:val="0"/>
          <w:lang w:val="es"/>
        </w:rPr>
        <w:t>Sistemas eléctricos y equipos mecánicos del edificio AB</w:t>
      </w:r>
    </w:p>
    <w:p w:rsidR="009E7201" w:rsidRPr="00197A8D" w:rsidRDefault="009E7201" w:rsidP="009E7201"/>
    <w:p w:rsidR="009E7201" w:rsidRPr="00197A8D" w:rsidRDefault="009E7201" w:rsidP="009E7201">
      <w:r w:rsidRPr="00197A8D">
        <w:rPr>
          <w:lang w:val="es"/>
        </w:rPr>
        <w:t>La siguiente es la propuesta de financiación de las mejoras en los sistemas eléctricos y los ascensores:</w:t>
      </w:r>
    </w:p>
    <w:p w:rsidR="009E7201" w:rsidRPr="00197A8D" w:rsidRDefault="009E7201" w:rsidP="009E7201">
      <w:pPr>
        <w:ind w:left="567"/>
      </w:pPr>
    </w:p>
    <w:p w:rsidR="00822607" w:rsidRPr="00197A8D" w:rsidRDefault="009E7201" w:rsidP="009E7201">
      <w:pPr>
        <w:ind w:left="567"/>
        <w:rPr>
          <w:lang w:val="es"/>
        </w:rPr>
      </w:pPr>
      <w:r w:rsidRPr="00197A8D">
        <w:rPr>
          <w:lang w:val="es"/>
        </w:rPr>
        <w:t xml:space="preserve">Modernización de los sistemas eléctricos de reserva en el edificio AB con la instalación de un generador mayor que conectará toda la red para paliar los cortes de electricidad e introducir redundancia con otros equipos e instalaciones.  La modernización del </w:t>
      </w:r>
      <w:r w:rsidRPr="00197A8D">
        <w:rPr>
          <w:lang w:val="es"/>
        </w:rPr>
        <w:lastRenderedPageBreak/>
        <w:t>alumbrado con nuevas tecnologías para los sistemas y dispositivos de iluminación del edificio AB</w:t>
      </w:r>
      <w:r w:rsidR="00822607" w:rsidRPr="00197A8D">
        <w:rPr>
          <w:lang w:val="es"/>
        </w:rPr>
        <w:t>.</w:t>
      </w:r>
    </w:p>
    <w:p w:rsidR="009E7201" w:rsidRPr="00197A8D" w:rsidRDefault="009E7201" w:rsidP="009E7201">
      <w:pPr>
        <w:ind w:left="567"/>
      </w:pPr>
    </w:p>
    <w:p w:rsidR="00822607" w:rsidRPr="00197A8D" w:rsidRDefault="009E7201" w:rsidP="009E7201">
      <w:pPr>
        <w:ind w:left="567"/>
        <w:rPr>
          <w:lang w:val="es"/>
        </w:rPr>
      </w:pPr>
      <w:r w:rsidRPr="00197A8D">
        <w:rPr>
          <w:lang w:val="es"/>
        </w:rPr>
        <w:t>Ascensores</w:t>
      </w:r>
      <w:proofErr w:type="gramStart"/>
      <w:r w:rsidRPr="00197A8D">
        <w:rPr>
          <w:lang w:val="es"/>
        </w:rPr>
        <w:t>:  modernización</w:t>
      </w:r>
      <w:proofErr w:type="gramEnd"/>
      <w:r w:rsidRPr="00197A8D">
        <w:rPr>
          <w:lang w:val="es"/>
        </w:rPr>
        <w:t xml:space="preserve"> de los sistemas de motores (con nueva tecnología) en el edificio AB para asegurar la </w:t>
      </w:r>
      <w:r w:rsidR="00B92DE7" w:rsidRPr="00197A8D">
        <w:rPr>
          <w:lang w:val="es"/>
        </w:rPr>
        <w:t xml:space="preserve">plena </w:t>
      </w:r>
      <w:r w:rsidRPr="00197A8D">
        <w:rPr>
          <w:lang w:val="es"/>
        </w:rPr>
        <w:t>continuidad del servicio y reiniciar su ciclo de vida</w:t>
      </w:r>
      <w:r w:rsidR="00822607" w:rsidRPr="00197A8D">
        <w:rPr>
          <w:lang w:val="es"/>
        </w:rPr>
        <w:t>.</w:t>
      </w:r>
    </w:p>
    <w:p w:rsidR="009E7201" w:rsidRPr="00197A8D" w:rsidRDefault="009E7201" w:rsidP="009E7201">
      <w:pPr>
        <w:ind w:left="567"/>
      </w:pPr>
    </w:p>
    <w:p w:rsidR="009E7201" w:rsidRPr="00197A8D" w:rsidRDefault="009E7201" w:rsidP="009E7201">
      <w:pPr>
        <w:rPr>
          <w:bCs/>
          <w:i/>
        </w:rPr>
      </w:pPr>
      <w:r w:rsidRPr="00197A8D">
        <w:rPr>
          <w:i/>
          <w:iCs/>
          <w:lang w:val="es"/>
        </w:rPr>
        <w:t>Factores determinantes</w:t>
      </w:r>
    </w:p>
    <w:p w:rsidR="009E7201" w:rsidRPr="00197A8D" w:rsidRDefault="009E7201" w:rsidP="009E7201">
      <w:pPr>
        <w:ind w:left="567"/>
      </w:pPr>
    </w:p>
    <w:p w:rsidR="009E7201" w:rsidRPr="00197A8D" w:rsidRDefault="009E7201" w:rsidP="009E7201">
      <w:r w:rsidRPr="00197A8D">
        <w:rPr>
          <w:i/>
          <w:iCs/>
          <w:lang w:val="es"/>
        </w:rPr>
        <w:t>Ciclo de vida</w:t>
      </w:r>
      <w:proofErr w:type="gramStart"/>
      <w:r w:rsidRPr="00197A8D">
        <w:rPr>
          <w:lang w:val="es"/>
        </w:rPr>
        <w:t>:  asegurar</w:t>
      </w:r>
      <w:proofErr w:type="gramEnd"/>
      <w:r w:rsidRPr="00197A8D">
        <w:rPr>
          <w:lang w:val="es"/>
        </w:rPr>
        <w:t xml:space="preserve"> que el edificio del PCT se renueva adecuadamente para velar por su plena utilización durante su vida útil y añadir mejoras a los sistemas existentes para modernizarlos cuando sea necesario y satisfacer las necesidades actuales.  Reinicio de los ciclos de vida de los ascensores y sistemas de alumbrado del edificio AB.</w:t>
      </w:r>
    </w:p>
    <w:p w:rsidR="009E7201" w:rsidRPr="00197A8D" w:rsidRDefault="009E7201" w:rsidP="009E7201"/>
    <w:p w:rsidR="00822607" w:rsidRPr="00197A8D" w:rsidRDefault="009E7201" w:rsidP="009E7201">
      <w:pPr>
        <w:rPr>
          <w:lang w:val="es"/>
        </w:rPr>
      </w:pPr>
      <w:r w:rsidRPr="00197A8D">
        <w:rPr>
          <w:i/>
          <w:iCs/>
          <w:lang w:val="es"/>
        </w:rPr>
        <w:t>Aseguramiento de la información, seguridad y vigilancia</w:t>
      </w:r>
      <w:proofErr w:type="gramStart"/>
      <w:r w:rsidRPr="00197A8D">
        <w:rPr>
          <w:i/>
          <w:iCs/>
          <w:lang w:val="es"/>
        </w:rPr>
        <w:t xml:space="preserve">:  </w:t>
      </w:r>
      <w:r w:rsidRPr="00197A8D">
        <w:rPr>
          <w:lang w:val="es"/>
        </w:rPr>
        <w:t>velar</w:t>
      </w:r>
      <w:proofErr w:type="gramEnd"/>
      <w:r w:rsidRPr="00197A8D">
        <w:rPr>
          <w:lang w:val="es"/>
        </w:rPr>
        <w:t xml:space="preserve"> por que el edificio del PCT satisfaga los criterios del Departamento de Seguridad y Vigilancia de Naciones Unidas</w:t>
      </w:r>
      <w:r w:rsidR="00822607" w:rsidRPr="00197A8D">
        <w:rPr>
          <w:lang w:val="es"/>
        </w:rPr>
        <w:t>.</w:t>
      </w:r>
    </w:p>
    <w:p w:rsidR="009E7201" w:rsidRPr="00197A8D" w:rsidRDefault="009E7201" w:rsidP="009E7201">
      <w:pPr>
        <w:ind w:left="567"/>
      </w:pPr>
    </w:p>
    <w:p w:rsidR="00822607" w:rsidRPr="00197A8D" w:rsidRDefault="009E7201" w:rsidP="009E7201">
      <w:pPr>
        <w:rPr>
          <w:lang w:val="es"/>
        </w:rPr>
      </w:pPr>
      <w:r w:rsidRPr="00197A8D">
        <w:rPr>
          <w:i/>
          <w:iCs/>
          <w:lang w:val="es"/>
        </w:rPr>
        <w:t>Normativa</w:t>
      </w:r>
      <w:proofErr w:type="gramStart"/>
      <w:r w:rsidRPr="00197A8D">
        <w:rPr>
          <w:i/>
          <w:iCs/>
          <w:lang w:val="es"/>
        </w:rPr>
        <w:t xml:space="preserve">:  </w:t>
      </w:r>
      <w:r w:rsidRPr="00197A8D">
        <w:rPr>
          <w:lang w:val="es"/>
        </w:rPr>
        <w:t>velar</w:t>
      </w:r>
      <w:proofErr w:type="gramEnd"/>
      <w:r w:rsidRPr="00197A8D">
        <w:rPr>
          <w:lang w:val="es"/>
        </w:rPr>
        <w:t xml:space="preserve"> por que el edificio del PCT cumpla los requisitos reglamentarios recientemente aprobados en materia de seguridad contra incendios</w:t>
      </w:r>
      <w:r w:rsidR="00822607" w:rsidRPr="00197A8D">
        <w:rPr>
          <w:lang w:val="es"/>
        </w:rPr>
        <w:t>.</w:t>
      </w:r>
    </w:p>
    <w:p w:rsidR="009E7201" w:rsidRPr="00197A8D" w:rsidRDefault="009E7201" w:rsidP="009E7201">
      <w:pPr>
        <w:ind w:left="567"/>
      </w:pPr>
    </w:p>
    <w:p w:rsidR="009E7201" w:rsidRPr="00197A8D" w:rsidRDefault="009E7201" w:rsidP="009E7201">
      <w:r w:rsidRPr="00197A8D">
        <w:rPr>
          <w:i/>
          <w:iCs/>
          <w:lang w:val="es"/>
        </w:rPr>
        <w:t>Necesidades específicas</w:t>
      </w:r>
      <w:proofErr w:type="gramStart"/>
      <w:r w:rsidRPr="00197A8D">
        <w:rPr>
          <w:lang w:val="es"/>
        </w:rPr>
        <w:t>:  la</w:t>
      </w:r>
      <w:proofErr w:type="gramEnd"/>
      <w:r w:rsidRPr="00197A8D">
        <w:rPr>
          <w:lang w:val="es"/>
        </w:rPr>
        <w:t xml:space="preserve"> creación del estudio multimedia permitirá que la Organización mejore la información que proporciona en materia de propiedad intelectual al público y a los Estados miembros.</w:t>
      </w:r>
    </w:p>
    <w:p w:rsidR="009E7201" w:rsidRPr="00197A8D" w:rsidRDefault="009E7201" w:rsidP="009E7201">
      <w:pPr>
        <w:ind w:left="567"/>
      </w:pPr>
    </w:p>
    <w:p w:rsidR="009E7201" w:rsidRPr="00197A8D" w:rsidRDefault="009E7201" w:rsidP="009E7201">
      <w:r w:rsidRPr="00197A8D">
        <w:rPr>
          <w:i/>
          <w:iCs/>
          <w:lang w:val="es"/>
        </w:rPr>
        <w:t>Eficacia en función de los costos</w:t>
      </w:r>
      <w:proofErr w:type="gramStart"/>
      <w:r w:rsidRPr="00197A8D">
        <w:rPr>
          <w:i/>
          <w:iCs/>
          <w:lang w:val="es"/>
        </w:rPr>
        <w:t xml:space="preserve">:  </w:t>
      </w:r>
      <w:r w:rsidRPr="00197A8D">
        <w:rPr>
          <w:lang w:val="es"/>
        </w:rPr>
        <w:t>Las</w:t>
      </w:r>
      <w:proofErr w:type="gramEnd"/>
      <w:r w:rsidRPr="00197A8D">
        <w:rPr>
          <w:lang w:val="es"/>
        </w:rPr>
        <w:t xml:space="preserve"> obras propuestas para renovar los sistemas de alumbrado en los edificios del PCT y AB reducirán el consumo de energía y los costos de mantenimiento, así como la huella de carbono en el medioambiente.</w:t>
      </w:r>
    </w:p>
    <w:p w:rsidR="009E7201" w:rsidRPr="00197A8D" w:rsidRDefault="009E7201" w:rsidP="009E7201"/>
    <w:p w:rsidR="009E7201" w:rsidRPr="00197A8D" w:rsidRDefault="009E7201" w:rsidP="009E7201">
      <w:r w:rsidRPr="00197A8D">
        <w:rPr>
          <w:lang w:val="es"/>
        </w:rPr>
        <w:t>Los proyectos referidos a edificios cumplen los requisitos de utilización de reservas, puesto que financian proyectos extraordinarios que implican rehabilitaciones y renovaciones de gran envergadura.</w:t>
      </w:r>
    </w:p>
    <w:p w:rsidR="009E7201" w:rsidRPr="00197A8D" w:rsidRDefault="009E7201" w:rsidP="009E7201"/>
    <w:p w:rsidR="009E7201" w:rsidRPr="00197A8D" w:rsidRDefault="009E7201" w:rsidP="009E7201"/>
    <w:p w:rsidR="009E7201" w:rsidRPr="00197A8D" w:rsidRDefault="009E7201" w:rsidP="009E7201"/>
    <w:p w:rsidR="009E7201" w:rsidRPr="00197A8D" w:rsidRDefault="009E7201" w:rsidP="009E7201"/>
    <w:p w:rsidR="009E7201" w:rsidRPr="00197A8D" w:rsidRDefault="009E7201" w:rsidP="009E7201"/>
    <w:p w:rsidR="00A06E57" w:rsidRPr="00197A8D" w:rsidRDefault="009E7201" w:rsidP="009E7201">
      <w:pPr>
        <w:pStyle w:val="Endofdocument-Annex"/>
        <w:rPr>
          <w:strike/>
        </w:rPr>
      </w:pPr>
      <w:r w:rsidRPr="00197A8D">
        <w:rPr>
          <w:lang w:val="es"/>
        </w:rPr>
        <w:t>[Sigue el Anexo VII]</w:t>
      </w:r>
    </w:p>
    <w:p w:rsidR="00A06E57" w:rsidRPr="00197A8D" w:rsidRDefault="00A06E57" w:rsidP="002E02E7">
      <w:pPr>
        <w:rPr>
          <w:strike/>
          <w:lang w:val="en-US"/>
        </w:rPr>
      </w:pPr>
    </w:p>
    <w:p w:rsidR="00A06E57" w:rsidRPr="00197A8D" w:rsidRDefault="00A06E57" w:rsidP="002E02E7">
      <w:pPr>
        <w:rPr>
          <w:strike/>
          <w:lang w:val="en-US"/>
        </w:rPr>
      </w:pPr>
    </w:p>
    <w:p w:rsidR="00A06E57" w:rsidRPr="00197A8D" w:rsidRDefault="00A06E57" w:rsidP="002E02E7">
      <w:pPr>
        <w:rPr>
          <w:strike/>
          <w:lang w:val="en-US"/>
        </w:rPr>
      </w:pPr>
    </w:p>
    <w:p w:rsidR="00A06E57" w:rsidRPr="00197A8D" w:rsidRDefault="00A06E57" w:rsidP="002E02E7">
      <w:pPr>
        <w:rPr>
          <w:strike/>
          <w:lang w:val="en-US"/>
        </w:rPr>
        <w:sectPr w:rsidR="00A06E57" w:rsidRPr="00197A8D" w:rsidSect="002E02E7">
          <w:headerReference w:type="default" r:id="rId24"/>
          <w:headerReference w:type="first" r:id="rId25"/>
          <w:pgSz w:w="11907" w:h="16840" w:code="9"/>
          <w:pgMar w:top="567" w:right="1134" w:bottom="1418" w:left="1418" w:header="510" w:footer="1021" w:gutter="0"/>
          <w:pgNumType w:start="1"/>
          <w:cols w:space="720"/>
          <w:titlePg/>
          <w:docGrid w:linePitch="299"/>
        </w:sectPr>
      </w:pPr>
    </w:p>
    <w:p w:rsidR="003765F9" w:rsidRPr="00197A8D" w:rsidRDefault="003765F9" w:rsidP="003765F9">
      <w:pPr>
        <w:pStyle w:val="Heading2"/>
        <w:rPr>
          <w:b/>
          <w:iCs w:val="0"/>
        </w:rPr>
      </w:pPr>
      <w:r w:rsidRPr="00197A8D">
        <w:rPr>
          <w:b/>
          <w:iCs w:val="0"/>
          <w:lang w:val="es"/>
        </w:rPr>
        <w:lastRenderedPageBreak/>
        <w:t>ANEXO VII</w:t>
      </w:r>
      <w:proofErr w:type="gramStart"/>
      <w:r w:rsidRPr="00197A8D">
        <w:rPr>
          <w:b/>
          <w:iCs w:val="0"/>
          <w:lang w:val="es"/>
        </w:rPr>
        <w:t>:  MEJORAS</w:t>
      </w:r>
      <w:proofErr w:type="gramEnd"/>
      <w:r w:rsidRPr="00197A8D">
        <w:rPr>
          <w:b/>
          <w:iCs w:val="0"/>
          <w:lang w:val="es"/>
        </w:rPr>
        <w:t xml:space="preserve"> EN LOS SISTEMAS DE SEGURIDAD Y VIGILANDA E</w:t>
      </w:r>
      <w:r w:rsidR="00197A8D" w:rsidRPr="00197A8D">
        <w:rPr>
          <w:b/>
          <w:iCs w:val="0"/>
          <w:lang w:val="es"/>
        </w:rPr>
        <w:t>N 2</w:t>
      </w:r>
      <w:r w:rsidRPr="00197A8D">
        <w:rPr>
          <w:b/>
          <w:iCs w:val="0"/>
          <w:lang w:val="es"/>
        </w:rPr>
        <w:t>018-2019</w:t>
      </w:r>
    </w:p>
    <w:p w:rsidR="003765F9" w:rsidRPr="00197A8D" w:rsidRDefault="003765F9" w:rsidP="003765F9"/>
    <w:p w:rsidR="003765F9" w:rsidRPr="00197A8D" w:rsidRDefault="003765F9" w:rsidP="003765F9">
      <w:pPr>
        <w:rPr>
          <w:i/>
          <w:iCs/>
        </w:rPr>
      </w:pPr>
      <w:r w:rsidRPr="00197A8D">
        <w:rPr>
          <w:i/>
          <w:iCs/>
          <w:lang w:val="es"/>
        </w:rPr>
        <w:t>Objetivos del proyecto y beneficios previstos</w:t>
      </w:r>
    </w:p>
    <w:p w:rsidR="003765F9" w:rsidRPr="00197A8D" w:rsidRDefault="003765F9" w:rsidP="003765F9">
      <w:pPr>
        <w:rPr>
          <w:rFonts w:eastAsiaTheme="minorHAnsi"/>
        </w:rPr>
      </w:pPr>
    </w:p>
    <w:p w:rsidR="00822607" w:rsidRPr="00197A8D" w:rsidRDefault="003765F9" w:rsidP="003765F9">
      <w:pPr>
        <w:rPr>
          <w:color w:val="000000" w:themeColor="text1"/>
          <w:lang w:val="es"/>
        </w:rPr>
      </w:pPr>
      <w:r w:rsidRPr="00197A8D">
        <w:rPr>
          <w:color w:val="000000" w:themeColor="text1"/>
          <w:lang w:val="es"/>
        </w:rPr>
        <w:t xml:space="preserve">Las políticas de seguridad y vigilancia de la OMPI </w:t>
      </w:r>
      <w:r w:rsidR="00043A55" w:rsidRPr="00197A8D">
        <w:rPr>
          <w:color w:val="000000" w:themeColor="text1"/>
          <w:lang w:val="es"/>
        </w:rPr>
        <w:t>tienen por finalidad</w:t>
      </w:r>
      <w:r w:rsidRPr="00197A8D">
        <w:rPr>
          <w:color w:val="000000" w:themeColor="text1"/>
          <w:lang w:val="es"/>
        </w:rPr>
        <w:t xml:space="preserve"> ofrecer un espacio de trabajo seguro para </w:t>
      </w:r>
      <w:r w:rsidR="00043A55" w:rsidRPr="00197A8D">
        <w:rPr>
          <w:color w:val="000000" w:themeColor="text1"/>
          <w:lang w:val="es"/>
        </w:rPr>
        <w:t>el</w:t>
      </w:r>
      <w:r w:rsidRPr="00197A8D">
        <w:rPr>
          <w:color w:val="000000" w:themeColor="text1"/>
          <w:lang w:val="es"/>
        </w:rPr>
        <w:t xml:space="preserve"> personal, los delegados y los visitantes.  Para cumplir con ese objetivo, es importante que la OMPI asegure que se cumplen en todo momento los reglamentos obligatorios del gobierno que la acoge, así como las políticas y normativas pertinentes del sistema de gestión de la seguridad de las Naciones Unidas.  Además, la OMPI debe gestionar constantemente el riesgo de amenazas externas a la seguridad a la vez que mantiene una infraestructura moderna, avanzada e integral para la gestión de la seguridad y la vigilancia en su sede, de forma prospectiva, que mantenga una eficiencia técnica y una eficacia en función de los costos a largo plazo, cumpliendo así la obligada diligencia respecto de su personal, los delegados y demás visitantes</w:t>
      </w:r>
      <w:r w:rsidR="00822607" w:rsidRPr="00197A8D">
        <w:rPr>
          <w:color w:val="000000" w:themeColor="text1"/>
          <w:lang w:val="es"/>
        </w:rPr>
        <w:t>.</w:t>
      </w:r>
    </w:p>
    <w:p w:rsidR="003765F9" w:rsidRPr="00197A8D" w:rsidRDefault="003765F9" w:rsidP="003765F9">
      <w:pPr>
        <w:pStyle w:val="Heading3"/>
        <w:spacing w:before="0" w:after="0"/>
        <w:rPr>
          <w:rFonts w:eastAsia="Times New Roman"/>
          <w:color w:val="000000" w:themeColor="text1"/>
        </w:rPr>
      </w:pPr>
    </w:p>
    <w:p w:rsidR="003765F9" w:rsidRPr="00197A8D" w:rsidRDefault="003765F9" w:rsidP="003765F9">
      <w:pPr>
        <w:pStyle w:val="Heading3"/>
        <w:rPr>
          <w:rFonts w:eastAsia="Times New Roman"/>
          <w:color w:val="000000" w:themeColor="text1"/>
        </w:rPr>
      </w:pPr>
      <w:r w:rsidRPr="00197A8D">
        <w:rPr>
          <w:rFonts w:eastAsia="Times New Roman"/>
          <w:bCs w:val="0"/>
          <w:color w:val="000000" w:themeColor="text1"/>
          <w:lang w:val="es"/>
        </w:rPr>
        <w:t>Cumplimiento de la legislación federal suiza y de los reglamentos locales en materia de incendios</w:t>
      </w:r>
    </w:p>
    <w:p w:rsidR="003765F9" w:rsidRPr="00197A8D" w:rsidRDefault="003765F9" w:rsidP="003765F9">
      <w:pPr>
        <w:ind w:left="567"/>
        <w:rPr>
          <w:rFonts w:eastAsiaTheme="minorHAnsi"/>
          <w:color w:val="000000" w:themeColor="text1"/>
        </w:rPr>
      </w:pPr>
    </w:p>
    <w:p w:rsidR="00822607" w:rsidRPr="00197A8D" w:rsidRDefault="003765F9" w:rsidP="003765F9">
      <w:pPr>
        <w:rPr>
          <w:color w:val="000000" w:themeColor="text1"/>
          <w:lang w:val="es"/>
        </w:rPr>
      </w:pPr>
      <w:r w:rsidRPr="00197A8D">
        <w:rPr>
          <w:color w:val="000000" w:themeColor="text1"/>
          <w:lang w:val="es"/>
        </w:rPr>
        <w:t>De conformidad con el reglamento suizo de seguridad contra incendios de la "</w:t>
      </w:r>
      <w:bookmarkStart w:id="8" w:name="OLE_LINK3"/>
      <w:bookmarkStart w:id="9" w:name="OLE_LINK4"/>
      <w:r w:rsidRPr="00197A8D">
        <w:rPr>
          <w:color w:val="000000" w:themeColor="text1"/>
          <w:lang w:val="es"/>
        </w:rPr>
        <w:t>Association des Etablissements cantonaux d’Assurance Incendie</w:t>
      </w:r>
      <w:bookmarkEnd w:id="8"/>
      <w:bookmarkEnd w:id="9"/>
      <w:r w:rsidRPr="00197A8D">
        <w:rPr>
          <w:color w:val="000000" w:themeColor="text1"/>
          <w:lang w:val="es"/>
        </w:rPr>
        <w:t>", la OMPI instalará puertas o muros cortafuegos en el edificio GB para contener el avance de incendios y humos.  Esta actualización asegurará también la alineación con las directrices de seguridad del sistema de gestión de la seguridad de las Naciones Unidas</w:t>
      </w:r>
      <w:r w:rsidR="00822607" w:rsidRPr="00197A8D">
        <w:rPr>
          <w:color w:val="000000" w:themeColor="text1"/>
          <w:lang w:val="es"/>
        </w:rPr>
        <w:t>.</w:t>
      </w:r>
    </w:p>
    <w:p w:rsidR="003765F9" w:rsidRPr="00197A8D" w:rsidRDefault="003765F9" w:rsidP="003765F9">
      <w:pPr>
        <w:pStyle w:val="Heading3"/>
        <w:spacing w:before="0" w:after="0"/>
        <w:rPr>
          <w:rFonts w:eastAsia="Times New Roman"/>
          <w:color w:val="000000" w:themeColor="text1"/>
        </w:rPr>
      </w:pPr>
    </w:p>
    <w:p w:rsidR="003765F9" w:rsidRPr="00197A8D" w:rsidRDefault="003765F9" w:rsidP="003765F9">
      <w:pPr>
        <w:pStyle w:val="Heading3"/>
        <w:rPr>
          <w:rFonts w:eastAsia="Times New Roman"/>
          <w:color w:val="000000" w:themeColor="text1"/>
        </w:rPr>
      </w:pPr>
      <w:r w:rsidRPr="00197A8D">
        <w:rPr>
          <w:rFonts w:eastAsia="Times New Roman"/>
          <w:bCs w:val="0"/>
          <w:color w:val="000000" w:themeColor="text1"/>
          <w:lang w:val="es"/>
        </w:rPr>
        <w:t>Alineación de la gestió</w:t>
      </w:r>
      <w:r w:rsidR="00CE4C88" w:rsidRPr="00197A8D">
        <w:rPr>
          <w:rFonts w:eastAsia="Times New Roman"/>
          <w:bCs w:val="0"/>
          <w:color w:val="000000" w:themeColor="text1"/>
          <w:lang w:val="es"/>
        </w:rPr>
        <w:t>n de la seguridad física en la s</w:t>
      </w:r>
      <w:r w:rsidRPr="00197A8D">
        <w:rPr>
          <w:rFonts w:eastAsia="Times New Roman"/>
          <w:bCs w:val="0"/>
          <w:color w:val="000000" w:themeColor="text1"/>
          <w:lang w:val="es"/>
        </w:rPr>
        <w:t xml:space="preserve">ede con la política del sistema de gestión de la seguridad de Naciones Unidas y riesgos detectados </w:t>
      </w:r>
    </w:p>
    <w:p w:rsidR="003765F9" w:rsidRPr="00197A8D" w:rsidRDefault="003765F9" w:rsidP="003765F9">
      <w:pPr>
        <w:ind w:left="567"/>
        <w:rPr>
          <w:rFonts w:eastAsiaTheme="minorHAnsi"/>
          <w:color w:val="000000" w:themeColor="text1"/>
        </w:rPr>
      </w:pPr>
    </w:p>
    <w:p w:rsidR="00822607" w:rsidRPr="00197A8D" w:rsidRDefault="003765F9" w:rsidP="003765F9">
      <w:pPr>
        <w:rPr>
          <w:color w:val="000000" w:themeColor="text1"/>
          <w:lang w:val="es"/>
        </w:rPr>
      </w:pPr>
      <w:r w:rsidRPr="00197A8D">
        <w:rPr>
          <w:color w:val="000000" w:themeColor="text1"/>
          <w:lang w:val="es"/>
        </w:rPr>
        <w:t xml:space="preserve">Ante la evolución de las amenazas a la seguridad en Europa y los actuales riesgos con los que se enfrenta la </w:t>
      </w:r>
      <w:r w:rsidR="00CE4C88" w:rsidRPr="00197A8D">
        <w:rPr>
          <w:color w:val="000000" w:themeColor="text1"/>
          <w:lang w:val="es"/>
        </w:rPr>
        <w:t>O</w:t>
      </w:r>
      <w:r w:rsidRPr="00197A8D">
        <w:rPr>
          <w:color w:val="000000" w:themeColor="text1"/>
          <w:lang w:val="es"/>
        </w:rPr>
        <w:t xml:space="preserve">rganización de las Naciones Unidas, articulados en la evaluación de riesgos para la seguridad en Suiza de las Naciones Unidas, se requiere una mitigación constante con una inversión en infraestructura </w:t>
      </w:r>
      <w:r w:rsidR="00CE4C88" w:rsidRPr="00197A8D">
        <w:rPr>
          <w:color w:val="000000" w:themeColor="text1"/>
          <w:lang w:val="es"/>
        </w:rPr>
        <w:t xml:space="preserve">esencial </w:t>
      </w:r>
      <w:r w:rsidRPr="00197A8D">
        <w:rPr>
          <w:color w:val="000000" w:themeColor="text1"/>
          <w:lang w:val="es"/>
        </w:rPr>
        <w:t>de seguridad y vigilancia.  Ello incluye la ejecución por fases de zonas de contención de amenazas, sistemas de bloqueo dinámicos, acristalamiento protecto</w:t>
      </w:r>
      <w:r w:rsidR="00822607" w:rsidRPr="00197A8D">
        <w:rPr>
          <w:color w:val="000000" w:themeColor="text1"/>
          <w:lang w:val="es"/>
        </w:rPr>
        <w:t>r d</w:t>
      </w:r>
      <w:r w:rsidR="00CE4C88" w:rsidRPr="00197A8D">
        <w:rPr>
          <w:color w:val="000000" w:themeColor="text1"/>
          <w:lang w:val="es"/>
        </w:rPr>
        <w:t xml:space="preserve">e ventanas </w:t>
      </w:r>
      <w:r w:rsidRPr="00197A8D">
        <w:rPr>
          <w:color w:val="000000" w:themeColor="text1"/>
          <w:lang w:val="es"/>
        </w:rPr>
        <w:t xml:space="preserve">y </w:t>
      </w:r>
      <w:r w:rsidR="00CE4C88" w:rsidRPr="00197A8D">
        <w:rPr>
          <w:color w:val="000000" w:themeColor="text1"/>
          <w:lang w:val="es"/>
        </w:rPr>
        <w:t xml:space="preserve">establecimiento de </w:t>
      </w:r>
      <w:r w:rsidRPr="00197A8D">
        <w:rPr>
          <w:color w:val="000000" w:themeColor="text1"/>
          <w:lang w:val="es"/>
        </w:rPr>
        <w:t>refugios seguros, en un primer momento, en dos edificios de la OMPI</w:t>
      </w:r>
      <w:r w:rsidR="00822607" w:rsidRPr="00197A8D">
        <w:rPr>
          <w:color w:val="000000" w:themeColor="text1"/>
          <w:lang w:val="es"/>
        </w:rPr>
        <w:t>.</w:t>
      </w:r>
    </w:p>
    <w:p w:rsidR="003765F9" w:rsidRPr="00197A8D" w:rsidRDefault="003765F9" w:rsidP="003765F9">
      <w:pPr>
        <w:ind w:left="567" w:hanging="567"/>
        <w:rPr>
          <w:rFonts w:eastAsiaTheme="minorHAnsi"/>
        </w:rPr>
      </w:pPr>
    </w:p>
    <w:p w:rsidR="003765F9" w:rsidRPr="00197A8D" w:rsidRDefault="003765F9" w:rsidP="003765F9">
      <w:pPr>
        <w:keepNext/>
        <w:keepLines/>
        <w:rPr>
          <w:bCs/>
          <w:i/>
        </w:rPr>
      </w:pPr>
    </w:p>
    <w:p w:rsidR="003765F9" w:rsidRPr="00197A8D" w:rsidRDefault="003765F9" w:rsidP="003765F9">
      <w:pPr>
        <w:keepNext/>
        <w:keepLines/>
        <w:rPr>
          <w:bCs/>
          <w:i/>
        </w:rPr>
      </w:pPr>
      <w:r w:rsidRPr="00197A8D">
        <w:rPr>
          <w:i/>
          <w:iCs/>
          <w:lang w:val="es"/>
        </w:rPr>
        <w:t>Factores determinantes</w:t>
      </w:r>
    </w:p>
    <w:p w:rsidR="003765F9" w:rsidRPr="00197A8D" w:rsidRDefault="003765F9" w:rsidP="003765F9">
      <w:pPr>
        <w:keepNext/>
        <w:keepLines/>
      </w:pPr>
    </w:p>
    <w:p w:rsidR="003765F9" w:rsidRPr="00197A8D" w:rsidRDefault="003765F9" w:rsidP="003765F9">
      <w:pPr>
        <w:rPr>
          <w:i/>
        </w:rPr>
      </w:pPr>
      <w:r w:rsidRPr="00197A8D">
        <w:rPr>
          <w:i/>
          <w:iCs/>
          <w:lang w:val="es"/>
        </w:rPr>
        <w:t>Aseguramiento de la información, seguridad y vigilancia</w:t>
      </w:r>
      <w:proofErr w:type="gramStart"/>
      <w:r w:rsidRPr="00197A8D">
        <w:rPr>
          <w:lang w:val="es"/>
        </w:rPr>
        <w:t>:  velar</w:t>
      </w:r>
      <w:proofErr w:type="gramEnd"/>
      <w:r w:rsidRPr="00197A8D">
        <w:rPr>
          <w:lang w:val="es"/>
        </w:rPr>
        <w:t xml:space="preserve"> por que el sistema de gestión de la seguridad de la OMPI siga respondiendo a las necesidades, se mantenga al día con las mejores prácticas del sector y se ajuste a los riesgos detectados respecto de amenazas externas a la seguridad.</w:t>
      </w:r>
    </w:p>
    <w:p w:rsidR="003765F9" w:rsidRPr="00197A8D" w:rsidRDefault="003765F9" w:rsidP="003765F9">
      <w:pPr>
        <w:rPr>
          <w:i/>
        </w:rPr>
      </w:pPr>
    </w:p>
    <w:p w:rsidR="00822607" w:rsidRPr="00197A8D" w:rsidRDefault="003765F9" w:rsidP="003765F9">
      <w:pPr>
        <w:rPr>
          <w:lang w:val="es"/>
        </w:rPr>
      </w:pPr>
      <w:r w:rsidRPr="00197A8D">
        <w:rPr>
          <w:i/>
          <w:iCs/>
          <w:lang w:val="es"/>
        </w:rPr>
        <w:t>Normativa</w:t>
      </w:r>
      <w:proofErr w:type="gramStart"/>
      <w:r w:rsidRPr="00197A8D">
        <w:rPr>
          <w:lang w:val="es"/>
        </w:rPr>
        <w:t>:  velar</w:t>
      </w:r>
      <w:proofErr w:type="gramEnd"/>
      <w:r w:rsidRPr="00197A8D">
        <w:rPr>
          <w:lang w:val="es"/>
        </w:rPr>
        <w:t xml:space="preserve"> por que las instalaciones de la OMPI mantengan su conformidad con las políticas y normativas pertinentes del sistema de gestión de la seguridad de las Naciones Unidas, la legislación federal del país de acogida y los reglamentos locales de Ginebra en materia de seguridad y protección contra incendios</w:t>
      </w:r>
      <w:r w:rsidR="00822607" w:rsidRPr="00197A8D">
        <w:rPr>
          <w:lang w:val="es"/>
        </w:rPr>
        <w:t>.</w:t>
      </w:r>
    </w:p>
    <w:p w:rsidR="003765F9" w:rsidRPr="00197A8D" w:rsidRDefault="003765F9" w:rsidP="003765F9">
      <w:pPr>
        <w:rPr>
          <w:i/>
        </w:rPr>
      </w:pPr>
    </w:p>
    <w:p w:rsidR="00822607" w:rsidRPr="00197A8D" w:rsidRDefault="003765F9" w:rsidP="003765F9">
      <w:pPr>
        <w:rPr>
          <w:lang w:val="es"/>
        </w:rPr>
      </w:pPr>
      <w:r w:rsidRPr="00197A8D">
        <w:rPr>
          <w:i/>
          <w:iCs/>
          <w:lang w:val="es"/>
        </w:rPr>
        <w:t>Eficacia en función de los costos</w:t>
      </w:r>
      <w:proofErr w:type="gramStart"/>
      <w:r w:rsidRPr="00197A8D">
        <w:rPr>
          <w:i/>
          <w:iCs/>
          <w:lang w:val="es"/>
        </w:rPr>
        <w:t xml:space="preserve">:  </w:t>
      </w:r>
      <w:r w:rsidRPr="00197A8D">
        <w:rPr>
          <w:lang w:val="es"/>
        </w:rPr>
        <w:t>Con</w:t>
      </w:r>
      <w:proofErr w:type="gramEnd"/>
      <w:r w:rsidRPr="00197A8D">
        <w:rPr>
          <w:lang w:val="es"/>
        </w:rPr>
        <w:t xml:space="preserve"> la alineación de las obras físicas y otras iniciativas del plan maestro de mejoras de infraestructura, se reducirán al mínimo los períodos de interrupción y se optimizará la eficacia del gasto con un proyecto común para la gestión de servicios y la ejecución de las obras</w:t>
      </w:r>
      <w:r w:rsidR="00822607" w:rsidRPr="00197A8D">
        <w:rPr>
          <w:lang w:val="es"/>
        </w:rPr>
        <w:t>.</w:t>
      </w:r>
    </w:p>
    <w:p w:rsidR="003765F9" w:rsidRPr="00197A8D" w:rsidRDefault="003765F9" w:rsidP="003765F9"/>
    <w:p w:rsidR="003765F9" w:rsidRPr="00197A8D" w:rsidRDefault="003765F9" w:rsidP="003765F9">
      <w:r w:rsidRPr="00197A8D">
        <w:rPr>
          <w:lang w:val="es"/>
        </w:rPr>
        <w:t>El proyecto cumple los requisitos para la utilización de reservas puesto que financiará una importante rehabilitación y renovación de edificios con un proyecto no recurrente.</w:t>
      </w:r>
    </w:p>
    <w:p w:rsidR="003765F9" w:rsidRPr="00197A8D" w:rsidRDefault="003765F9" w:rsidP="003765F9"/>
    <w:p w:rsidR="003765F9" w:rsidRPr="00197A8D" w:rsidRDefault="003765F9" w:rsidP="003765F9">
      <w:pPr>
        <w:tabs>
          <w:tab w:val="left" w:pos="5670"/>
        </w:tabs>
      </w:pPr>
    </w:p>
    <w:p w:rsidR="00A06E57" w:rsidRPr="00197A8D" w:rsidRDefault="003765F9" w:rsidP="003765F9">
      <w:pPr>
        <w:pStyle w:val="Endofdocument-Annex"/>
        <w:rPr>
          <w:strike/>
          <w:lang w:val="es-ES"/>
        </w:rPr>
      </w:pPr>
      <w:r w:rsidRPr="00197A8D">
        <w:rPr>
          <w:lang w:val="es"/>
        </w:rPr>
        <w:t>[Sigue el Anexo VIII</w:t>
      </w:r>
    </w:p>
    <w:p w:rsidR="00A06E57" w:rsidRPr="00197A8D" w:rsidRDefault="00A06E57" w:rsidP="002E02E7">
      <w:pPr>
        <w:rPr>
          <w:strike/>
        </w:rPr>
      </w:pPr>
    </w:p>
    <w:p w:rsidR="00A06E57" w:rsidRPr="00197A8D" w:rsidRDefault="00A06E57" w:rsidP="002E02E7">
      <w:pPr>
        <w:rPr>
          <w:strike/>
        </w:rPr>
        <w:sectPr w:rsidR="00A06E57" w:rsidRPr="00197A8D" w:rsidSect="009F11FD">
          <w:headerReference w:type="default" r:id="rId26"/>
          <w:headerReference w:type="first" r:id="rId27"/>
          <w:pgSz w:w="11907" w:h="16840" w:code="9"/>
          <w:pgMar w:top="567" w:right="1134" w:bottom="1418" w:left="1418" w:header="510" w:footer="1021" w:gutter="0"/>
          <w:pgNumType w:start="1"/>
          <w:cols w:space="720"/>
          <w:titlePg/>
          <w:docGrid w:linePitch="299"/>
        </w:sectPr>
      </w:pPr>
    </w:p>
    <w:p w:rsidR="00A06E57" w:rsidRPr="00197A8D" w:rsidRDefault="003765F9" w:rsidP="002E02E7">
      <w:pPr>
        <w:pStyle w:val="Heading1"/>
        <w:keepNext w:val="0"/>
        <w:spacing w:before="0"/>
        <w:rPr>
          <w:strike/>
          <w:lang w:val="en-US"/>
        </w:rPr>
      </w:pPr>
      <w:r w:rsidRPr="00197A8D">
        <w:rPr>
          <w:lang w:val="es"/>
        </w:rPr>
        <w:lastRenderedPageBreak/>
        <w:t>ANEXO VIII</w:t>
      </w:r>
      <w:proofErr w:type="gramStart"/>
      <w:r w:rsidRPr="00197A8D">
        <w:rPr>
          <w:lang w:val="es"/>
        </w:rPr>
        <w:t>:  PLAN</w:t>
      </w:r>
      <w:proofErr w:type="gramEnd"/>
      <w:r w:rsidRPr="00197A8D">
        <w:rPr>
          <w:lang w:val="es"/>
        </w:rPr>
        <w:t xml:space="preserve"> MAESTRO DE MEJORAS DE INFRAESTRUCTURA EN MATERIA DE LOCALES, SEGURIDAD Y VIGILANCIA EN EL PERÍOD</w:t>
      </w:r>
      <w:r w:rsidR="00197A8D" w:rsidRPr="00197A8D">
        <w:rPr>
          <w:lang w:val="es"/>
        </w:rPr>
        <w:t>O 2</w:t>
      </w:r>
      <w:r w:rsidRPr="00197A8D">
        <w:rPr>
          <w:lang w:val="es"/>
        </w:rPr>
        <w:t>018-2027</w:t>
      </w:r>
    </w:p>
    <w:p w:rsidR="00A06E57" w:rsidRPr="00197A8D" w:rsidRDefault="00A06E57" w:rsidP="002E02E7">
      <w:pPr>
        <w:tabs>
          <w:tab w:val="left" w:pos="15876"/>
        </w:tabs>
        <w:rPr>
          <w:strike/>
          <w:sz w:val="12"/>
          <w:szCs w:val="12"/>
          <w:lang w:val="en-US"/>
        </w:rPr>
      </w:pPr>
    </w:p>
    <w:p w:rsidR="00A06E57" w:rsidRPr="00197A8D" w:rsidRDefault="003765F9" w:rsidP="002E02E7">
      <w:pPr>
        <w:rPr>
          <w:strike/>
          <w:sz w:val="16"/>
          <w:szCs w:val="16"/>
        </w:rPr>
      </w:pPr>
      <w:r w:rsidRPr="00197A8D">
        <w:rPr>
          <w:noProof/>
          <w:lang w:val="en-US" w:eastAsia="en-US"/>
        </w:rPr>
        <w:drawing>
          <wp:inline distT="0" distB="0" distL="0" distR="0" wp14:anchorId="4443F599" wp14:editId="7E31B742">
            <wp:extent cx="8894383" cy="5582093"/>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908927" cy="5591221"/>
                    </a:xfrm>
                    <a:prstGeom prst="rect">
                      <a:avLst/>
                    </a:prstGeom>
                    <a:noFill/>
                    <a:ln>
                      <a:noFill/>
                    </a:ln>
                  </pic:spPr>
                </pic:pic>
              </a:graphicData>
            </a:graphic>
          </wp:inline>
        </w:drawing>
      </w:r>
    </w:p>
    <w:p w:rsidR="00A06E57" w:rsidRPr="0049355C" w:rsidRDefault="003765F9" w:rsidP="003765F9">
      <w:pPr>
        <w:pStyle w:val="Endofdocument-Annex"/>
        <w:spacing w:before="120"/>
        <w:ind w:left="10348"/>
        <w:rPr>
          <w:strike/>
        </w:rPr>
      </w:pPr>
      <w:r w:rsidRPr="00197A8D">
        <w:rPr>
          <w:lang w:val="es"/>
        </w:rPr>
        <w:t>[Fin del Anexo VIII y del documento]</w:t>
      </w:r>
    </w:p>
    <w:sectPr w:rsidR="00A06E57" w:rsidRPr="0049355C" w:rsidSect="00D01AC1">
      <w:headerReference w:type="first" r:id="rId29"/>
      <w:pgSz w:w="16840" w:h="11907" w:orient="landscape" w:code="9"/>
      <w:pgMar w:top="426" w:right="567" w:bottom="709"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1E1" w:rsidRDefault="00AF21E1">
      <w:r>
        <w:separator/>
      </w:r>
    </w:p>
  </w:endnote>
  <w:endnote w:type="continuationSeparator" w:id="0">
    <w:p w:rsidR="00AF21E1" w:rsidRPr="009D30E6" w:rsidRDefault="00AF21E1" w:rsidP="007E663E">
      <w:pPr>
        <w:rPr>
          <w:sz w:val="17"/>
          <w:szCs w:val="17"/>
        </w:rPr>
      </w:pPr>
      <w:r>
        <w:rPr>
          <w:sz w:val="17"/>
          <w:szCs w:val="17"/>
        </w:rPr>
        <w:separator/>
      </w:r>
    </w:p>
    <w:p w:rsidR="00AF21E1" w:rsidRPr="007E663E" w:rsidRDefault="00AF21E1" w:rsidP="007E663E">
      <w:pPr>
        <w:spacing w:after="60"/>
        <w:rPr>
          <w:sz w:val="17"/>
          <w:szCs w:val="17"/>
        </w:rPr>
      </w:pPr>
      <w:r>
        <w:rPr>
          <w:sz w:val="17"/>
        </w:rPr>
        <w:t>[Continuación de la nota de la página anterior]</w:t>
      </w:r>
    </w:p>
  </w:endnote>
  <w:endnote w:type="continuationNotice" w:id="1">
    <w:p w:rsidR="00AF21E1" w:rsidRPr="007E663E" w:rsidRDefault="00AF21E1" w:rsidP="007E663E">
      <w:pPr>
        <w:spacing w:before="60"/>
        <w:jc w:val="right"/>
        <w:rPr>
          <w:sz w:val="17"/>
          <w:szCs w:val="17"/>
        </w:rPr>
      </w:pPr>
      <w:r>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1E1" w:rsidRDefault="00AF21E1">
      <w:r>
        <w:separator/>
      </w:r>
    </w:p>
  </w:footnote>
  <w:footnote w:type="continuationSeparator" w:id="0">
    <w:p w:rsidR="00AF21E1" w:rsidRPr="009D30E6" w:rsidRDefault="00AF21E1" w:rsidP="007E663E">
      <w:pPr>
        <w:rPr>
          <w:sz w:val="17"/>
          <w:szCs w:val="17"/>
        </w:rPr>
      </w:pPr>
      <w:r>
        <w:rPr>
          <w:sz w:val="17"/>
          <w:szCs w:val="17"/>
        </w:rPr>
        <w:separator/>
      </w:r>
    </w:p>
    <w:p w:rsidR="00AF21E1" w:rsidRPr="007E663E" w:rsidRDefault="00AF21E1" w:rsidP="007E663E">
      <w:pPr>
        <w:spacing w:after="60"/>
        <w:rPr>
          <w:sz w:val="17"/>
          <w:szCs w:val="17"/>
        </w:rPr>
      </w:pPr>
      <w:r>
        <w:rPr>
          <w:sz w:val="17"/>
        </w:rPr>
        <w:t>[Continuación de la nota de la página anterior]</w:t>
      </w:r>
    </w:p>
  </w:footnote>
  <w:footnote w:type="continuationNotice" w:id="1">
    <w:p w:rsidR="00AF21E1" w:rsidRPr="007E663E" w:rsidRDefault="00AF21E1" w:rsidP="007E663E">
      <w:pPr>
        <w:spacing w:before="60"/>
        <w:jc w:val="right"/>
        <w:rPr>
          <w:sz w:val="17"/>
          <w:szCs w:val="17"/>
        </w:rPr>
      </w:pPr>
      <w:r>
        <w:rPr>
          <w:sz w:val="17"/>
          <w:szCs w:val="17"/>
        </w:rPr>
        <w:t>[Sigue la nota en la página siguiente]</w:t>
      </w:r>
    </w:p>
  </w:footnote>
  <w:footnote w:id="2">
    <w:p w:rsidR="00AF21E1" w:rsidRPr="002C162A" w:rsidRDefault="00AF21E1" w:rsidP="002C162A">
      <w:pPr>
        <w:pStyle w:val="FootnoteText"/>
        <w:rPr>
          <w:lang w:val="es-UY"/>
        </w:rPr>
      </w:pPr>
      <w:r>
        <w:rPr>
          <w:rStyle w:val="FootnoteReference"/>
        </w:rPr>
        <w:footnoteRef/>
      </w:r>
      <w:r w:rsidRPr="002C162A">
        <w:rPr>
          <w:lang w:val="es-UY"/>
        </w:rPr>
        <w:t xml:space="preserve"> Véase el documento WO/PBC/15/7 Rev.</w:t>
      </w:r>
    </w:p>
  </w:footnote>
  <w:footnote w:id="3">
    <w:p w:rsidR="00AF21E1" w:rsidRDefault="00AF21E1" w:rsidP="00A06E57">
      <w:pPr>
        <w:pStyle w:val="FootnoteText"/>
      </w:pPr>
      <w:r>
        <w:rPr>
          <w:rStyle w:val="FootnoteReference"/>
        </w:rPr>
        <w:footnoteRef/>
      </w:r>
      <w:r>
        <w:t xml:space="preserve"> Véase el documento WO/PBC/23/8.</w:t>
      </w:r>
    </w:p>
  </w:footnote>
  <w:footnote w:id="4">
    <w:p w:rsidR="00AF21E1" w:rsidRPr="00CA458E" w:rsidRDefault="00AF21E1" w:rsidP="00A06E57">
      <w:pPr>
        <w:pStyle w:val="FootnoteText"/>
      </w:pPr>
      <w:r>
        <w:rPr>
          <w:rStyle w:val="FootnoteReference"/>
        </w:rPr>
        <w:footnoteRef/>
      </w:r>
      <w:r>
        <w:t xml:space="preserve"> </w:t>
      </w:r>
      <w:r>
        <w:rPr>
          <w:i/>
          <w:iCs/>
          <w:sz w:val="16"/>
          <w:szCs w:val="16"/>
        </w:rPr>
        <w:t>La previsión n</w:t>
      </w:r>
      <w:r>
        <w:rPr>
          <w:i/>
          <w:iCs/>
          <w:color w:val="000000"/>
          <w:sz w:val="16"/>
          <w:szCs w:val="16"/>
        </w:rPr>
        <w:t>o tiene en cuenta el resultado global previsto tras el gasto de la reserva para 2017, que asciende a 24,3 millones de francos suizos</w:t>
      </w:r>
    </w:p>
  </w:footnote>
  <w:footnote w:id="5">
    <w:p w:rsidR="00AF21E1" w:rsidRDefault="00AF21E1" w:rsidP="00A06E57">
      <w:pPr>
        <w:pStyle w:val="FootnoteText"/>
      </w:pPr>
      <w:r>
        <w:rPr>
          <w:rStyle w:val="FootnoteReference"/>
        </w:rPr>
        <w:footnoteRef/>
      </w:r>
      <w:r>
        <w:t xml:space="preserve"> Documento WO/PBC/23/8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1E1" w:rsidRDefault="00AF21E1" w:rsidP="00477D6B">
    <w:pPr>
      <w:jc w:val="right"/>
    </w:pPr>
    <w:bookmarkStart w:id="5" w:name="Code2"/>
    <w:bookmarkEnd w:id="5"/>
    <w:r>
      <w:t>WO/PBC/26/9</w:t>
    </w:r>
  </w:p>
  <w:p w:rsidR="00AF21E1" w:rsidRDefault="00AF21E1" w:rsidP="00477D6B">
    <w:pPr>
      <w:jc w:val="right"/>
    </w:pPr>
    <w:proofErr w:type="gramStart"/>
    <w:r>
      <w:t>página</w:t>
    </w:r>
    <w:proofErr w:type="gramEnd"/>
    <w:r>
      <w:t xml:space="preserve"> </w:t>
    </w:r>
    <w:r>
      <w:fldChar w:fldCharType="begin"/>
    </w:r>
    <w:r>
      <w:instrText xml:space="preserve"> PAGE  \* MERGEFORMAT </w:instrText>
    </w:r>
    <w:r>
      <w:fldChar w:fldCharType="separate"/>
    </w:r>
    <w:r w:rsidR="00430BC5">
      <w:rPr>
        <w:noProof/>
      </w:rPr>
      <w:t>3</w:t>
    </w:r>
    <w:r>
      <w:fldChar w:fldCharType="end"/>
    </w:r>
  </w:p>
  <w:p w:rsidR="00AF21E1" w:rsidRDefault="00AF21E1"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1E1" w:rsidRDefault="00AF21E1" w:rsidP="002E02E7">
    <w:pPr>
      <w:jc w:val="right"/>
    </w:pPr>
    <w:r>
      <w:t>WO/PBC/26/9</w:t>
    </w:r>
  </w:p>
  <w:p w:rsidR="00AF21E1" w:rsidRDefault="00AF21E1" w:rsidP="002E02E7">
    <w:pPr>
      <w:pStyle w:val="Header"/>
      <w:jc w:val="right"/>
    </w:pPr>
    <w:r>
      <w:t>ANEXO V</w:t>
    </w:r>
  </w:p>
  <w:p w:rsidR="00AF21E1" w:rsidRDefault="00AF21E1" w:rsidP="002E02E7">
    <w:pPr>
      <w:pStyle w:val="Heade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1E1" w:rsidRPr="0004621A" w:rsidRDefault="00AF21E1" w:rsidP="002E02E7">
    <w:pPr>
      <w:jc w:val="right"/>
    </w:pPr>
    <w:r>
      <w:t>WO/PBC/26/9</w:t>
    </w:r>
  </w:p>
  <w:p w:rsidR="00AF21E1" w:rsidRPr="0004621A" w:rsidRDefault="00AF21E1" w:rsidP="002E02E7">
    <w:pPr>
      <w:pStyle w:val="Header"/>
      <w:jc w:val="right"/>
    </w:pPr>
    <w:r>
      <w:t xml:space="preserve">Anexo VI, página </w:t>
    </w:r>
    <w:r>
      <w:fldChar w:fldCharType="begin"/>
    </w:r>
    <w:r>
      <w:instrText xml:space="preserve"> PAGE   \* MERGEFORMAT </w:instrText>
    </w:r>
    <w:r>
      <w:fldChar w:fldCharType="separate"/>
    </w:r>
    <w:r w:rsidR="00430BC5">
      <w:rPr>
        <w:noProof/>
      </w:rPr>
      <w:t>2</w:t>
    </w:r>
    <w:r>
      <w:rPr>
        <w:noProof/>
      </w:rPr>
      <w:fldChar w:fldCharType="end"/>
    </w:r>
  </w:p>
  <w:p w:rsidR="00AF21E1" w:rsidRPr="0004621A" w:rsidRDefault="00AF21E1" w:rsidP="002E02E7">
    <w:pPr>
      <w:pStyle w:val="Heade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1E1" w:rsidRDefault="00AF21E1" w:rsidP="002E02E7">
    <w:pPr>
      <w:jc w:val="right"/>
    </w:pPr>
    <w:r>
      <w:t>WO/PBC/26/9</w:t>
    </w:r>
  </w:p>
  <w:p w:rsidR="00AF21E1" w:rsidRDefault="00AF21E1" w:rsidP="002E02E7">
    <w:pPr>
      <w:pStyle w:val="Header"/>
      <w:jc w:val="right"/>
    </w:pPr>
    <w:r>
      <w:t>ANEXO VI</w:t>
    </w:r>
  </w:p>
  <w:p w:rsidR="00AF21E1" w:rsidRDefault="00AF21E1" w:rsidP="002E02E7">
    <w:pPr>
      <w:pStyle w:val="Header"/>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1FD" w:rsidRPr="0004621A" w:rsidRDefault="009F11FD" w:rsidP="002E02E7">
    <w:pPr>
      <w:jc w:val="right"/>
    </w:pPr>
    <w:r>
      <w:t>WO/PBC/26/9</w:t>
    </w:r>
  </w:p>
  <w:p w:rsidR="009F11FD" w:rsidRPr="0004621A" w:rsidRDefault="009F11FD" w:rsidP="002E02E7">
    <w:pPr>
      <w:pStyle w:val="Header"/>
      <w:jc w:val="right"/>
    </w:pPr>
    <w:r>
      <w:t xml:space="preserve">Anexo VII, página </w:t>
    </w:r>
    <w:r>
      <w:fldChar w:fldCharType="begin"/>
    </w:r>
    <w:r>
      <w:instrText xml:space="preserve"> PAGE   \* MERGEFORMAT </w:instrText>
    </w:r>
    <w:r>
      <w:fldChar w:fldCharType="separate"/>
    </w:r>
    <w:r w:rsidR="00430BC5">
      <w:rPr>
        <w:noProof/>
      </w:rPr>
      <w:t>2</w:t>
    </w:r>
    <w:r>
      <w:rPr>
        <w:noProof/>
      </w:rPr>
      <w:fldChar w:fldCharType="end"/>
    </w:r>
  </w:p>
  <w:p w:rsidR="009F11FD" w:rsidRPr="0004621A" w:rsidRDefault="009F11FD" w:rsidP="002E02E7">
    <w:pPr>
      <w:pStyle w:val="Header"/>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1E1" w:rsidRDefault="00AF21E1" w:rsidP="002E02E7">
    <w:pPr>
      <w:jc w:val="right"/>
    </w:pPr>
    <w:r>
      <w:t>WO/PBC/26/9</w:t>
    </w:r>
  </w:p>
  <w:p w:rsidR="00AF21E1" w:rsidRDefault="00AF21E1" w:rsidP="002E02E7">
    <w:pPr>
      <w:pStyle w:val="Header"/>
      <w:jc w:val="right"/>
    </w:pPr>
    <w:r>
      <w:t>ANEXO VII</w:t>
    </w:r>
  </w:p>
  <w:p w:rsidR="00AF21E1" w:rsidRDefault="00AF21E1" w:rsidP="002E02E7">
    <w:pPr>
      <w:pStyle w:val="Header"/>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1E1" w:rsidRDefault="00AF21E1" w:rsidP="002E02E7">
    <w:pPr>
      <w:jc w:val="right"/>
    </w:pPr>
    <w:r>
      <w:t>WO/PBC/26/9</w:t>
    </w:r>
  </w:p>
  <w:p w:rsidR="00AF21E1" w:rsidRDefault="00AF21E1" w:rsidP="002E02E7">
    <w:pPr>
      <w:pStyle w:val="Header"/>
      <w:jc w:val="right"/>
    </w:pPr>
    <w:r>
      <w:t>ANEXO VIII</w:t>
    </w:r>
  </w:p>
  <w:p w:rsidR="00AF21E1" w:rsidRPr="003765F9" w:rsidRDefault="00AF21E1" w:rsidP="002E02E7">
    <w:pPr>
      <w:pStyle w:val="Header"/>
      <w:jc w:val="right"/>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1E1" w:rsidRDefault="00AF21E1" w:rsidP="002E02E7">
    <w:pPr>
      <w:jc w:val="right"/>
    </w:pPr>
    <w:r>
      <w:t>WO/PBC/26/9</w:t>
    </w:r>
  </w:p>
  <w:p w:rsidR="00AF21E1" w:rsidRDefault="00AF21E1" w:rsidP="002E02E7">
    <w:pPr>
      <w:pStyle w:val="Header"/>
      <w:jc w:val="right"/>
    </w:pPr>
    <w:r>
      <w:t>ANEXO I</w:t>
    </w:r>
  </w:p>
  <w:p w:rsidR="00AF21E1" w:rsidRDefault="00AF21E1" w:rsidP="002E02E7">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1E1" w:rsidRDefault="00AF21E1" w:rsidP="00477D6B">
    <w:pPr>
      <w:jc w:val="right"/>
    </w:pPr>
    <w:r>
      <w:t>WO/PBC/26/9</w:t>
    </w:r>
  </w:p>
  <w:p w:rsidR="00AF21E1" w:rsidRDefault="00AF21E1" w:rsidP="00477D6B">
    <w:pPr>
      <w:jc w:val="right"/>
    </w:pPr>
    <w:r>
      <w:t xml:space="preserve">Anexo II, página </w:t>
    </w:r>
    <w:r>
      <w:fldChar w:fldCharType="begin"/>
    </w:r>
    <w:r>
      <w:instrText xml:space="preserve"> PAGE  \* MERGEFORMAT </w:instrText>
    </w:r>
    <w:r>
      <w:fldChar w:fldCharType="separate"/>
    </w:r>
    <w:r w:rsidR="00430BC5">
      <w:rPr>
        <w:noProof/>
      </w:rPr>
      <w:t>3</w:t>
    </w:r>
    <w:r>
      <w:fldChar w:fldCharType="end"/>
    </w:r>
  </w:p>
  <w:p w:rsidR="00AF21E1" w:rsidRDefault="00AF21E1"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1E1" w:rsidRDefault="00AF21E1" w:rsidP="002E02E7">
    <w:pPr>
      <w:jc w:val="right"/>
    </w:pPr>
    <w:r>
      <w:t>WO/PBC/26/9</w:t>
    </w:r>
  </w:p>
  <w:p w:rsidR="00AF21E1" w:rsidRDefault="00AF21E1" w:rsidP="002E02E7">
    <w:pPr>
      <w:pStyle w:val="Header"/>
      <w:jc w:val="right"/>
    </w:pPr>
    <w:r>
      <w:t>ANEXO II</w:t>
    </w:r>
  </w:p>
  <w:p w:rsidR="00AF21E1" w:rsidRDefault="00AF21E1" w:rsidP="002E02E7">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1E1" w:rsidRDefault="00AF21E1" w:rsidP="00477D6B">
    <w:pPr>
      <w:jc w:val="right"/>
    </w:pPr>
    <w:r>
      <w:t>WO/PBC/26/9</w:t>
    </w:r>
  </w:p>
  <w:p w:rsidR="00AF21E1" w:rsidRDefault="00AF21E1" w:rsidP="00477D6B">
    <w:pPr>
      <w:jc w:val="right"/>
    </w:pPr>
    <w:r>
      <w:t xml:space="preserve">Anexo III, página </w:t>
    </w:r>
    <w:r>
      <w:fldChar w:fldCharType="begin"/>
    </w:r>
    <w:r>
      <w:instrText xml:space="preserve"> PAGE  \* MERGEFORMAT </w:instrText>
    </w:r>
    <w:r>
      <w:fldChar w:fldCharType="separate"/>
    </w:r>
    <w:r w:rsidR="00430BC5">
      <w:rPr>
        <w:noProof/>
      </w:rPr>
      <w:t>2</w:t>
    </w:r>
    <w:r>
      <w:fldChar w:fldCharType="end"/>
    </w:r>
  </w:p>
  <w:p w:rsidR="00AF21E1" w:rsidRDefault="00AF21E1" w:rsidP="00477D6B">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1E1" w:rsidRDefault="00AF21E1" w:rsidP="002E02E7">
    <w:pPr>
      <w:jc w:val="right"/>
    </w:pPr>
    <w:r>
      <w:t>WO/PBC/26/9</w:t>
    </w:r>
  </w:p>
  <w:p w:rsidR="00AF21E1" w:rsidRDefault="00AF21E1" w:rsidP="002E02E7">
    <w:pPr>
      <w:pStyle w:val="Header"/>
      <w:jc w:val="right"/>
    </w:pPr>
    <w:r>
      <w:t>ANEXO III</w:t>
    </w:r>
  </w:p>
  <w:p w:rsidR="00AF21E1" w:rsidRDefault="00AF21E1" w:rsidP="002E02E7">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1E1" w:rsidRDefault="00AF21E1" w:rsidP="00477D6B">
    <w:pPr>
      <w:jc w:val="right"/>
    </w:pPr>
    <w:r>
      <w:t>WO/PBC/26/9</w:t>
    </w:r>
  </w:p>
  <w:p w:rsidR="00AF21E1" w:rsidRDefault="00AF21E1" w:rsidP="00477D6B">
    <w:pPr>
      <w:jc w:val="right"/>
    </w:pPr>
    <w:r>
      <w:t xml:space="preserve">Anexo IV, página </w:t>
    </w:r>
    <w:r>
      <w:fldChar w:fldCharType="begin"/>
    </w:r>
    <w:r>
      <w:instrText xml:space="preserve"> PAGE  \* MERGEFORMAT </w:instrText>
    </w:r>
    <w:r>
      <w:fldChar w:fldCharType="separate"/>
    </w:r>
    <w:r w:rsidR="00430BC5">
      <w:rPr>
        <w:noProof/>
      </w:rPr>
      <w:t>2</w:t>
    </w:r>
    <w:r>
      <w:fldChar w:fldCharType="end"/>
    </w:r>
  </w:p>
  <w:p w:rsidR="00AF21E1" w:rsidRDefault="00AF21E1" w:rsidP="00477D6B">
    <w:pP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1E1" w:rsidRDefault="00AF21E1" w:rsidP="002E02E7">
    <w:pPr>
      <w:jc w:val="right"/>
    </w:pPr>
    <w:r>
      <w:t>WO/PBC/26/9</w:t>
    </w:r>
  </w:p>
  <w:p w:rsidR="00AF21E1" w:rsidRDefault="00AF21E1" w:rsidP="002E02E7">
    <w:pPr>
      <w:pStyle w:val="Header"/>
      <w:jc w:val="right"/>
    </w:pPr>
    <w:r>
      <w:t>ANEXO IV</w:t>
    </w:r>
  </w:p>
  <w:p w:rsidR="00AF21E1" w:rsidRDefault="00AF21E1" w:rsidP="002E02E7">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1E1" w:rsidRPr="0004621A" w:rsidRDefault="00AF21E1" w:rsidP="002E02E7">
    <w:pPr>
      <w:jc w:val="right"/>
    </w:pPr>
    <w:r>
      <w:t>WO/PBC/26/9</w:t>
    </w:r>
  </w:p>
  <w:p w:rsidR="00AF21E1" w:rsidRPr="0004621A" w:rsidRDefault="00AF21E1" w:rsidP="002E02E7">
    <w:pPr>
      <w:pStyle w:val="Header"/>
      <w:jc w:val="right"/>
    </w:pPr>
    <w:r>
      <w:t xml:space="preserve">Anexo V, página </w:t>
    </w:r>
    <w:r>
      <w:fldChar w:fldCharType="begin"/>
    </w:r>
    <w:r>
      <w:instrText xml:space="preserve"> PAGE   \* MERGEFORMAT </w:instrText>
    </w:r>
    <w:r>
      <w:fldChar w:fldCharType="separate"/>
    </w:r>
    <w:r w:rsidR="00430BC5">
      <w:rPr>
        <w:noProof/>
      </w:rPr>
      <w:t>2</w:t>
    </w:r>
    <w:r>
      <w:rPr>
        <w:noProof/>
      </w:rPr>
      <w:fldChar w:fldCharType="end"/>
    </w:r>
  </w:p>
  <w:p w:rsidR="00AF21E1" w:rsidRPr="0004621A" w:rsidRDefault="00AF21E1" w:rsidP="002E02E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2BB164B"/>
    <w:multiLevelType w:val="hybridMultilevel"/>
    <w:tmpl w:val="1B3876BC"/>
    <w:lvl w:ilvl="0" w:tplc="3250B48C">
      <w:start w:val="1"/>
      <w:numFmt w:val="lowerRoman"/>
      <w:lvlText w:val="%1)"/>
      <w:lvlJc w:val="left"/>
      <w:pPr>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D85B20"/>
    <w:multiLevelType w:val="hybridMultilevel"/>
    <w:tmpl w:val="20780070"/>
    <w:lvl w:ilvl="0" w:tplc="7CC65126">
      <w:start w:val="1"/>
      <w:numFmt w:val="decimal"/>
      <w:lvlText w:val="%1."/>
      <w:lvlJc w:val="left"/>
      <w:pPr>
        <w:ind w:left="5748" w:hanging="360"/>
      </w:pPr>
      <w:rPr>
        <w:b w:val="0"/>
        <w:bCs w:val="0"/>
      </w:rPr>
    </w:lvl>
    <w:lvl w:ilvl="1" w:tplc="87984120">
      <w:start w:val="1"/>
      <w:numFmt w:val="lowerRoman"/>
      <w:lvlText w:val="(%2)"/>
      <w:lvlJc w:val="left"/>
      <w:pPr>
        <w:ind w:left="1440" w:hanging="360"/>
      </w:pPr>
      <w:rPr>
        <w:rFonts w:ascii="Arial" w:hAnsi="Arial" w:cs="Arial" w:hint="default"/>
        <w:sz w:val="21"/>
        <w:szCs w:val="21"/>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D03E7A"/>
    <w:multiLevelType w:val="hybridMultilevel"/>
    <w:tmpl w:val="1FDC9B30"/>
    <w:lvl w:ilvl="0" w:tplc="F78A101C">
      <w:numFmt w:val="bullet"/>
      <w:lvlText w:val="‒"/>
      <w:lvlJc w:val="left"/>
      <w:pPr>
        <w:ind w:left="720" w:hanging="360"/>
      </w:pPr>
      <w:rPr>
        <w:rFonts w:ascii="Arial" w:eastAsia="SimSun"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594C6A"/>
    <w:multiLevelType w:val="hybridMultilevel"/>
    <w:tmpl w:val="FE50C8F8"/>
    <w:lvl w:ilvl="0" w:tplc="DFEE2808">
      <w:start w:val="270"/>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EC512A0"/>
    <w:multiLevelType w:val="hybridMultilevel"/>
    <w:tmpl w:val="D74AC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2B1340"/>
    <w:multiLevelType w:val="hybridMultilevel"/>
    <w:tmpl w:val="52862DE6"/>
    <w:lvl w:ilvl="0" w:tplc="DFEE2808">
      <w:start w:val="270"/>
      <w:numFmt w:val="bullet"/>
      <w:lvlText w:val="-"/>
      <w:lvlJc w:val="left"/>
      <w:pPr>
        <w:ind w:left="778" w:hanging="360"/>
      </w:pPr>
      <w:rPr>
        <w:rFonts w:ascii="Arial" w:eastAsia="SimSun" w:hAnsi="Arial" w:cs="Arial" w:hint="default"/>
      </w:rPr>
    </w:lvl>
    <w:lvl w:ilvl="1" w:tplc="100C0003" w:tentative="1">
      <w:start w:val="1"/>
      <w:numFmt w:val="bullet"/>
      <w:lvlText w:val="o"/>
      <w:lvlJc w:val="left"/>
      <w:pPr>
        <w:ind w:left="1498" w:hanging="360"/>
      </w:pPr>
      <w:rPr>
        <w:rFonts w:ascii="Courier New" w:hAnsi="Courier New" w:cs="Courier New" w:hint="default"/>
      </w:rPr>
    </w:lvl>
    <w:lvl w:ilvl="2" w:tplc="100C0005" w:tentative="1">
      <w:start w:val="1"/>
      <w:numFmt w:val="bullet"/>
      <w:lvlText w:val=""/>
      <w:lvlJc w:val="left"/>
      <w:pPr>
        <w:ind w:left="2218" w:hanging="360"/>
      </w:pPr>
      <w:rPr>
        <w:rFonts w:ascii="Wingdings" w:hAnsi="Wingdings" w:hint="default"/>
      </w:rPr>
    </w:lvl>
    <w:lvl w:ilvl="3" w:tplc="100C0001" w:tentative="1">
      <w:start w:val="1"/>
      <w:numFmt w:val="bullet"/>
      <w:lvlText w:val=""/>
      <w:lvlJc w:val="left"/>
      <w:pPr>
        <w:ind w:left="2938" w:hanging="360"/>
      </w:pPr>
      <w:rPr>
        <w:rFonts w:ascii="Symbol" w:hAnsi="Symbol" w:hint="default"/>
      </w:rPr>
    </w:lvl>
    <w:lvl w:ilvl="4" w:tplc="100C0003" w:tentative="1">
      <w:start w:val="1"/>
      <w:numFmt w:val="bullet"/>
      <w:lvlText w:val="o"/>
      <w:lvlJc w:val="left"/>
      <w:pPr>
        <w:ind w:left="3658" w:hanging="360"/>
      </w:pPr>
      <w:rPr>
        <w:rFonts w:ascii="Courier New" w:hAnsi="Courier New" w:cs="Courier New" w:hint="default"/>
      </w:rPr>
    </w:lvl>
    <w:lvl w:ilvl="5" w:tplc="100C0005" w:tentative="1">
      <w:start w:val="1"/>
      <w:numFmt w:val="bullet"/>
      <w:lvlText w:val=""/>
      <w:lvlJc w:val="left"/>
      <w:pPr>
        <w:ind w:left="4378" w:hanging="360"/>
      </w:pPr>
      <w:rPr>
        <w:rFonts w:ascii="Wingdings" w:hAnsi="Wingdings" w:hint="default"/>
      </w:rPr>
    </w:lvl>
    <w:lvl w:ilvl="6" w:tplc="100C0001" w:tentative="1">
      <w:start w:val="1"/>
      <w:numFmt w:val="bullet"/>
      <w:lvlText w:val=""/>
      <w:lvlJc w:val="left"/>
      <w:pPr>
        <w:ind w:left="5098" w:hanging="360"/>
      </w:pPr>
      <w:rPr>
        <w:rFonts w:ascii="Symbol" w:hAnsi="Symbol" w:hint="default"/>
      </w:rPr>
    </w:lvl>
    <w:lvl w:ilvl="7" w:tplc="100C0003" w:tentative="1">
      <w:start w:val="1"/>
      <w:numFmt w:val="bullet"/>
      <w:lvlText w:val="o"/>
      <w:lvlJc w:val="left"/>
      <w:pPr>
        <w:ind w:left="5818" w:hanging="360"/>
      </w:pPr>
      <w:rPr>
        <w:rFonts w:ascii="Courier New" w:hAnsi="Courier New" w:cs="Courier New" w:hint="default"/>
      </w:rPr>
    </w:lvl>
    <w:lvl w:ilvl="8" w:tplc="100C0005" w:tentative="1">
      <w:start w:val="1"/>
      <w:numFmt w:val="bullet"/>
      <w:lvlText w:val=""/>
      <w:lvlJc w:val="left"/>
      <w:pPr>
        <w:ind w:left="6538" w:hanging="360"/>
      </w:pPr>
      <w:rPr>
        <w:rFonts w:ascii="Wingdings" w:hAnsi="Wingdings" w:hint="default"/>
      </w:rPr>
    </w:lvl>
  </w:abstractNum>
  <w:abstractNum w:abstractNumId="12">
    <w:nsid w:val="524C671F"/>
    <w:multiLevelType w:val="hybridMultilevel"/>
    <w:tmpl w:val="D7CA0B26"/>
    <w:lvl w:ilvl="0" w:tplc="F78A101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D3276A"/>
    <w:multiLevelType w:val="hybridMultilevel"/>
    <w:tmpl w:val="B4B05F96"/>
    <w:lvl w:ilvl="0" w:tplc="F78A101C">
      <w:numFmt w:val="bullet"/>
      <w:lvlText w:val="‒"/>
      <w:lvlJc w:val="left"/>
      <w:pPr>
        <w:ind w:left="778" w:hanging="360"/>
      </w:pPr>
      <w:rPr>
        <w:rFonts w:ascii="Arial" w:eastAsia="SimSun" w:hAnsi="Arial" w:hint="default"/>
      </w:rPr>
    </w:lvl>
    <w:lvl w:ilvl="1" w:tplc="100C0003" w:tentative="1">
      <w:start w:val="1"/>
      <w:numFmt w:val="bullet"/>
      <w:lvlText w:val="o"/>
      <w:lvlJc w:val="left"/>
      <w:pPr>
        <w:ind w:left="1498" w:hanging="360"/>
      </w:pPr>
      <w:rPr>
        <w:rFonts w:ascii="Courier New" w:hAnsi="Courier New" w:cs="Courier New" w:hint="default"/>
      </w:rPr>
    </w:lvl>
    <w:lvl w:ilvl="2" w:tplc="100C0005" w:tentative="1">
      <w:start w:val="1"/>
      <w:numFmt w:val="bullet"/>
      <w:lvlText w:val=""/>
      <w:lvlJc w:val="left"/>
      <w:pPr>
        <w:ind w:left="2218" w:hanging="360"/>
      </w:pPr>
      <w:rPr>
        <w:rFonts w:ascii="Wingdings" w:hAnsi="Wingdings" w:hint="default"/>
      </w:rPr>
    </w:lvl>
    <w:lvl w:ilvl="3" w:tplc="100C0001" w:tentative="1">
      <w:start w:val="1"/>
      <w:numFmt w:val="bullet"/>
      <w:lvlText w:val=""/>
      <w:lvlJc w:val="left"/>
      <w:pPr>
        <w:ind w:left="2938" w:hanging="360"/>
      </w:pPr>
      <w:rPr>
        <w:rFonts w:ascii="Symbol" w:hAnsi="Symbol" w:hint="default"/>
      </w:rPr>
    </w:lvl>
    <w:lvl w:ilvl="4" w:tplc="100C0003" w:tentative="1">
      <w:start w:val="1"/>
      <w:numFmt w:val="bullet"/>
      <w:lvlText w:val="o"/>
      <w:lvlJc w:val="left"/>
      <w:pPr>
        <w:ind w:left="3658" w:hanging="360"/>
      </w:pPr>
      <w:rPr>
        <w:rFonts w:ascii="Courier New" w:hAnsi="Courier New" w:cs="Courier New" w:hint="default"/>
      </w:rPr>
    </w:lvl>
    <w:lvl w:ilvl="5" w:tplc="100C0005" w:tentative="1">
      <w:start w:val="1"/>
      <w:numFmt w:val="bullet"/>
      <w:lvlText w:val=""/>
      <w:lvlJc w:val="left"/>
      <w:pPr>
        <w:ind w:left="4378" w:hanging="360"/>
      </w:pPr>
      <w:rPr>
        <w:rFonts w:ascii="Wingdings" w:hAnsi="Wingdings" w:hint="default"/>
      </w:rPr>
    </w:lvl>
    <w:lvl w:ilvl="6" w:tplc="100C0001" w:tentative="1">
      <w:start w:val="1"/>
      <w:numFmt w:val="bullet"/>
      <w:lvlText w:val=""/>
      <w:lvlJc w:val="left"/>
      <w:pPr>
        <w:ind w:left="5098" w:hanging="360"/>
      </w:pPr>
      <w:rPr>
        <w:rFonts w:ascii="Symbol" w:hAnsi="Symbol" w:hint="default"/>
      </w:rPr>
    </w:lvl>
    <w:lvl w:ilvl="7" w:tplc="100C0003" w:tentative="1">
      <w:start w:val="1"/>
      <w:numFmt w:val="bullet"/>
      <w:lvlText w:val="o"/>
      <w:lvlJc w:val="left"/>
      <w:pPr>
        <w:ind w:left="5818" w:hanging="360"/>
      </w:pPr>
      <w:rPr>
        <w:rFonts w:ascii="Courier New" w:hAnsi="Courier New" w:cs="Courier New" w:hint="default"/>
      </w:rPr>
    </w:lvl>
    <w:lvl w:ilvl="8" w:tplc="100C0005" w:tentative="1">
      <w:start w:val="1"/>
      <w:numFmt w:val="bullet"/>
      <w:lvlText w:val=""/>
      <w:lvlJc w:val="left"/>
      <w:pPr>
        <w:ind w:left="6538" w:hanging="360"/>
      </w:pPr>
      <w:rPr>
        <w:rFonts w:ascii="Wingdings" w:hAnsi="Wingdings" w:hint="default"/>
      </w:rPr>
    </w:lvl>
  </w:abstractNum>
  <w:abstractNum w:abstractNumId="14">
    <w:nsid w:val="58103276"/>
    <w:multiLevelType w:val="hybridMultilevel"/>
    <w:tmpl w:val="50342B02"/>
    <w:lvl w:ilvl="0" w:tplc="DFEE2808">
      <w:start w:val="27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F15563"/>
    <w:multiLevelType w:val="hybridMultilevel"/>
    <w:tmpl w:val="06D6A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726741"/>
    <w:multiLevelType w:val="hybridMultilevel"/>
    <w:tmpl w:val="7DDA9B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FE7540"/>
    <w:multiLevelType w:val="hybridMultilevel"/>
    <w:tmpl w:val="BA00090E"/>
    <w:lvl w:ilvl="0" w:tplc="5EF2DD7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nsid w:val="76CC4620"/>
    <w:multiLevelType w:val="hybridMultilevel"/>
    <w:tmpl w:val="94CCF9CC"/>
    <w:lvl w:ilvl="0" w:tplc="DFEE2808">
      <w:start w:val="270"/>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A70109"/>
    <w:multiLevelType w:val="hybridMultilevel"/>
    <w:tmpl w:val="B3149ED6"/>
    <w:lvl w:ilvl="0" w:tplc="0809000F">
      <w:start w:val="1"/>
      <w:numFmt w:val="decimal"/>
      <w:lvlText w:val="%1."/>
      <w:lvlJc w:val="left"/>
      <w:pPr>
        <w:ind w:left="720" w:hanging="360"/>
      </w:pPr>
      <w:rPr>
        <w:rFonts w:hint="default"/>
      </w:rPr>
    </w:lvl>
    <w:lvl w:ilvl="1" w:tplc="3ACE795C">
      <w:start w:val="1"/>
      <w:numFmt w:val="lowerRoman"/>
      <w:lvlText w:val="%2)"/>
      <w:lvlJc w:val="left"/>
      <w:pPr>
        <w:ind w:left="1440" w:hanging="360"/>
      </w:pPr>
      <w:rPr>
        <w:rFonts w:hint="default"/>
        <w:sz w:val="21"/>
        <w:szCs w:val="2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8"/>
  </w:num>
  <w:num w:numId="3">
    <w:abstractNumId w:val="0"/>
  </w:num>
  <w:num w:numId="4">
    <w:abstractNumId w:val="9"/>
  </w:num>
  <w:num w:numId="5">
    <w:abstractNumId w:val="1"/>
  </w:num>
  <w:num w:numId="6">
    <w:abstractNumId w:val="3"/>
  </w:num>
  <w:num w:numId="7">
    <w:abstractNumId w:val="18"/>
  </w:num>
  <w:num w:numId="8">
    <w:abstractNumId w:val="16"/>
  </w:num>
  <w:num w:numId="9">
    <w:abstractNumId w:val="15"/>
  </w:num>
  <w:num w:numId="10">
    <w:abstractNumId w:val="10"/>
  </w:num>
  <w:num w:numId="11">
    <w:abstractNumId w:val="7"/>
  </w:num>
  <w:num w:numId="12">
    <w:abstractNumId w:val="19"/>
  </w:num>
  <w:num w:numId="13">
    <w:abstractNumId w:val="5"/>
  </w:num>
  <w:num w:numId="14">
    <w:abstractNumId w:val="4"/>
  </w:num>
  <w:num w:numId="15">
    <w:abstractNumId w:val="6"/>
  </w:num>
  <w:num w:numId="16">
    <w:abstractNumId w:val="20"/>
  </w:num>
  <w:num w:numId="17">
    <w:abstractNumId w:val="17"/>
  </w:num>
  <w:num w:numId="18">
    <w:abstractNumId w:val="14"/>
  </w:num>
  <w:num w:numId="19">
    <w:abstractNumId w:val="11"/>
  </w:num>
  <w:num w:numId="20">
    <w:abstractNumId w:val="1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E57"/>
    <w:rsid w:val="00001D97"/>
    <w:rsid w:val="00010686"/>
    <w:rsid w:val="00030F31"/>
    <w:rsid w:val="00032B08"/>
    <w:rsid w:val="00043407"/>
    <w:rsid w:val="00043A55"/>
    <w:rsid w:val="00044B7A"/>
    <w:rsid w:val="00052915"/>
    <w:rsid w:val="00090505"/>
    <w:rsid w:val="000B71DF"/>
    <w:rsid w:val="000C2168"/>
    <w:rsid w:val="000E0E6E"/>
    <w:rsid w:val="000E3A3E"/>
    <w:rsid w:val="000E3BB3"/>
    <w:rsid w:val="000F003F"/>
    <w:rsid w:val="000F5E56"/>
    <w:rsid w:val="001000D4"/>
    <w:rsid w:val="001362EE"/>
    <w:rsid w:val="001522BD"/>
    <w:rsid w:val="00152CEA"/>
    <w:rsid w:val="0015443D"/>
    <w:rsid w:val="001619E0"/>
    <w:rsid w:val="00171373"/>
    <w:rsid w:val="00181581"/>
    <w:rsid w:val="001832A6"/>
    <w:rsid w:val="00197A8D"/>
    <w:rsid w:val="001D24B7"/>
    <w:rsid w:val="001E2102"/>
    <w:rsid w:val="00211A52"/>
    <w:rsid w:val="002317CA"/>
    <w:rsid w:val="00250A03"/>
    <w:rsid w:val="0025516D"/>
    <w:rsid w:val="002634C4"/>
    <w:rsid w:val="002827EA"/>
    <w:rsid w:val="00287B35"/>
    <w:rsid w:val="00287F80"/>
    <w:rsid w:val="00297C11"/>
    <w:rsid w:val="002C162A"/>
    <w:rsid w:val="002E02E7"/>
    <w:rsid w:val="002E0F47"/>
    <w:rsid w:val="002E5BA1"/>
    <w:rsid w:val="002F02C1"/>
    <w:rsid w:val="002F4E68"/>
    <w:rsid w:val="00300793"/>
    <w:rsid w:val="0030666D"/>
    <w:rsid w:val="00312AE5"/>
    <w:rsid w:val="00321550"/>
    <w:rsid w:val="00354647"/>
    <w:rsid w:val="00356E38"/>
    <w:rsid w:val="003765F9"/>
    <w:rsid w:val="00377273"/>
    <w:rsid w:val="003845C1"/>
    <w:rsid w:val="00385EA2"/>
    <w:rsid w:val="00387287"/>
    <w:rsid w:val="003C20A9"/>
    <w:rsid w:val="003E48F1"/>
    <w:rsid w:val="003F347A"/>
    <w:rsid w:val="003F4481"/>
    <w:rsid w:val="00423E3E"/>
    <w:rsid w:val="00427AF4"/>
    <w:rsid w:val="00430BC5"/>
    <w:rsid w:val="00447C8B"/>
    <w:rsid w:val="0045231F"/>
    <w:rsid w:val="004647DA"/>
    <w:rsid w:val="0046793F"/>
    <w:rsid w:val="00477808"/>
    <w:rsid w:val="00477D6B"/>
    <w:rsid w:val="0049355C"/>
    <w:rsid w:val="004A6C37"/>
    <w:rsid w:val="004E1DDC"/>
    <w:rsid w:val="004E297D"/>
    <w:rsid w:val="004F140A"/>
    <w:rsid w:val="004F5601"/>
    <w:rsid w:val="005024B3"/>
    <w:rsid w:val="005147AE"/>
    <w:rsid w:val="0052756D"/>
    <w:rsid w:val="00531B02"/>
    <w:rsid w:val="00533177"/>
    <w:rsid w:val="005332F0"/>
    <w:rsid w:val="00540689"/>
    <w:rsid w:val="0055013B"/>
    <w:rsid w:val="0055221B"/>
    <w:rsid w:val="00571B99"/>
    <w:rsid w:val="0058279B"/>
    <w:rsid w:val="005863B1"/>
    <w:rsid w:val="0059612D"/>
    <w:rsid w:val="005B0064"/>
    <w:rsid w:val="005D0C86"/>
    <w:rsid w:val="005E5DFD"/>
    <w:rsid w:val="005F0898"/>
    <w:rsid w:val="00605827"/>
    <w:rsid w:val="0063744E"/>
    <w:rsid w:val="006529E9"/>
    <w:rsid w:val="00652EE5"/>
    <w:rsid w:val="00675021"/>
    <w:rsid w:val="00680E9B"/>
    <w:rsid w:val="006A06C6"/>
    <w:rsid w:val="006A5F50"/>
    <w:rsid w:val="006B2801"/>
    <w:rsid w:val="006B4E97"/>
    <w:rsid w:val="006C4E13"/>
    <w:rsid w:val="006E349F"/>
    <w:rsid w:val="00711C08"/>
    <w:rsid w:val="007224C8"/>
    <w:rsid w:val="00724E8B"/>
    <w:rsid w:val="00747B46"/>
    <w:rsid w:val="00752990"/>
    <w:rsid w:val="00763943"/>
    <w:rsid w:val="00794BE2"/>
    <w:rsid w:val="007A5581"/>
    <w:rsid w:val="007A699E"/>
    <w:rsid w:val="007B71FE"/>
    <w:rsid w:val="007D781E"/>
    <w:rsid w:val="007E3F54"/>
    <w:rsid w:val="007E663E"/>
    <w:rsid w:val="007E7464"/>
    <w:rsid w:val="007F7B23"/>
    <w:rsid w:val="00815082"/>
    <w:rsid w:val="00822607"/>
    <w:rsid w:val="00831DA3"/>
    <w:rsid w:val="0083544E"/>
    <w:rsid w:val="0084358E"/>
    <w:rsid w:val="0088395E"/>
    <w:rsid w:val="008A4076"/>
    <w:rsid w:val="008B2CC1"/>
    <w:rsid w:val="008C29DD"/>
    <w:rsid w:val="008E6610"/>
    <w:rsid w:val="008E6BD6"/>
    <w:rsid w:val="0090731E"/>
    <w:rsid w:val="009362F5"/>
    <w:rsid w:val="00941FAA"/>
    <w:rsid w:val="009554FE"/>
    <w:rsid w:val="00966A22"/>
    <w:rsid w:val="00972F03"/>
    <w:rsid w:val="009A0C8B"/>
    <w:rsid w:val="009A20CD"/>
    <w:rsid w:val="009A460D"/>
    <w:rsid w:val="009A4D94"/>
    <w:rsid w:val="009B6241"/>
    <w:rsid w:val="009E7201"/>
    <w:rsid w:val="009F11FD"/>
    <w:rsid w:val="009F3276"/>
    <w:rsid w:val="009F7C4C"/>
    <w:rsid w:val="00A06E57"/>
    <w:rsid w:val="00A16FC0"/>
    <w:rsid w:val="00A32C9E"/>
    <w:rsid w:val="00A43825"/>
    <w:rsid w:val="00A8002A"/>
    <w:rsid w:val="00A8404A"/>
    <w:rsid w:val="00A84141"/>
    <w:rsid w:val="00AB613D"/>
    <w:rsid w:val="00AC2358"/>
    <w:rsid w:val="00AD0909"/>
    <w:rsid w:val="00AE7F20"/>
    <w:rsid w:val="00AF21E1"/>
    <w:rsid w:val="00AF75C5"/>
    <w:rsid w:val="00B07746"/>
    <w:rsid w:val="00B12306"/>
    <w:rsid w:val="00B14F7E"/>
    <w:rsid w:val="00B17BC8"/>
    <w:rsid w:val="00B3027C"/>
    <w:rsid w:val="00B3448F"/>
    <w:rsid w:val="00B51CEE"/>
    <w:rsid w:val="00B534D5"/>
    <w:rsid w:val="00B65A0A"/>
    <w:rsid w:val="00B67CDC"/>
    <w:rsid w:val="00B72D36"/>
    <w:rsid w:val="00B84B1C"/>
    <w:rsid w:val="00B8751E"/>
    <w:rsid w:val="00B92DE7"/>
    <w:rsid w:val="00B92EB8"/>
    <w:rsid w:val="00BB03B3"/>
    <w:rsid w:val="00BC4164"/>
    <w:rsid w:val="00BD2DCC"/>
    <w:rsid w:val="00C46FD1"/>
    <w:rsid w:val="00C77CBA"/>
    <w:rsid w:val="00C814DD"/>
    <w:rsid w:val="00C84DAA"/>
    <w:rsid w:val="00C90559"/>
    <w:rsid w:val="00C91815"/>
    <w:rsid w:val="00C9715D"/>
    <w:rsid w:val="00CA2251"/>
    <w:rsid w:val="00CA4692"/>
    <w:rsid w:val="00CC1E15"/>
    <w:rsid w:val="00CC68C8"/>
    <w:rsid w:val="00CE1784"/>
    <w:rsid w:val="00CE4C88"/>
    <w:rsid w:val="00CF0FC9"/>
    <w:rsid w:val="00CF1365"/>
    <w:rsid w:val="00D01AC1"/>
    <w:rsid w:val="00D03C92"/>
    <w:rsid w:val="00D1321E"/>
    <w:rsid w:val="00D167F4"/>
    <w:rsid w:val="00D35656"/>
    <w:rsid w:val="00D56C7C"/>
    <w:rsid w:val="00D67A2B"/>
    <w:rsid w:val="00D71B4D"/>
    <w:rsid w:val="00D90289"/>
    <w:rsid w:val="00D91E6C"/>
    <w:rsid w:val="00D93D55"/>
    <w:rsid w:val="00DC303B"/>
    <w:rsid w:val="00DC4C60"/>
    <w:rsid w:val="00DD1A64"/>
    <w:rsid w:val="00DD7BF0"/>
    <w:rsid w:val="00DE4CF2"/>
    <w:rsid w:val="00DE77F4"/>
    <w:rsid w:val="00E0079A"/>
    <w:rsid w:val="00E119B8"/>
    <w:rsid w:val="00E444DA"/>
    <w:rsid w:val="00E45C84"/>
    <w:rsid w:val="00E504E5"/>
    <w:rsid w:val="00EA38E2"/>
    <w:rsid w:val="00EB7A3E"/>
    <w:rsid w:val="00EC401A"/>
    <w:rsid w:val="00EC6346"/>
    <w:rsid w:val="00ED08BA"/>
    <w:rsid w:val="00EF530A"/>
    <w:rsid w:val="00EF6622"/>
    <w:rsid w:val="00EF78A9"/>
    <w:rsid w:val="00F01CDA"/>
    <w:rsid w:val="00F02532"/>
    <w:rsid w:val="00F1593B"/>
    <w:rsid w:val="00F205DD"/>
    <w:rsid w:val="00F22BB2"/>
    <w:rsid w:val="00F41B07"/>
    <w:rsid w:val="00F55065"/>
    <w:rsid w:val="00F55408"/>
    <w:rsid w:val="00F56B64"/>
    <w:rsid w:val="00F66152"/>
    <w:rsid w:val="00F80845"/>
    <w:rsid w:val="00F84474"/>
    <w:rsid w:val="00F87CB0"/>
    <w:rsid w:val="00F93BCF"/>
    <w:rsid w:val="00FA0F0D"/>
    <w:rsid w:val="00FD1D25"/>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6B4E97"/>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6B4E97"/>
    <w:rPr>
      <w:rFonts w:ascii="Tahoma" w:eastAsia="SimSun" w:hAnsi="Tahoma" w:cs="Tahoma"/>
      <w:sz w:val="16"/>
      <w:szCs w:val="16"/>
      <w:lang w:val="es-ES" w:eastAsia="zh-CN"/>
    </w:rPr>
  </w:style>
  <w:style w:type="paragraph" w:styleId="ListParagraph">
    <w:name w:val="List Paragraph"/>
    <w:basedOn w:val="Normal"/>
    <w:uiPriority w:val="34"/>
    <w:qFormat/>
    <w:rsid w:val="00A06E57"/>
    <w:pPr>
      <w:ind w:left="720"/>
      <w:contextualSpacing/>
    </w:pPr>
    <w:rPr>
      <w:lang w:val="en-US"/>
    </w:rPr>
  </w:style>
  <w:style w:type="character" w:styleId="FootnoteReference">
    <w:name w:val="footnote reference"/>
    <w:basedOn w:val="DefaultParagraphFont"/>
    <w:rsid w:val="00A06E57"/>
    <w:rPr>
      <w:vertAlign w:val="superscript"/>
    </w:rPr>
  </w:style>
  <w:style w:type="character" w:customStyle="1" w:styleId="ONUMEChar">
    <w:name w:val="ONUM E Char"/>
    <w:link w:val="ONUME"/>
    <w:rsid w:val="00A06E57"/>
    <w:rPr>
      <w:rFonts w:ascii="Arial" w:eastAsia="SimSun" w:hAnsi="Arial" w:cs="Arial"/>
      <w:sz w:val="22"/>
      <w:lang w:val="es-ES" w:eastAsia="zh-CN"/>
    </w:rPr>
  </w:style>
  <w:style w:type="character" w:customStyle="1" w:styleId="Heading2Char">
    <w:name w:val="Heading 2 Char"/>
    <w:basedOn w:val="DefaultParagraphFont"/>
    <w:link w:val="Heading2"/>
    <w:rsid w:val="00A06E57"/>
    <w:rPr>
      <w:rFonts w:ascii="Arial" w:eastAsia="SimSun" w:hAnsi="Arial" w:cs="Arial"/>
      <w:bCs/>
      <w:iCs/>
      <w:caps/>
      <w:sz w:val="22"/>
      <w:szCs w:val="28"/>
      <w:lang w:val="es-ES" w:eastAsia="zh-CN"/>
    </w:rPr>
  </w:style>
  <w:style w:type="paragraph" w:styleId="NormalWeb">
    <w:name w:val="Normal (Web)"/>
    <w:basedOn w:val="Normal"/>
    <w:uiPriority w:val="99"/>
    <w:unhideWhenUsed/>
    <w:rsid w:val="00A06E57"/>
    <w:rPr>
      <w:rFonts w:ascii="Times New Roman" w:eastAsiaTheme="minorHAnsi" w:hAnsi="Times New Roman" w:cs="Times New Roman"/>
      <w:sz w:val="24"/>
      <w:szCs w:val="24"/>
      <w:lang w:val="en-US" w:eastAsia="en-US"/>
    </w:rPr>
  </w:style>
  <w:style w:type="character" w:customStyle="1" w:styleId="HeaderChar">
    <w:name w:val="Header Char"/>
    <w:basedOn w:val="DefaultParagraphFont"/>
    <w:link w:val="Header"/>
    <w:uiPriority w:val="99"/>
    <w:rsid w:val="00A06E57"/>
    <w:rPr>
      <w:rFonts w:ascii="Arial" w:eastAsia="SimSun" w:hAnsi="Arial" w:cs="Arial"/>
      <w:sz w:val="22"/>
      <w:lang w:val="es-ES" w:eastAsia="zh-CN"/>
    </w:rPr>
  </w:style>
  <w:style w:type="character" w:customStyle="1" w:styleId="Heading3Char">
    <w:name w:val="Heading 3 Char"/>
    <w:basedOn w:val="DefaultParagraphFont"/>
    <w:link w:val="Heading3"/>
    <w:rsid w:val="00A06E57"/>
    <w:rPr>
      <w:rFonts w:ascii="Arial" w:eastAsia="SimSun" w:hAnsi="Arial" w:cs="Arial"/>
      <w:bCs/>
      <w:sz w:val="22"/>
      <w:szCs w:val="26"/>
      <w:u w:val="single"/>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6B4E97"/>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6B4E97"/>
    <w:rPr>
      <w:rFonts w:ascii="Tahoma" w:eastAsia="SimSun" w:hAnsi="Tahoma" w:cs="Tahoma"/>
      <w:sz w:val="16"/>
      <w:szCs w:val="16"/>
      <w:lang w:val="es-ES" w:eastAsia="zh-CN"/>
    </w:rPr>
  </w:style>
  <w:style w:type="paragraph" w:styleId="ListParagraph">
    <w:name w:val="List Paragraph"/>
    <w:basedOn w:val="Normal"/>
    <w:uiPriority w:val="34"/>
    <w:qFormat/>
    <w:rsid w:val="00A06E57"/>
    <w:pPr>
      <w:ind w:left="720"/>
      <w:contextualSpacing/>
    </w:pPr>
    <w:rPr>
      <w:lang w:val="en-US"/>
    </w:rPr>
  </w:style>
  <w:style w:type="character" w:styleId="FootnoteReference">
    <w:name w:val="footnote reference"/>
    <w:basedOn w:val="DefaultParagraphFont"/>
    <w:rsid w:val="00A06E57"/>
    <w:rPr>
      <w:vertAlign w:val="superscript"/>
    </w:rPr>
  </w:style>
  <w:style w:type="character" w:customStyle="1" w:styleId="ONUMEChar">
    <w:name w:val="ONUM E Char"/>
    <w:link w:val="ONUME"/>
    <w:rsid w:val="00A06E57"/>
    <w:rPr>
      <w:rFonts w:ascii="Arial" w:eastAsia="SimSun" w:hAnsi="Arial" w:cs="Arial"/>
      <w:sz w:val="22"/>
      <w:lang w:val="es-ES" w:eastAsia="zh-CN"/>
    </w:rPr>
  </w:style>
  <w:style w:type="character" w:customStyle="1" w:styleId="Heading2Char">
    <w:name w:val="Heading 2 Char"/>
    <w:basedOn w:val="DefaultParagraphFont"/>
    <w:link w:val="Heading2"/>
    <w:rsid w:val="00A06E57"/>
    <w:rPr>
      <w:rFonts w:ascii="Arial" w:eastAsia="SimSun" w:hAnsi="Arial" w:cs="Arial"/>
      <w:bCs/>
      <w:iCs/>
      <w:caps/>
      <w:sz w:val="22"/>
      <w:szCs w:val="28"/>
      <w:lang w:val="es-ES" w:eastAsia="zh-CN"/>
    </w:rPr>
  </w:style>
  <w:style w:type="paragraph" w:styleId="NormalWeb">
    <w:name w:val="Normal (Web)"/>
    <w:basedOn w:val="Normal"/>
    <w:uiPriority w:val="99"/>
    <w:unhideWhenUsed/>
    <w:rsid w:val="00A06E57"/>
    <w:rPr>
      <w:rFonts w:ascii="Times New Roman" w:eastAsiaTheme="minorHAnsi" w:hAnsi="Times New Roman" w:cs="Times New Roman"/>
      <w:sz w:val="24"/>
      <w:szCs w:val="24"/>
      <w:lang w:val="en-US" w:eastAsia="en-US"/>
    </w:rPr>
  </w:style>
  <w:style w:type="character" w:customStyle="1" w:styleId="HeaderChar">
    <w:name w:val="Header Char"/>
    <w:basedOn w:val="DefaultParagraphFont"/>
    <w:link w:val="Header"/>
    <w:uiPriority w:val="99"/>
    <w:rsid w:val="00A06E57"/>
    <w:rPr>
      <w:rFonts w:ascii="Arial" w:eastAsia="SimSun" w:hAnsi="Arial" w:cs="Arial"/>
      <w:sz w:val="22"/>
      <w:lang w:val="es-ES" w:eastAsia="zh-CN"/>
    </w:rPr>
  </w:style>
  <w:style w:type="character" w:customStyle="1" w:styleId="Heading3Char">
    <w:name w:val="Heading 3 Char"/>
    <w:basedOn w:val="DefaultParagraphFont"/>
    <w:link w:val="Heading3"/>
    <w:rsid w:val="00A06E57"/>
    <w:rPr>
      <w:rFonts w:ascii="Arial" w:eastAsia="SimSun" w:hAnsi="Arial" w:cs="Arial"/>
      <w:bCs/>
      <w:sz w:val="22"/>
      <w:szCs w:val="26"/>
      <w:u w:val="single"/>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10.xml"/><Relationship Id="rId28" Type="http://schemas.openxmlformats.org/officeDocument/2006/relationships/image" Target="media/image6.emf"/><Relationship Id="rId10" Type="http://schemas.openxmlformats.org/officeDocument/2006/relationships/image" Target="media/image2.emf"/><Relationship Id="rId19" Type="http://schemas.openxmlformats.org/officeDocument/2006/relationships/header" Target="header6.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F5843-1A75-4F88-96FD-5D0C5ADA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27</Pages>
  <Words>8939</Words>
  <Characters>47315</Characters>
  <Application>Microsoft Office Word</Application>
  <DocSecurity>0</DocSecurity>
  <Lines>1154</Lines>
  <Paragraphs>382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WO/PBC/26/9</vt:lpstr>
      <vt:lpstr>WO/PBC/26/9</vt:lpstr>
    </vt:vector>
  </TitlesOfParts>
  <Company>WIPO</Company>
  <LinksUpToDate>false</LinksUpToDate>
  <CharactersWithSpaces>55872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WO/PBC/26/9</dc:title>
  <dc:creator>Mercedes Camps/Esther Monzó</dc:creator>
  <dc:description>MC/EMN (trad. ext.) - 14.6.2017</dc:description>
  <cp:lastModifiedBy>CEVALLOS DUQUE Nilo</cp:lastModifiedBy>
  <cp:revision>45</cp:revision>
  <dcterms:created xsi:type="dcterms:W3CDTF">2017-06-21T06:55:00Z</dcterms:created>
  <dcterms:modified xsi:type="dcterms:W3CDTF">2017-06-22T12:13:00Z</dcterms:modified>
</cp:coreProperties>
</file>